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9130d8k.htm"/>
      <w:bookmarkStart w:id="1" w:name="ksd9913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center"/>
        <w:rPr>
          <w:rFonts w:ascii="Times New Roman" w:hAnsi="Times New Roman"/>
          <w:b/>
          <w:sz w:val="24"/>
        </w:rPr>
      </w:pPr>
      <w:r>
        <w:rPr>
          <w:rFonts w:ascii="Times New Roman" w:hAnsi="Times New Roman"/>
          <w:b/>
          <w:sz w:val="24"/>
        </w:rPr>
        <w:t>July 9,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Cytek Biosciences,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001-40632</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47-2547526</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47215 Lakeview Boulevard</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Fremont,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94538</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(877) 922-9835</w:t>
      </w:r>
    </w:p>
    <w:p>
      <w:pPr>
        <w:pStyle w:val="TextBody"/>
        <w:bidi w:val="0"/>
        <w:spacing w:before="24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2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830" w:type="dxa"/>
        <w:jc w:val="left"/>
        <w:tblInd w:w="0" w:type="dxa"/>
        <w:tblLayout w:type="fixed"/>
        <w:tblCellMar>
          <w:top w:w="0" w:type="dxa"/>
          <w:left w:w="0" w:type="dxa"/>
          <w:bottom w:w="0" w:type="dxa"/>
          <w:right w:w="0" w:type="dxa"/>
        </w:tblCellMar>
      </w:tblPr>
      <w:tblGrid>
        <w:gridCol w:w="4145"/>
        <w:gridCol w:w="60"/>
        <w:gridCol w:w="740"/>
        <w:gridCol w:w="60"/>
        <w:gridCol w:w="2825"/>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4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CTKB</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(e)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Valerie Barnett’s position as Chief Legal Officer and Corporate Secretary of Cytek Biosciences, Inc. (the “Company”) terminated on June 29, 2026. </w:t>
      </w:r>
    </w:p>
    <w:p>
      <w:pPr>
        <w:pStyle w:val="TextBody"/>
        <w:bidi w:val="0"/>
        <w:spacing w:before="240" w:after="0"/>
        <w:jc w:val="left"/>
        <w:rPr>
          <w:rFonts w:ascii="Times New Roman" w:hAnsi="Times New Roman"/>
          <w:sz w:val="20"/>
        </w:rPr>
      </w:pPr>
      <w:r>
        <w:rPr>
          <w:rFonts w:ascii="Times New Roman" w:hAnsi="Times New Roman"/>
          <w:sz w:val="20"/>
        </w:rPr>
        <w:t xml:space="preserve">On July 9, 2026 (the “Separation Date”), the Company and Ms. Barnett entered into a severance agreement and release of all claims (the “Severance Agreement”) pursuant to which Ms. Barnett provided the Company with a release and waiver of claims. In accordance with the Severance Agreement, the Company agreed to pay Ms. Barnett: (i) a one-time lump sum severance payment of $365,775.12 (the “Severance Amount”); and (ii) COBRA premiums through the earlier of April 30, 2027, or until Ms. Barnett becomes covered under another employer’s group health plan. In the event the Company experiences a Change in Control (as defined in the Company’s Second Amended and Restated Severance Benefit Plan) within three (3) months following the Separation Date (the “Change in Control Period”), Ms. Barnett will instead be eligible to receive change-in-control severance benefits consisting of (i) eighteen (18) months of her base salary as of the Separation Date plus (ii) an amount equal to her 2026 bonus target, with any previously paid Severance Amount credited against such benefits. In addition, in the event of a Change in Control during the Change in Control Period, the Company agreed to pay Ms. Barnett’s COBRA premiums through January 31, 2028, and each of Ms. Barnett’s then-outstanding equity awards would accelerate and become fully vested and exercisable as of the effective date of such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Ms. Barnett also entered into a Consulting Agreement effective July 10, 2026 (the “Consulting Agreement”), pursuant to which Ms. Barnett agreed to provide transition support services as may be requested from time to time, at a rate of $1,000 per hour for a maximum of ten (10) hours per week. The initial term of the Consulting Agreement runs through August 31, 2026, and may be terminated earlier in accordance with the terms of the Consulting Agreement and/or extended by mutual written agreement of the parties. During the term of the Consulting Agreement, Ms. Barnett’s previously granted equity awards under the Company’s 2021 Equity Incentive Plan will continue to vest, subject to her Continuous Service (as defined in the Plan) and the terms and conditions of the applicable plan and award documents.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does not purport to be complete and is qualified in its entirety by reference to the full text of the Severance Agreement and the Consulting Agreement, copies of which will be filed as exhibits to the Company’s Quarterly Report on Form 10-Q for the period ended June 30, 2026 and are incorporated herein by reference.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098" w:type="dxa"/>
        <w:jc w:val="left"/>
        <w:tblInd w:w="0" w:type="dxa"/>
        <w:tblLayout w:type="fixed"/>
        <w:tblCellMar>
          <w:top w:w="0" w:type="dxa"/>
          <w:left w:w="0" w:type="dxa"/>
          <w:bottom w:w="0" w:type="dxa"/>
          <w:right w:w="0" w:type="dxa"/>
        </w:tblCellMar>
      </w:tblPr>
      <w:tblGrid>
        <w:gridCol w:w="1895"/>
        <w:gridCol w:w="60"/>
        <w:gridCol w:w="23"/>
        <w:gridCol w:w="60"/>
        <w:gridCol w:w="365"/>
        <w:gridCol w:w="60"/>
        <w:gridCol w:w="3635"/>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60" w:type="dxa"/>
            <w:gridSpan w:val="3"/>
            <w:tcBorders/>
            <w:vAlign w:val="center"/>
          </w:tcPr>
          <w:p>
            <w:pPr>
              <w:pStyle w:val="TableContents"/>
              <w:bidi w:val="0"/>
              <w:spacing w:before="0" w:after="283"/>
              <w:jc w:val="left"/>
              <w:rPr>
                <w:b/>
              </w:rPr>
            </w:pPr>
            <w:r>
              <w:rPr>
                <w:b/>
              </w:rPr>
              <w:t>Cytek Biosciences, Inc.</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15,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Wenbin Jiang</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Wenbin Jiang, Ph.D.</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812</Words>
  <Characters>4384</Characters>
  <CharactersWithSpaces>5186</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