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MUIR GLENN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Cytek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CTKB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CYTEK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47215 LAKEVIEW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55,555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29,835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 Award")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2/36 of the total shares subject to the RSU Award shall vest on August 18, 2026; 3/36 of the total shares subject to the RSU Award shall vest on November 18, 2026 and each November 18 thereafter; 4/36 of the total shares underlying the RSU Award shall vest on March 10, 2027 and each March 10 thereafter; 3/36 of the total shares underlying the RSU Award vesting shall vest on May 18, 2027 and each May 18 thereafter; and 3/36 of the total shares underlying the RSU Award shall vest on August 18, 2027 and each August 18 thereafter, until fully vested.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1/36 of the total shares subject to the option shall vest monthly over 3 years following the grant date of June 10,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Valerie Barnett,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1190" TargetMode="External"/><Relationship Id="rId14" Type="http://schemas.openxmlformats.org/officeDocument/2006/relationships/hyperlink" Target="http://www.sec.gov/cgi-bin/browse-edgar?action=getcompany&amp;CIK=00018319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2026-06-12T18:33:21Z</dcterms:created>
  <dcterms:modified xsi:type="dcterms:W3CDTF">2026-06-12T18:33:21Z</dcterms:modified>
</cp:coreProperties>
</file>