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 FOR THE TRANSITION PERIOD FROM                     TO                     </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001-40632</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CYTEK BIOSCIENCES,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tbl>
      <w:tblPr>
        <w:tblW w:w="4980" w:type="dxa"/>
        <w:jc w:val="left"/>
        <w:tblInd w:w="0" w:type="dxa"/>
        <w:tblLayout w:type="fixed"/>
        <w:tblCellMar>
          <w:top w:w="28" w:type="dxa"/>
          <w:left w:w="28" w:type="dxa"/>
          <w:bottom w:w="28" w:type="dxa"/>
          <w:right w:w="28" w:type="dxa"/>
        </w:tblCellMar>
      </w:tblPr>
      <w:tblGrid>
        <w:gridCol w:w="1363"/>
        <w:gridCol w:w="1197"/>
        <w:gridCol w:w="1205"/>
        <w:gridCol w:w="355"/>
        <w:gridCol w:w="355"/>
        <w:gridCol w:w="505"/>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47-2547526</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b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br/>
              <w:t>Identification No.)</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47215 Lakeview Blvd. Fremont, California</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94538</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bl>
    <w:p>
      <w:pPr>
        <w:pStyle w:val="TextBody"/>
        <w:bidi w:val="0"/>
        <w:spacing w:lineRule="auto" w:line="288" w:before="60" w:after="283"/>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20"/>
        </w:rPr>
        <w:t>(877) 922-9835</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Securities registered pursuant to Section 12(b) of the Act: </w:t>
      </w:r>
    </w:p>
    <w:tbl>
      <w:tblPr>
        <w:tblW w:w="8572" w:type="dxa"/>
        <w:jc w:val="left"/>
        <w:tblInd w:w="0" w:type="dxa"/>
        <w:tblLayout w:type="fixed"/>
        <w:tblCellMar>
          <w:top w:w="28" w:type="dxa"/>
          <w:left w:w="28" w:type="dxa"/>
          <w:bottom w:w="28" w:type="dxa"/>
          <w:right w:w="28" w:type="dxa"/>
        </w:tblCellMar>
      </w:tblPr>
      <w:tblGrid>
        <w:gridCol w:w="1185"/>
        <w:gridCol w:w="1035"/>
        <w:gridCol w:w="1049"/>
        <w:gridCol w:w="109"/>
        <w:gridCol w:w="109"/>
        <w:gridCol w:w="109"/>
        <w:gridCol w:w="474"/>
        <w:gridCol w:w="474"/>
        <w:gridCol w:w="476"/>
        <w:gridCol w:w="109"/>
        <w:gridCol w:w="109"/>
        <w:gridCol w:w="109"/>
        <w:gridCol w:w="945"/>
        <w:gridCol w:w="945"/>
        <w:gridCol w:w="1335"/>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CTKB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The Nasdaq Global Select Market </w:t>
            </w:r>
          </w:p>
        </w:tc>
      </w:tr>
    </w:tbl>
    <w:p>
      <w:pPr>
        <w:pStyle w:val="TextBody"/>
        <w:bidi w:val="0"/>
        <w:spacing w:lineRule="auto" w:line="288" w:before="60" w:after="283"/>
        <w:jc w:val="left"/>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 xml:space="preserve">None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15(d) of the Act. YES ☐ NO ☒</w:t>
      </w:r>
    </w:p>
    <w:p>
      <w:pPr>
        <w:pStyle w:val="TextBody"/>
        <w:bidi w:val="0"/>
        <w:spacing w:lineRule="auto" w:line="288" w:before="6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2"/>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bl>
    <w:p>
      <w:pPr>
        <w:pStyle w:val="TextBody"/>
        <w:bidi w:val="0"/>
        <w:spacing w:lineRule="auto" w:line="288" w:before="6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 xml:space="preserve">The aggregate market value of registrant’s voting and non-voting common stock held by non-affiliates of registrant on </w:t>
      </w:r>
      <w:r>
        <w:rPr>
          <w:rFonts w:ascii="Times New Roman;sans-serif" w:hAnsi="Times New Roman;sans-serif"/>
          <w:b w:val="false"/>
          <w:color w:val="000000"/>
          <w:sz w:val="16"/>
          <w:shd w:fill="FFFFFF" w:val="clear"/>
        </w:rPr>
        <w:t>June 30, 2024</w:t>
      </w:r>
      <w:r>
        <w:rPr>
          <w:rFonts w:ascii="Times New Roman;sans-serif" w:hAnsi="Times New Roman;sans-serif"/>
          <w:b w:val="false"/>
          <w:color w:val="000000"/>
          <w:sz w:val="16"/>
        </w:rPr>
        <w:t xml:space="preserve">, the last business day of the registrant’s most recently completed second fiscal quarter, was approximately </w:t>
      </w:r>
      <w:r>
        <w:rPr>
          <w:rFonts w:ascii="Times New Roman;sans-serif" w:hAnsi="Times New Roman;sans-serif"/>
          <w:b w:val="false"/>
          <w:color w:val="000000"/>
          <w:sz w:val="16"/>
          <w:shd w:fill="FFFFFF" w:val="clear"/>
        </w:rPr>
        <w:t>$670 million</w:t>
      </w:r>
      <w:r>
        <w:rPr>
          <w:rFonts w:ascii="Times New Roman;sans-serif" w:hAnsi="Times New Roman;sans-serif"/>
          <w:b w:val="false"/>
          <w:color w:val="000000"/>
          <w:sz w:val="16"/>
        </w:rPr>
        <w:t>, based upon the closing sale price of the common stock as reported on The Nasdaq Global Select Market. Shares of common stock held by each officer and director have been excluded in that such persons may be deemed to be affiliates. This determination of affiliate status is not a conclusive determination for other purposes.</w:t>
      </w:r>
    </w:p>
    <w:p>
      <w:pPr>
        <w:pStyle w:val="TextBody"/>
        <w:bidi w:val="0"/>
        <w:spacing w:lineRule="auto" w:line="288" w:before="60" w:after="283"/>
        <w:jc w:val="left"/>
        <w:rPr/>
      </w:pPr>
      <w:r>
        <w:rPr>
          <w:rFonts w:ascii="Times New Roman;sans-serif" w:hAnsi="Times New Roman;sans-serif"/>
          <w:b w:val="false"/>
          <w:color w:val="000000"/>
          <w:sz w:val="16"/>
        </w:rPr>
        <w:t>The number of shares of Registrant’s Common Stock outstanding as of</w:t>
      </w:r>
      <w:r>
        <w:rPr>
          <w:color w:val="000000"/>
          <w:shd w:fill="FFFFFF" w:val="clear"/>
        </w:rPr>
        <w:t xml:space="preserve"> </w:t>
      </w:r>
      <w:r>
        <w:rPr>
          <w:rFonts w:ascii="Times New Roman;sans-serif" w:hAnsi="Times New Roman;sans-serif"/>
          <w:b w:val="false"/>
          <w:color w:val="000000"/>
          <w:sz w:val="16"/>
          <w:shd w:fill="FFFFFF" w:val="clear"/>
        </w:rPr>
        <w:t>February 17, 2025 was 128,097,379.</w:t>
      </w:r>
      <w:r>
        <w:rPr>
          <w:color w:val="000000"/>
        </w:rPr>
        <w:t xml:space="preserve">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Registrant’s 2025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1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47"/>
        <w:gridCol w:w="479"/>
        <w:gridCol w:w="486"/>
        <w:gridCol w:w="2748"/>
        <w:gridCol w:w="2711"/>
        <w:gridCol w:w="2720"/>
        <w:gridCol w:w="149"/>
        <w:gridCol w:w="149"/>
        <w:gridCol w:w="216"/>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3">
              <w:r>
                <w:rPr>
                  <w:rStyle w:val="InternetLink"/>
                  <w:rFonts w:ascii="Times New Roman;sans-serif" w:hAnsi="Times New Roman;sans-serif"/>
                  <w:b/>
                  <w:strike w:val="false"/>
                  <w:dstrike w:val="false"/>
                  <w:color w:val="000000"/>
                  <w:sz w:val="20"/>
                  <w:u w:val="none"/>
                  <w:effect w:val="none"/>
                </w:rPr>
                <w:t>PART 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6">
              <w:r>
                <w:rPr>
                  <w:rStyle w:val="InternetLink"/>
                  <w:rFonts w:ascii="Times New Roman;sans-serif" w:hAnsi="Times New Roman;sans-serif"/>
                  <w:b w:val="false"/>
                  <w:strike w:val="false"/>
                  <w:dstrike w:val="false"/>
                  <w:color w:val="000000"/>
                  <w:sz w:val="20"/>
                  <w:u w:val="none"/>
                  <w:effect w:val="none"/>
                </w:rPr>
                <w:t>Item 1.</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6">
              <w:r>
                <w:rPr>
                  <w:rStyle w:val="InternetLink"/>
                  <w:rFonts w:ascii="Times New Roman;sans-serif" w:hAnsi="Times New Roman;sans-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6">
              <w:r>
                <w:rPr>
                  <w:rStyle w:val="InternetLink"/>
                  <w:rFonts w:ascii="Times New Roman;sans-serif" w:hAnsi="Times New Roman;sans-serif"/>
                  <w:b w:val="false"/>
                  <w:strike w:val="false"/>
                  <w:dstrike w:val="false"/>
                  <w:color w:val="000000"/>
                  <w:sz w:val="20"/>
                  <w:u w:val="none"/>
                  <w:effect w:val="none"/>
                </w:rPr>
                <w:t>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
              <w:r>
                <w:rPr>
                  <w:rStyle w:val="InternetLink"/>
                  <w:rFonts w:ascii="Times New Roman;sans-serif" w:hAnsi="Times New Roman;sans-serif"/>
                  <w:b w:val="false"/>
                  <w:strike w:val="false"/>
                  <w:dstrike w:val="false"/>
                  <w:color w:val="000000"/>
                  <w:sz w:val="20"/>
                  <w:u w:val="none"/>
                  <w:effect w:val="none"/>
                </w:rPr>
                <w:t>Item 1A.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9">
              <w:r>
                <w:rPr>
                  <w:rStyle w:val="InternetLink"/>
                  <w:rFonts w:ascii="Times New Roman;sans-serif" w:hAnsi="Times New Roman;sans-serif"/>
                  <w:b w:val="false"/>
                  <w:strike w:val="false"/>
                  <w:dstrike w:val="false"/>
                  <w:color w:val="000000"/>
                  <w:sz w:val="20"/>
                  <w:u w:val="none"/>
                  <w:effect w:val="none"/>
                </w:rPr>
                <w:t>21</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
              <w:r>
                <w:rPr>
                  <w:rStyle w:val="InternetLink"/>
                  <w:rFonts w:ascii="Times New Roman;sans-serif" w:hAnsi="Times New Roman;sans-serif"/>
                  <w:b w:val="false"/>
                  <w:strike w:val="false"/>
                  <w:dstrike w:val="false"/>
                  <w:color w:val="000000"/>
                  <w:sz w:val="20"/>
                  <w:u w:val="none"/>
                  <w:effect w:val="none"/>
                </w:rPr>
                <w:t>Item 1B.</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2">
              <w:r>
                <w:rPr>
                  <w:rStyle w:val="InternetLink"/>
                  <w:rFonts w:ascii="Times New Roman;sans-serif" w:hAnsi="Times New Roman;sans-serif"/>
                  <w:b w:val="false"/>
                  <w:strike w:val="false"/>
                  <w:dstrike w:val="false"/>
                  <w:color w:val="000000"/>
                  <w:sz w:val="20"/>
                  <w:u w:val="none"/>
                  <w:effect w:val="none"/>
                </w:rPr>
                <w:t>63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5">
              <w:r>
                <w:rPr>
                  <w:rStyle w:val="InternetLink"/>
                  <w:rFonts w:ascii="Times New Roman;sans-serif" w:hAnsi="Times New Roman;sans-serif"/>
                  <w:b w:val="false"/>
                  <w:strike w:val="false"/>
                  <w:dstrike w:val="false"/>
                  <w:color w:val="000000"/>
                  <w:sz w:val="20"/>
                  <w:u w:val="none"/>
                  <w:effect w:val="none"/>
                </w:rPr>
                <w:t>Item 1C.</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5">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5">
              <w:r>
                <w:rPr>
                  <w:rStyle w:val="InternetLink"/>
                  <w:rFonts w:ascii="Times New Roman;sans-serif" w:hAnsi="Times New Roman;sans-serif"/>
                  <w:b w:val="false"/>
                  <w:strike w:val="false"/>
                  <w:dstrike w:val="false"/>
                  <w:color w:val="000000"/>
                  <w:sz w:val="20"/>
                  <w:u w:val="none"/>
                  <w:effect w:val="none"/>
                </w:rPr>
                <w:t>63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8">
              <w:r>
                <w:rPr>
                  <w:rStyle w:val="InternetLink"/>
                  <w:rFonts w:ascii="Times New Roman;sans-serif" w:hAnsi="Times New Roman;sans-serif"/>
                  <w:b w:val="false"/>
                  <w:strike w:val="false"/>
                  <w:dstrike w:val="false"/>
                  <w:color w:val="000000"/>
                  <w:sz w:val="20"/>
                  <w:u w:val="none"/>
                  <w:effect w:val="none"/>
                </w:rPr>
                <w:t>Item 2.</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8">
              <w:r>
                <w:rPr>
                  <w:rStyle w:val="InternetLink"/>
                  <w:rFonts w:ascii="Times New Roman;sans-serif" w:hAnsi="Times New Roman;sans-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8">
              <w:r>
                <w:rPr>
                  <w:rStyle w:val="InternetLink"/>
                  <w:rFonts w:ascii="Times New Roman;sans-serif" w:hAnsi="Times New Roman;sans-serif"/>
                  <w:b w:val="false"/>
                  <w:strike w:val="false"/>
                  <w:dstrike w:val="false"/>
                  <w:color w:val="000000"/>
                  <w:sz w:val="20"/>
                  <w:u w:val="none"/>
                  <w:effect w:val="none"/>
                </w:rPr>
                <w:t>64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31">
              <w:r>
                <w:rPr>
                  <w:rStyle w:val="InternetLink"/>
                  <w:rFonts w:ascii="Times New Roman;sans-serif" w:hAnsi="Times New Roman;sans-serif"/>
                  <w:b w:val="false"/>
                  <w:strike w:val="false"/>
                  <w:dstrike w:val="false"/>
                  <w:color w:val="000000"/>
                  <w:sz w:val="20"/>
                  <w:u w:val="none"/>
                  <w:effect w:val="none"/>
                </w:rPr>
                <w:t>Item 3.</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31">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31">
              <w:r>
                <w:rPr>
                  <w:rStyle w:val="InternetLink"/>
                  <w:rFonts w:ascii="Times New Roman;sans-serif" w:hAnsi="Times New Roman;sans-serif"/>
                  <w:b w:val="false"/>
                  <w:strike w:val="false"/>
                  <w:dstrike w:val="false"/>
                  <w:color w:val="000000"/>
                  <w:sz w:val="20"/>
                  <w:u w:val="none"/>
                  <w:effect w:val="none"/>
                </w:rPr>
                <w:t>65</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34">
              <w:r>
                <w:rPr>
                  <w:rStyle w:val="InternetLink"/>
                  <w:rFonts w:ascii="Times New Roman;sans-serif" w:hAnsi="Times New Roman;sans-serif"/>
                  <w:b w:val="false"/>
                  <w:strike w:val="false"/>
                  <w:dstrike w:val="false"/>
                  <w:color w:val="000000"/>
                  <w:sz w:val="20"/>
                  <w:u w:val="none"/>
                  <w:effect w:val="none"/>
                </w:rPr>
                <w:t>Item 4.</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34">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34">
              <w:r>
                <w:rPr>
                  <w:rStyle w:val="InternetLink"/>
                  <w:rFonts w:ascii="Times New Roman;sans-serif" w:hAnsi="Times New Roman;sans-serif"/>
                  <w:b w:val="false"/>
                  <w:strike w:val="false"/>
                  <w:dstrike w:val="false"/>
                  <w:color w:val="000000"/>
                  <w:sz w:val="20"/>
                  <w:u w:val="none"/>
                  <w:effect w:val="none"/>
                </w:rPr>
                <w:t>65</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37">
              <w:r>
                <w:rPr>
                  <w:rStyle w:val="InternetLink"/>
                  <w:rFonts w:ascii="Times New Roman;sans-serif" w:hAnsi="Times New Roman;sans-serif"/>
                  <w:b/>
                  <w:strike w:val="false"/>
                  <w:dstrike w:val="false"/>
                  <w:color w:val="000000"/>
                  <w:sz w:val="20"/>
                  <w:u w:val="none"/>
                  <w:effect w:val="none"/>
                </w:rPr>
                <w:t>PART II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0">
              <w:r>
                <w:rPr>
                  <w:rStyle w:val="InternetLink"/>
                  <w:rFonts w:ascii="Times New Roman;sans-serif" w:hAnsi="Times New Roman;sans-serif"/>
                  <w:b w:val="false"/>
                  <w:strike w:val="false"/>
                  <w:dstrike w:val="false"/>
                  <w:color w:val="000000"/>
                  <w:sz w:val="20"/>
                  <w:u w:val="none"/>
                  <w:effect w:val="none"/>
                </w:rPr>
                <w:t>Item 5.</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40">
              <w:r>
                <w:rPr>
                  <w:rStyle w:val="InternetLink"/>
                  <w:rFonts w:ascii="Times New Roman;sans-serif" w:hAnsi="Times New Roman;sans-serif"/>
                  <w:b w:val="false"/>
                  <w:strike w:val="false"/>
                  <w:dstrike w:val="false"/>
                  <w:color w:val="000000"/>
                  <w:sz w:val="20"/>
                  <w:u w:val="none"/>
                  <w:effect w:val="none"/>
                </w:rPr>
                <w:t>66</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3">
              <w:r>
                <w:rPr>
                  <w:rStyle w:val="InternetLink"/>
                  <w:rFonts w:ascii="Times New Roman;sans-serif" w:hAnsi="Times New Roman;sans-serif"/>
                  <w:b w:val="false"/>
                  <w:strike w:val="false"/>
                  <w:dstrike w:val="false"/>
                  <w:color w:val="000000"/>
                  <w:sz w:val="20"/>
                  <w:u w:val="none"/>
                  <w:effect w:val="none"/>
                </w:rPr>
                <w:t>Item 6.</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3">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43">
              <w:r>
                <w:rPr>
                  <w:rStyle w:val="InternetLink"/>
                  <w:rFonts w:ascii="Times New Roman;sans-serif" w:hAnsi="Times New Roman;sans-serif"/>
                  <w:b w:val="false"/>
                  <w:strike w:val="false"/>
                  <w:dstrike w:val="false"/>
                  <w:color w:val="000000"/>
                  <w:sz w:val="20"/>
                  <w:u w:val="none"/>
                  <w:effect w:val="none"/>
                </w:rPr>
                <w:t>68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6">
              <w:r>
                <w:rPr>
                  <w:rStyle w:val="InternetLink"/>
                  <w:rFonts w:ascii="Times New Roman;sans-serif" w:hAnsi="Times New Roman;sans-serif"/>
                  <w:b w:val="false"/>
                  <w:strike w:val="false"/>
                  <w:dstrike w:val="false"/>
                  <w:color w:val="000000"/>
                  <w:sz w:val="20"/>
                  <w:u w:val="none"/>
                  <w:effect w:val="none"/>
                </w:rPr>
                <w:t>Item 7.</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46">
              <w:r>
                <w:rPr>
                  <w:rStyle w:val="InternetLink"/>
                  <w:rFonts w:ascii="Times New Roman;sans-serif" w:hAnsi="Times New Roman;sans-serif"/>
                  <w:b w:val="false"/>
                  <w:strike w:val="false"/>
                  <w:dstrike w:val="false"/>
                  <w:color w:val="000000"/>
                  <w:sz w:val="20"/>
                  <w:u w:val="none"/>
                  <w:effect w:val="none"/>
                </w:rPr>
                <w:t>69</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85">
              <w:r>
                <w:rPr>
                  <w:rStyle w:val="InternetLink"/>
                  <w:rFonts w:ascii="Times New Roman;sans-serif" w:hAnsi="Times New Roman;sans-serif"/>
                  <w:b w:val="false"/>
                  <w:strike w:val="false"/>
                  <w:dstrike w:val="false"/>
                  <w:color w:val="000000"/>
                  <w:sz w:val="20"/>
                  <w:u w:val="none"/>
                  <w:effect w:val="none"/>
                </w:rPr>
                <w:t>Item 7A.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85">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85">
              <w:r>
                <w:rPr>
                  <w:rStyle w:val="InternetLink"/>
                  <w:rFonts w:ascii="Times New Roman;sans-serif" w:hAnsi="Times New Roman;sans-serif"/>
                  <w:b w:val="false"/>
                  <w:strike w:val="false"/>
                  <w:dstrike w:val="false"/>
                  <w:color w:val="000000"/>
                  <w:sz w:val="20"/>
                  <w:u w:val="none"/>
                  <w:effect w:val="none"/>
                </w:rPr>
                <w:t>83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88">
              <w:r>
                <w:rPr>
                  <w:rStyle w:val="InternetLink"/>
                  <w:rFonts w:ascii="Times New Roman;sans-serif" w:hAnsi="Times New Roman;sans-serif"/>
                  <w:b w:val="false"/>
                  <w:strike w:val="false"/>
                  <w:dstrike w:val="false"/>
                  <w:color w:val="000000"/>
                  <w:sz w:val="20"/>
                  <w:u w:val="none"/>
                  <w:effect w:val="none"/>
                </w:rPr>
                <w:t>Item 8.</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88">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88">
              <w:r>
                <w:rPr>
                  <w:rStyle w:val="InternetLink"/>
                  <w:rFonts w:ascii="Times New Roman;sans-serif" w:hAnsi="Times New Roman;sans-serif"/>
                  <w:b w:val="false"/>
                  <w:strike w:val="false"/>
                  <w:dstrike w:val="false"/>
                  <w:color w:val="000000"/>
                  <w:sz w:val="20"/>
                  <w:u w:val="none"/>
                  <w:effect w:val="none"/>
                </w:rPr>
                <w:t>84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1">
              <w:r>
                <w:rPr>
                  <w:rStyle w:val="InternetLink"/>
                  <w:rFonts w:ascii="Times New Roman;sans-serif" w:hAnsi="Times New Roman;sans-serif"/>
                  <w:b w:val="false"/>
                  <w:strike w:val="false"/>
                  <w:dstrike w:val="false"/>
                  <w:color w:val="000000"/>
                  <w:sz w:val="20"/>
                  <w:u w:val="none"/>
                  <w:effect w:val="none"/>
                </w:rPr>
                <w:t>Item 9.</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81">
              <w:r>
                <w:rPr>
                  <w:rStyle w:val="InternetLink"/>
                  <w:rFonts w:ascii="Times New Roman;sans-serif" w:hAnsi="Times New Roman;sans-serif"/>
                  <w:b w:val="false"/>
                  <w:strike w:val="false"/>
                  <w:dstrike w:val="false"/>
                  <w:color w:val="000000"/>
                  <w:sz w:val="20"/>
                  <w:u w:val="none"/>
                  <w:effect w:val="none"/>
                </w:rPr>
                <w:t>119</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4">
              <w:r>
                <w:rPr>
                  <w:rStyle w:val="InternetLink"/>
                  <w:rFonts w:ascii="Times New Roman;sans-serif" w:hAnsi="Times New Roman;sans-serif"/>
                  <w:b w:val="false"/>
                  <w:strike w:val="false"/>
                  <w:dstrike w:val="false"/>
                  <w:color w:val="000000"/>
                  <w:sz w:val="20"/>
                  <w:u w:val="none"/>
                  <w:effect w:val="none"/>
                </w:rPr>
                <w:t>Item 9A.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4">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84">
              <w:r>
                <w:rPr>
                  <w:rStyle w:val="InternetLink"/>
                  <w:rFonts w:ascii="Times New Roman;sans-serif" w:hAnsi="Times New Roman;sans-serif"/>
                  <w:b w:val="false"/>
                  <w:strike w:val="false"/>
                  <w:dstrike w:val="false"/>
                  <w:color w:val="000000"/>
                  <w:sz w:val="20"/>
                  <w:u w:val="none"/>
                  <w:effect w:val="none"/>
                </w:rPr>
                <w:t>119</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7">
              <w:r>
                <w:rPr>
                  <w:rStyle w:val="InternetLink"/>
                  <w:rFonts w:ascii="Times New Roman;sans-serif" w:hAnsi="Times New Roman;sans-serif"/>
                  <w:b w:val="false"/>
                  <w:strike w:val="false"/>
                  <w:dstrike w:val="false"/>
                  <w:color w:val="000000"/>
                  <w:sz w:val="20"/>
                  <w:u w:val="none"/>
                  <w:effect w:val="none"/>
                </w:rPr>
                <w:t>Item 9B.</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87">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87">
              <w:r>
                <w:rPr>
                  <w:rStyle w:val="InternetLink"/>
                  <w:rFonts w:ascii="Times New Roman;sans-serif" w:hAnsi="Times New Roman;sans-serif"/>
                  <w:b w:val="false"/>
                  <w:strike w:val="false"/>
                  <w:dstrike w:val="false"/>
                  <w:color w:val="000000"/>
                  <w:sz w:val="20"/>
                  <w:u w:val="none"/>
                  <w:effect w:val="none"/>
                </w:rPr>
                <w:t>123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3">
              <w:r>
                <w:rPr>
                  <w:rStyle w:val="InternetLink"/>
                  <w:rFonts w:ascii="Times New Roman;sans-serif" w:hAnsi="Times New Roman;sans-serif"/>
                  <w:b w:val="false"/>
                  <w:strike w:val="false"/>
                  <w:dstrike w:val="false"/>
                  <w:color w:val="000000"/>
                  <w:sz w:val="20"/>
                  <w:u w:val="none"/>
                  <w:effect w:val="none"/>
                </w:rPr>
                <w:t>Item 9C.</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3">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93">
              <w:r>
                <w:rPr>
                  <w:rStyle w:val="InternetLink"/>
                  <w:rFonts w:ascii="Times New Roman;sans-serif" w:hAnsi="Times New Roman;sans-serif"/>
                  <w:b w:val="false"/>
                  <w:strike w:val="false"/>
                  <w:dstrike w:val="false"/>
                  <w:color w:val="000000"/>
                  <w:sz w:val="20"/>
                  <w:u w:val="none"/>
                  <w:effect w:val="none"/>
                </w:rPr>
                <w:t>123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6">
              <w:r>
                <w:rPr>
                  <w:rStyle w:val="InternetLink"/>
                  <w:rFonts w:ascii="Times New Roman;sans-serif" w:hAnsi="Times New Roman;sans-serif"/>
                  <w:b/>
                  <w:strike w:val="false"/>
                  <w:dstrike w:val="false"/>
                  <w:color w:val="000000"/>
                  <w:sz w:val="20"/>
                  <w:u w:val="none"/>
                  <w:effect w:val="none"/>
                </w:rPr>
                <w:t>PART III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9">
              <w:r>
                <w:rPr>
                  <w:rStyle w:val="InternetLink"/>
                  <w:rFonts w:ascii="Times New Roman;sans-serif" w:hAnsi="Times New Roman;sans-serif"/>
                  <w:b w:val="false"/>
                  <w:strike w:val="false"/>
                  <w:dstrike w:val="false"/>
                  <w:color w:val="000000"/>
                  <w:sz w:val="20"/>
                  <w:u w:val="none"/>
                  <w:effect w:val="none"/>
                </w:rPr>
                <w:t>Item 10.</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99">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199">
              <w:r>
                <w:rPr>
                  <w:rStyle w:val="InternetLink"/>
                  <w:rFonts w:ascii="Times New Roman;sans-serif" w:hAnsi="Times New Roman;sans-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2">
              <w:r>
                <w:rPr>
                  <w:rStyle w:val="InternetLink"/>
                  <w:rFonts w:ascii="Times New Roman;sans-serif" w:hAnsi="Times New Roman;sans-serif"/>
                  <w:b w:val="false"/>
                  <w:strike w:val="false"/>
                  <w:dstrike w:val="false"/>
                  <w:color w:val="000000"/>
                  <w:sz w:val="20"/>
                  <w:u w:val="none"/>
                  <w:effect w:val="none"/>
                </w:rPr>
                <w:t>Item 11.</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2">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02">
              <w:r>
                <w:rPr>
                  <w:rStyle w:val="InternetLink"/>
                  <w:rFonts w:ascii="Times New Roman;sans-serif" w:hAnsi="Times New Roman;sans-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5">
              <w:r>
                <w:rPr>
                  <w:rStyle w:val="InternetLink"/>
                  <w:rFonts w:ascii="Times New Roman;sans-serif" w:hAnsi="Times New Roman;sans-serif"/>
                  <w:b w:val="false"/>
                  <w:strike w:val="false"/>
                  <w:dstrike w:val="false"/>
                  <w:color w:val="000000"/>
                  <w:sz w:val="20"/>
                  <w:u w:val="none"/>
                  <w:effect w:val="none"/>
                </w:rPr>
                <w:t>Item 12.</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05">
              <w:r>
                <w:rPr>
                  <w:rStyle w:val="InternetLink"/>
                  <w:rFonts w:ascii="Times New Roman;sans-serif" w:hAnsi="Times New Roman;sans-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8">
              <w:r>
                <w:rPr>
                  <w:rStyle w:val="InternetLink"/>
                  <w:rFonts w:ascii="Times New Roman;sans-serif" w:hAnsi="Times New Roman;sans-serif"/>
                  <w:b w:val="false"/>
                  <w:strike w:val="false"/>
                  <w:dstrike w:val="false"/>
                  <w:color w:val="000000"/>
                  <w:sz w:val="20"/>
                  <w:u w:val="none"/>
                  <w:effect w:val="none"/>
                </w:rPr>
                <w:t>Item 13.</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0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08">
              <w:r>
                <w:rPr>
                  <w:rStyle w:val="InternetLink"/>
                  <w:rFonts w:ascii="Times New Roman;sans-serif" w:hAnsi="Times New Roman;sans-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11">
              <w:r>
                <w:rPr>
                  <w:rStyle w:val="InternetLink"/>
                  <w:rFonts w:ascii="Times New Roman;sans-serif" w:hAnsi="Times New Roman;sans-serif"/>
                  <w:b w:val="false"/>
                  <w:strike w:val="false"/>
                  <w:dstrike w:val="false"/>
                  <w:color w:val="000000"/>
                  <w:sz w:val="20"/>
                  <w:u w:val="none"/>
                  <w:effect w:val="none"/>
                </w:rPr>
                <w:t>Item 14.</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11">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11">
              <w:r>
                <w:rPr>
                  <w:rStyle w:val="InternetLink"/>
                  <w:rFonts w:ascii="Times New Roman;sans-serif" w:hAnsi="Times New Roman;sans-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14">
              <w:r>
                <w:rPr>
                  <w:rStyle w:val="InternetLink"/>
                  <w:rFonts w:ascii="Times New Roman;sans-serif" w:hAnsi="Times New Roman;sans-serif"/>
                  <w:b/>
                  <w:strike w:val="false"/>
                  <w:dstrike w:val="false"/>
                  <w:color w:val="000000"/>
                  <w:sz w:val="20"/>
                  <w:u w:val="none"/>
                  <w:effect w:val="none"/>
                </w:rPr>
                <w:t>PART IV</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17">
              <w:r>
                <w:rPr>
                  <w:rStyle w:val="InternetLink"/>
                  <w:rFonts w:ascii="Times New Roman;sans-serif" w:hAnsi="Times New Roman;sans-serif"/>
                  <w:b w:val="false"/>
                  <w:strike w:val="false"/>
                  <w:dstrike w:val="false"/>
                  <w:color w:val="000000"/>
                  <w:sz w:val="20"/>
                  <w:u w:val="none"/>
                  <w:effect w:val="none"/>
                </w:rPr>
                <w:t>Item 15.</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17">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17">
              <w:r>
                <w:rPr>
                  <w:rStyle w:val="InternetLink"/>
                  <w:rFonts w:ascii="Times New Roman;sans-serif" w:hAnsi="Times New Roman;sans-serif"/>
                  <w:b w:val="false"/>
                  <w:strike w:val="false"/>
                  <w:dstrike w:val="false"/>
                  <w:color w:val="000000"/>
                  <w:sz w:val="20"/>
                  <w:u w:val="none"/>
                  <w:effect w:val="none"/>
                </w:rPr>
                <w:t>125</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0">
              <w:r>
                <w:rPr>
                  <w:rStyle w:val="InternetLink"/>
                  <w:rFonts w:ascii="Times New Roman;sans-serif" w:hAnsi="Times New Roman;sans-serif"/>
                  <w:b w:val="false"/>
                  <w:strike w:val="false"/>
                  <w:dstrike w:val="false"/>
                  <w:color w:val="000000"/>
                  <w:sz w:val="20"/>
                  <w:u w:val="none"/>
                  <w:effect w:val="none"/>
                </w:rPr>
                <w:t>Item 16.</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0">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20">
              <w:r>
                <w:rPr>
                  <w:rStyle w:val="InternetLink"/>
                  <w:rFonts w:ascii="Times New Roman;sans-serif" w:hAnsi="Times New Roman;sans-serif"/>
                  <w:b w:val="false"/>
                  <w:strike w:val="false"/>
                  <w:dstrike w:val="false"/>
                  <w:color w:val="000000"/>
                  <w:sz w:val="20"/>
                  <w:u w:val="none"/>
                  <w:effect w:val="none"/>
                </w:rPr>
                <w:t>127</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3">
              <w:r>
                <w:rPr>
                  <w:rStyle w:val="InternetLink"/>
                  <w:rFonts w:ascii="Times New Roman;sans-serif" w:hAnsi="Times New Roman;sans-serif"/>
                  <w:b w:val="false"/>
                  <w:color w:val="0000FF"/>
                  <w:sz w:val="20"/>
                  <w:u w:val="single"/>
                </w:rPr>
                <w:t>Signatures</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23">
              <w:r>
                <w:rPr>
                  <w:rStyle w:val="InternetLink"/>
                  <w:rFonts w:ascii="Times New Roman;sans-serif" w:hAnsi="Times New Roman;sans-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6">
              <w:r>
                <w:rPr>
                  <w:rStyle w:val="InternetLink"/>
                  <w:rFonts w:ascii="Times New Roman;sans-serif" w:hAnsi="Times New Roman;sans-serif"/>
                  <w:b w:val="false"/>
                  <w:color w:val="0000FF"/>
                  <w:sz w:val="20"/>
                  <w:u w:val="single"/>
                </w:rPr>
                <w:t>Power of Attorney</w:t>
              </w:r>
            </w:hyperlink>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a57cef937b476db801a23d14542c1d_226">
              <w:r>
                <w:rPr>
                  <w:rStyle w:val="InternetLink"/>
                  <w:rFonts w:ascii="Times New Roman;sans-serif" w:hAnsi="Times New Roman;sans-serif"/>
                  <w:b w:val="false"/>
                  <w:strike w:val="false"/>
                  <w:dstrike w:val="false"/>
                  <w:color w:val="000000"/>
                  <w:sz w:val="20"/>
                  <w:u w:val="none"/>
                  <w:effect w:val="none"/>
                </w:rPr>
                <w:t>129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“would,” “become,” “forecast,” or the negative of these words or other similar terms or expressions.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the section titled “Risk Factors” and elsewhere in this Annual Report on Form 10-K, regarding, among other things: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expected future growth;</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size and growth potential of the markets for our products, and our ability to serve those markets;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accurately forecast demand for our products;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general economic and market conditions, including as a result of infectious disease outbreaks, seasonal demands, regulatory matters, economic recessions or slowdowns, the ongoing war in Ukraine, conflict in the Middle East and the general inflationary environment;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rate and degree of market acceptance of our products;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expected future growth of our sales and marketing organization;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performance of, and our reliance on, third parties in connection with the commercialization of our products, including single-source suppliers and, in some cases, sole source suppliers;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accurately forecast and manufacture appropriate quantities of our products to meet commercial demand;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integrate the businesses we acquire and to achieve and recognize the anticipated benefits of the transaction;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regulatory developments in the United States and foreign countries;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retain regulatory approval for our products or obtain regulatory approval for new products in the United States and in any foreign countries in which we make seek to do business;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research and development for existing products and any future products;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development, regulatory approval and commercialization of competing products;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retain and hire senior management and key personnel;</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develop and maintain our corporate infrastructure, including our ability to remediate our existing material weaknesses and to design and maintain an effective system of internal controls;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financial performance and capital requirements;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expectations regarding our ability to obtain and maintain intellectual property protection for our products, as well as our ability to operate our business without infringing the intellectual property rights of others.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are not exhaustive. Other sections of this Annual Report on Form 10-K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on Form 10-K to reflect events or circumstances after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Annual Report on Form 10-K, the terms “Company,” “Cytek,” “Registrant,” “we,” “us” and “our” refer to Cytek Biosciences, Inc., a Delaware corporation, and its direct and indirect subsidiaries, taken as a whole.</w:t>
      </w:r>
    </w:p>
    <w:p>
      <w:pPr>
        <w:pStyle w:val="TextBody"/>
        <w:bidi w:val="0"/>
        <w:spacing w:lineRule="auto" w:line="288" w:before="120" w:after="283"/>
        <w:ind w:left="0" w:right="0" w:firstLine="540"/>
        <w:jc w:val="both"/>
        <w:rPr/>
      </w:pPr>
      <w:r>
        <w:rPr>
          <w:color w:val="000000"/>
        </w:rPr>
        <w:t>“</w:t>
      </w:r>
      <w:r>
        <w:rPr>
          <w:rFonts w:ascii="Times New Roman;sans-serif" w:hAnsi="Times New Roman;sans-serif"/>
          <w:b w:val="false"/>
          <w:color w:val="000000"/>
          <w:sz w:val="20"/>
        </w:rPr>
        <w:t>Cytek,” “Cytek Aurora,” “Northern Lights,” “NL-CLC,” “Cytek Orion,” “Amnis,” “Guava,” “ImageStream,” “Muse,” “easyCyte,” “Tonbo,” “cFluor,” “SpectroFlo,” “SpectroPanel,” “SpectroPrep,” “InCyte,” “GuavaLink,” “IDEAS,” “Similarity,” “Complexity,” “FSP,” “Full Spectrum Profiling,” “ESP,” “Enhanced Small Particle” and “DxP Athena” are trademarks of the Company.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 Solely for convenience, the trademarks and trade names referred to in this Annual Report on Form 10-K may appear without the</w:t>
      </w:r>
      <w:r>
        <w:rPr>
          <w:color w:val="000000"/>
        </w:rPr>
        <w:t xml:space="preserve"> </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t>
      </w:r>
      <w:r>
        <w:rPr>
          <w:color w:val="000000"/>
        </w:rPr>
        <w:t xml:space="preserve">™ </w:t>
      </w:r>
      <w:r>
        <w:rPr>
          <w:rFonts w:ascii="Times New Roman;sans-serif" w:hAnsi="Times New Roman;sans-serif"/>
          <w:b w:val="false"/>
          <w:color w:val="000000"/>
          <w:sz w:val="20"/>
        </w:rPr>
        <w:t>symbols, but those references are not intended to indicate, in any way, that we will not assert, to the fullest extent under applicable law, our rights, or the right of the applicable licensor to these trademarks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w:t>
      </w:r>
      <w:r>
        <w:rPr>
          <w:color w:val="000000"/>
        </w:rPr>
        <w:t xml:space="preserve"> </w:t>
      </w:r>
      <w:r>
        <w:rPr>
          <w:rFonts w:ascii="Times New Roman;sans-serif" w:hAnsi="Times New Roman;sans-serif"/>
          <w:b w:val="false"/>
          <w:color w:val="000000"/>
          <w:sz w:val="20"/>
        </w:rPr>
        <w:t>Our goal is to become the premier cell analysis company through continued innovation that facilitates scientific advances in biomedical research and clinical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Biological systems are highly complex, and scientists are challenged by the multitude of questions that remain unanswered. Analysis at the single-cell level is essential to understand these complex systems. Identifying the correct cell in the context of a given biological question can have profound implications for drug development and health care decisions. It is essential to correlate information derived from multiple cell analysis approaches and to translate what is known at the gene level to the actual cell function. As a result, there is growing demand for deep content through high dimensional cell analysis and for solutions that can provide a complete picture of cellular biological processes and interactions. To achieve this, scientists need to phenotype and isolate rare events or unique populations down to the single-cell level through highly resolvable multi-dimensional cell analysis. While flow cytometry is a widely used tool for single cell analysis, conventional flow cytometry, mass cytometry and early approaches to spectral flow cytometry technologies have historically been challenged due to limited dimensionality, sub-optimal resolution, low throughput, high cost for performance and/or significant technical expertise required to operate systems.</w:t>
      </w:r>
    </w:p>
    <w:p>
      <w:pPr>
        <w:pStyle w:val="TextBody"/>
        <w:bidi w:val="0"/>
        <w:spacing w:lineRule="auto" w:line="288" w:before="120" w:after="283"/>
        <w:jc w:val="both"/>
        <w:rPr/>
      </w:pPr>
      <w:r>
        <w:rPr>
          <w:rFonts w:ascii="Times New Roman;sans-serif" w:hAnsi="Times New Roman;sans-serif"/>
          <w:b/>
          <w:color w:val="000000"/>
          <w:sz w:val="20"/>
        </w:rPr>
        <w:t>Full Spectrum Profiling™ (FSP</w:t>
      </w:r>
      <w:r>
        <w:rPr>
          <w:rFonts w:ascii="Times New Roman;sans-serif" w:hAnsi="Times New Roman;sans-serif"/>
          <w:b w:val="false"/>
          <w:color w:val="000000"/>
          <w:sz w:val="13"/>
        </w:rPr>
        <w:t>®</w:t>
      </w:r>
      <w:r>
        <w:rPr>
          <w:rFonts w:ascii="Times New Roman;sans-serif" w:hAnsi="Times New Roman;sans-serif"/>
          <w:b/>
          <w:color w:val="000000"/>
          <w:sz w:val="20"/>
        </w:rPr>
        <w:t xml:space="preserve">) Technology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patented FSP technology optimizes sensitivity and accuracy through its unique optical and electronic designs that utilize an innovative method of light detection and distribution to a specifically selected number and type of detectors. This patented optics design enables researchers to effectively collect the full range of light emissions in an extremely compact space, resulting in higher resolution and enabling the development of highly complex assays with </w:t>
      </w:r>
      <w:r>
        <w:rPr>
          <w:rFonts w:ascii="Times New Roman;sans-serif" w:hAnsi="Times New Roman;sans-serif"/>
          <w:b w:val="false"/>
          <w:color w:val="000000"/>
          <w:sz w:val="20"/>
          <w:shd w:fill="FFFFFF" w:val="clear"/>
        </w:rPr>
        <w:t>50 different colors (individual fluorochromes), supporting 50 biomarkers within just a single tube.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Our FSP cell analyzers, the Cytek Aurora™ and Northern Lights™ systems, deliver high-resolution, high-content and high-sensitivity cell analysis and address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by enabling the same number of parameters with the same sensitivity as the Cytek Aurora cell analyzer system. Each system is supported by our highly intuitive, proprietary embedded SpectroFlo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software, our reagents, and our service offerings to provide a comprehensive, end-to-end platform of solutions for our customers.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Since our first U.S. commercial launch in mid-2017 through December 31, 2024, we have sold and deployed our instruments to customers around the world, including pharmaceutical companies, biopharma companies, academic research centers, and clinical research organizations (“CROs”). Our solutions have enabled researchers to make significant scientific advances in key areas of medical discovery (such as oncology, immunology and infectious diseases) in addition to empowering improved downstream cell analysis with complementary cell analysis technologies (such as next-generation sequencing (“NGS”)). We believe that our innovative FSP and targeted cell isolation technology has the potential to accelerate scientific discovery and have a profound impact on the understanding of cell biology, immunotherapy, and targeted therapeutic approaches (personalized medicine). Further, there has been a meaningful increase in the number of publications generated to showcase our technology, with more than </w:t>
      </w:r>
      <w:r>
        <w:rPr>
          <w:rFonts w:ascii="Times New Roman;sans-serif" w:hAnsi="Times New Roman;sans-serif"/>
          <w:b w:val="false"/>
          <w:color w:val="000000"/>
          <w:sz w:val="20"/>
          <w:shd w:fill="FFFFFF" w:val="clear"/>
        </w:rPr>
        <w:t>2,300</w:t>
      </w:r>
      <w:r>
        <w:rPr>
          <w:color w:val="000000"/>
        </w:rPr>
        <w:t xml:space="preserve"> </w:t>
      </w:r>
      <w:r>
        <w:rPr>
          <w:rFonts w:ascii="Times New Roman;sans-serif" w:hAnsi="Times New Roman;sans-serif"/>
          <w:b w:val="false"/>
          <w:color w:val="000000"/>
          <w:sz w:val="20"/>
        </w:rPr>
        <w:t>peer-reviewed articles published since our first commercial launch in 2017, including many prominent journals, across a wide range of applications including oncology, infectious diseases, immunology, immunotherapy and immuno-oncology.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FSP platform was purpose-built to advance the next generation of cell analysis by delivering deep insights, high-throughputs and ease-of-use. Our FSP platform is designed to offer the following key benefits: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Ultra-sensitive: </w:t>
      </w:r>
      <w:r>
        <w:rPr>
          <w:rFonts w:ascii="Times New Roman;sans-serif" w:hAnsi="Times New Roman;sans-serif"/>
          <w:b w:val="false"/>
          <w:color w:val="000000"/>
          <w:sz w:val="20"/>
        </w:rPr>
        <w:t>resolve the most challenging cell populations (such as cells with high autofluorescence or low levels of expression of key biomarkers) by providing high-resolution data at the single-cell level with an optimized signal-to-noise ratio.</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Deep, high integrity content:</w:t>
      </w:r>
      <w:r>
        <w:rPr>
          <w:color w:val="000000"/>
        </w:rPr>
        <w:t xml:space="preserve"> </w:t>
      </w:r>
      <w:r>
        <w:rPr>
          <w:rFonts w:ascii="Times New Roman;sans-serif" w:hAnsi="Times New Roman;sans-serif"/>
          <w:b w:val="false"/>
          <w:color w:val="000000"/>
          <w:sz w:val="20"/>
        </w:rPr>
        <w:t>allow development of highly complex assays through access to</w:t>
      </w:r>
      <w:r>
        <w:rPr>
          <w:color w:val="000000"/>
          <w:shd w:fill="FFFFFF" w:val="clear"/>
        </w:rPr>
        <w:t xml:space="preserve"> </w:t>
      </w:r>
      <w:r>
        <w:rPr>
          <w:rFonts w:ascii="Times New Roman;sans-serif" w:hAnsi="Times New Roman;sans-serif"/>
          <w:b w:val="false"/>
          <w:color w:val="000000"/>
          <w:sz w:val="20"/>
          <w:shd w:fill="FFFFFF" w:val="clear"/>
        </w:rPr>
        <w:t>50 different colors and, thus, supporting 50 biomarkers in a single tube without sacrificing precision and throughput to gain a deeper understanding of biological systems and arrive at faster and more accurate diagnoses in clinica</w:t>
      </w:r>
      <w:r>
        <w:rPr>
          <w:rFonts w:ascii="Times New Roman;sans-serif" w:hAnsi="Times New Roman;sans-serif"/>
          <w:b w:val="false"/>
          <w:color w:val="000000"/>
          <w:sz w:val="20"/>
        </w:rPr>
        <w:t>l settings.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Flexible and compatible: </w:t>
      </w:r>
      <w:r>
        <w:rPr>
          <w:rFonts w:ascii="Times New Roman;sans-serif" w:hAnsi="Times New Roman;sans-serif"/>
          <w:b w:val="false"/>
          <w:color w:val="000000"/>
          <w:sz w:val="20"/>
        </w:rPr>
        <w:t>enable a single configuration across a wide range of reagents and applications, full backwards compatibility across panels, and greater leverage for downstream analysis with complementary technologies, including NGS.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Efficient and compact: </w:t>
      </w:r>
      <w:r>
        <w:rPr>
          <w:rFonts w:ascii="Times New Roman;sans-serif" w:hAnsi="Times New Roman;sans-serif"/>
          <w:b w:val="false"/>
          <w:color w:val="000000"/>
          <w:sz w:val="20"/>
        </w:rPr>
        <w:t>improve costs and save time while maintaining industry-leading performance and efficient workflows that limit consumables usage and reduce labor costs—all within a highly compact footprint minimizing space requirements for laboratories.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Integrated and intuitive: </w:t>
      </w:r>
      <w:r>
        <w:rPr>
          <w:rFonts w:ascii="Times New Roman;sans-serif" w:hAnsi="Times New Roman;sans-serif"/>
          <w:b w:val="false"/>
          <w:color w:val="000000"/>
          <w:sz w:val="20"/>
        </w:rPr>
        <w:t>provide fully integrated workflows through a suite of solutions that include instruments, accessories, reagents and kits, software and services. Our proprietary tools and the intuitive functionality of our proprietary SpectroFlo software coupled with a user-friendly interface allow for enhanced ease-of-use and minimal operator training.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Flow Cytometry and Imaging (FCI) Business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February 28, 2023, we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sans-serif" w:hAnsi="Times New Roman;sans-serif"/>
          <w:b w:val="false"/>
          <w:color w:val="000000"/>
          <w:sz w:val="13"/>
        </w:rPr>
        <w:t>®</w:t>
      </w:r>
      <w:r>
        <w:rPr>
          <w:rFonts w:ascii="Times New Roman;sans-serif" w:hAnsi="Times New Roman;sans-serif"/>
          <w:b w:val="false"/>
          <w:color w:val="000000"/>
          <w:sz w:val="20"/>
        </w:rPr>
        <w:t>- and Guava</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Amnis instruments and applications are important tools in the investigation of cell morphology, intracellular translocation and cell-cell interaction in a variety of research areas, including immunology, neurobiology, stem cell research and cell biology. The addition of Guava flow cytometers expands our core instrument offerings, adding cost-effective, entry-level and personal instrument options with microcapillary-based fluidics for cell analysis. The Guava microcapillary-based flow cytometers are mainly adopted by entry to mid-range flow cytometry users who are looking for easy-to-use and cost-effective solutions for applications, such as cell counting, cell biology and lower-plex immunophenotyping. The FCI Acquisition supports our plan to develop new products and capabilities with flow cytometry and imaging technology, expand our reach and offerings into customer segments previously underserved, and increase the efficiency of our operations</w:t>
      </w:r>
      <w:r>
        <w:rPr>
          <w:rFonts w:ascii="Times New Roman;sans-serif" w:hAnsi="Times New Roman;sans-serif"/>
          <w:b w:val="false"/>
          <w:color w:val="231F20"/>
          <w:sz w:val="20"/>
        </w:rPr>
        <w: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We aim to transform the cell analysis market by continuing to build upon our success as a leading platform of innovative solutions by leveraging our key competitive strengths, which include: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novel, patented FSP platform delivers high-resolution, high-content and high-sensitivity cell analysis by utilizing the full spectrum of fluorescent signatures.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solutions address many of our customers’ unmet needs.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complete offering is available across a range of price points while consistently delivering high performance.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diversified customer base and breadth of relationships and scientific validation.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global scale and reach.</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believe the combination of our people and our global reach will enable us to continue to execute our growth strategies, stay ahead of competition and remain at the forefront of innovation in cell analysis. Our leadership team has extensive track records in the life sciences and technology sectors. As of December 31, 2024, </w:t>
      </w:r>
      <w:r>
        <w:rPr>
          <w:rFonts w:ascii="Times New Roman;sans-serif" w:hAnsi="Times New Roman;sans-serif"/>
          <w:b w:val="false"/>
          <w:color w:val="000000"/>
          <w:sz w:val="20"/>
          <w:shd w:fill="FFFFFF" w:val="clear"/>
        </w:rPr>
        <w:t xml:space="preserve">our multidisciplinary group of over </w:t>
      </w:r>
      <w:r>
        <w:rPr>
          <w:rFonts w:ascii="Times New Roman;sans-serif" w:hAnsi="Times New Roman;sans-serif"/>
          <w:b w:val="false"/>
          <w:color w:val="000000"/>
          <w:sz w:val="20"/>
        </w:rPr>
        <w:t>648</w:t>
      </w:r>
      <w:r>
        <w:rPr>
          <w:color w:val="000000"/>
          <w:shd w:fill="FFFFFF" w:val="clear"/>
        </w:rPr>
        <w:t xml:space="preserve"> </w:t>
      </w:r>
      <w:r>
        <w:rPr>
          <w:rFonts w:ascii="Times New Roman;sans-serif" w:hAnsi="Times New Roman;sans-serif"/>
          <w:b w:val="false"/>
          <w:color w:val="000000"/>
          <w:sz w:val="20"/>
          <w:shd w:fill="FFFFFF" w:val="clear"/>
        </w:rPr>
        <w:t>employees includes employees with expertise across optics, electronics, fluidics, computer sciences, chemistry, biology, and medical sciences. Our worldwide commercial team of 244 employees and our research and development team of 164 employees have significant expertise, industry experience and collaborative relationships with key opinion leaders (“KOLs”), industry leaders, innovators and potential customers.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have a long history of providing high-quality and efficient customer service and our product development efforts reflect our deep understanding of our customers’ needs. One of our key differentiators is our customer-facing technical team, which collaborates closely with our customers to identify and find solutions for unmet needs across the market. We also collaborate closely with KOLs, generating relevant data and publications to demonstrate not only the feasibility, but also the quality of our approach. We plan to continue executing on our growth strategy by driving adoption of our solutions, inspiring innovation, investing in integrated workflow solutions, and driving application development and adoption in clinical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believe our financial results reflect the continued market demand for our product offerings and adoption of our FSP technology: our strong financial profile is differentiated by the combination of our scaled revenue base, revenue growth and cash balance. Our revenue for fiscal years 2024, 2023 and 2022 was </w:t>
      </w:r>
      <w:r>
        <w:rPr>
          <w:rFonts w:ascii="Times New Roman;sans-serif" w:hAnsi="Times New Roman;sans-serif"/>
          <w:b w:val="false"/>
          <w:color w:val="000000"/>
          <w:sz w:val="20"/>
          <w:shd w:fill="FFFFFF" w:val="clear"/>
        </w:rPr>
        <w:t>$200.5</w:t>
      </w:r>
      <w:r>
        <w:rPr>
          <w:color w:val="000000"/>
        </w:rPr>
        <w:t xml:space="preserve"> </w:t>
      </w:r>
      <w:r>
        <w:rPr>
          <w:rFonts w:ascii="Times New Roman;sans-serif" w:hAnsi="Times New Roman;sans-serif"/>
          <w:b w:val="false"/>
          <w:color w:val="000000"/>
          <w:sz w:val="20"/>
        </w:rPr>
        <w:t xml:space="preserve">million, $193.0 million, and $164.0 million, respectively. We generated net losses of </w:t>
      </w:r>
      <w:r>
        <w:rPr>
          <w:rFonts w:ascii="Times New Roman;sans-serif" w:hAnsi="Times New Roman;sans-serif"/>
          <w:b w:val="false"/>
          <w:color w:val="000000"/>
          <w:sz w:val="20"/>
          <w:shd w:fill="FFFFFF" w:val="clear"/>
        </w:rPr>
        <w:t>$6.0</w:t>
      </w:r>
      <w:r>
        <w:rPr>
          <w:color w:val="000000"/>
        </w:rPr>
        <w:t xml:space="preserve"> </w:t>
      </w:r>
      <w:r>
        <w:rPr>
          <w:rFonts w:ascii="Times New Roman;sans-serif" w:hAnsi="Times New Roman;sans-serif"/>
          <w:b w:val="false"/>
          <w:color w:val="000000"/>
          <w:sz w:val="20"/>
        </w:rPr>
        <w:t>million and $12.1</w:t>
      </w:r>
      <w:r>
        <w:rPr>
          <w:color w:val="000000"/>
          <w:shd w:fill="FFFFFF" w:val="clear"/>
        </w:rPr>
        <w:t xml:space="preserve"> </w:t>
      </w:r>
      <w:r>
        <w:rPr>
          <w:rFonts w:ascii="Times New Roman;sans-serif" w:hAnsi="Times New Roman;sans-serif"/>
          <w:b w:val="false"/>
          <w:color w:val="000000"/>
          <w:sz w:val="20"/>
        </w:rPr>
        <w:t>for fiscal years 2024 and 2023, respectively, and net income of $2.5 million for fiscal year 2022. Our cash and cash equivalents, restricted cash and short term investments were $277.9 million, $262.7 million and $344.05 million on December 31, 2024, 2023 and 2022, respectively.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includes the following core elements: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Accelerate adoption of our solutions. </w:t>
      </w:r>
      <w:r>
        <w:rPr>
          <w:rFonts w:ascii="Times New Roman;sans-serif" w:hAnsi="Times New Roman;sans-serif"/>
          <w:b w:val="false"/>
          <w:color w:val="000000"/>
          <w:sz w:val="20"/>
        </w:rPr>
        <w:t>To continue driving adoption of our solutions and to support our leading global brand, we intend to maximize the effectiveness of our sales infrastructure, including our sales representatives, technical applications specialists and customer support staff, in addition to increasing marketing efforts. This investment will also support our entry into new markets as we roll out new solutions and applications and appropriately manage inbound interest from new customers.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Continue to innovate and offer our customers best-in-class solutions. </w:t>
      </w:r>
      <w:r>
        <w:rPr>
          <w:rFonts w:ascii="Times New Roman;sans-serif" w:hAnsi="Times New Roman;sans-serif"/>
          <w:b w:val="false"/>
          <w:color w:val="000000"/>
          <w:sz w:val="20"/>
        </w:rPr>
        <w:t xml:space="preserve">Our development efforts focus on value-additive features and enhancements to meet the growing needs of the cell analysis market. These efforts drive continued innovation across our proprietary reagents, software and services offerings, in addition to new instrumentation releases, such as the Aurora CS system, the </w:t>
      </w:r>
      <w:r>
        <w:rPr>
          <w:rFonts w:ascii="Times New Roman;sans-serif" w:hAnsi="Times New Roman;sans-serif"/>
          <w:b w:val="false"/>
          <w:color w:val="231F20"/>
          <w:sz w:val="20"/>
        </w:rPr>
        <w:t xml:space="preserve">Cytek Orion™ reagent cocktail preparation system and </w:t>
      </w:r>
      <w:r>
        <w:rPr>
          <w:rFonts w:ascii="Times New Roman;sans-serif" w:hAnsi="Times New Roman;sans-serif"/>
          <w:b w:val="false"/>
          <w:color w:val="000000"/>
          <w:sz w:val="20"/>
        </w:rPr>
        <w:t xml:space="preserve">the </w:t>
      </w:r>
      <w:r>
        <w:rPr>
          <w:rFonts w:ascii="Times New Roman;sans-serif" w:hAnsi="Times New Roman;sans-serif"/>
          <w:b w:val="false"/>
          <w:color w:val="231F20"/>
          <w:sz w:val="20"/>
        </w:rPr>
        <w:t>Enhanced Small Particle™ (ESP™) detection option for our Cytek Aurora, Northern Lights and Aurora CS systems</w:t>
      </w:r>
      <w:r>
        <w:rPr>
          <w:rFonts w:ascii="Times New Roman;sans-serif" w:hAnsi="Times New Roman;sans-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Invest in integrated workflow solutions to drive pull-through from our consumables and services. </w:t>
      </w:r>
      <w:r>
        <w:rPr>
          <w:rFonts w:ascii="Times New Roman;sans-serif" w:hAnsi="Times New Roman;sans-serif"/>
          <w:b w:val="false"/>
          <w:color w:val="000000"/>
          <w:sz w:val="20"/>
        </w:rPr>
        <w:t>Our overarching goal is to become a comprehensive solutions provider to our customers by delivering a fully integrated offering of instruments, accessories, consumables, software and services. We are also focused on expanding our bioinformatics offerings to support our customers, such as Cytek Cloud, a digital ecosystem that supports full spectrum flow cytometry research from panel design to data acquisition. As we continue to penetrate our addressable markets, we can leverage our growing installed base to drive consumable pull-through and recurring revenue.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i/>
          <w:color w:val="000000"/>
          <w:sz w:val="20"/>
        </w:rPr>
        <w:t xml:space="preserve">Drive clinical research application development. </w:t>
      </w:r>
      <w:r>
        <w:rPr>
          <w:rFonts w:ascii="Times New Roman;sans-serif" w:hAnsi="Times New Roman;sans-serif"/>
          <w:b w:val="false"/>
          <w:color w:val="000000"/>
          <w:sz w:val="20"/>
        </w:rPr>
        <w:t xml:space="preserve">We are deeply committed to developing our platform’s clinical research applications, and in particular, within disease detection, diagnosis, and treatment monitoring. We also focus on areas where we can leverage the combination of our platform with complementary cell analysis technologies (such as NGS) to produce differentiated outcomes with greater sensitivity, such as with </w:t>
      </w:r>
      <w:r>
        <w:rPr>
          <w:rFonts w:ascii="Times New Roman;sans-serif" w:hAnsi="Times New Roman;sans-serif"/>
          <w:b w:val="false"/>
          <w:color w:val="231F20"/>
          <w:sz w:val="20"/>
        </w:rPr>
        <w:t>minimal residual disease (“MRD”) testing</w:t>
      </w:r>
      <w:r>
        <w:rPr>
          <w:rFonts w:ascii="Times New Roman;sans-serif" w:hAnsi="Times New Roman;sans-serif"/>
          <w:b w:val="false"/>
          <w:color w:val="000000"/>
          <w:sz w:val="20"/>
        </w:rPr>
        <w:t xml:space="preserve">. We can provide insights to clinicians to facilitate personalized medicine for patients, as well as facilitate biopharma’s research and development efforts to develop the next-generation of targeted therapies. Our Northern Lights-CLC </w:t>
      </w:r>
      <w:r>
        <w:rPr>
          <w:rFonts w:ascii="Times New Roman;sans-serif" w:hAnsi="Times New Roman;sans-serif"/>
          <w:b w:val="false"/>
          <w:color w:val="231F20"/>
          <w:sz w:val="20"/>
        </w:rPr>
        <w:t>(NL-CLC</w:t>
      </w:r>
      <w:r>
        <w:rPr>
          <w:color w:val="231F20"/>
        </w:rPr>
        <w:t>™</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system has been registered or approved for clinical use in the European Union and China, and we plan to continue generating supporting publications and data, as well as pursue any required regulatory approvals for clinical use in the United States.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Market Opportunity and Industry Background</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Our market opportunity. </w:t>
      </w:r>
      <w:r>
        <w:rPr>
          <w:rFonts w:ascii="Times New Roman;sans-serif" w:hAnsi="Times New Roman;sans-serif"/>
          <w:b w:val="false"/>
          <w:color w:val="000000"/>
          <w:sz w:val="20"/>
        </w:rPr>
        <w:t>Within the life sciences technology market, flow cytometry technologies currently provide solutions, including cell proliferation, cell counting, cell identification, cell quality control and single-cell applications, largely within the global cell analysis market. However, we believe that, driven by enhanced capabilities, our products have the potential to capture an increasingly greater share of the total addressable market by accessing the entire cell analysis market.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clinical research applications within immunotherapy, immuno-oncology, bioprocessing, infectious diseases and immuno-deficiencies. In addition, the combination of our platform with complementary, downstream cell analysis technologies is expected to provide additional areas for new applications, such as MRD testing. As our products are further validated through continued peer-reviewed publications in new applications, we expect our total addressable market to expand.</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Complementary technologies to FSP and multi-omics applications. </w:t>
      </w:r>
      <w:r>
        <w:rPr>
          <w:rFonts w:ascii="Times New Roman;sans-serif" w:hAnsi="Times New Roman;sans-serif"/>
          <w:b w:val="false"/>
          <w:color w:val="000000"/>
          <w:sz w:val="20"/>
        </w:rPr>
        <w:t xml:space="preserve">Since our FSP platform provides highly complex data down to single-cell resolution at a rapid speed, it is inherently well-suited to drive more targeted and efficient downstream analyses for other single-cell technologies, such as NGS, single-cell capture and sample preparation, high-resolution microscopy (such as mass imaging cytometry, super resolution microscopy, confocal microscopy and high-throughput screening platforms), and micro and optofluidic systems. FSP technology is highly complementary to single-cell genomics applications utilizing NGS as it can be used earlier in workflows to rapidly phenotype and isolate living cell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populations to the single-cell level with highly multiplexed proteomic data. These cells can then be transferred from our instrument into NGS systems to correlate proteomic and genomic expression, which in turn enables researchers to develop novel drug targets for therapeutics and clinicians to drive outcomes for patients through more informed treatment decision-making.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Importance of cell analysis at the single-cell level. </w:t>
      </w:r>
      <w:r>
        <w:rPr>
          <w:rFonts w:ascii="Times New Roman;sans-serif" w:hAnsi="Times New Roman;sans-serif"/>
          <w:b w:val="false"/>
          <w:color w:val="000000"/>
          <w:sz w:val="20"/>
        </w:rPr>
        <w:t>Due to the heterogeneity within tissues, understanding cellular biology, particularly at the single-cell level, is necessary to unravel mechanisms that might otherwise not be detectable in bulk assays. Deep cellular analysis is a key application that we expect to enable a new age of healthcare delivery, and in particular, personalized medicine. The global healthcare market requires advanced cell analysis technologies to research therapeutic and diagnostic solutions to address emerging and chronic infectious diseases, an aging population with a myriad of chronic diseases, and the need for more effective and targeted therapeutics. These primary market forces, among others, will drive the direction for cell analysis applications that provide new possibilities for novel drug development and improved patient outcomes through enhanced disease detection, diagnosis, and treatment monitoring.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cell analysis solutions provider that develops compact, cost-effective instruments with high multiplexing capability, and we offer a wide range of services to support scientists and clinicians. Our products are used in the world’s most renowned pharmaceutical and CROs, as well as premier academic and research institutions.</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Cytek Aurora and Northern Lights Systems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Cytek Aurora and Northern Lights systems were commercially launched in June 2017 and October 2018, respectively. Both instruments are highly flexible, intuitive, and ultra-sensitive full spectrum flow cytometers, utilizing state-of-the-art optics and low-noise electronics to provide excellent sensitivity and resolution, allowing researchers to resolve rare cell populations that were previously challenging to resolve. The optics and electronics designs, combined with flat-top beam profiles and a unique vacuum fluidics system, translate to outstanding performance from low to high sample flow rate, analyzing up to 35,000 events per second with certain configurations. Additionally, our optical design and unmixing algorithm make the instrument amenable to a wide array of applications and fluorochrome options, all without needing to reconfigure the instrument hardware as would otherwise be required on a </w:t>
      </w:r>
      <w:r>
        <w:rPr>
          <w:rFonts w:ascii="Times New Roman;sans-serif" w:hAnsi="Times New Roman;sans-serif"/>
          <w:b w:val="false"/>
          <w:color w:val="231F20"/>
          <w:sz w:val="20"/>
        </w:rPr>
        <w:t>conventional flow cytometer. Our Cytek Aurora and Northern Lights systems are used in the study of infectious diseases, immunology, immunotherapy, immuno-oncology, oncology, inflammation, and drug discovery</w:t>
      </w:r>
      <w:r>
        <w:rPr>
          <w:rFonts w:ascii="Times New Roman;sans-serif" w:hAnsi="Times New Roman;sans-serif"/>
          <w:b w:val="false"/>
          <w:color w:val="000000"/>
          <w:sz w:val="20"/>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Cytek Aurora system is available with three to five lasers and can detect </w:t>
      </w:r>
      <w:r>
        <w:rPr>
          <w:rFonts w:ascii="Times New Roman;sans-serif" w:hAnsi="Times New Roman;sans-serif"/>
          <w:b w:val="false"/>
          <w:color w:val="000000"/>
          <w:sz w:val="20"/>
          <w:shd w:fill="FFFFFF" w:val="clear"/>
        </w:rPr>
        <w:t xml:space="preserve">50 biomarkers </w:t>
      </w:r>
      <w:r>
        <w:rPr>
          <w:rFonts w:ascii="Times New Roman;sans-serif" w:hAnsi="Times New Roman;sans-serif"/>
          <w:b w:val="false"/>
          <w:color w:val="000000"/>
          <w:sz w:val="20"/>
        </w:rPr>
        <w:t>in one sample tube. The Northern Lights system is available with one to three lasers and can detect more than 24 biomarkers in one sample tube. Both instruments are upgradeable based on the desired number of lasers, which drives greater or less access to biomarkers. In addition, both instruments incorporate our SpectroFlo software, which offers an intuitive workflow from quality control to sample acquisition to data analysis, with technology- enabling tools that simplify running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Northern Lights-CLC system was registered in the European Union in compliance with Regulation (EU) 2017/746 on In Vitro Diagnostic Medical Devices (the “IVDR”) in November 2023. This registration enables the Northern Lights-CLC system to be marketed for clinical use in the European Union and in other countries around the world that accept the Certification of Free Sale issued from an EU Competent Authority. The Northern Lights-CLC system is also registered as a Class II In Vitro Diagnostic Medical Device in China.</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Cytek Aurora CS System</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Key unraveling cellular complexity is the ability to perform additional downstream genomic and proteomic studies on the specific subsets identified using high dimensional phenotyping approaches. Our Aurora CS system was commercially launched in June 2021 and was the first highly flexible, intuitive and ultra-sensitive cell sorter that leverages the detection and sensitivity capabilities of our FSP technology to isolate living cell populations from lower to higher complexity panels beyond</w:t>
      </w:r>
      <w:r>
        <w:rPr>
          <w:color w:val="000000"/>
          <w:shd w:fill="FFFFFF" w:val="clear"/>
        </w:rPr>
        <w:t xml:space="preserve"> </w:t>
      </w:r>
      <w:r>
        <w:rPr>
          <w:rFonts w:ascii="Times New Roman;sans-serif" w:hAnsi="Times New Roman;sans-serif"/>
          <w:b w:val="false"/>
          <w:color w:val="000000"/>
          <w:sz w:val="20"/>
        </w:rPr>
        <w:t>40</w:t>
      </w:r>
      <w:r>
        <w:rPr>
          <w:color w:val="000000"/>
          <w:shd w:fill="FFFFFF" w:val="clear"/>
        </w:rPr>
        <w:t xml:space="preserve"> </w:t>
      </w:r>
      <w:r>
        <w:rPr>
          <w:rFonts w:ascii="Times New Roman;sans-serif" w:hAnsi="Times New Roman;sans-serif"/>
          <w:b w:val="false"/>
          <w:color w:val="000000"/>
          <w:sz w:val="20"/>
          <w:shd w:fill="FFFFFF" w:val="clear"/>
        </w:rPr>
        <w:t xml:space="preserve">biomarkers. Our FSP technology enables the processing of a tremendous amount of highly complex information to provide real-time unmixing and sorting capabilities at the field-programmable gate array level. The implications are significant in terms of flexibility and user experience, including experiment workflow transportability and assay reproducibility, now enabling a 50-biomarker </w:t>
      </w:r>
      <w:r>
        <w:rPr>
          <w:rFonts w:ascii="Times New Roman;sans-serif" w:hAnsi="Times New Roman;sans-serif"/>
          <w:b w:val="false"/>
          <w:color w:val="000000"/>
          <w:sz w:val="20"/>
        </w:rPr>
        <w:t>assay to be run in both the Cytek Aurora and the Aurora CS systems, with similar results. With our technology, users can first identify cell populations and then isolate the live cells for downstream studies, such as single-cell RNA sequencing, proteomics, and cell biology. We believe this new technology will enable users to gain a deeper level of cell classification, take advantage of key trends and scientific expansion, and allow for greater clinical research applications, such as with MRD, cell analysis and disease discovery.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Unlike other high-capacity sorters, we believe the Aurora CS system is the only cell sorter that can accommodate the same number of parameters with the same sensitivity as the Cytek Aurora system and isolate living cell populations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using the same panel and without having to alter the optical configuration, while also being able to sort panels designed for conventional analyzers.</w:t>
      </w:r>
    </w:p>
    <w:p>
      <w:pPr>
        <w:pStyle w:val="TextBody"/>
        <w:bidi w:val="0"/>
        <w:spacing w:lineRule="auto" w:line="288" w:before="120" w:after="283"/>
        <w:jc w:val="both"/>
        <w:rPr>
          <w:rFonts w:ascii="Times New Roman;sans-serif" w:hAnsi="Times New Roman;sans-serif"/>
          <w:b/>
          <w:color w:val="231F20"/>
          <w:sz w:val="20"/>
        </w:rPr>
      </w:pPr>
      <w:r>
        <w:rPr>
          <w:rFonts w:ascii="Times New Roman;sans-serif" w:hAnsi="Times New Roman;sans-serif"/>
          <w:b/>
          <w:color w:val="231F20"/>
          <w:sz w:val="20"/>
        </w:rPr>
        <w:t xml:space="preserve">Enhanced Small Particle (ESP) Detection Option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we launched our Enhanced Small Particle (ESP) Detection Option for our Cytek Aurora and Northern Lights systems to identify and analyze a variety of small particles, including extracellular vesicles (“EVs”), small bacteria, viruses and viral particles and nanoparticles. Typically, flow cytometers have been unable to detect particles smaller than 500 nm, limiting their use to the study of cells and larger particles. The ESP Detection Option expands the capabilities of small particle research on our Cytek Aurora and Northern Lights systems by enabling high resolution detection of label-free or fluorescent-tagged particles down to 70 nm, providing researchers the ability to characterize and determine the full emission spectra of small particles. In November 2024, the ESP Detection Option was launched for the Cytek Aurora CS system, positioning this instrument as the first commercially available cell sorter with the ability to analyze and sort EVs based on fluorescent-tagged markers or autofluorescence with high resolution, efficiency and sensitivity. </w:t>
      </w:r>
    </w:p>
    <w:p>
      <w:pPr>
        <w:pStyle w:val="TextBody"/>
        <w:bidi w:val="0"/>
        <w:spacing w:lineRule="auto" w:line="288" w:before="120" w:after="283"/>
        <w:jc w:val="both"/>
        <w:rPr/>
      </w:pPr>
      <w:r>
        <w:rPr>
          <w:rFonts w:ascii="Times New Roman;sans-serif" w:hAnsi="Times New Roman;sans-serif"/>
          <w:b/>
          <w:color w:val="231F20"/>
          <w:sz w:val="20"/>
        </w:rPr>
        <w:t>Cytek Amnis ImageStream</w:t>
      </w:r>
      <w:r>
        <w:rPr>
          <w:rFonts w:ascii="Times New Roman;sans-serif" w:hAnsi="Times New Roman;sans-serif"/>
          <w:b/>
          <w:color w:val="231F20"/>
          <w:sz w:val="13"/>
        </w:rPr>
        <w:t>®</w:t>
      </w:r>
      <w:r>
        <w:rPr>
          <w:color w:val="231F20"/>
        </w:rPr>
        <w:t xml:space="preserve"> </w:t>
      </w:r>
      <w:r>
        <w:rPr>
          <w:rFonts w:ascii="Times New Roman;sans-serif" w:hAnsi="Times New Roman;sans-serif"/>
          <w:b/>
          <w:color w:val="231F20"/>
          <w:sz w:val="20"/>
        </w:rPr>
        <w:t xml:space="preserve">Imaging Flow Cytometer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Cytek Amnis ImageStream imaging flow cytometer includes multiple configurations to fit specific research needs and combines speed, sensitivity, and phenotyping abilities of flow cytometry with high resolution images and functional insights of microscopy. This unique combination enables a broad range of applications that would be impossible using either technique alone. </w:t>
      </w:r>
    </w:p>
    <w:p>
      <w:pPr>
        <w:pStyle w:val="TextBody"/>
        <w:bidi w:val="0"/>
        <w:spacing w:lineRule="auto" w:line="288" w:before="120" w:after="283"/>
        <w:ind w:left="0" w:right="0" w:firstLine="540"/>
        <w:jc w:val="both"/>
        <w:rPr/>
      </w:pPr>
      <w:r>
        <w:rPr>
          <w:rFonts w:ascii="Times New Roman;sans-serif" w:hAnsi="Times New Roman;sans-serif"/>
          <w:b w:val="false"/>
          <w:color w:val="231F20"/>
          <w:sz w:val="20"/>
        </w:rPr>
        <w:t>The ImageStream</w:t>
      </w:r>
      <w:r>
        <w:rPr>
          <w:rFonts w:ascii="Times New Roman;sans-serif" w:hAnsi="Times New Roman;sans-serif"/>
          <w:b w:val="false"/>
          <w:color w:val="231F20"/>
          <w:sz w:val="13"/>
        </w:rPr>
        <w:t>X</w:t>
      </w:r>
      <w:r>
        <w:rPr>
          <w:color w:val="231F20"/>
        </w:rPr>
        <w:t xml:space="preserve"> </w:t>
      </w:r>
      <w:r>
        <w:rPr>
          <w:rFonts w:ascii="Times New Roman;sans-serif" w:hAnsi="Times New Roman;sans-serif"/>
          <w:b w:val="false"/>
          <w:color w:val="231F20"/>
          <w:sz w:val="20"/>
        </w:rPr>
        <w:t xml:space="preserve">Mk II system is a benchtop, multispectral, imaging flow cytometer designed for the rapid acquisition of millions of cells with up to 12 channels of cellular imagery. It collects large numbers of digital images, performs spectral compensation and provides high quality images of every cell in your sample. Combined with our advanced AI-assisted image analysis software where each object is quantified for hundreds of parameters using not only fluorescence intensity but the spatial location of that fluoresced as well, the ImageStream system provides an unprecedented level of cellular information. </w:t>
      </w:r>
    </w:p>
    <w:p>
      <w:pPr>
        <w:pStyle w:val="TextBody"/>
        <w:bidi w:val="0"/>
        <w:spacing w:lineRule="auto" w:line="288" w:before="120" w:after="283"/>
        <w:jc w:val="both"/>
        <w:rPr/>
      </w:pPr>
      <w:r>
        <w:rPr>
          <w:rFonts w:ascii="Times New Roman;sans-serif" w:hAnsi="Times New Roman;sans-serif"/>
          <w:b/>
          <w:color w:val="231F20"/>
          <w:sz w:val="20"/>
        </w:rPr>
        <w:t>Cytek Guava Muse</w:t>
      </w:r>
      <w:r>
        <w:rPr>
          <w:rFonts w:ascii="Times New Roman;sans-serif" w:hAnsi="Times New Roman;sans-serif"/>
          <w:b/>
          <w:color w:val="231F20"/>
          <w:sz w:val="13"/>
        </w:rPr>
        <w:t>®</w:t>
      </w:r>
      <w:r>
        <w:rPr>
          <w:color w:val="231F20"/>
        </w:rPr>
        <w:t xml:space="preserve"> </w:t>
      </w:r>
      <w:r>
        <w:rPr>
          <w:rFonts w:ascii="Times New Roman;sans-serif" w:hAnsi="Times New Roman;sans-serif"/>
          <w:b/>
          <w:color w:val="231F20"/>
          <w:sz w:val="20"/>
        </w:rPr>
        <w:t>Cell Analyzer</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The Cytek Guava Muse cell analyzer is a compact, easy-to-use benchtop device with a user-friendly touchscreen interface and intuitive cell analysis software. The Muse system delivers high-performance cell analysis using microcapillary technology and miniaturized optics. Laser-based fluorescence detection of each cell event can evaluate up to three cellular parameters, providing more quantitative results than non-flow cytometry-based imaging systems.</w:t>
      </w:r>
    </w:p>
    <w:p>
      <w:pPr>
        <w:pStyle w:val="TextBody"/>
        <w:bidi w:val="0"/>
        <w:spacing w:lineRule="auto" w:line="288" w:before="120" w:after="283"/>
        <w:jc w:val="both"/>
        <w:rPr>
          <w:rFonts w:ascii="Times New Roman;sans-serif" w:hAnsi="Times New Roman;sans-serif"/>
          <w:b/>
          <w:color w:val="231F20"/>
          <w:sz w:val="20"/>
        </w:rPr>
      </w:pPr>
      <w:r>
        <w:rPr>
          <w:rFonts w:ascii="Times New Roman;sans-serif" w:hAnsi="Times New Roman;sans-serif"/>
          <w:b/>
          <w:color w:val="231F20"/>
          <w:sz w:val="20"/>
        </w:rPr>
        <w:t xml:space="preserve">Cytek Guava easyCyte™ Flow Cytometer </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Cytek Guava easyCyte flow cytometer is a highly dynamic benchtop system with great sensitivity and optional high-throughput capabilities driven by intuitive software. The flexible configuration of the instrument allows for up to three lasers and 14 parameter measurements. Innovative microcapillary technology provides for direct absolute counting with industry-leading precision. </w:t>
      </w:r>
    </w:p>
    <w:p>
      <w:pPr>
        <w:pStyle w:val="TextBody"/>
        <w:bidi w:val="0"/>
        <w:spacing w:lineRule="auto" w:line="288" w:before="120" w:after="283"/>
        <w:jc w:val="both"/>
        <w:rPr>
          <w:rFonts w:ascii="Times New Roman;sans-serif" w:hAnsi="Times New Roman;sans-serif"/>
          <w:b/>
          <w:color w:val="231F20"/>
          <w:sz w:val="20"/>
        </w:rPr>
      </w:pPr>
      <w:r>
        <w:rPr>
          <w:rFonts w:ascii="Times New Roman;sans-serif" w:hAnsi="Times New Roman;sans-serif"/>
          <w:b/>
          <w:color w:val="231F20"/>
          <w:sz w:val="20"/>
        </w:rPr>
        <w:t>Cytek Orion Reagent Cocktail Preparation System</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The Cytek Orion reagent cocktail preparation system enables researchers to fully automate the preparation of antibody cocktails for flow cytometry. With the ability to concoct cocktails comprising of up to 60 individual antibodies, hands-on time is saved, allowing for increased efficiency and accuracy in the lab. The Cytek Orion reagent cocktail preparation system features robust, reliable cocktail preparation that eliminates potential user errors and pipetting mistakes; fast cocktail preparation that saves precious time in the lab; a robotic interface that allows for a decrease in repetitive motion from pipetting multi-color panels; and cooling and light protection to keep reagents stable.</w:t>
      </w:r>
    </w:p>
    <w:p>
      <w:pPr>
        <w:pStyle w:val="TextBody"/>
        <w:bidi w:val="0"/>
        <w:spacing w:lineRule="auto" w:line="288" w:before="120" w:after="283"/>
        <w:jc w:val="both"/>
        <w:rPr>
          <w:rFonts w:ascii="Times New Roman;sans-serif" w:hAnsi="Times New Roman;sans-serif"/>
          <w:b/>
          <w:color w:val="231F20"/>
          <w:sz w:val="20"/>
        </w:rPr>
      </w:pPr>
      <w:r>
        <w:rPr>
          <w:rFonts w:ascii="Times New Roman;sans-serif" w:hAnsi="Times New Roman;sans-serif"/>
          <w:b/>
          <w:color w:val="231F20"/>
          <w:sz w:val="20"/>
        </w:rPr>
        <w:t xml:space="preserve">Automated Micro-Sampling System and Automated Sample Loader System </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Our Automated Micro-Sampling (“AMS”) system and Automated Sample Loader (“ASL”) system were commercially launched in 2018 and 2021, respectively. The AMS and ASL systems are automated loaders designed to integrate seamlessly into the Cytek Aurora and Northern Lights systems, increasing sample throughput and adding automation capabilities to our FSP systems. The systems offer preset settings for ease of use, but also allow researchers to customize and fine-tune the systems for their unique experimental requirements. Both systems allow acquisition from standard 96-well plates, enabling automated sample acquisition without user intervention. The ASL adds additional compatibility with 96 deep-well plates, 38 well plates and 40-tube racks. Both systems have three throughput modes (high-throughput, default, low carryover) to meet changing customer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Reagents and Kits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launched our </w:t>
      </w:r>
      <w:r>
        <w:rPr>
          <w:rFonts w:ascii="Times New Roman;sans-serif" w:hAnsi="Times New Roman;sans-serif"/>
          <w:b w:val="false"/>
          <w:color w:val="231F20"/>
          <w:sz w:val="20"/>
        </w:rPr>
        <w:t>cFluor</w:t>
      </w:r>
      <w:r>
        <w:rPr>
          <w:rFonts w:ascii="Times New Roman;sans-serif" w:hAnsi="Times New Roman;sans-serif"/>
          <w:b w:val="false"/>
          <w:color w:val="231F20"/>
          <w:sz w:val="13"/>
        </w:rPr>
        <w:t>®</w:t>
      </w:r>
      <w:r>
        <w:rPr>
          <w:color w:val="000000"/>
        </w:rPr>
        <w:t xml:space="preserve"> </w:t>
      </w:r>
      <w:r>
        <w:rPr>
          <w:rFonts w:ascii="Times New Roman;sans-serif" w:hAnsi="Times New Roman;sans-serif"/>
          <w:b w:val="false"/>
          <w:color w:val="000000"/>
          <w:sz w:val="20"/>
        </w:rPr>
        <w:t xml:space="preserve">reagent products to provide additional options for researchers and clinical laboratories when choosing which biomarkers to run together in a panel, particularly since our Cytek Aurora, Northern Lights and Aurora CS systems allow for more fluorochromes to be run together than was previously commercially available. </w:t>
      </w:r>
      <w:r>
        <w:rPr>
          <w:rFonts w:ascii="Times New Roman;sans-serif" w:hAnsi="Times New Roman;sans-serif"/>
          <w:b w:val="false"/>
          <w:color w:val="231F20"/>
          <w:sz w:val="20"/>
        </w:rPr>
        <w:t xml:space="preserve">Our cFluor reagents are fluorochrome conjugated antibodies used to identify cells of interest for analysis on our instruments. </w:t>
      </w:r>
      <w:r>
        <w:rPr>
          <w:rFonts w:ascii="Times New Roman;sans-serif" w:hAnsi="Times New Roman;sans-serif"/>
          <w:b w:val="false"/>
          <w:color w:val="000000"/>
          <w:sz w:val="20"/>
        </w:rPr>
        <w:t xml:space="preserve">Our technology was able to inform our fluorochrome development through the identification of areas within the spectrum for which there were currently no available fluorochrome options.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and continue to develop additional cFluor immunoprofiling kits, which include cFluor conjugated antibody reagents and tools necessary to simplify the workflow from sample preparation to data analysis. For example, our 14-color immunoprofiling kit distinguishes different subsets of human T, B and natural killer (“NK”) cells and monocytes, while our 25-color immunoprofiling assay provides a turnkey solution for identifying major human immune subpopulations for T, B, NK cells and monocytes, as well as dendritic cells and basophils. The Cytek 13-color human B cell monitoring kit offers a turnkey solution for identifying and enumerating B cell subsets in human whole blood and peripheral blood mononuclear cells. In 2023, we introduced a single-tube 20-color panel for identifying and characterizing normal and aberrant cells and evaluating MRD in acute myeloid leukemia samples, and our pan leukocyte kit is designed to help researchers fully enumerate the complete set of major leukocyte subsets for drug discovery and development. In 2024, we released the Cytek 24-color mouse immunoprofiling panel for identifying and characterizing more than 20 mouse immune cell lineages including T, B and NK cells, dendritic cells, monocytes, and granulocyte populations, as well as cellular subpopulations. These research use only (“RUO”) products are optimized for use with our FSP systems and help improve operational efficiency for our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single-color reagents are registered as Class 1 with the China National Medical Products Administration (the “NMPA”) and in the European Union under the IVDD. Our 6-color reagent cocktails that identify and determine the percentages and absolute counts of T, B and NK cells in peripheral blood are registered as Class 3 with the NMPA. We expect these reagent and application solutions to be a significant driver of our future reagent revenue and pull-through as our installed base of instruments grows.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 help accelerate our overarching goal to become a comprehensive solutions provider to our customers, we acquired the reagents business of Tonbo Biotechnologies Corporation in November 2021 </w:t>
      </w:r>
      <w:r>
        <w:rPr>
          <w:rFonts w:ascii="Times New Roman;sans-serif" w:hAnsi="Times New Roman;sans-serif"/>
          <w:b w:val="false"/>
          <w:color w:val="231F20"/>
          <w:sz w:val="20"/>
        </w:rPr>
        <w:t>(the “Tonbo Acquisition”) and offer reagents under the Tonbo</w:t>
      </w: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20"/>
        </w:rPr>
        <w:t>brand. Additionally, we also offer Amnis and Guava-branded reagents and kits.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Software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SpectroFlo software is integrated into our systems and is unique in that it offers intuitive workflows for handling full spectrum flow cytometry data, from quality control to data analysis. The software was developed specifically for our Cytek Aurora and Northern Lights systems to streamline instrument setup, automated quality control, data analysis, and data management. With the ability to import a previously designed experiment template, either from a collaborator or from an experiment designed in Cytek Cloud, users are able to quickly set up their experiments and there is no need to re-enter the panel design, acquisition criteria, reagent information or data analysis worksheets, fluorochrome names, cell markers, reagent lots, or acquisition criteria. With our SpectroFlo software, users can conveniently and efficiently collect both raw and unmixed FCS 3.1 files, which can be used to live unmix samples and extract autofluorescence that would otherwise negatively impact data resolution.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Built on the same intuitive SpectroFlo software workflows and user interface, we provide our SpectroFlo CS software with our Aurora CS systems and our SpectroPrep™ software with our Cytek Orion reagent cocktail preparation system. The SpectroFlo CS software enables the acquisition and analysis of cell populations with the same high-level resolution provided by our Cytek Aurora system, with the added ability to sort live cells of interest. The SpectroPrep software is wizard-based and guides users to automate their cocktail preparation.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Guava Muse and easyCyte systems, we utilize InCyte™ software that has an intuitive, easy-to-use interface that enables users to focus on data at the sample or experimental level. The software simplifies setup and analysis of plots, and automated compensation makes it easy to perform complex, multi-color assays. InCyte software includes heat-mapping features to rapidly evaluate data on the multi-plate or parameter analysis. The software allows for easy integration for 21 CFR Part 11 environments as well as direct integration with robotic arm and liquid handlers through the GuavaLink™ programs.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For ImageStream systems, our IDEAS</w:t>
      </w:r>
      <w:r>
        <w:rPr>
          <w:rFonts w:ascii="Times New Roman;sans-serif" w:hAnsi="Times New Roman;sans-serif"/>
          <w:b w:val="false"/>
          <w:color w:val="231F20"/>
          <w:sz w:val="13"/>
        </w:rPr>
        <w:t>®</w:t>
      </w:r>
      <w:r>
        <w:rPr>
          <w:color w:val="000000"/>
        </w:rPr>
        <w:t xml:space="preserve"> </w:t>
      </w:r>
      <w:r>
        <w:rPr>
          <w:rFonts w:ascii="Times New Roman;sans-serif" w:hAnsi="Times New Roman;sans-serif"/>
          <w:b w:val="false"/>
          <w:color w:val="000000"/>
          <w:sz w:val="20"/>
        </w:rPr>
        <w:t xml:space="preserve">software packages with machine learning and Amnis AI software combine image analysis, statistical rigor, and visual confirmation in an easy to use software suite that works seamlessly with data sets generated on the ImageStream system. The Image Gallery allows users to see every image of every cell or perform a “virtual cell sort” to inspect and validate cells within a specific population. Every dot in every scatter plot is linked to the corresponding cell imagery. Machine learning modules add the power of computer learning and the ability to create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experiment-specific super features tailored to maximize separation of critical populations using the thousands of features in an IDEAS analysis. The Amnis AI analysis software package takes advantage of deep learning using convolutional neural networks to greatly simplify analysis and accurately identify even the most subtle of cell differences.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Customer Support Tools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strive to continually innovate by developing new quantitative tools, which are integrated into our software or available to our customers on our website, to enable users to independently create high-color panels for use with our systems, to support efficient workflow solutions and to provide an intuitive user experience. </w:t>
      </w:r>
      <w:r>
        <w:rPr>
          <w:rFonts w:ascii="Times New Roman;sans-serif" w:hAnsi="Times New Roman;sans-serif"/>
          <w:b w:val="false"/>
          <w:color w:val="231F20"/>
          <w:sz w:val="20"/>
        </w:rPr>
        <w:t>We launched Cytek</w:t>
      </w: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20"/>
        </w:rPr>
        <w:t xml:space="preserve">Cloud, a digital ecosystem that supports full spectrum flow cytometry research from panel design to data acquisition, seamlessly integrating with our SpectroFlo software. Cytek Cloud features three integrated online tools, Full Spectrum Viewer, Panel Builder and Experiment Builder, to streamline experiment workflow on our Cytek Aurora, Northern Lights and Aurora CS systems.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fluorochrome (color) selection is a key component of assay development and optimization, our Full Spectrum Viewer is a unique tool capable of displaying the full emission spectrum of a fluorochrome (emission at different wavelengths post-excitation with multiple lasers). Our FSP technology provides an in-depth understanding of the fluorescence emission characteristics of nearly every color available in the market and our Full Spectrum Viewer provides users with comprehensive information regarding emission characteristics of the fluorochromes to optimize fluorochrome selection for assay development. As a complementary tool to our Full Spectrum Viewer, our Similarity</w:t>
      </w:r>
      <w:r>
        <w:rPr>
          <w:color w:val="231F20"/>
        </w:rPr>
        <w:t>™</w:t>
      </w:r>
      <w:r>
        <w:rPr>
          <w:color w:val="000000"/>
        </w:rPr>
        <w:t xml:space="preserve"> </w:t>
      </w:r>
      <w:r>
        <w:rPr>
          <w:rFonts w:ascii="Times New Roman;sans-serif" w:hAnsi="Times New Roman;sans-serif"/>
          <w:b w:val="false"/>
          <w:color w:val="000000"/>
          <w:sz w:val="20"/>
        </w:rPr>
        <w:t>and Complexity</w:t>
      </w:r>
      <w:r>
        <w:rPr>
          <w:color w:val="231F20"/>
        </w:rPr>
        <w:t>™</w:t>
      </w:r>
      <w:r>
        <w:rPr>
          <w:color w:val="000000"/>
        </w:rPr>
        <w:t xml:space="preserve"> </w:t>
      </w:r>
      <w:r>
        <w:rPr>
          <w:rFonts w:ascii="Times New Roman;sans-serif" w:hAnsi="Times New Roman;sans-serif"/>
          <w:b w:val="false"/>
          <w:color w:val="000000"/>
          <w:sz w:val="20"/>
        </w:rPr>
        <w:t xml:space="preserve">indices provide unique metrics for assessing fluorochrome compatibility within a panel. The Similarity index compares the emission spectrum of two dyes, identifying whether the dyes have unique characteristics or if the dyes are identical, which determines whether they can be used together to analyze a sample in a flow cytometry assay. The Complexity index is a metric that predicts how well a panel of colors will work in combination to minimize loss of resolution and sensitivity.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Panel Builder tool combines all the features of the Full Spectrum Viewer with additional tools for panel design and collaboration in a simple and organized interface. Users can quickly visualize, compare, and optimize their fluorochrome selections with a suite of spectral panel design tools in real-time, allowing them to build their panels faster. To simplify panel design further, we expanded the capabilities of Panel Builder with the addition of our SpectroPanel™ tool, a proprietary new intelligent algorithm which suggests optimized panels in minutes, reducing the panel design time from days and weeks. Optimized for our FSP technology, the SpectroPanel tool automates the assignment of fluorochromes to markers, removing the labor-intensive manual process. It also enables researchers to design panels with ease, taking into account antigen density, marker expression, reagent availability, and reagent preferences. Users can access cFluor and Tonbo reagents within the platform, via built-in Cytek and partner catalogs. In addition, users can jumpstart their panel design process with a built-in repository of pre-designed panels like the Cytek reagent kits and optimized multicolor immunofluorescence panels. Users can also easily manage and share their panels between colleagues to enable faster collaboration.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Experiment Builder tool allows users to set up their experiments in advance to make efficient use of their time on the instrument. In addition, users can auto-populate fluorochromes and marker names and seamlessly transfer panels from Panel Builder to Experiment Builder with a single click, removing redundancies and simplifying the workflow.</w:t>
      </w:r>
    </w:p>
    <w:p>
      <w:pPr>
        <w:pStyle w:val="TextBody"/>
        <w:bidi w:val="0"/>
        <w:spacing w:lineRule="auto" w:line="288" w:before="120" w:after="283"/>
        <w:jc w:val="both"/>
        <w:rPr/>
      </w:pPr>
      <w:r>
        <w:rPr>
          <w:rFonts w:ascii="Times New Roman;sans-serif" w:hAnsi="Times New Roman;sans-serif"/>
          <w:b/>
          <w:color w:val="000000"/>
          <w:sz w:val="20"/>
        </w:rPr>
        <w:t>DxP Athena™</w:t>
      </w:r>
      <w:r>
        <w:rPr>
          <w:color w:val="231F20"/>
        </w:rPr>
        <w:t xml:space="preserve"> </w:t>
      </w:r>
      <w:r>
        <w:rPr>
          <w:rFonts w:ascii="Times New Roman;sans-serif" w:hAnsi="Times New Roman;sans-serif"/>
          <w:b/>
          <w:color w:val="231F20"/>
          <w:sz w:val="20"/>
        </w:rPr>
        <w:t>System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DxP Athena conventional flow cytometry system commercially launched in 2016 and is currently available for sale only in China. It is certified for clinical use by China NMPA. The DxP Athena system incorporates technology with efficient photomultiplier tubes to enable high sensitivity and high resolution and our proprietary QbSure software to ensure optimal daily instrument performance. The system is available in multiple configurations with one to three lasers and up to 13 fluorescence detection channels. The automated monthly clean bleach cycle minimizes downtime, streamlines maintenance and encourages compliance.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distribute our products through our direct sales force and support organizations located in North America, Europe, China and several other countries in the Asia-Pacific region, and through distributors or sales agents in several countries in Europe, Latin America, the Middle East and the Asia-Pacific region. Our sales and marketing efforts are targeted at academic and governmental institutions, CROs, pharmaceutical and biotechnology companies and clinical laboratories focused on single-cell analysis.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process often involves interactions and demonstrations with multiple people within an organization. Some potential customers conduct in-depth evaluations of the system, including running experiments on our system and competing systems. In addition, in many countries outside of North America, sales to academic or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institutions require participation in a tender process involving preparation of extensive documentation and a lengthy review process. As a result of these factors and the budget cycles of our customers, the sales cycle on our instrument, the time from initial contact with a customer to our receipt of a purchase order, can be six months or longer.</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manufacturing operations are located in Fremont, California; San Diego, California; Seattle, Washington; Wuxi, China; and Singapore.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commenced manufacturing operations in Fremont, California in 2015. </w:t>
      </w:r>
      <w:r>
        <w:rPr>
          <w:rFonts w:ascii="Times New Roman;sans-serif" w:hAnsi="Times New Roman;sans-serif"/>
          <w:b w:val="false"/>
          <w:color w:val="231F20"/>
          <w:sz w:val="20"/>
        </w:rPr>
        <w:t xml:space="preserve">We relocated our Fremont headquarters and manufacturing facility in October 2021 to provide us with expansion capability to support our growth. </w:t>
      </w:r>
      <w:r>
        <w:rPr>
          <w:rFonts w:ascii="Times New Roman;sans-serif" w:hAnsi="Times New Roman;sans-serif"/>
          <w:b w:val="false"/>
          <w:color w:val="000000"/>
          <w:sz w:val="20"/>
        </w:rPr>
        <w:t xml:space="preserve">Our Fremont facility maintains ISO 9001 and ISO 13485 certifications and manufactures our Cytek Aurora and Aurora CS systems, as well as spare parts. </w:t>
      </w:r>
      <w:r>
        <w:rPr>
          <w:rFonts w:ascii="Times New Roman;sans-serif" w:hAnsi="Times New Roman;sans-serif"/>
          <w:b w:val="false"/>
          <w:color w:val="231F20"/>
          <w:sz w:val="20"/>
        </w:rPr>
        <w:t xml:space="preserve">Our San Diego facility, which was assumed in connection with the Tonbo Acquisition to manufacture our reagent products, was awarded ISO 13485 certification in August 2024. Our Seattle, Washington facility was assumed in connection with the FCI Acquisition and manufactures our Amnis instruments and spare parts.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Wuxi manufacturing facility commenced operations in 2017. In November 2023, we purchased a new building in Wuxi, China and relocated substantially all of our Wuxi operations to the new facility in January 2024. The new Wuxi manufacturing facility maintains ISO 13485 certification and manufactures our Cytek Aurora, Northern Lights, Guava and Athena instruments, certain reagents and spare parts. Our instruments and reagents for clinical use are currently manufactured only by our Wuxi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instruments manufactured in our Wuxi facility are delivered to our Fremont facility for final assembly and testing. We established the manufacturing facility in Wuxi, China to take advantage of the skilled workforce, supplier and partner network, lower operating costs and available government support. We are able to hire skilled employees from China’s existing in vitro diagnostic and optical product industry. China also has a broad network of potential suppliers and partners for our manufacturing operations, and we are able to locally source a large portion of the raw materials required for our manufacturing processes. We have received incentive grants from the local Wuxi government for research, development, and manufacturing.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having multiple sources for our core products would help mitigate the potential impact of a production disruption at any one of our facilities to ensure a reliable and stable supply chain and product availability for our customers. We recently opened a manufacturing facility in Singapore, which will manufacture our Cytek Aurora, Northern Lights and Aurora CS instruments.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manufacturing capacity for instrumentation and reagents will be sufficient to meet our anticipated needs for at least the next several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for certain components and materials used in our systems. Key components in our products that are supplied by sole or limited source suppliers include certain lasers and semiconductors that are used in our optical, electrical and fluidic subassemblies. While we are in the process of qualifying additional sources of supply, qualifications can take 12 to 24 months and, in some cases, longer. If we were to lose one or more of our sole or limited source suppliers, it would take significant time and effort to qualify alternative suppliers. With respect to many of our suppliers, we are neither a major customer, nor do we have long-term supply contracts. These suppliers may therefore give other customers’ needs higher priority than ours, and we may not be able to obtain adequate supply in a timely manner or on commercially reasonable terms.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from within the cell analysis and life sciences tools market. We currently compete with established and early stage life sciences and in vitro diagnostics companies developing or commercializing flow cytometry instruments and consumables, as well as other companies that design, manufacture and market instruments, accessories, consumables, reagent kits and software for, among other applications, cell analysis, immunophenotyping, cell sorting and/or provide services related to the same. Our direct competitors include Agilent Technologies, Beckman Coulter (Danaher Corporation), Becton, Dickinson and Company, Bio-Rad Laboratories, Standard BioTools, Miltenyi Biotec, Sony Biotechnology (Sony Corporation) and Thermo Fisher Scientific. Our target customers may also elect to develop their workflows on conventional flow cytometers or use traditional methods, rather than implementing our platform, or existing customers may decide to stop using our platform. In addition, there are many large, established companies in the life sciences tools market that we do not currently compete with but that could develop instruments, tools or other products that will compete with us in the future. These companies have substantially greater financial and other resources than us, including larger research and development, quality and regulatory staff or more established marketing and sales forces.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of the risks we face relating to competition, see the section titled “Risk factors— Risks Related to Our Business and Strategy—The market for cell analysis technologies and life sciences tools, including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cytometry, is highly competitive, and if we cannot compete successfully with our competitors, we may be unable to increase or sustain our revenue, or achieve and sustain profitability.”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obtain and maintain patent and other proprietary protection for our commercially important technology, inventions and know-how; to defend and enforce our patents; and to operate without third parties infringing, misappropriating or violating our proprietary rights. We have developed our own portfolio of issued patents and patent applications directed at our core and system level technology, including claims directed to methods and apparatus of flow cytometers and cell sorters with excitation, fluidics, emission, mechanical, magnetic, electronics, bio-safety and temperature control technology in configurations of our Cytek Aurora, Aurora CS, Northern Lights and Northern Lights-CLC systems. We also own a number of issued patents related to the Amnis and Guava families of flow cytometer products from the FCI Acquisition. We generally seek patent protection in the United States, Japan, China, the United Kingdom and selected countries of the European Union, such as France and Germany. Notwithstanding these efforts, we cannot be sure that patents will be granted with respect to any patent applications we have filed or may license or file in the future, and we cannot be sure that any patents we own or license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“Risk Factors—Risks Related to Our Intellectual Property.”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Including rights acquired in connection with the FCI Acquisition, as of December 31, 2024, we own 35 issued U.S. utility patents, ten issued Japan utility patents, seven issued European utility patents, three issued China utility patents, one Canada utility patent, one India utility patent, two Australian utility patents, and three Singapore utility patents. We have 70 pending utility patent applications, including 45 utility patent applications in the United States, three international utility patent applications, nine utility patent applications in the European Union, nine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w:t>
      </w:r>
      <w:r>
        <w:rPr>
          <w:rFonts w:ascii="Times New Roman;sans-serif" w:hAnsi="Times New Roman;sans-serif"/>
          <w:b w:val="false"/>
          <w:color w:val="000000"/>
          <w:sz w:val="20"/>
        </w:rPr>
        <w:t xml:space="preserve">As of December 31, 2024, our Shanghai subsidiary owns 12 issued utility patents and eight issued invention patents and has two pending invention patent applications, </w:t>
      </w:r>
      <w:r>
        <w:rPr>
          <w:rFonts w:ascii="Times New Roman;sans-serif" w:hAnsi="Times New Roman;sans-serif"/>
          <w:b w:val="false"/>
          <w:color w:val="000000"/>
          <w:sz w:val="20"/>
          <w:shd w:fill="FFFFFF" w:val="clear"/>
        </w:rPr>
        <w:t xml:space="preserve">and our Wuxi subsidiary owns 42 issued patents and has five pending invention patent applications.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our knowledge, there are no third-party claims or contested proceedings with the issued patents or pending patent applications other than the ordinary course proceedings with pending patent applications before the respective patent offices. However, 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proceedings, or may be challenged in litigation, and such challenges could result in a determination that the patent is invalid. In addition, competitors may be able to design alternative methods or devices that avoid infringement of our patents. Furthermore, numerous U.S. and foreign-issued patents and patent applications owned by third parties exist in the fields in which our products compete. Because patent applications can take many years to publish, there may be applications unknown to us, which may result in issued patents that our existing or future products or technologies may be alleged to infringe.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and there has been substantial litigation regarding patent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intellectual property rights in the medical device and laboratory equipment industries. In addition, our competitors and others may have patents or may in the future obtain patents and claim that use of our products infringes these patents. See Note 18 to our consolidated financial statements included elsewhere in this Annual Report on Form 10-K for information regarding ongoing legal proceedings. We could incur substantial costs and divert the attention of our management and technical personnel in defending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obtain one or more licenses from third parties, or be prohibited from selling certain products. We may not be able to obtain these licenses at a reasonable cost, if at all.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KEY AGREEMENTS, LICENSES AND COLLABORATIONS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Biotium, Inc. Supply and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2020, we entered into a Supply and License Agreement with Biotium, Inc. (“Biotium”) pursuant to which Biotium agreed to supply, and we obtained a worldwide, non-exclusive license to market and resell to our customers and distributors, certain Biotium products to conjugate proteins and/or antibodies and to use such conjugates as a component in our cFluor reagent products, for research and analyte specific reagents (as defined by 21 CFR 864.4020) use only (the “Field of Use”) (the “Biotium Agreement”). In consideration for such rights, we paid Biotium an upfront fee of $20,000 and will pay Biotium royalties at a mid-to-high single digit percentage rate on worldwide net sales on licensed products within the Field of Use. The Biotium Agreement terminates on the expiration of the last to expire of the valid claims of the Biotium patents subject to the Biotium Agreement. Either party may terminate the Biotium Agreement for the other party’s bankruptcy or uncured material breach or if no Biotium product is purchased for an extended period; however, if such termination is by Biotium, we will have the opportunity to make a purchase following written notice from Biotium to avoid such termination. Our license under the Biotium Agreement does not include diagnostic use, which may be added through an amendment and additional payment to Biotium.</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Becton, Dickinson and Company Settlement, License and Equity Issuance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2018, Becton, Dickinson and Company (“BD”) filed a lawsuit against us alleging trade secret misappropriation and copyright infringement. On October 6, 2020, we entered into a Settlement, License and Equity Issuance Agreement with BD pursuant to which we and BD agreed to a mutual release of all claims against each other as of the date thereof (the “BD Agreement”). As part of the settlement, BD granted us a non-exclusive, irrevocable, perpetual, worldwide, and non-transferrable license to certain BD patents and covenanted that it would not enforce, or permit or encourage the enforcement of BD patents against us or our affiliates in connection with the development, manufacture, use, importation, offer for sale or sale of our then-current instruments. In exchange, we agreed that we and our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our products, (iii) a $6.0 million milestone payment upon the occurrence of a certain sales threshold, and (iv) a specified payment upon the closing of a change of control transaction, if any. We also issued 2,087,545 shares of our common stock to BD during the year ended December 31, 2020 in connection with the BD settlement.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Coherent NA, Inc. Supply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August 25, 2021, we and Cytek (Wuxi) Biosciences Co., Ltd, our Wuxi, China subsidiary, entered into a Supply Agreement (the “Coherent Agreement”) with Coherent NA, Inc. (“Coherent”) pursuant to which Coherent agreed to sell and supply to us, on a non-exclusive basis, laser products manufactured by Coherent. We provide Coherent with rolling forecasts of our anticipated orders, which are non-binding. We do not have a minimum purchase obligation pursuant to the Coherent Agreement. The Coherent Agreement has an initial term of three years and will automatically renew for a subsequent one-year period unless either party provides written notice of non-renewal at least four (4) months prior to the expiration of the initial term. The Coherent Agreement may be terminated prior to the end of its term upon the occurrence of certain specified events.</w:t>
      </w:r>
      <w:r>
        <w:rPr>
          <w:color w:val="000000"/>
        </w:rPr>
        <w:t xml:space="preserv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focused on developing innovative products to meet unmet market needs and maintaining a diverse and inclusive work environment where employees are respected and encouraged to share their unique perspectives and ideas. As of December 31, 2024, we had 648 employees, including </w:t>
      </w:r>
      <w:r>
        <w:rPr>
          <w:rFonts w:ascii="Times New Roman;sans-serif" w:hAnsi="Times New Roman;sans-serif"/>
          <w:b w:val="false"/>
          <w:color w:val="000000"/>
          <w:sz w:val="20"/>
          <w:shd w:fill="FFFFFF" w:val="clear"/>
        </w:rPr>
        <w:t>164 employees in research and development, 244 employees in sales and marketing, 177 employees in manufacturing and operations, and 63 employees in general and ad</w:t>
      </w:r>
      <w:r>
        <w:rPr>
          <w:rFonts w:ascii="Times New Roman;sans-serif" w:hAnsi="Times New Roman;sans-serif"/>
          <w:b w:val="false"/>
          <w:color w:val="000000"/>
          <w:sz w:val="20"/>
        </w:rPr>
        <w:t>ministrative. We believe that the success of our business will depend, in part, on our ability to attract and retain qualified personnel. Our employees are neither represented by a labor union nor party to a collective bargaining agreement and we believe that we have strong employee relations.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Culture and Values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maintain high ethical standards and a culture that values honesty, integrity, accountability and transparency in all that we do. We are committed to our employees and to the communities we serve worldwide. It is our philosophy to foster open communication and our employees are encouraged to provide input on ways to improve our business strategy and tactics, work environment and organization. We believe that our ability to provide employees with a dynamic environment and professional growth opportunities drives a culture embedded in our values.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Business Ethics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conducting our business activities with employees, consultants, vendors, customers, communities and stockholders with integrity and fairness and in accordance with the highest ethical standards. We believe that our conduct has a direct impact on our reputation, our brand and our stakeholders. We are focused on ensuring that our legal, compliance and risk mitigation protocols further enhance our ability to comport ourselves with the highest levels of ethical standards.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Talent Attraction, Retention and Engagement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focusing on individual performance, as well as teamwork and collaboration, we believe that we foster an environment that helps employees excel as individuals and as team members. To further engage and incentivize our workforce, we offer programs and avenues for support, motivation and professional development. For example, we utilize both instructor-led training and online learning to deliver proprietary, targeted training courses designed to position our commercial organization as the leading cell analysis solutions provider. For our talent pipeline development, we work closely with individual business functions to provide training and hands-on support for managers and leaders.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 Philosophy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provide comprehensive compensation, including cash, equity, benefits and services that attract, motivate and retain exceptional employees. Compensation is driven by local market conditions, internal equity and employee performance.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Health and Wellness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comprehensive package including: retirement savings plan, medical, dental and vision insurance, life insurance, short-and long-term disability insurance, paid holidays and paid time off for vacation and incidental time due to sickness or to handle personal affairs.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 AND PRODUCT APPROVAL</w:t>
      </w:r>
    </w:p>
    <w:p>
      <w:pPr>
        <w:pStyle w:val="TextBody"/>
        <w:bidi w:val="0"/>
        <w:spacing w:lineRule="auto" w:line="288" w:before="120" w:after="283"/>
        <w:jc w:val="both"/>
        <w:rPr/>
      </w:pPr>
      <w:r>
        <w:rPr>
          <w:rFonts w:ascii="Times New Roman;sans-serif" w:hAnsi="Times New Roman;sans-serif"/>
          <w:b/>
          <w:color w:val="000000"/>
          <w:sz w:val="20"/>
        </w:rPr>
        <w:t>FDA Regulation of Medical Devices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other U.S. and foreign governmental agencies regulate, among other things, with respect to medical devices: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design, development and manufacturing;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testing, labeling, content and language of instructions for use and storage;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clinical trials;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product safety;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marketing, sales and distribution;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pre-market clearance and approval;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record keeping procedures;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advertising and promotion;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recalls and field safety corrective actions;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post-market surveillance, including reporting of deaths or serious injuries and malfunctions that, if they were to recur, could lead to death or serious injury;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post-market approval studies;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product import and export.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numerous laws and regulations govern all the processes by which medical devices are brought to market and marketed. These include the U.S. Federal Food, Drug and Cosmetic Act (“FDCA”) and the FDA’s implementing regulations, among others. </w:t>
      </w:r>
    </w:p>
    <w:p>
      <w:pPr>
        <w:pStyle w:val="TextBody"/>
        <w:bidi w:val="0"/>
        <w:spacing w:lineRule="auto" w:line="288" w:before="120" w:after="283"/>
        <w:jc w:val="both"/>
        <w:rPr/>
      </w:pPr>
      <w:r>
        <w:rPr>
          <w:rFonts w:ascii="Times New Roman;sans-serif" w:hAnsi="Times New Roman;sans-serif"/>
          <w:b/>
          <w:color w:val="000000"/>
          <w:sz w:val="20"/>
        </w:rPr>
        <w:t>FDA Pre-market Clearance and Approval Requirements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medical device we seek to commercially distribute in the United States must first receive 510(k) clearance, de novo classification, or approval of a pre-market approval (“PMA”) application, from the FDA, unless specifically exempted. Both the 510(k) clearance and PMA processes can be resource intensive, expensive and lengthy, and require payment of significant user fees, unless an exemption is available.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FDA classifies all medical devices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additional conditions set forth in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are placed in Class III, requiring approval of a PMA application. Some pre-amendment devices are unclassified, but are subject to the FDA’s pre-market notification and clearance process in order to be commercially distributed.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510(k) Clearance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obtain 510(k) clearance, we must submit a pre-market notification to the FDA demonstrating that the proposed device is substantially equivalent to a previously-cleared 510(k) device, a device that was in commercial distribution before May 28, 1976 for which the FDA has not yet called for the submission of PMA applications, or is a device that has been reclassified from Class III to either Class II or I. In rare cases, Class III devices may be cleared through the 510(k) process. The FDA’s 510(k) clearance process usually takes from three to 12 months from the date the application is submitted and filed with the FDA, but may take significantly longer, particularly for a novel type of product.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 Once a de novo application is reviewed and approved, it results in the device having a Class II status and future devices from the company or a competitor may use the company’s de novo-classified device as a 510(k) predicate.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Under these circumstances, the FDA may also subject a manufacturer to significant regulatory fines or other penalties.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 Novo Classification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Pre-Market Approval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PMA application must be submitted if the medical device is in Class III (although the FDA has the discretion to continue to allow certain pre- amendment Class III devices to use the 510(k) process) or cannot be cleared through the 510(k) process. A PMA application must be supported by, among other things, extensive technical, preclinical, and clinical trials, as well as manufacturing and labeling data to demonstrate to the FDA’s satisfaction the safety and effectiveness of the device.</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Use Only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operations may be subject to extensive and rigorous regulation by the FDA and other federal, state, or local authorities, as well as foreign regulatory authorities. An RUO product is one that is not intended for clinical diagnostic use and must be labeled “For Research Use Only. Not for use in diagnostic procedures.” RUO products cannot make any claims related to safety, effectiveness or diagnostic utility and they cannot be intended for human clinical diagnostic use. Products that are intended for research use only and are properly labeled as RUO are exempt from compliance with the FDA requirements discussed above, including the approval or clearance and most QSR requirements. A product labeled RUO but intended to be used diagnostically may be viewed by the FDA as adulterated and misbranded under the FDCA and is subject to FDA enforcement activities. The FDA may consider the totality of the circumstances surrounding distribution and use of an RUO product, including how the product is marketed, when determining its intended use. In November 2013 the FDA issued a guidance document entitled “Distribution of In Vitro Diagnostic Products Labeled for Research Use Only or Investigational Use Only” (the “RUO Guidance”) which highlights the FDA’s interpretation that distribution of RUO products with any labeling, advertising or promotion that suggests that clinical laboratories can validate the test through their own procedures and subsequently offer it for clinical diagnostic use as a laboratory developed test is in conflict with RUO status. The RUO Guidance further articulates the FDA’s position that any assistance offered in performing clinical validation or verification, or similar specialized technical support, to clinical laboratories, conflicts with RUO status. If the FDA were to determine, based on the totality of circumstances, that our products labeled and marketed for RUO are intended for diagnostic purposes, they would be considered medical products that will require clearance or approval prior to commercialization.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Laboratory-developed tests (LDTs)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the FDA issued regulations under which it would phase out its enforcement discretion approach to LDTs over a period of four years. PMA approval or 510(k) clearance would be required for certain tests by October 1, 2027 and device registration and listing requirements, medical device reporting requirements and the requirements of the FDA’s Quality System Regulation would become applicable.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Pervasive and Continuing U.S. Food and Drug Administration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medical device is placed on the market, numerous FDA regulatory requirements apply, including, but not limited to the following: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QSR, which requires manufacturers to follow design, testing, control, documentation and other quality assurance procedures during the manufacturing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establishment registration, which requires establishments involved in the production and distribution of medical devices, intended for commercial distribution in the United States, to register with the FDA;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medical device listing, which requires manufacturers to list the devices they have in commercial distribution with the FDA;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clearance or approval of product modifications to 510(k)-cleared devices that could significantly affect safety or effectiveness or that would constitute a major change in intended use of one of our cleared devices;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complying with the new federal law and regulations requiring Unique Device Identifiers (UDI) on devices and also requiring the submission of certain information about each device to the FDA’s Global Unique Device Identification Database;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FDA’s recall authority, whereby the agency can order device manufacturers to recall from the market a product that is in violation of governing laws and regulations;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labeling regulations, which prohibit “misbranded” devices from entering the market, as well as prohibit the promotion of products for unapproved or “off-label” uses and impose other restrictions on labeling;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post-market surveillance including Medical Device Reporting, which requires manufacturers report to the FDA if their device may have caused or contributed to a death or serious injury, or malfunctioned in a way that would likely cause or contribute to a death or serious injury if it were to recur.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enforces these requirements by inspection and market surveillance. Failure to comply with applicable regulatory requirements may result in enforcement action by the FDA, which may include one or more of the following sanctions: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untitled letters or warning letters;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mandatory recall or seizure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administrative detention or banning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operating restrictions,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refusing our request for 510(k) clearance or PMA of new product versions;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revocation of 510(k) clearance or PMAs previously granted;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criminal prosecution and penalties.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Foreign Government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European Union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IVDR, among other things, is intended to establish a uniform, transparent, predictable and sustainable regulatory framework across the EEA for in vitro diagnostic medical devices and ensure a high level of safety and effectiveness while supporting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among other things: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strengthens the rules on placing devices on the market and reinforce surveillance once they are available;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establishes explicit provisions on manufacturers’ responsibilities for the follow-up of the quality, performance and safety of devices placed on the market;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improves the traceability of in vitro diagnostic medical devices throughout the supply chain to the end user or patient through a unique identification number;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sets up a central database to provide patients, healthcare professionals and the public with comprehensive information on products available in the EU;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strengthens rules for the assessment of certain high-risk devices, such as implants, which may have to undergo an additional check by experts before they are placed on the market.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our products have already been self-certified under the previously existing regulatory framework, the IVDR allows us to market them provided that the requirements of the transitional provisions are fulfilled. In particular, the Declaration of Conformity in question must still be valid per the IVDR. Furthermore, the regulation introduces UDI, a bar code that must be placed on the label of the device or on its packaging and manufacturers are obligated to file adverse events reports via the Eudamed database in case there is an increase in the frequency or severity of incidents related to the in vitro diagnostic medical device.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Healthcare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future business activities are subject to healthcare regulation and enforcement by the federal government and the states and foreign governments in which we conduct our business. These laws include, without limitation, state and federal anti-kickback, fraud and abuse, false claims and physician sunshine laws and regulations.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among other things, any person from knowingly and willfully offering, soliciting, receiving or providing remuneration, directly or indirectly, overtly or covertly, in cash or in kind, to induce either the referral of an individual, for an item or service or the purchasing, leasing, ordering, or arranging for or recommending the purchase, lease or order of any good, facility, item or service, for which payment may be made, in whole or in part, under federal healthcare programs such as the Medicare and Medicaid programs.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this statute or specific intent to violate it to have committed a violation.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civil False Claims Act prohibits, among other things, knowingly presenting or causing the presentation of a false or fraudulent claim for payment to, or approval by, the U.S.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The federal government is using the False Claims Act, and the accompanying threat of significant liability, in its investigation and prosecution of life sciences companies throughout the country, for example, in connection with the promotion of products for unapproved uses and other sales and marketing practices. In addition, the government may assert that a claim including items or services resulting from a violation of the federal Anti-Kickback Statute constitutes a false or fraudulent claim for purposes of the civil False Claims Act.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states also have anti-kickback laws which establish similar prohibitions and, in some cases, may apply to items or services reimbursed by any third-party payor, including commercial insurers.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HIPAA created new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no longer needs to have actual knowledge of the statute or specific intent to violate it to have committed a violation.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future operations are found to be in violation of any of such laws or any other governmental regulations that apply to us, we may be subject to significant penalties, including, without limitation, civil and criminal penalties, damages, fines, the curtailment or restructuring of our operations, exclusion from participation in federal and state healthcare programs and imprisonment.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 Foreign Corrupt Practices 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prohibits U.S. corporations and their representatives from directly or indirectly offering, promising, authorizing or making corrupt payments, gifts or transfers to any foreign government official, government staff member, political party or political candidate in an attempt to obtain or retain business. The scope of the FCPA would include interactions with certain healthcare professionals in many countries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Privacy and Cybersecurity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process personal or sensitive data. Accordingly, we are, and may in the future become,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California Consumer Privacy Act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and, together with the EU GDPR, the “GDPR”), China’s Personal Information Protection Law (“PIPL”), and the Payment Card Industry Data Security Standard (“PCI DSS”).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See the section titled “We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prospects” for additional information about the privacy and security laws and regulations to which we may become subject and about the risks to our business associated with such laws and regulations.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and manufacturing processes involve the controlled use of hazardous materials, including flammables, toxics, corrosives and biologics. Our research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December 2014 under the name Cytoville, Inc. In August 2015, we changed our name to Cytek Biosciences, Inc. Our principal executive offices are located at 47215 Lakeview Blvd., Fremont, California 94538. Our telephone number is (877) 922-9835. Our website is www.cytekbio.com. Information contained on, or that can be accessed through, our website is not incorporated by reference into this Annual Report on Form 10-K, and you should not consider information on our website to be part of this Annual Report on Form 10-K.</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www.investors.cytekbio.com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Annual Report on Form 10-K.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are highly dependent on a limited number of product offerings. Our revenue has been primarily generated from sales of our core Cytek Aurora, Northern Lights and Aurora cell sorter (“Aurora CS”) systems, which require a substantial sales cycle and are prone to quarterly fluctuations in revenue.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currently rely on single source suppliers and, in some cases, sole source suppliers, for certain components and materials used in our systems and, other than our agreement with Coherent NA, Inc. (“Coherent”), we do not currently have long-term supply contracts with our sole and single source suppliers of key components. As a result, we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International operations and expansion of our international business exposes us to business, regulatory, political, operational, financial and economic risks associated with doing business outside of the United States.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have limited experience manufacturing our products, and if we are unable to manufacture our products in high-quality commercial quantities successfully and consistently to meet demand, our growth will be limited.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business is dependent on adoption of our products by academic and government institutions, clinical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currently depends significantly on research and development spending by academic and government-owned institutions, a reduction in which could limit demand for our solutions and adversely affect our business and operating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future success depends on our ability to develop and successfully introduce new and enhanced products that meet the needs of our customers.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are unable to successfully expand our commercial operations, including hiring additional qualified sales representatives, technical applications specialists and customer support staff, our business may be adversely affected.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need to raise additional capital to fund our existing operations, develop our products and/or expand our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Concentration of ownership of our common stock among our executive officers, directors, principal stockholders and their respective affiliates may prevent new investors from influencing significant corporate decisions. Based on shares outstanding as of December 31, 2024, our executive officers, directors, holders of 5% or more of our common stock and their respective affiliates (based on filings with the U.S. Securities and Exchange Commission (the “SEC”)), in the aggregate, own approximately</w:t>
      </w:r>
      <w:r>
        <w:rPr>
          <w:color w:val="000000"/>
          <w:shd w:fill="FFFFFF" w:val="clear"/>
        </w:rPr>
        <w:t xml:space="preserve"> </w:t>
      </w:r>
      <w:r>
        <w:rPr>
          <w:rFonts w:ascii="Times New Roman;sans-serif" w:hAnsi="Times New Roman;sans-serif"/>
          <w:b w:val="false"/>
          <w:color w:val="000000"/>
          <w:sz w:val="20"/>
          <w:shd w:fill="FFFFFF" w:val="clear"/>
        </w:rPr>
        <w:t>44.8%</w:t>
      </w:r>
      <w:r>
        <w:rPr>
          <w:color w:val="000000"/>
        </w:rPr>
        <w:t xml:space="preserve"> </w:t>
      </w:r>
      <w:r>
        <w:rPr>
          <w:rFonts w:ascii="Times New Roman;sans-serif" w:hAnsi="Times New Roman;sans-serif"/>
          <w:b w:val="false"/>
          <w:color w:val="000000"/>
          <w:sz w:val="20"/>
        </w:rPr>
        <w:t xml:space="preserve">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stockholders, acting together, will be able to significantly influence all matters requiring stockholder approval, including the election and removal of directors and any merger or other significant corporate transaction.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Strategy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limited operating history and may encounter unforeseen expenses, difficulties, complications, delays and other known and unknown obstacles. We launched our first core commercial product, the Cytek Aurora system, in June 2017. Our Northern Lights system was commercially launched in October 2018, and our Aurora CS system was first commercially shipped in June 2021.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dependent on a limited number of product offerings. Our revenue has been primarily generated from sales of our core Cytek Aurora, Northern Lights and Aurora CS systems, which require a substantial sales cycle and are prone to quarterly fluctuations in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the Cytek Aurora, Northern Lights and Aurora CS systems together accounted for a substantial portion of our revenue for the periods presented in this Annual Report on Form 10-K. We expect that, for at least the foreseeable future, sales of our Cytek Aurora, Northern Lights and Aurora CS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into a Supply Agreement (the “Coherent Agreement”) with Coherent. Pursuant to the Coherent Agreement, Coherent has agreed to sell and supply to us and Cytek Wuxi, on a non-exclusive basis, laser products manufactured by Coherent. We and Cytek Wuxi provide Coherent with rolling forecasts of our and Cytek Wuxi’s anticipated orders, which are non-binding. Purchase orders submitted by us and Cytek Wuxi pursuant to the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International operations and expansion of our international business exposes us to business, regulatory, political, operational, financial and economic risks associated with doing business outside of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failure by us or our distributors to obtain approvals to conduct our business in various countries;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differing intellectual property rights;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complexities and difficulties in obtaining intellectual property protection, enforcing our intellectual property and defending against third-party intellectual property claims;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difficulties in staffing and managing foreign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logistics and regulations associated with shipping systems and parts and components for our products, as well as transportation delays;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travel restrictions that limit the ability of marketing, presales, sales, services and support teams to service customers;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international trade disputes that could result in tariffs and other protective measures;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natural disasters, political and economic instability, including wars, terrorism and political unrest such as the ongoing war in Ukraine, conflict in the Middle East, outbreak of disease, boycotts, curtailment of trade and other business restrictions;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15, 2025, the U.S. government announced new license requirements that impact exports of certain products and technology, including high-parameter and spectral flow cytometers and cell sorters and certain mass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spectrometry equipment to certain countries, including China, which may have a significant negative impact on our sales, manufacturing and research and development activities. Given the timing,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limited experience manufacturing our products, and if we are unable to manufacture our products in high-quality commercial quantities successfully and consistently to meet demand, our growth will be limited.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have limited experience manufacturing our products. We currently manufacture instruments and reagents at our manufacturing facilities in Fremont, California and Wuxi, China, instruments at our facilities in Seattle, Washington</w:t>
      </w:r>
      <w:r>
        <w:rPr>
          <w:color w:val="000000"/>
          <w:shd w:fill="FFFFFF" w:val="clear"/>
        </w:rPr>
        <w:t xml:space="preserve"> </w:t>
      </w:r>
      <w:r>
        <w:rPr>
          <w:rFonts w:ascii="Times New Roman;sans-serif" w:hAnsi="Times New Roman;sans-serif"/>
          <w:b w:val="false"/>
          <w:color w:val="000000"/>
          <w:sz w:val="20"/>
          <w:shd w:fill="FFFFFF" w:val="clear"/>
        </w:rPr>
        <w:t>and Singapore</w:t>
      </w:r>
      <w:r>
        <w:rPr>
          <w:rFonts w:ascii="Times New Roman;sans-serif" w:hAnsi="Times New Roman;sans-serif"/>
          <w:b w:val="false"/>
          <w:color w:val="000000"/>
          <w:sz w:val="20"/>
        </w:rPr>
        <w:t xml:space="preserv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customer base includes academic and government institutions, pharmaceutical and biotechnology companies, CROs and clinical laboratories focused on cell analysis. Approximately </w:t>
      </w:r>
      <w:r>
        <w:rPr>
          <w:rFonts w:ascii="Times New Roman;sans-serif" w:hAnsi="Times New Roman;sans-serif"/>
          <w:b w:val="false"/>
          <w:color w:val="000000"/>
          <w:sz w:val="20"/>
          <w:shd w:fill="FFFFFF" w:val="clear"/>
        </w:rPr>
        <w:t>40%,</w:t>
      </w:r>
      <w:r>
        <w:rPr>
          <w:color w:val="000000"/>
        </w:rPr>
        <w:t xml:space="preserve"> </w:t>
      </w:r>
      <w:r>
        <w:rPr>
          <w:rFonts w:ascii="Times New Roman;sans-serif" w:hAnsi="Times New Roman;sans-serif"/>
          <w:b w:val="false"/>
          <w:color w:val="000000"/>
          <w:sz w:val="20"/>
        </w:rPr>
        <w:t xml:space="preserve">43% and 44% of our revenue came from sales to academic and government-owned institutions and </w:t>
      </w:r>
      <w:r>
        <w:rPr>
          <w:rFonts w:ascii="Times New Roman;sans-serif" w:hAnsi="Times New Roman;sans-serif"/>
          <w:b w:val="false"/>
          <w:color w:val="000000"/>
          <w:sz w:val="20"/>
          <w:shd w:fill="FFFFFF" w:val="clear"/>
        </w:rPr>
        <w:t>60%</w:t>
      </w:r>
      <w:r>
        <w:rPr>
          <w:rFonts w:ascii="Times New Roman;sans-serif" w:hAnsi="Times New Roman;sans-serif"/>
          <w:b w:val="false"/>
          <w:color w:val="000000"/>
          <w:sz w:val="20"/>
        </w:rPr>
        <w:t xml:space="preserve">, 57% and 56% of our revenue came from sales to pharmaceutical and biotechnology companies, distributors and CROs in the years ended December 31, 2024, 2023 and 2022,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or approval of a pre-market approval application from the FDA. Our failure to further expand in adjacent markets and attract new customers could adversely affect our ability to improve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inadequate recruiting or training of talented sales force in existing and new markets to facilitate outreach and further adoption and awareness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lack of experience with our products for cell analysis;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perceived inadequacy of evidence supporting benefits or cost-effectiveness of our products over existing alternatives;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liability risks generally associated with the use of new products and processes;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training required to use new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 decrease or delay in the research and development activities using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competing products and alternatives;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introduction of other novel alternative products for cell analysis.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currently depends significantly on research and development spending by academic and government-owned institutions, a reduction in which could limit demand for our solutions and adversely affect our business and operating results.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Approximately</w:t>
      </w:r>
      <w:r>
        <w:rPr>
          <w:color w:val="000000"/>
          <w:shd w:fill="FFFFFF" w:val="clear"/>
        </w:rPr>
        <w:t xml:space="preserve"> </w:t>
      </w:r>
      <w:r>
        <w:rPr>
          <w:rFonts w:ascii="Times New Roman;sans-serif" w:hAnsi="Times New Roman;sans-serif"/>
          <w:b w:val="false"/>
          <w:color w:val="000000"/>
          <w:sz w:val="20"/>
          <w:shd w:fill="FFFFFF" w:val="clear"/>
        </w:rPr>
        <w:t>40%</w:t>
      </w:r>
      <w:r>
        <w:rPr>
          <w:rFonts w:ascii="Times New Roman;sans-serif" w:hAnsi="Times New Roman;sans-serif"/>
          <w:b w:val="false"/>
          <w:color w:val="000000"/>
          <w:sz w:val="20"/>
        </w:rPr>
        <w:t xml:space="preserve">, 43% and 44% of our revenue came from sales to academic and government-owned institutions in the years ended December 31, 2024, 2023 and 2022,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decreases in government funding of research and development;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macroeconomic conditions and the political climate;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scientists’ and customers’ opinions of the utility of new products or services;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the regulatory environment;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differences in budgetary cycles;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competitor product offerings or pricing;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market-driven pressures to consolidate operations and reduce costs;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market acceptance of relatively new technologies, such as ours.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state, federal and foreign agencies that provide grants and other funding may be subject to stringent budgetary constraints that could result in spending reductions, reduced grant making, reduced allocations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and potential competitors may enjoy a number of competitive advantages over us,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longer operating histories;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larger customer bases;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greater brand recognition and market penetration;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greater financial resources and capabilities;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greater technological and research and development resources;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larger quality assurance and regulatory staff;</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larger intellectual property portfolios;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better system reliability and robustness;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greater selling and marketing capabilities;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better established, larger scale and lower cost manufacturing capabilities.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future success depends on our ability to develop and successfully introduce new and enhanced products that meet the needs of our customers.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conduct substantial research and development;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obtain necessary regulatory approval;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further develop and scale our laboratory, engineering and manufacturing processes to accommodate different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source and enter into agreements with new suppliers;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further develop and scale our infrastructure.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processes involve a high degree of risk, and these efforts may be delayed or fail for many reasons, including failure of the product to perform as expected and failure to reliably demonstrate the advantages of the product.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may discover defects in our products after the products have been fully installed and operated. In addition, some of our products include components from other vendors, which may contain latent defects. As a result, should problems occur, it may be difficult to identify the source of the problem. If we are unable to identify and fix defects or other problems, we could experience, among other things: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loss of customers or orders;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increased costs of warranty expenses;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damage to our brand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failure to attract new customers;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diversion of development, engineering and manufacturing resources;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regulatory actions by governmental authorities;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legal actions by our customers.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December 31, 2024, we had accrued approximately </w:t>
      </w:r>
      <w:r>
        <w:rPr>
          <w:rFonts w:ascii="Times New Roman;sans-serif" w:hAnsi="Times New Roman;sans-serif"/>
          <w:b w:val="false"/>
          <w:color w:val="000000"/>
          <w:sz w:val="20"/>
          <w:shd w:fill="FFFFFF" w:val="clear"/>
        </w:rPr>
        <w:t>$1.8</w:t>
      </w:r>
      <w:r>
        <w:rPr>
          <w:color w:val="000000"/>
        </w:rPr>
        <w:t xml:space="preserve"> </w:t>
      </w:r>
      <w:r>
        <w:rPr>
          <w:rFonts w:ascii="Times New Roman;sans-serif" w:hAnsi="Times New Roman;sans-serif"/>
          <w:b w:val="false"/>
          <w:color w:val="000000"/>
          <w:sz w:val="20"/>
        </w:rPr>
        <w:t xml:space="preserve">million in expenses relating to product warranty accruals. Substantial amounts of warranty claims could have an adverse effect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Shipping is a critical part of our business and any changes in our shipping arrangements or damages or losses sustained during shipping could adversely affect our business, financial condition, results of operations and prospects.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California, Seattle, Washington, Wuxi, China</w:t>
      </w:r>
      <w:r>
        <w:rPr>
          <w:rFonts w:ascii="Times New Roman;sans-serif" w:hAnsi="Times New Roman;sans-serif"/>
          <w:b w:val="false"/>
          <w:color w:val="000000"/>
          <w:sz w:val="20"/>
          <w:shd w:fill="FFFFFF" w:val="clear"/>
        </w:rPr>
        <w:t>, and Singapore r</w:t>
      </w:r>
      <w:r>
        <w:rPr>
          <w:rFonts w:ascii="Times New Roman;sans-serif" w:hAnsi="Times New Roman;sans-serif"/>
          <w:b w:val="false"/>
          <w:color w:val="000000"/>
          <w:sz w:val="20"/>
        </w:rPr>
        <w:t>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expand our commercial operations, including hiring additional qualified sales representatives, technical applications specialists and customer support staff, our business may be adversely affected.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rely on a significant base of peer-reviewed publications to showcase and validate the importance and application of our technology in academic and clinical research settings. As of December 31, 2024, there have been more than </w:t>
      </w:r>
      <w:r>
        <w:rPr>
          <w:rFonts w:ascii="Times New Roman;sans-serif" w:hAnsi="Times New Roman;sans-serif"/>
          <w:b w:val="false"/>
          <w:color w:val="000000"/>
          <w:sz w:val="20"/>
          <w:shd w:fill="FFFFFF" w:val="clear"/>
        </w:rPr>
        <w:t>2,300</w:t>
      </w:r>
      <w:r>
        <w:rPr>
          <w:color w:val="000000"/>
        </w:rPr>
        <w:t xml:space="preserve"> </w:t>
      </w:r>
      <w:r>
        <w:rPr>
          <w:rFonts w:ascii="Times New Roman;sans-serif" w:hAnsi="Times New Roman;sans-serif"/>
          <w:b w:val="false"/>
          <w:color w:val="000000"/>
          <w:sz w:val="20"/>
        </w:rPr>
        <w:t xml:space="preserve">peer-reviewed articles published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As of December 31, 2024, we had </w:t>
      </w:r>
      <w:r>
        <w:rPr>
          <w:rFonts w:ascii="Times New Roman;sans-serif" w:hAnsi="Times New Roman;sans-serif"/>
          <w:b w:val="false"/>
          <w:color w:val="000000"/>
          <w:sz w:val="20"/>
          <w:shd w:fill="FFFFFF" w:val="clear"/>
        </w:rPr>
        <w:t>648</w:t>
      </w:r>
      <w:r>
        <w:rPr>
          <w:color w:val="000000"/>
        </w:rPr>
        <w:t xml:space="preserve"> </w:t>
      </w:r>
      <w:r>
        <w:rPr>
          <w:rFonts w:ascii="Times New Roman;sans-serif" w:hAnsi="Times New Roman;sans-serif"/>
          <w:b w:val="false"/>
          <w:color w:val="000000"/>
          <w:sz w:val="20"/>
        </w:rPr>
        <w:t xml:space="preserve">employees. As our sales and marketing strategies develop, we expect to need additional managerial, operational, sales, marketing, financial and other personnel. Future growth would impose significant added responsibilities on members of management,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identifying, recruiting, integrating, maintaining and motivating additional employees;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managing our internal development efforts effectively, while complying with our contractual obligations to contractors and other third parties;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improving our operational, financial and management controls, reporting systems and procedures.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9A. Controls and Procedures” for additional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consolidated financial statements that could not be prevented or detected on a timely basis.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t>
      </w:r>
      <w:r>
        <w:rPr>
          <w:rFonts w:ascii="Times New Roman;sans-serif" w:hAnsi="Times New Roman;sans-serif"/>
          <w:b w:val="false"/>
          <w:color w:val="000000"/>
          <w:sz w:val="20"/>
          <w:shd w:fill="FFFFFF" w:val="clear"/>
        </w:rPr>
        <w:t>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we were not able to complete the preparation, review and filing of our Quarterly Report on Form 10-Q for the quarter ended September 30,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need to raise additional capital to fund our existing operations, develop our products and/or expand our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present and future funding requirements will depend on many factors, some of which are beyond our control,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achieve and maintain revenue growth;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cost of expanding our operations, including our sales and marketing efforts;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rate of progress in launching and commercializing new products, and the cost of the sales and marketing activities associated with, establishing adoption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rate of progress in, and cost of research and development activities associated with, products in research and development;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potential cost of and delays in product development as a result of any regulatory oversight applicable to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costs associated with any product recall that may occur;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costs related to domestic and international expansion;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costs of attaining, defending and enforcing our intellectual property rights;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terms and timing of any other collaborative, licensing and other arrangements that we may establish.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level of demand for any of our products, which may vary significantly;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timing and cost of, and level of investment in, research, development, manufacturing, regulatory approval and commercialization activities relating to our products, which may change from time to time;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size, seasonality and customer mix of the cell analysis market;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sales and marketing efforts and expenses;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rate at which we grow our sales force and the speed at which newly-hired salespeople become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the productivity of our sales force;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effectiveness of our distribution partners in selling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positive or negative coverage in the media or publications of our products or competitive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cost of manufacturing our products, which may vary depending on the quantity of production and the terms of our arrangements with our suppliers;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governmental regulations or in the status of our regulatory approvals or applications;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future accounting pronouncements or changes in our accounting policies;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general economic conditions, both domestically and internationally, as well as economic conditions specifically affecting the industry in which we do business, including those related to widespread health crises;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future global financial crises and economic downturns, including those caused by widespread public health crises;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general market conditions and other factors, including factors unrelated to our operating performance or the operating performance of our competitors.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sizes of the markets for our products may be smaller than we estimate.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were to be sued for product liability, we could face substantial liabilities that exceed our resources, limit sales of our existing products and limit commercialization of any products that we may develop.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substantial litigation costs;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distraction of management’s attention from our primary business;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inability to commercialize our products or new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decreased demand for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damage to our business reputation;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product recalls or withdrawals from the market;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loss of sales; or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termination of existing agreements by our partners and potential partners failing to partner with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and other legal proceedings may harm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18 to our consolidated financial statements included elsewhere in this Annual Report on Form 10-K for information regarding ongoing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providers) for our data processing–related activities and share or receive Sensitive Information with or from third parties.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artificial intelligence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we may not be able to detect, mitigate, and remediate all such vulnerabilities including on a timely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we may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 We expend significant resources and may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disruptions could seriously harm our future revenue and financial condition and increase our costs and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manufacture our products at our manufacturing facilities located in Fremont and San Diego, California; Seattle, Washington; Wuxi, China</w:t>
      </w:r>
      <w:r>
        <w:rPr>
          <w:rFonts w:ascii="Times New Roman;sans-serif" w:hAnsi="Times New Roman;sans-serif"/>
          <w:b w:val="false"/>
          <w:color w:val="000000"/>
          <w:sz w:val="20"/>
          <w:shd w:fill="FFFFFF" w:val="clear"/>
        </w:rPr>
        <w:t>; and Singapore;</w:t>
      </w:r>
      <w:r>
        <w:rPr>
          <w:color w:val="000000"/>
        </w:rPr>
        <w:t xml:space="preserve"> </w:t>
      </w:r>
      <w:r>
        <w:rPr>
          <w:rFonts w:ascii="Times New Roman;sans-serif" w:hAnsi="Times New Roman;sans-serif"/>
          <w:b w:val="false"/>
          <w:color w:val="000000"/>
          <w:sz w:val="20"/>
        </w:rPr>
        <w:t xml:space="preserve">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environmental laws and regulations are complex, change frequently and have tended to become more stringent. We cannot predict the impact of such changes and cannot be certain of our future compliance.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maintain separate environmental liability coverage and any accidental contamination or discharge or any resultant injury from these materials could result in significant cost to us in penalties, damages and suspension of our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foreign currency exchange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Government Regulation and Our Industry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our Northern Lights-CLC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untitled letters, warning letters, 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unanticipated expenditures to address or defend such actions;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recall, detention or seizure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refusing or delaying our requests for 510(k) clearance or PMA approval of new products or modified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withdrawal of 510(k) clearances on PMA approvals that have already been granted;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refusal to grant export approval for our products; or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criminal prosecution.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tariffs or other government trade policies may materially adversely affect our business and results of operations, including by reducing demand for our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imposition of tariffs and trade restrictions as a result of international trade disputes or changes in trade policies may adversely affect our sales and profitability. For example, trade tensions between the United States and China have been escalating in recent years. Effective in September 2018, the United States imposed tariffs of 10% on approximately $200 billion worth of goods imported from China, including some components the Company imports from China. These tariffs were increased to 25% effective in May 2019. Between September and December 2019, the United States imposed additional tariffs of 15% on essentially all remaining Chinese-origin imports. Recently, the U.S. government has indicated its intent to adopt a new approach to trade policy and in some cases to renegotiate, or potentially terminate, certain existing bilateral or multi-lateral trade agreements. Most notably, on February 1, 2025, President Donald Trump signed executive orders imposing a 25% tariff on certain imports from Mexico and Canada, the effectiveness of which has been delayed for 30 days, and a 10% tariff on certain imports from China, which went into effect on February 4, 2025. In addition, on February 13, 2025, President Donald Trump signed an executive order announcing plans for reciprocal tariffs on all U.S. trading partners. These imposed and newly proposed tariffs have resulted in threatened and actual retaliatory tariffs against U.S. goods. Our components are subject to the most recent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$7,988 per intentional violation)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Furthermore, in Europe, there is a proposed regulation related to artificial intelligence (“AI”) that, if adopted, could impose onerous obligations related to the use of AI-related systems. Other countries outside of Europe have enacted or are considering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 the transfer of personal information to the United States and other countries that are viewed by some regulators as to not generally provide an adequate level of data privacy and security. Although there are currently various mechanisms that can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are also increasingly scrutinizing certain personal data transfers and imposing data localization requirements, for example, the Biden Administration’s executive order Preventing Access to Americans’ Bulk Sensitive Personal Data and United States Government-Related Data by Countries of Concern.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transparency, deceptive, unfair, or misrepresentative of our practices, we may be subject to investigation, enforcement actions by regulators or other adverse consequences.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U.S. and certain foreign anti-corruption and anti-money laundering laws and regulations. We can face criminal liability and other serious consequences for violations, which can harm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U.S. federal and state fraud and abuse and other healthcare laws and regulations, including those relating to kickbacks and false claims, we could face substantial penalties and our business operations and financial condition could be harmed.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applicable fraud and abuse or other healthcare laws and regulations. The laws that may affect our ability to operate include, among others: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federal civil False Claims Act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with respect to safeguarding the privacy, security and transmission of individually identifiable health information;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commercial partners and vendors may engage in misconduct or other improper activities, including noncompliance with regulatory standards and requirements, which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either the patent laws or their interpretation in the United States and other countries may diminish our ability to protect our inventions and 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Including rights acquired in connection with the FCI Acquisition, as of December 31, 2024, we own 35 issued U.S. utility patents, ten issued Japan utility patents, seven issued European utility patents, three issued China utility patents, one Canada utility patent, one India utility patent, two Australian utility patents, and three Singapore utility patents. We have 70 pending utility patent applications, including 45 utility patent applications in the United States, three international utility patent applications, nine utility patent applications in the European Union, nine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December 31, 2024, our Shanghai subsidiary owns 12 issued utility patents and eight issued invention patents and has two pending invention patent applications, and our Wuxi subsidiary owns 42 issued patents and has five pending invention patent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Patents covering our current, and any future products, or our technologies could be found invalid or unenforceable if challenged in court or before administrative bodies in the United States or abroad, which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intellectual property, including patent, protection depends on compliance with various procedural, document submission, fee payment and other requirements imposed by government agencies,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intellectual property, including patent, protection could be reduced or eliminated for non-compliance with these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U.S. patent law could diminish the value of patents in general, thereby impairing our ability to protect our current and any future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Third-party claims of intellectual property infringement, misappropriation or other violation against us, the joint-owners of our intellectual property, or our collaborators may prevent or delay the sale and marketing of our current and any future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18 to our consolidated financial statements included elsewhere in this Annual Report on Form 10-K for further details regarding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lawsuits to protect or enforce our patents and other intellectual property rights, which could be expensive, time-consuming and unsuccessful.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of a key information technology system, process, or site could have an adverse effect on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use of open source software could compromise our ability to offer our services and subject us to possible litigation.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continue to be volatile, and our stockholders may not be able to resell shares of our common stock at or above the price they paid.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Annual Report on Form 10-K, these factors include: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degree and rate of market adoption of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variance in our financial performance from expectations of securities analysts or investors;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our projected operating and financial results;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significant lawsuits, including patent or stockholder litigation;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negative publicity associated with issues related to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senior management or key personnel;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future sales of our common stock or other securities, by us or our stockholders, as well as the anticipation of lock-up releases;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trading volume of our common stock;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obtain and maintain regulatory approvals for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laws or regulations applicable to our products;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adverse developments concerning any of our third-party distribution partners and suppliers, including our single and sole-source suppliers;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announcements by us or our competitors of significant business developments, acquisitions, or new offerings;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inability to engage additional distribution partners and establish collaborations, if needed;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general economic, regulatory and market conditions, including economic recessions or slowdowns, the ongoing war in Ukraine, conflict in the Middle East and the general inflationary environment;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other events or factors, many of which are beyond our control.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face such litigation, it could result in substantial costs and a diversion of management’s attention and resources, which could harm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broad discretion in the use of our cash and may invest or spend the funds in ways with which you do not agree and in ways that may not yield a return.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Substantial future sales of shares of our common stock or securities convertible into our common stock will result in additional dilution of the percentage of ownership of our stockholders and could cause the market price of our common stock to decline.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addition, we may offer and sell up to </w:t>
      </w:r>
      <w:r>
        <w:rPr>
          <w:rFonts w:ascii="Times New Roman;sans-serif" w:hAnsi="Times New Roman;sans-serif"/>
          <w:b w:val="false"/>
          <w:color w:val="000000"/>
          <w:sz w:val="20"/>
          <w:shd w:fill="FFFFFF" w:val="clear"/>
        </w:rPr>
        <w:t>$150 million</w:t>
      </w:r>
      <w:r>
        <w:rPr>
          <w:color w:val="000000"/>
        </w:rPr>
        <w:t xml:space="preserve"> </w:t>
      </w:r>
      <w:r>
        <w:rPr>
          <w:rFonts w:ascii="Times New Roman;sans-serif" w:hAnsi="Times New Roman;sans-serif"/>
          <w:b w:val="false"/>
          <w:color w:val="000000"/>
          <w:sz w:val="20"/>
        </w:rPr>
        <w:t>shares of common stock registered under our universal shelf registration statement on Form S-3 pursuant to the sales agreement (“Sales Agreement”) with Piper Sandler &amp; Co. (“Piper”) as sales agent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ownership of our common stock among our executive officers, directors and principal stockholders and their respective affiliates may prevent new investors from influencing significant corporate decisions.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Based on the number of shares of common stock outstanding as of December 31, 2024, our executive officers, directors, holders of 5% or more of our common stock and their respective affiliates (based on filings with the SEC), in the aggregate, own approximately </w:t>
      </w:r>
      <w:r>
        <w:rPr>
          <w:rFonts w:ascii="Times New Roman;sans-serif" w:hAnsi="Times New Roman;sans-serif"/>
          <w:b w:val="false"/>
          <w:color w:val="000000"/>
          <w:sz w:val="20"/>
          <w:shd w:fill="FFFFFF" w:val="clear"/>
        </w:rPr>
        <w:t xml:space="preserve">44.8% </w:t>
      </w:r>
      <w:r>
        <w:rPr>
          <w:rFonts w:ascii="Times New Roman;sans-serif" w:hAnsi="Times New Roman;sans-serif"/>
          <w:b w:val="false"/>
          <w:color w:val="000000"/>
          <w:sz w:val="20"/>
        </w:rPr>
        <w:t xml:space="preserve">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disclosure controls and procedures may not prevent or detect all errors or acts of fraud.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 prohibition on stockholder action through written consent, which requires that all stockholder actions be taken at a meeting of our stockholders;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Risk Factors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be subject to securities class action litigation.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incurred and will continue to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failure to meet Nasdaq’s continued listing requirements could result in a delisting of our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or publish unfavorable or inaccurate research about our business, our common stock price and trading volume could decline.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losses (“NOLs”) to offset future taxable income may be subject to certain limitations.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 be other limitations under state law on our ability to utilize NOLs, including temporary suspensions or other limitations on the use of NOLs to offset taxable income. We determined that an ownership change occurred on September 7, 2018, October 23, 2020, and in connection with our initial public offering on July 23, 2021.</w:t>
      </w:r>
      <w:r>
        <w:rPr>
          <w:color w:val="000000"/>
          <w:shd w:fill="FFFFFF" w:val="clear"/>
        </w:rPr>
        <w:t xml:space="preserve"> </w:t>
      </w: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 xml:space="preserve">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our effective tax rate or tax liability may have an adverse effect on our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could increase due to several factors, including: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the relative amounts of income before taxes in the various jurisdictions in which we operate that have differing statutory tax rates;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in tax laws, tax treaties, and regulations or the interpretation of them;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outcome of current and future tax audits, examinations, or administrative appeals;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limitations or adverse findings regarding our ability to do business in some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 and regulations may have a material adverse effect on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the data of our partners (“Information Systems and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Financial Officer (“CFO”) and our information technology (“IT”) department help identify, assess, and manage our cybersecurity threats and risks. Our information technology department identifies and assesses risks from cybersecurity threats by monitoring and evaluating our threat environment using various methods including, for example, evaluating threats reported to us, conducting threat and vulnerability assessments, and performing audits.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environment, system, and data, we implement and maintain various technical, physical, and organizational measures, processes, standards, and/or policies designed to manage and mitigate material risks from cybersecurity threats to our Information Systems and Data, including, for example: a security incident response plan, disaster recovery and business continuity plans, encryption of data, access controls, asset management, and penetration testing.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assessment and management of material risks from cybersecurity threats are integrated into our overall risk management processes. For example, our IT department works with senior management to prioritize our risk management processes and mitigate cybersecurity threats that are more likely to lead to a material impact to our business, and our senior management evaluates material risks from cybersecurity threats against our overall business objectives and reports to our board of directors, which evaluates our overall enterprise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assist us from time to time to identify, assess, and manage material risks from cybersecurity threats, including for example, professional services firms such as legal counsel, cybersecurity software providers and penetration testing firms.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perform a variety of functions throughout our business, such as cloud-based infrastructure hosting, data hosting, and encryption and authentication services. We have a vendor management program to manage cybersecurity risks associated with our use of these providers, which may include regular security assessments, audits, and compliance checks.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the risks from cybersecurity threats that may materially affect our business and how they may do so, see the section titled “Risk factors” in this Annual Report on Form 10-K, including “If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addresses our cybersecurity risk management as part of its general oversight function and is responsible for overseeing our cybersecurity risk management processes, including oversight of mitigation of risks from cybersecurity threats.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Our cybersecurity risk assessment and management processes are implemented and maintained by certain members of our management team</w:t>
      </w:r>
      <w:r>
        <w:rPr>
          <w:rFonts w:ascii="Times New Roman;sans-serif" w:hAnsi="Times New Roman;sans-serif"/>
          <w:b w:val="false"/>
          <w:color w:val="000000"/>
          <w:sz w:val="20"/>
          <w:shd w:fill="FFFFFF" w:val="clear"/>
        </w:rPr>
        <w:t xml:space="preserve">, including our CFO, Mr. William McCombe. Mr. McCombe has experience in the security of both corporate and technical systems as well as business continuity planning in previous roles at various companies.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hiring appropriate personnel, helping to integrate cybersecurity risk considerations into our overall risk management strategy, and communicating key priorities to relevant personnel. Management is also responsible for approving budgets, helping prepare for cybersecurity incidents, approving cybersecurity processes, and reviewing security assessments and other security-related reports.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security incident response plan is designed to escalate certain cybersecurity incidents to members of management depending on the circumstances, including our CFO and senior director of global information technology. Our CFO works with our IT department to help us mitigate and remediate cybersecurity incidents of which they are notified. In addition, our incident response process includes reporting to our board of directors for certain cybersecurity incidents.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receives periodic reports from management concerning our significant cybersecurity threats and risk and the processes we have implemented to address them. Our board of directors also receives various reports, summaries or presentations related to cybersecurity threats, risk and mitigation.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approximately 99,000 square feet of office and laboratory space at our headquarter in Fremont, California. The lease expires in February 2029.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Wuxi, China, we lease approximately 9,800 square feet of manufacturing and office space. The lease expires in January 2026. In November 2023, we purchased a building in Wuxi, China and relocated our Wuxi operations to the new facility in January 2024. The Wuxi building has approximately 56,000 square feet of manufacturing and office space.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Shanghai, China, we lease approximately 14,000 square feet of office and laboratory space, under multiple leases expiring between November 2025 and November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Singapore, we lease approximately 8,500 square feet of manufacturing and office space. The lease expires in January 2028.</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lease space in Seattle, Washington; Bethesda, Maryland; San Diego, California; Beijing, China; Tokyo, Japan; Amsterdam, Netherlands; and Ely, England. We believe that our existing office, laboratory and manufacturing space, together with additional space and facilities available on commercially reasonable terms, will be sufficient to meet our current and future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3. </w:t>
      </w:r>
      <w:r>
        <w:rPr>
          <w:rFonts w:ascii="Times New Roman;sans-serif" w:hAnsi="Times New Roman;sans-serif"/>
          <w:b/>
          <w:color w:val="000000"/>
          <w:sz w:val="20"/>
          <w:shd w:fill="FFFFFF" w:val="clear"/>
        </w:rPr>
        <w:t>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involved in legal proceedings and claims. See Note 18 to our consolidated financial statements included elsewhere in this Annual Report on Form 10-K for information regarding ongoing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began trading on the Nasdaq Global Select Market on July 23, 2021 and trades under the symbol “CTKB”. Prior to July 23, 2021, there was no public trading market for our common stock.</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As of February 17, 2025, there were approximately </w:t>
      </w:r>
      <w:r>
        <w:rPr>
          <w:rFonts w:ascii="Times New Roman;sans-serif" w:hAnsi="Times New Roman;sans-serif"/>
          <w:b w:val="false"/>
          <w:color w:val="000000"/>
          <w:sz w:val="20"/>
        </w:rPr>
        <w:t>18</w:t>
      </w:r>
      <w:r>
        <w:rPr>
          <w:color w:val="000000"/>
          <w:shd w:fill="FFFFFF" w:val="clear"/>
        </w:rPr>
        <w:t xml:space="preserve"> </w:t>
      </w:r>
      <w:r>
        <w:rPr>
          <w:rFonts w:ascii="Times New Roman;sans-serif" w:hAnsi="Times New Roman;sans-serif"/>
          <w:b w:val="false"/>
          <w:color w:val="000000"/>
          <w:sz w:val="20"/>
          <w:shd w:fill="FFFFFF" w:val="clear"/>
        </w:rPr>
        <w:t>stockholders of record.</w:t>
      </w:r>
      <w:r>
        <w:rPr>
          <w:color w:val="000000"/>
        </w:rPr>
        <w:t xml:space="preserve"> </w:t>
      </w:r>
      <w:r>
        <w:rPr>
          <w:rFonts w:ascii="Times New Roman;sans-serif" w:hAnsi="Times New Roman;sans-serif"/>
          <w:b w:val="false"/>
          <w:color w:val="000000"/>
          <w:sz w:val="20"/>
        </w:rPr>
        <w:t>Because brokers and other institutions hold many of our shares on behalf of stockholders, we are unable to estimate the total number of stockholders represented by these record holders.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5, 2024, our board of directors approved a program for the repurchase of up to an aggregate of $50 million of our outstanding common stock. The repurchase program expired on December 31, 2024 with a remaining unused balance of $28.5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with respect to the repurchase of shares of our common stock from the commencement of the repurchase program until its expiration on December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share amount and average price per share, dollar value in thousands)</w:t>
      </w:r>
    </w:p>
    <w:p>
      <w:pPr>
        <w:pStyle w:val="TextBody"/>
        <w:bidi w:val="0"/>
        <w:spacing w:before="120" w:after="283"/>
        <w:ind w:left="0" w:right="0" w:firstLine="12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04"/>
        <w:gridCol w:w="495"/>
        <w:gridCol w:w="498"/>
        <w:gridCol w:w="650"/>
        <w:gridCol w:w="537"/>
        <w:gridCol w:w="539"/>
        <w:gridCol w:w="309"/>
        <w:gridCol w:w="737"/>
        <w:gridCol w:w="172"/>
        <w:gridCol w:w="1105"/>
        <w:gridCol w:w="880"/>
        <w:gridCol w:w="882"/>
        <w:gridCol w:w="417"/>
        <w:gridCol w:w="2045"/>
        <w:gridCol w:w="335"/>
      </w:tblGrid>
      <w:tr>
        <w:trPr/>
        <w:tc>
          <w:tcPr>
            <w:tcW w:w="6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repurchased</w:t>
            </w:r>
          </w:p>
        </w:tc>
        <w:tc>
          <w:tcPr>
            <w:tcW w:w="12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for share</w:t>
            </w:r>
          </w:p>
        </w:tc>
        <w:tc>
          <w:tcPr>
            <w:tcW w:w="28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7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Remaining dollar value that may yet be purchased under the plans or programs</w:t>
            </w:r>
          </w:p>
        </w:tc>
      </w:tr>
      <w:tr>
        <w:trPr/>
        <w:tc>
          <w:tcPr>
            <w:tcW w:w="15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 December 31, 2023</w:t>
            </w:r>
          </w:p>
        </w:tc>
        <w:tc>
          <w:tcPr>
            <w:tcW w:w="11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6,613,780 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6,613,780 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5,981,000 </w:t>
            </w:r>
          </w:p>
        </w:tc>
        <w:tc>
          <w:tcPr>
            <w:tcW w:w="33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 June 30, 2024</w:t>
            </w:r>
          </w:p>
        </w:tc>
        <w:tc>
          <w:tcPr>
            <w:tcW w:w="11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444,319 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7,058,099 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47,300,000 </w:t>
            </w:r>
          </w:p>
        </w:tc>
        <w:tc>
          <w:tcPr>
            <w:tcW w:w="33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 July 31, 2024</w:t>
            </w:r>
          </w:p>
        </w:tc>
        <w:tc>
          <w:tcPr>
            <w:tcW w:w="11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 August 31, 2024</w:t>
            </w:r>
          </w:p>
        </w:tc>
        <w:tc>
          <w:tcPr>
            <w:tcW w:w="11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1,113,843 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8,171,942 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41,500,000 </w:t>
            </w:r>
          </w:p>
        </w:tc>
        <w:tc>
          <w:tcPr>
            <w:tcW w:w="33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 September 30, 2024</w:t>
            </w:r>
          </w:p>
        </w:tc>
        <w:tc>
          <w:tcPr>
            <w:tcW w:w="11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1,080,512 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9,252,454 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35,500,000 </w:t>
            </w:r>
          </w:p>
        </w:tc>
        <w:tc>
          <w:tcPr>
            <w:tcW w:w="33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 – October 31, 2024</w:t>
            </w:r>
          </w:p>
        </w:tc>
        <w:tc>
          <w:tcPr>
            <w:tcW w:w="11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959,007 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10,211,461 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30,500,000 </w:t>
            </w:r>
          </w:p>
        </w:tc>
        <w:tc>
          <w:tcPr>
            <w:tcW w:w="33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 November 30, 2024</w:t>
            </w:r>
          </w:p>
        </w:tc>
        <w:tc>
          <w:tcPr>
            <w:tcW w:w="11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373,943 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10,585,404 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28,500,000 </w:t>
            </w:r>
          </w:p>
        </w:tc>
        <w:tc>
          <w:tcPr>
            <w:tcW w:w="33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 December 31, 2024</w:t>
            </w:r>
          </w:p>
        </w:tc>
        <w:tc>
          <w:tcPr>
            <w:tcW w:w="11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Life to Date Total</w:t>
            </w:r>
          </w:p>
        </w:tc>
        <w:tc>
          <w:tcPr>
            <w:tcW w:w="1187"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3,971,624 </w:t>
            </w:r>
          </w:p>
        </w:tc>
        <w:tc>
          <w:tcPr>
            <w:tcW w:w="5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10,585,404 </w:t>
            </w:r>
          </w:p>
        </w:tc>
        <w:tc>
          <w:tcPr>
            <w:tcW w:w="8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28,500,000 </w:t>
            </w:r>
          </w:p>
        </w:tc>
        <w:tc>
          <w:tcPr>
            <w:tcW w:w="335"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repurchase program was used to return capital to shareholders and to minimize the dilutive impact of stock options and other stock-based awards. The repurchased shares of common stock were retired. The commission costs related to the repurchases were </w:t>
      </w:r>
      <w:r>
        <w:rPr>
          <w:rFonts w:ascii="Times New Roman;sans-serif" w:hAnsi="Times New Roman;sans-serif"/>
          <w:b w:val="false"/>
          <w:color w:val="000000"/>
          <w:sz w:val="20"/>
          <w:shd w:fill="FFFFFF" w:val="clear"/>
        </w:rPr>
        <w:t xml:space="preserve">$0.03 million and </w:t>
      </w:r>
      <w:r>
        <w:rPr>
          <w:rFonts w:ascii="Times New Roman;sans-serif" w:hAnsi="Times New Roman;sans-serif"/>
          <w:b w:val="false"/>
          <w:color w:val="000000"/>
          <w:sz w:val="20"/>
        </w:rPr>
        <w:t xml:space="preserve">$0.08 million for the three months and twelve months ended December 31, 2024, respectively.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2024, we have accrued </w:t>
      </w:r>
      <w:r>
        <w:rPr>
          <w:rFonts w:ascii="Times New Roman;sans-serif" w:hAnsi="Times New Roman;sans-serif"/>
          <w:b w:val="false"/>
          <w:color w:val="000000"/>
          <w:sz w:val="20"/>
          <w:shd w:fill="FFFFFF" w:val="clear"/>
        </w:rPr>
        <w:t>$0.4 million</w:t>
      </w:r>
      <w:r>
        <w:rPr>
          <w:color w:val="000000"/>
        </w:rPr>
        <w:t xml:space="preserve"> </w:t>
      </w:r>
      <w:r>
        <w:rPr>
          <w:rFonts w:ascii="Times New Roman;sans-serif" w:hAnsi="Times New Roman;sans-serif"/>
          <w:b w:val="false"/>
          <w:color w:val="000000"/>
          <w:sz w:val="20"/>
        </w:rPr>
        <w:t xml:space="preserve">excise taxes related with our shares repurchases. </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Stock Performance Graph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is not “soliciting material,” is not deemed “filed” with the SEC and is not to be incorporated by reference in any filing of Cytek Biosciences under the Securities Act of 1933, as amended (the “Securities Act”), or the Securities Exchange Act of 1934, as amended (the “Exchange Act”), whether made before or after the date hereof and irrespective of any general incorporation language in any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on an investment of $100 in cash on July 23, 2021 through December 31, 2024, in our common stock, the Nasdaq Composite Index and the Nasdaq Biotechnology Components Index and assuming that all dividends were reinvested. The stockholder return shown on the graph below is based on historical data and is not necessarily indicative of future performance, and we do not make or endorse any predictions as to future stockholder returns.</w:t>
      </w:r>
    </w:p>
    <w:p>
      <w:pPr>
        <w:pStyle w:val="TextBody"/>
        <w:bidi w:val="0"/>
        <w:spacing w:before="0" w:after="0"/>
        <w:jc w:val="left"/>
        <w:rPr/>
      </w:pPr>
      <w:r>
        <w:rPr/>
      </w:r>
    </w:p>
    <w:p>
      <w:pPr>
        <w:pStyle w:val="TextBody"/>
        <w:bidi w:val="0"/>
        <w:spacing w:before="0" w:after="0"/>
        <w:ind w:left="0" w:right="0" w:firstLine="540"/>
        <w:jc w:val="left"/>
        <w:rPr/>
      </w:pPr>
      <w:r>
        <w:rPr/>
        <w:drawing>
          <wp:inline distT="0" distB="0" distL="0" distR="0">
            <wp:extent cx="5943600" cy="2400300"/>
            <wp:effectExtent l="0" t="0" r="0" b="0"/>
            <wp:docPr id="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 descr=""/>
                    <pic:cNvPicPr>
                      <a:picLocks noChangeAspect="1" noChangeArrowheads="1"/>
                    </pic:cNvPicPr>
                  </pic:nvPicPr>
                  <pic:blipFill>
                    <a:blip r:embed="rId2"/>
                    <a:stretch>
                      <a:fillRect/>
                    </a:stretch>
                  </pic:blipFill>
                  <pic:spPr bwMode="auto">
                    <a:xfrm>
                      <a:off x="0" y="0"/>
                      <a:ext cx="5943600" cy="2400300"/>
                    </a:xfrm>
                    <a:prstGeom prst="rect">
                      <a:avLst/>
                    </a:prstGeom>
                  </pic:spPr>
                </pic:pic>
              </a:graphicData>
            </a:graphic>
          </wp:inline>
        </w:drawing>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involve risks and uncertainties. See </w:t>
      </w:r>
      <w:r>
        <w:rPr>
          <w:color w:val="000000"/>
        </w:rPr>
        <w:t>“</w:t>
      </w:r>
      <w:r>
        <w:rPr>
          <w:rFonts w:ascii="Times New Roman;sans-serif" w:hAnsi="Times New Roman;sans-serif"/>
          <w:b w:val="false"/>
          <w:i/>
          <w:color w:val="000000"/>
          <w:sz w:val="20"/>
        </w:rPr>
        <w:t>Special Note Regarding Forward-Looking Statements</w:t>
      </w:r>
      <w:r>
        <w:rPr>
          <w:color w:val="000000"/>
        </w:rPr>
        <w:t xml:space="preserve">” </w:t>
      </w:r>
      <w:r>
        <w:rPr>
          <w:rFonts w:ascii="Times New Roman;sans-serif" w:hAnsi="Times New Roman;sans-serif"/>
          <w:b w:val="false"/>
          <w:i/>
          <w:color w:val="000000"/>
          <w:sz w:val="20"/>
        </w:rPr>
        <w:t xml:space="preserve">at the beginning of this Annual Report on Form 10-K. Our actual results could differ materially from those contained in these forward-looking statements due to a number of factors, including those discussed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and elsewhere in this Annual Report on Form 10-K. Unless the context requires otherwise, references in this Annual Report on Form 10-K to </w:t>
      </w:r>
      <w:r>
        <w:rPr>
          <w:color w:val="000000"/>
        </w:rPr>
        <w:t>“</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our</w:t>
      </w:r>
      <w:r>
        <w:rPr>
          <w:color w:val="000000"/>
        </w:rPr>
        <w:t xml:space="preserve">” </w:t>
      </w:r>
      <w:r>
        <w:rPr>
          <w:rFonts w:ascii="Times New Roman;sans-serif" w:hAnsi="Times New Roman;sans-serif"/>
          <w:b w:val="false"/>
          <w:i/>
          <w:color w:val="000000"/>
          <w:sz w:val="20"/>
        </w:rPr>
        <w:t>refer to Cytek Biosciences, Inc.</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following is a discussion and year-to-year comparisons of our financial condition and results of operations for the years ended December 31, 2024 and 2023. For a discussion of the results of operations and financial condition for the years ended December 31, 2023 and year-to-year comparisons between 2023 and 2022, please refer to </w:t>
      </w:r>
      <w:r>
        <w:rPr>
          <w:color w:val="000000"/>
        </w:rPr>
        <w:t>“</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i/>
          <w:color w:val="000000"/>
          <w:sz w:val="20"/>
        </w:rPr>
        <w:t xml:space="preserve">section of our Annual Report on Form 10-K filed with the SEC on </w:t>
      </w:r>
      <w:r>
        <w:rPr>
          <w:rFonts w:ascii="Times New Roman;sans-serif" w:hAnsi="Times New Roman;sans-serif"/>
          <w:b w:val="false"/>
          <w:color w:val="000000"/>
          <w:sz w:val="20"/>
        </w:rPr>
        <w:t>March 13, 2024</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FSP cell analyzers, the Cytek Aurora and Northern Lights systems,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through December 31, 2024, we have sold and deployed our instruments to customers around the world, including pharmaceutical companies, biopharma companies, academic research centers, and clinical research organizations (“CROs”).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manufacture our instruments in our facilities in Fremont, California; Wuxi, China; Seattle, Washingto</w:t>
      </w:r>
      <w:r>
        <w:rPr>
          <w:rFonts w:ascii="Times New Roman;sans-serif" w:hAnsi="Times New Roman;sans-serif"/>
          <w:b w:val="false"/>
          <w:color w:val="000000"/>
          <w:sz w:val="20"/>
          <w:shd w:fill="FFFFFF" w:val="clear"/>
        </w:rPr>
        <w:t>n; and Singapore.</w:t>
      </w:r>
      <w:r>
        <w:rPr>
          <w:color w:val="000000"/>
        </w:rPr>
        <w:t xml:space="preserve"> </w:t>
      </w:r>
      <w:r>
        <w:rPr>
          <w:rFonts w:ascii="Times New Roman;sans-serif" w:hAnsi="Times New Roman;sans-serif"/>
          <w:b w:val="false"/>
          <w:color w:val="000000"/>
          <w:sz w:val="20"/>
        </w:rPr>
        <w:t xml:space="preserve">We have designed our operating model to be capital efficient and to scale efficiently as our product volumes grow.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Total revenue for the year ended December 31, 2024 was </w:t>
      </w:r>
      <w:r>
        <w:rPr>
          <w:rFonts w:ascii="Times New Roman;sans-serif" w:hAnsi="Times New Roman;sans-serif"/>
          <w:b w:val="false"/>
          <w:color w:val="000000"/>
          <w:sz w:val="20"/>
          <w:shd w:fill="FFFFFF" w:val="clear"/>
        </w:rPr>
        <w:t>$200.5 million</w:t>
      </w:r>
      <w:r>
        <w:rPr>
          <w:rFonts w:ascii="Times New Roman;sans-serif" w:hAnsi="Times New Roman;sans-serif"/>
          <w:b w:val="false"/>
          <w:color w:val="000000"/>
          <w:sz w:val="20"/>
        </w:rPr>
        <w:t xml:space="preserve">, representing a </w:t>
      </w:r>
      <w:r>
        <w:rPr>
          <w:rFonts w:ascii="Times New Roman;sans-serif" w:hAnsi="Times New Roman;sans-serif"/>
          <w:b w:val="false"/>
          <w:color w:val="000000"/>
          <w:sz w:val="20"/>
          <w:shd w:fill="FFFFFF" w:val="clear"/>
        </w:rPr>
        <w:t>4%</w:t>
      </w:r>
      <w:r>
        <w:rPr>
          <w:color w:val="000000"/>
        </w:rPr>
        <w:t xml:space="preserve"> </w:t>
      </w:r>
      <w:r>
        <w:rPr>
          <w:rFonts w:ascii="Times New Roman;sans-serif" w:hAnsi="Times New Roman;sans-serif"/>
          <w:b w:val="false"/>
          <w:color w:val="000000"/>
          <w:sz w:val="20"/>
        </w:rPr>
        <w:t xml:space="preserve">increase compared to revenue for the year ended December 31, 2023 of $193.0 million.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w:t>
      </w:r>
      <w:r>
        <w:rPr>
          <w:rFonts w:ascii="Times New Roman;sans-serif" w:hAnsi="Times New Roman;sans-serif"/>
          <w:b w:val="false"/>
          <w:color w:val="000000"/>
          <w:sz w:val="20"/>
          <w:shd w:fill="FFFFFF" w:val="clear"/>
        </w:rPr>
        <w:t>75%</w:t>
      </w:r>
      <w:r>
        <w:rPr>
          <w:rFonts w:ascii="Times New Roman;sans-serif" w:hAnsi="Times New Roman;sans-serif"/>
          <w:b w:val="false"/>
          <w:color w:val="000000"/>
          <w:sz w:val="20"/>
        </w:rPr>
        <w:t xml:space="preserve">, 76% and 79% of total revenue for the years ended December 31, 2024, 2023 and 2022, respectively, and revenue from distributors represented </w:t>
      </w:r>
      <w:r>
        <w:rPr>
          <w:rFonts w:ascii="Times New Roman;sans-serif" w:hAnsi="Times New Roman;sans-serif"/>
          <w:b w:val="false"/>
          <w:color w:val="000000"/>
          <w:sz w:val="20"/>
          <w:shd w:fill="FFFFFF" w:val="clear"/>
        </w:rPr>
        <w:t>25%</w:t>
      </w:r>
      <w:r>
        <w:rPr>
          <w:rFonts w:ascii="Times New Roman;sans-serif" w:hAnsi="Times New Roman;sans-serif"/>
          <w:b w:val="false"/>
          <w:color w:val="000000"/>
          <w:sz w:val="20"/>
        </w:rPr>
        <w:t>, 24% and 21% of total revenue for the years ended December 31, 2024, 2023 and 2022, respectively.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w:t>
      </w:r>
      <w:r>
        <w:rPr>
          <w:rFonts w:ascii="Times New Roman;sans-serif" w:hAnsi="Times New Roman;sans-serif"/>
          <w:b w:val="false"/>
          <w:color w:val="000000"/>
          <w:sz w:val="20"/>
          <w:shd w:fill="FFFFFF" w:val="clear"/>
        </w:rPr>
        <w:t>$39.4</w:t>
      </w:r>
      <w:r>
        <w:rPr>
          <w:color w:val="000000"/>
        </w:rPr>
        <w:t xml:space="preserve"> </w:t>
      </w:r>
      <w:r>
        <w:rPr>
          <w:rFonts w:ascii="Times New Roman;sans-serif" w:hAnsi="Times New Roman;sans-serif"/>
          <w:b w:val="false"/>
          <w:color w:val="000000"/>
          <w:sz w:val="20"/>
        </w:rPr>
        <w:t xml:space="preserve">million, $44.2 million and $34.9 million for the years ended December 31, 2024, 2023 and 2022, respectively. We intend to continue to make significant investments in research and development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w:t>
      </w:r>
      <w:r>
        <w:rPr>
          <w:rFonts w:ascii="Times New Roman;sans-serif" w:hAnsi="Times New Roman;sans-serif"/>
          <w:b w:val="false"/>
          <w:color w:val="000000"/>
          <w:sz w:val="20"/>
          <w:shd w:fill="FFFFFF" w:val="clear"/>
        </w:rPr>
        <w:t>$49.1</w:t>
      </w:r>
      <w:r>
        <w:rPr>
          <w:color w:val="000000"/>
        </w:rPr>
        <w:t xml:space="preserve"> </w:t>
      </w:r>
      <w:r>
        <w:rPr>
          <w:rFonts w:ascii="Times New Roman;sans-serif" w:hAnsi="Times New Roman;sans-serif"/>
          <w:b w:val="false"/>
          <w:color w:val="000000"/>
          <w:sz w:val="20"/>
        </w:rPr>
        <w:t>million, $49.1 million and $33.2 million for the years ended December 31, 2024, 2023 and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in 2014, we have financed our operations primarily through sales of our securities and revenue from the sale of our products and services.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net loss was </w:t>
      </w:r>
      <w:r>
        <w:rPr>
          <w:rFonts w:ascii="Times New Roman;sans-serif" w:hAnsi="Times New Roman;sans-serif"/>
          <w:b w:val="false"/>
          <w:color w:val="000000"/>
          <w:sz w:val="20"/>
          <w:shd w:fill="FFFFFF" w:val="clear"/>
        </w:rPr>
        <w:t>$6.0 million</w:t>
      </w:r>
      <w:r>
        <w:rPr>
          <w:color w:val="000000"/>
        </w:rPr>
        <w:t xml:space="preserve"> </w:t>
      </w:r>
      <w:r>
        <w:rPr>
          <w:rFonts w:ascii="Times New Roman;sans-serif" w:hAnsi="Times New Roman;sans-serif"/>
          <w:b w:val="false"/>
          <w:color w:val="000000"/>
          <w:sz w:val="20"/>
        </w:rPr>
        <w:t>and $12.1 million</w:t>
      </w:r>
      <w:r>
        <w:rPr>
          <w:color w:val="000000"/>
          <w:shd w:fill="FFFFFF" w:val="clear"/>
        </w:rPr>
        <w:t xml:space="preserve"> </w:t>
      </w: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or the years ended December 31, 2024 and 2023, respectively, and our net income was $2.5 million for the year ended December 31, 2022. The change for the year ended December 31, 2024 compared to the year ended December 31, 2023 resulted primarily from an increase in revenues and gross profit and a reduction in operating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expenses will increase substantially in connection with our ongoing activities, as we: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attract, hire and retain qualified personnel;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invest in processes, commercial infrastructure and supporting functions to scale our business and introduce new products and services;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support our research and development efforts;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continue to expand geographically;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protect and defend our intellectual property;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make strategic investments in complementary businesses, services, products or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results of operations and future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Annual Report on Form 10-K.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Global customer adoption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Recurring revenues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mix and gross margin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near term, we expect the continued leveraging of fixed manufacturing and service overhead costs, optimization of our manufacturing processes, and material cost fluctuations to have the greatest impact on our gross margin.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Expansion into new markets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business metrics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 </w:t>
      </w:r>
    </w:p>
    <w:tbl>
      <w:tblPr>
        <w:tblW w:w="10205" w:type="dxa"/>
        <w:jc w:val="left"/>
        <w:tblInd w:w="0" w:type="dxa"/>
        <w:tblLayout w:type="fixed"/>
        <w:tblCellMar>
          <w:top w:w="28" w:type="dxa"/>
          <w:left w:w="28" w:type="dxa"/>
          <w:bottom w:w="28" w:type="dxa"/>
          <w:right w:w="28" w:type="dxa"/>
        </w:tblCellMar>
      </w:tblPr>
      <w:tblGrid>
        <w:gridCol w:w="1217"/>
        <w:gridCol w:w="856"/>
        <w:gridCol w:w="84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7"/>
        <w:gridCol w:w="716"/>
        <w:gridCol w:w="117"/>
        <w:gridCol w:w="109"/>
        <w:gridCol w:w="109"/>
        <w:gridCol w:w="109"/>
        <w:gridCol w:w="223"/>
        <w:gridCol w:w="764"/>
        <w:gridCol w:w="167"/>
      </w:tblGrid>
      <w:tr>
        <w:trPr/>
        <w:tc>
          <w:tcPr>
            <w:tcW w:w="121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vs. 2022</w:t>
            </w:r>
          </w:p>
        </w:tc>
      </w:tr>
      <w:tr>
        <w:trPr/>
        <w:tc>
          <w:tcPr>
            <w:tcW w:w="29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 Change</w:t>
            </w:r>
          </w:p>
        </w:tc>
      </w:tr>
      <w:tr>
        <w:trPr/>
        <w:tc>
          <w:tcPr>
            <w:tcW w:w="2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Sales channel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sales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Academia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 pharmaceutical, distributor and CRO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Distributors typically sell to end customers identified in other customer categories.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Known Trends, Events and Uncertainties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and research and development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and full year ended December 31, 2024, and may adversely affect our operating results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strengthening of the U.S. dollar in late 2024 against the currencies of other countries where we do business had a negative impact on revenue in the fourth quarter of 2024 and may have a continuing negative impact in the near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Trump administration has signaled changes to existing U.S. trade policies, including imposing tariffs on imports from Mexico, Canada, and China, announcing plans for reciprocal tariffs on all U.S. trading partners, and renegotiating or potentially terminating existing bilateral and multi-lateral trade agreements. Although we cannot predict the ultimate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Trump administration’s imposition of tariffs as well as threatened and actual retaliatory tariffs against U.S. goods may have a negative impact on our revenue and costs in the future. In addition, the new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sales, manufacturing and research and development activities. Finally, changes in the National Institute of Health policy with respect to grants for academic research, specifically, the reduction in indirect cost reimbursement, may impact our revenue from academic and government customers in the near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Total revenue,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generate our total revenue, net from product revenue and service revenue.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Product</w:t>
      </w:r>
      <w:r>
        <w:rPr>
          <w:rFonts w:ascii="Times New Roman;sans-serif" w:hAnsi="Times New Roman;sans-serif"/>
          <w:b w:val="false"/>
          <w:color w:val="000000"/>
          <w:sz w:val="20"/>
        </w:rPr>
        <w:t xml:space="preserve">. Our product revenue primarily consists of sales of our instruments, including the Cytek Aurora, Northern Lights, Aurora CS, Amnis and Guava systems, instrument accessories, such as loaders, and consumables, such as reagents. We offer multiple versions of our instruments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Service</w:t>
      </w:r>
      <w:r>
        <w:rPr>
          <w:rFonts w:ascii="Times New Roman;sans-serif" w:hAnsi="Times New Roman;sans-serif"/>
          <w:b w:val="false"/>
          <w:color w:val="000000"/>
          <w:sz w:val="20"/>
        </w:rPr>
        <w:t xml:space="preserve">.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expect our total revenue to increase in absolute dollars as we expand our sales organization and sales territories, broaden our customer base, and expand awareness of our products with new and existing customers. Our revenue was </w:t>
      </w:r>
      <w:r>
        <w:rPr>
          <w:rFonts w:ascii="Times New Roman;sans-serif" w:hAnsi="Times New Roman;sans-serif"/>
          <w:b w:val="false"/>
          <w:color w:val="000000"/>
          <w:sz w:val="20"/>
          <w:shd w:fill="FFFFFF" w:val="clear"/>
        </w:rPr>
        <w:t>$200.5</w:t>
      </w:r>
      <w:r>
        <w:rPr>
          <w:color w:val="000000"/>
        </w:rPr>
        <w:t xml:space="preserve"> </w:t>
      </w:r>
      <w:r>
        <w:rPr>
          <w:rFonts w:ascii="Times New Roman;sans-serif" w:hAnsi="Times New Roman;sans-serif"/>
          <w:b w:val="false"/>
          <w:color w:val="000000"/>
          <w:sz w:val="20"/>
        </w:rPr>
        <w:t>million, $193.0 million and $164.0 million for the years ended December 31, 2024, 2023 and 2022, respectively. A portion of our revenue for the three and twelve months ended December 31, 2024, and December 31, 2023, were attributable to the acquired FCI Business.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Total cost of sales, gross profit and gross margin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cost of sales is comprised of product cost of sales and service cost of sales.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Product. </w:t>
      </w:r>
      <w:r>
        <w:rPr>
          <w:rFonts w:ascii="Times New Roman;sans-serif" w:hAnsi="Times New Roman;sans-serif"/>
          <w:b w:val="false"/>
          <w:color w:val="000000"/>
          <w:sz w:val="20"/>
        </w:rPr>
        <w:t xml:space="preserve">Cost of sales associated with our products primarily consists of manufacturing-related costs incurred in the production process, inventory write-downs, warranty costs, third-party royalty costs, personnel and related costs, costs of component materials, overhead, packaging and delivery and depreciation expense.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Service</w:t>
      </w:r>
      <w:r>
        <w:rPr>
          <w:rFonts w:ascii="Times New Roman;sans-serif" w:hAnsi="Times New Roman;sans-serif"/>
          <w:b w:val="false"/>
          <w:color w:val="000000"/>
          <w:sz w:val="20"/>
        </w:rPr>
        <w:t xml:space="preserve">. Cost of sales associated with our services primarily consists of personnel and related costs, expenses related to product replacements, product updates and qualification validation of our products and depreciation expense.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total cost of sales to increase in absolute dollars in future periods, corresponding to our anticipated growth in revenue and employee headcount to support our manufacturing, operations, field service team and support organizations.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primarily comprised of research and development, sales and marketing, and general and administrative expenses, depreciation and amortization, and related overhead.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Our research and development expenses primarily consist of salaries, benefits, and stock-based compensation costs for employees in our research and development department, independent contractor costs, laboratory supplies, equipment maintenance and materials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our research and development efforts. Research and development expense may increase in absolute dollars in future periods due to our continuing investment in product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Sales and marketing expense may increase in absolute dollars in future periods.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The Company is focused on controlling our general and administrative expenses; however these may increase in absolute dollars in future periods.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operating expenses to vary from period to period as a percentage of revenue. As a result, our historical results of operations may not be indicative of our results of operations in future periods.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Interest expense consists primarily of accretion of the present value of the litigation settlement liability. See our consolidated financial statements included elsewhere in this Annual Report on Form 10-K for further details regarding the settlement.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 xml:space="preserve">Our interest income consists primarily of interest earned on our cash and cash equivalents which are invested in cash deposits and in money market funds.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 xml:space="preserve">Our income (expense), net consists primarily of foreign exchange gains and losses.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years ended December 31, 2024 and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presented below should be reviewed in conjunction with the consolidated financial statements and related notes included elsewhere in this Annual Report on Form 10-K.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consolidated results of operations and comprehensive (loss) income data for the periods presented: </w:t>
      </w:r>
    </w:p>
    <w:tbl>
      <w:tblPr>
        <w:tblW w:w="7859"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(Notes 11,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Total revenue, net </w:t>
      </w:r>
    </w:p>
    <w:tbl>
      <w:tblPr>
        <w:tblW w:w="789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179"/>
        <w:gridCol w:w="182"/>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net increased by $7.4 million, or 4%, for the year ended December 31, 2024 as compared to the year ended December 31, 2023. Revenue growth was primarily driven by growth in service revenue partially offset by a decline in product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decreased by $3.5 million, or 2%, to $153.3 million, for the year ended December 31, 2024 as compared to the year ended December 31, 2023. The decrease was primarily driven by less revenue contribution in 2024 from the FCI Products, upgrades, and loaders. Unit volumes increased 8.5% for spectral and imaging products, including the Aurora and Northern Lights analyzers, Aurora CS cell sorters and Amnis imaging systems. This was offset by lower average selling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increased by $10.9 million, or 30%, to $47.2 million, for the year ended December 31, 2024 as compared to the year ended December 31, 2023. The increase in service revenue was mainly driven by continued growth in the instruments installed base with more instruments coming off warranty contributing to greater contract and time and material service revenue.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Total cost of sales, gross profit and gross margin </w:t>
      </w:r>
    </w:p>
    <w:tbl>
      <w:tblPr>
        <w:tblW w:w="814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180"/>
        <w:gridCol w:w="18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cost of sales increased by $5.8 million, or 7%, for the year ended December 31, 2024 as compared to the year ended December 31, 2023. The increase in cost of sales was driven by increases in product unit volume and service revenue, and was primarily due to increased material costs, increased service and manufacturing headcount and associated personnel cost, partially offset by lower warranty cost.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gross margin was 55% and 57% as a percent of total revenue for the years ended December 31, 2024 and 2023, respectively. Gross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tbl>
      <w:tblPr>
        <w:tblW w:w="8251"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79"/>
        <w:gridCol w:w="182"/>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for the year ended December 31, 2024 decreased by 2%, as compared to the year ended December 31, 2023. Product gross profit for the year ended December 31, 2024 decreased by 8%, as compared to the year ended December 31, 2023. Product cost of sales for the year ended December 31, 2024 increased by 6% as compared to the same period in 2023. The lower product gross margins in the year ended December 31, 2024 compared to the year ended December 31, 2023 were driven by higher material costs, less favorable instrument product mix and higher production overhead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and service gross profit for the year ended December 31, 2024 increased by 30% and 49%, respectively, as compared to the year ended December 31, 2023. Service cost of sales for the year ended December 31, 2024 increased by 11% as compared to the same period in 2023. The higher service gross margins in the year ended December 31, 2024 compared to the year ended December 31, 2023 were mainly driven by lower overhead costs as a percentage of sales due to higher revenue and greater overhead cost productivity, and lower material costs as a percentage of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tbl>
      <w:tblPr>
        <w:tblW w:w="7762"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$39.4 million for the year ended December 31, 2024 as compared to $44.2 million for the year ended December 31, 2023. </w:t>
      </w:r>
      <w:r>
        <w:rPr>
          <w:rFonts w:ascii="Times New Roman;sans-serif" w:hAnsi="Times New Roman;sans-serif"/>
          <w:b w:val="false"/>
          <w:color w:val="000000"/>
          <w:sz w:val="20"/>
          <w:shd w:fill="FFFFFF" w:val="clear"/>
        </w:rPr>
        <w:t>The decrease of $4.7 million in research and development expenses was primarily due to a decrease in research and development compensation and engineering expense driven by efforts to streamline and focus our research and development efforts.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research and development expense to increase in absolute dollars going forward as we continue to develop new products and enhance existing instruments and technologies.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tbl>
      <w:tblPr>
        <w:tblW w:w="747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436"/>
        <w:gridCol w:w="109"/>
        <w:gridCol w:w="109"/>
        <w:gridCol w:w="109"/>
        <w:gridCol w:w="109"/>
        <w:gridCol w:w="203"/>
        <w:gridCol w:w="203"/>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Sales and marketing expenses were $49.1 million for the year ended December 31, 2024 as compared to $49.1 million for the year ended December 31, 2023. </w:t>
      </w:r>
      <w:r>
        <w:rPr>
          <w:rFonts w:ascii="Times New Roman;sans-serif" w:hAnsi="Times New Roman;sans-serif"/>
          <w:b w:val="false"/>
          <w:color w:val="000000"/>
          <w:sz w:val="20"/>
          <w:shd w:fill="FFFFFF" w:val="clear"/>
        </w:rPr>
        <w:t xml:space="preserve">The flat sales and marketing expenses year-over-year was due to re-organization of the commercial team to drive increased revenue with a more focused and efficient sales team.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expect our sales and marketing expenses to increase in absolute dollars in the future as we hire additional sales and marketing personnel, expand our sales support infrastructure and invest in our brand and product awareness to further penetrate the United States and the international markets.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750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164"/>
        <w:gridCol w:w="166"/>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General and administrative expenses were $43.1 million for the year ended December 31, 2024 as compared to $44.0 million for the year ended December 31, 2023. The decrease of $0.9 million in general and administrative expenses was primarily </w:t>
      </w:r>
      <w:r>
        <w:rPr>
          <w:rFonts w:ascii="Times New Roman;sans-serif" w:hAnsi="Times New Roman;sans-serif"/>
          <w:b w:val="false"/>
          <w:color w:val="000000"/>
          <w:sz w:val="20"/>
          <w:shd w:fill="FFFFFF" w:val="clear"/>
        </w:rPr>
        <w:t xml:space="preserve">due to a one-time benefits of </w:t>
      </w:r>
      <w:r>
        <w:rPr>
          <w:rFonts w:ascii="Times New Roman;sans-serif" w:hAnsi="Times New Roman;sans-serif"/>
          <w:b w:val="false"/>
          <w:color w:val="000000"/>
          <w:sz w:val="20"/>
        </w:rPr>
        <w:t>$2.6</w:t>
      </w:r>
      <w:r>
        <w:rPr>
          <w:color w:val="000000"/>
          <w:shd w:fill="FFFFFF" w:val="clear"/>
        </w:rPr>
        <w:t xml:space="preserve"> </w:t>
      </w:r>
      <w:r>
        <w:rPr>
          <w:rFonts w:ascii="Times New Roman;sans-serif" w:hAnsi="Times New Roman;sans-serif"/>
          <w:b w:val="false"/>
          <w:color w:val="000000"/>
          <w:sz w:val="20"/>
          <w:shd w:fill="FFFFFF" w:val="clear"/>
        </w:rPr>
        <w:t>million related to change in estimate to the royalty settlement liability, which partially offset by higher stock compensation expense. See Note 11 to our consolidated financial statements included elsewhere in this Annual Report on Form 10-K for further details on the legal settlement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additional general and administrative expenses as a result of operating as a public company and for these expenses to increase in absolute dollars in future periods.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income (expense), net </w:t>
      </w:r>
    </w:p>
    <w:tbl>
      <w:tblPr>
        <w:tblW w:w="765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69"/>
        <w:gridCol w:w="27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Interest income was $5.2 million for the year ended December 31, 2024 as compared to interest expense of $2.1 million for the year ended December 31, 2023. The $7.3</w:t>
      </w:r>
      <w:r>
        <w:rPr>
          <w:color w:val="000000"/>
          <w:shd w:fill="FFFFFF" w:val="clear"/>
        </w:rPr>
        <w:t xml:space="preserve"> </w:t>
      </w:r>
      <w:r>
        <w:rPr>
          <w:rFonts w:ascii="Times New Roman;sans-serif" w:hAnsi="Times New Roman;sans-serif"/>
          <w:b w:val="false"/>
          <w:color w:val="000000"/>
          <w:sz w:val="20"/>
          <w:shd w:fill="FFFFFF" w:val="clear"/>
        </w:rPr>
        <w:t xml:space="preserve">million in interest income was primarily due to a one-time benefit of </w:t>
      </w:r>
      <w:r>
        <w:rPr>
          <w:rFonts w:ascii="Times New Roman;sans-serif" w:hAnsi="Times New Roman;sans-serif"/>
          <w:b w:val="false"/>
          <w:color w:val="000000"/>
          <w:sz w:val="20"/>
        </w:rPr>
        <w:t>$6.3</w:t>
      </w:r>
      <w:r>
        <w:rPr>
          <w:color w:val="000000"/>
          <w:shd w:fill="FFFFFF" w:val="clear"/>
        </w:rPr>
        <w:t xml:space="preserve"> </w:t>
      </w:r>
      <w:r>
        <w:rPr>
          <w:rFonts w:ascii="Times New Roman;sans-serif" w:hAnsi="Times New Roman;sans-serif"/>
          <w:b w:val="false"/>
          <w:color w:val="000000"/>
          <w:sz w:val="20"/>
          <w:shd w:fill="FFFFFF" w:val="clear"/>
        </w:rPr>
        <w:t xml:space="preserve">million change in estimate to the royalty settlement liability with Becton, Dickinson and Company, and </w:t>
      </w:r>
      <w:r>
        <w:rPr>
          <w:rFonts w:ascii="Times New Roman;sans-serif" w:hAnsi="Times New Roman;sans-serif"/>
          <w:b w:val="false"/>
          <w:color w:val="000000"/>
          <w:sz w:val="20"/>
        </w:rPr>
        <w:t>$1.0</w:t>
      </w:r>
      <w:r>
        <w:rPr>
          <w:color w:val="000000"/>
          <w:shd w:fill="FFFFFF" w:val="clear"/>
        </w:rPr>
        <w:t xml:space="preserve"> </w:t>
      </w:r>
      <w:r>
        <w:rPr>
          <w:rFonts w:ascii="Times New Roman;sans-serif" w:hAnsi="Times New Roman;sans-serif"/>
          <w:b w:val="false"/>
          <w:color w:val="000000"/>
          <w:sz w:val="20"/>
          <w:shd w:fill="FFFFFF" w:val="clear"/>
        </w:rPr>
        <w:t>million of lower interest expense in 2024 compared to our debt instruments in China in prior year. See Note 11 to our consolidated financial statements included elsewhere in this Annual Report on Form 10-K for further details on the legal settlement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tbl>
      <w:tblPr>
        <w:tblW w:w="7552"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Interest income was $5.1 million and $6.4 million for the years ended December 31, 2024 and 2023, respectively. The decrease of $1.3 million in interest income was primarily the result of lower </w:t>
      </w:r>
      <w:r>
        <w:rPr>
          <w:rFonts w:ascii="Times New Roman;sans-serif" w:hAnsi="Times New Roman;sans-serif"/>
          <w:b w:val="false"/>
          <w:color w:val="000000"/>
          <w:sz w:val="20"/>
          <w:shd w:fill="FFFFFF" w:val="clear"/>
        </w:rPr>
        <w:t xml:space="preserve">cash and cash equivalents and short term investment balances as compared to the year ended December 31, 2023. This was a result of the movement of assets from interest bearing accounts to marketable securities investment accounts which are classified as investment income rather than interest income.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tbl>
      <w:tblPr>
        <w:tblW w:w="7552"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Other income, net was $4.5 million for the year ended December 31, 2024 as compared to other income, net of $7.8 million for the year ended December 31, 2023, respectively. </w:t>
      </w:r>
      <w:r>
        <w:rPr>
          <w:rFonts w:ascii="Times New Roman;sans-serif" w:hAnsi="Times New Roman;sans-serif"/>
          <w:b w:val="false"/>
          <w:color w:val="000000"/>
          <w:sz w:val="20"/>
          <w:shd w:fill="FFFFFF" w:val="clear"/>
        </w:rPr>
        <w:t>The decrease of $3.3 million was primarily due to higher realized and unrealized foreign exchange losses in 2024.</w:t>
      </w:r>
    </w:p>
    <w:p>
      <w:pPr>
        <w:pStyle w:val="TextBody"/>
        <w:bidi w:val="0"/>
        <w:spacing w:lineRule="auto" w:line="288" w:before="120" w:after="283"/>
        <w:ind w:left="0" w:right="0" w:firstLine="5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tbl>
      <w:tblPr>
        <w:tblW w:w="8332"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211"/>
        <w:gridCol w:w="466"/>
        <w:gridCol w:w="109"/>
        <w:gridCol w:w="109"/>
        <w:gridCol w:w="109"/>
        <w:gridCol w:w="109"/>
        <w:gridCol w:w="211"/>
        <w:gridCol w:w="691"/>
        <w:gridCol w:w="109"/>
        <w:gridCol w:w="109"/>
        <w:gridCol w:w="109"/>
        <w:gridCol w:w="109"/>
        <w:gridCol w:w="211"/>
        <w:gridCol w:w="616"/>
        <w:gridCol w:w="109"/>
        <w:gridCol w:w="109"/>
        <w:gridCol w:w="109"/>
        <w:gridCol w:w="109"/>
        <w:gridCol w:w="269"/>
        <w:gridCol w:w="271"/>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 for income taxes was $0.3 million for the year ended December 31, 2024. The benefit from income taxes was $3.6 million for the year ended December 31, 2023. The net change of $3.9 million for the year ended December 31, 2024 was the result of a lower loss before income taxes (primarily due to the adjustment to the royalty settlement liability), higher nondeductible stock based compensation, and lower R&amp;D and foreign tax credits and benefits due to prior year true ups and global mix of earnings, offset by lower foreign income inclusion and lower tax rates on higher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 supplement our consolidated financial statements presented in accordance with generally accepted accounting principles, we use constant currency revenue, which is a financial measure not reported in accordance with accounting principles generally accepted in the United States of America (“GAAP”). We believe the presentation of revenue on a constant currency basis, in addition to results reported in accordance with </w:t>
      </w:r>
      <w:r>
        <w:rPr>
          <w:rFonts w:ascii="Times New Roman;sans-serif" w:hAnsi="Times New Roman;sans-serif"/>
          <w:b w:val="false"/>
          <w:color w:val="000000"/>
          <w:sz w:val="20"/>
          <w:shd w:fill="FFFFFF" w:val="clear"/>
        </w:rPr>
        <w:t>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GAAP. Revenue on a constant currency basis, as we present it, may not be comparable to similarly titled measures used by other companies.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constant currency revenue to our reported net revenue for the periods indicated (in thousands, except percentages):</w:t>
      </w:r>
    </w:p>
    <w:tbl>
      <w:tblPr>
        <w:tblW w:w="6419" w:type="dxa"/>
        <w:jc w:val="left"/>
        <w:tblInd w:w="0" w:type="dxa"/>
        <w:tblLayout w:type="fixed"/>
        <w:tblCellMar>
          <w:top w:w="28" w:type="dxa"/>
          <w:left w:w="28" w:type="dxa"/>
          <w:bottom w:w="28" w:type="dxa"/>
          <w:right w:w="28" w:type="dxa"/>
        </w:tblCellMar>
      </w:tblPr>
      <w:tblGrid>
        <w:gridCol w:w="907"/>
        <w:gridCol w:w="801"/>
        <w:gridCol w:w="811"/>
        <w:gridCol w:w="413"/>
        <w:gridCol w:w="413"/>
        <w:gridCol w:w="915"/>
        <w:gridCol w:w="109"/>
        <w:gridCol w:w="109"/>
        <w:gridCol w:w="109"/>
        <w:gridCol w:w="413"/>
        <w:gridCol w:w="413"/>
        <w:gridCol w:w="1006"/>
      </w:tblGrid>
      <w:tr>
        <w:trPr/>
        <w:tc>
          <w:tcPr>
            <w:tcW w:w="90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 2023</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9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constant currency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201,346 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193,697 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Impact [$]</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Impact [%]</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9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541"/>
        <w:jc w:val="both"/>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primary sources of capital have been through sales of our securities and revenue from the sale of our products and services. As of December 31, 2024 and December 31, 2023, we had approximately $277.9 million and $262.7 million, respectively, in cash and cash equivalents and short term investments, which were primarily held in U.S. short-term bank deposit accounts, money market funds, U.S. Treasury notes, Federal agency security notes, and short term commercial paper.</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Funding and material cash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anticipate making additional capital expenditures during the next 12 months, which is expected to primarily include equipment to be used for manufacturing and investment in research and development.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w:t>
      </w:r>
      <w:r>
        <w:rPr>
          <w:rFonts w:ascii="Times New Roman;sans-serif" w:hAnsi="Times New Roman;sans-serif"/>
          <w:b w:val="false"/>
          <w:color w:val="000000"/>
          <w:sz w:val="20"/>
          <w:shd w:fill="FFFFFF" w:val="clear"/>
        </w:rPr>
        <w:t>$11.9 million</w:t>
      </w:r>
      <w:r>
        <w:rPr>
          <w:color w:val="000000"/>
        </w:rPr>
        <w:t xml:space="preserve"> </w:t>
      </w:r>
      <w:r>
        <w:rPr>
          <w:rFonts w:ascii="Times New Roman;sans-serif" w:hAnsi="Times New Roman;sans-serif"/>
          <w:b w:val="false"/>
          <w:color w:val="000000"/>
          <w:sz w:val="20"/>
        </w:rPr>
        <w:t>as of December 31,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 we believe our existing cash and cash equivalents and anticipated cash flows from operations will be sufficient to meet our working capital and capital expenditure needs for at least the next 12 months from the date of this Annual Report on Form 10-K.</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financed our operations primarily through sales of our securities. In July 2021, we completed our initial public offering (“IPO”), which resulted in net proceeds to us of approximately $215.7 million. We have also benefited from operating cash flows from the sale of our products and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May 17, 2023, our board of directors approved a program for the repurchase by the Company of up to an aggregate of $50 million of its outstanding common stock. During the three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repurchased 5,332,769 shares of its outstanding common stock for a total cost of approximately $34.6 million at an average price per share of $6.49. During the twelve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repurchased 6,613,780 shares of its outstanding common stock for a total cost of approximately $44.2 million at an average price per share of $6.66. The commission costs related to the repurchases were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 xml:space="preserve">for both the three months and twelve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repurchase program was used to return capital to shareholders and to minimize the dilutive impact of stock options and other stock-based awards. The repurchased shares of common stock were retired. The repurchase program expired on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June 6, 2024, our board of directors approved a program for the repurchase by the Company of up to an aggregate of $50 million of its outstanding common stock. During the three months ended December 31, 2024, the Company repurchased </w:t>
      </w:r>
      <w:r>
        <w:rPr>
          <w:rFonts w:ascii="Times New Roman;sans-serif" w:hAnsi="Times New Roman;sans-serif"/>
          <w:b w:val="false"/>
          <w:color w:val="000000"/>
          <w:sz w:val="20"/>
          <w:shd w:fill="FFFFFF" w:val="clear"/>
        </w:rPr>
        <w:t xml:space="preserve">1,332,950 </w:t>
      </w:r>
      <w:r>
        <w:rPr>
          <w:rFonts w:ascii="Times New Roman;sans-serif" w:hAnsi="Times New Roman;sans-serif"/>
          <w:b w:val="false"/>
          <w:color w:val="000000"/>
          <w:sz w:val="20"/>
        </w:rPr>
        <w:t xml:space="preserve">shares of its outstanding common stock for a total cost of approximately </w:t>
      </w:r>
      <w:r>
        <w:rPr>
          <w:rFonts w:ascii="Times New Roman;sans-serif" w:hAnsi="Times New Roman;sans-serif"/>
          <w:b w:val="false"/>
          <w:color w:val="000000"/>
          <w:sz w:val="20"/>
          <w:shd w:fill="FFFFFF" w:val="clear"/>
        </w:rPr>
        <w:t>$7.0 million</w:t>
      </w:r>
      <w:r>
        <w:rPr>
          <w:color w:val="000000"/>
        </w:rPr>
        <w:t xml:space="preserve"> </w:t>
      </w:r>
      <w:r>
        <w:rPr>
          <w:rFonts w:ascii="Times New Roman;sans-serif" w:hAnsi="Times New Roman;sans-serif"/>
          <w:b w:val="false"/>
          <w:color w:val="000000"/>
          <w:sz w:val="20"/>
        </w:rPr>
        <w:t xml:space="preserve">at an average price per share of </w:t>
      </w:r>
      <w:r>
        <w:rPr>
          <w:rFonts w:ascii="Times New Roman;sans-serif" w:hAnsi="Times New Roman;sans-serif"/>
          <w:b w:val="false"/>
          <w:color w:val="000000"/>
          <w:sz w:val="20"/>
          <w:shd w:fill="FFFFFF" w:val="clear"/>
        </w:rPr>
        <w:t>$5.21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During the twelve months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repurchased </w:t>
      </w:r>
      <w:r>
        <w:rPr>
          <w:rFonts w:ascii="Times New Roman;sans-serif" w:hAnsi="Times New Roman;sans-serif"/>
          <w:b w:val="false"/>
          <w:color w:val="000000"/>
          <w:sz w:val="20"/>
        </w:rPr>
        <w:t>3,971,624</w:t>
      </w:r>
      <w:r>
        <w:rPr>
          <w:color w:val="000000"/>
          <w:shd w:fill="FFFFFF" w:val="clear"/>
        </w:rPr>
        <w:t xml:space="preserve"> </w:t>
      </w:r>
      <w:r>
        <w:rPr>
          <w:rFonts w:ascii="Times New Roman;sans-serif" w:hAnsi="Times New Roman;sans-serif"/>
          <w:b w:val="false"/>
          <w:color w:val="000000"/>
          <w:sz w:val="20"/>
          <w:shd w:fill="FFFFFF" w:val="clear"/>
        </w:rPr>
        <w:t xml:space="preserve">shares of its outstanding common stock for a total cost of approximately $21.6 million at an average price per share of $5.41. The repurchase program was used to return capital to shareholders and to minimize the dilutive impact of stock options and other stock-based awards. The repurchased shares of common stock were retired. The repurchase program expired on </w:t>
      </w:r>
      <w:r>
        <w:rPr>
          <w:rFonts w:ascii="Times New Roman;sans-serif" w:hAnsi="Times New Roman;sans-serif"/>
          <w:b w:val="false"/>
          <w:color w:val="000000"/>
          <w:sz w:val="20"/>
        </w:rPr>
        <w:t>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Under these two repurchase programs, the Company has purchased an aggregate of </w:t>
      </w:r>
      <w:r>
        <w:rPr>
          <w:rFonts w:ascii="Times New Roman;sans-serif" w:hAnsi="Times New Roman;sans-serif"/>
          <w:b w:val="false"/>
          <w:color w:val="000000"/>
          <w:sz w:val="20"/>
        </w:rPr>
        <w:t>10,585,404 shares of its outstanding common stock for a total cost of approximately $65.5 million at an average price per share of $6.19.</w:t>
      </w:r>
      <w:r>
        <w:rPr>
          <w:color w:val="000000"/>
          <w:shd w:fill="FFFFFF" w:val="clear"/>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December 11, 2024, our board of directors approved a new program for the repurchase by the Company of up to an aggregate of</w:t>
      </w:r>
      <w:r>
        <w:rPr>
          <w:color w:val="000000"/>
          <w:shd w:fill="FFFFFF" w:val="clear"/>
        </w:rPr>
        <w:t xml:space="preserve"> </w:t>
      </w:r>
      <w:r>
        <w:rPr>
          <w:rFonts w:ascii="Times New Roman;sans-serif" w:hAnsi="Times New Roman;sans-serif"/>
          <w:b w:val="false"/>
          <w:color w:val="000000"/>
          <w:sz w:val="20"/>
        </w:rPr>
        <w:t xml:space="preserve">$50 million of its outstanding common stock commencing January 1, 2025, to succeed the expiration of the previous $50 million repurchase program on December 31, 2024. </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 xml:space="preserve">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2024, we have accrued </w:t>
      </w:r>
      <w:r>
        <w:rPr>
          <w:rFonts w:ascii="Times New Roman;sans-serif" w:hAnsi="Times New Roman;sans-serif"/>
          <w:b w:val="false"/>
          <w:color w:val="000000"/>
          <w:sz w:val="20"/>
          <w:shd w:fill="FFFFFF" w:val="clear"/>
        </w:rPr>
        <w:t>$0.4 million</w:t>
      </w:r>
      <w:r>
        <w:rPr>
          <w:color w:val="000000"/>
        </w:rPr>
        <w:t xml:space="preserve"> </w:t>
      </w:r>
      <w:r>
        <w:rPr>
          <w:rFonts w:ascii="Times New Roman;sans-serif" w:hAnsi="Times New Roman;sans-serif"/>
          <w:b w:val="false"/>
          <w:color w:val="000000"/>
          <w:sz w:val="20"/>
        </w:rPr>
        <w:t xml:space="preserve">excise taxes related with our stock repurchases.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366" w:type="dxa"/>
        <w:jc w:val="left"/>
        <w:tblInd w:w="0" w:type="dxa"/>
        <w:tblLayout w:type="fixed"/>
        <w:tblCellMar>
          <w:top w:w="28" w:type="dxa"/>
          <w:left w:w="28" w:type="dxa"/>
          <w:bottom w:w="28" w:type="dxa"/>
          <w:right w:w="28" w:type="dxa"/>
        </w:tblCellMar>
      </w:tblPr>
      <w:tblGrid>
        <w:gridCol w:w="2287"/>
        <w:gridCol w:w="2018"/>
        <w:gridCol w:w="2025"/>
        <w:gridCol w:w="109"/>
        <w:gridCol w:w="109"/>
        <w:gridCol w:w="109"/>
        <w:gridCol w:w="211"/>
        <w:gridCol w:w="796"/>
        <w:gridCol w:w="109"/>
        <w:gridCol w:w="109"/>
        <w:gridCol w:w="109"/>
        <w:gridCol w:w="109"/>
        <w:gridCol w:w="211"/>
        <w:gridCol w:w="901"/>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Operating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Net cash provided by operating activities for the year ended December 31, 2024 was $25.4 million including net loss of $6.0 million. We also incurred non-cash stock-based compensation expense, depreciation and amortization, amortization of right-of-use assets, and provision for excess and obsolete inventory of $26.8 million, $7.2 million, $3.3 million, and $1.6 million, respectively. We had gain on investment accretion and amortization of $5.2 million, and interest expenses for accretion of the legal settlement liabilities $7.2 million, and deferred income taxes of $2.9 million. Cash provided included an increase in deferred revenue of $3.7 million, a decrease of inventories of $14.8 million and an increase in trade accounts payable of $2.6 million. This was partially offset by an increase of trade accounts receivable of $5.4 million, an increase in prepaid expenses and other assets of $2.8 million, a decrease in the legal settlement liability of $1.1 million, and a decrease of operating lease liabilities of $3.2 million, and a decrease of </w:t>
      </w:r>
      <w:r>
        <w:rPr>
          <w:rFonts w:ascii="Times New Roman;sans-serif" w:hAnsi="Times New Roman;sans-serif"/>
          <w:b w:val="false"/>
          <w:color w:val="000000"/>
          <w:sz w:val="20"/>
          <w:shd w:fill="FFFFFF" w:val="clear"/>
        </w:rPr>
        <w:t>accrued expenses and other liabilities of $0.8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year ended December 31, 2023 was $5.3 million including net income of $12.1 million. We also incurred non-cash stock-based compensation expense, depreciation and amortization, amortization of right-of-use assets, and interest expenses for accretion of the legal settlement liabilities and provision for excess and obsolete inventory of $22.0 million, $6.0 million, $3.2 million, $1.6 million, and $1.5 million respectively. We had gain on investment accretion and amortization of $6.7 million. Cash provided included an increase in deferred revenue of $6.5 million, a decrease of inventories of $4.3 million, an increase in accrued expenses and other liabilities of $0.7 million. This was partially offset by an increase of trade accounts receivable of $7.3 million, an increase in prepaid expenses and other assets of $9.5 million, a decrease in the legal settlement of $0.3 million, and a decrease of operating lease liabilities of $3.1 million, and a decrease of trade accounts payables of $1.8 million. </w:t>
      </w:r>
    </w:p>
    <w:p>
      <w:pPr>
        <w:pStyle w:val="TextBody"/>
        <w:bidi w:val="0"/>
        <w:spacing w:lineRule="auto" w:line="288" w:before="120" w:after="283"/>
        <w:ind w:left="0" w:right="0" w:firstLine="5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Investing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2024 was $83.0 million driven by purchases of marketable securities of $274.1 million, the purchase of the Cytometric Engineering Ltd. (d.b.a. FlowCEL) business of $0.5 million, purchases of property and equipment of $3.5 million, purchase of intangible assets of $0.2 million, partially offset by proceeds from maturities of marketable securities of $195.0 million, and proceeds from sales of property and equipment of $0.3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2023 was $93.9 million driven by purchases of marketable securities of $175.9 million, the purchase of the FCI business of $44.9 million, purchases of property and equipment of $4.6 million, purchase of intangible assets of $0.2 million, and payment of investments in Japan of $0.2 million, partially offset by proceeds from maturities of marketable securities of $132.0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Financing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year ended December 31, 2024 was $15.8 million driven by $21.6 million of costs related to our share repurchase program, $0.6 million in loan repayment costs and payments for taxes related to net share settlement of equity awards of $0.6 million, partially offset by proceeds from line of credit of $4.2 million, the issuance of our common stock under our equity incentive plans of $1.0 million and the issuance of our common stock under our Employee Stock Purchase Plan of $1.7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year ended December 31, 2023 was $41.8 million driven by $44.2 million of costs related to our share repurchase program, $0.6 million in loan repayment costs and payments for taxes related to net share settlement of equity awards of $0.4 million, partially offset by the issuance of our common stock under our equity incentive plans of $1.5 million and the issuance of our common stock under our Employee Stock Purchase Plan of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there were no material changes to our contractual obligations and commitments from those described under “Management’s Discussion and Analysis of Financial Condition” which is contained in our Form 10-K and filed with the SEC on March 13,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our consolidated financial statements in accordance with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based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could therefore differ materially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Note 2 to our consolidated financial statements included elsewhere in this Annual Report on Form 10-K, we believe that the following accounting policies are the most critical to understanding and evaluating our reported consolidated financial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revenue primarily consists of sale of our instruments, instrument accessories, such as loaders and, to a lesser extent, consumables such as reagents. We offer multiple versions of our instruments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 revenue consists of post-warranty service contracts, preventative maintenance plans, repairs, installation and quality check, customer training and other specialized product support services. We recognize service contract revenue ratably over the term of the contract and other service obligations as they are performed. 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and is defined as the unit of account for revenue recognition under the contract with customers guidance. Performance obligations are considered distinct if they are both capable of being distinct, and distinct within the context of the contract.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identified the following performance obligations in the contracts: product sales of instrument systems, installation on instrument systems, delivery of instrument accessories such as loaders, consumables, reagents, extended service contracts and professional services revenue for post-warranty service contracts, preventative maintenance plans, repairs, installations, training, time and material services and other specialized support services. A good or service is distinct when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Payments from customers are in arrears. For arrangements where the anticipated period between timing of transfer of services and the timing of payment is one year or less, we have elected to not assess whether a significant financing component exists. For arrangements with terms greater than one year, payments are either received up-front for reasons other than financing, or received according to financing arrangements and contract terms. Revenue is recognized only to the extent that it is probable that a significant reversal of the cumulative amount recognized will not occur in future periods.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sales contracts involve the delivery or performance of multiple products and services within contractually binding arrangements. Significant judgment is sometimes required to determine the appropriate accounting for such arrangements, including whether the deliverables specified in a contract with multiple promises should be treated as separate performance obligations for revenue recognition purposes and, if so, how the related sales price should be allocated among the performance obligations, when to recognize revenue for each performance obligation, and the period over which revenue should be recognized. For most of our performance obligations, we have established the stand-alone selling prices (“SSP”) as a range rather than a single value, based on standalone sales of products. We allocate revenue to the performance obligations based on their relative standalone selling prices SSP.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Taxes, such as 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nature of our primary types of revenue and the revenue recognition policies and significant payment terms as they pertain to the types of transactions we enter into with our customers.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standard arrangement for sales to end users is generally a purchase order or an executed contract. Product revenue is recognized upon transfer of control of the product to the customer, which, for us, generally occurs at a point in time depending on the shipping terms. Payment terms are generally 30 to 90 days from the date of invoicing.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distributor arrangements with our customers include a purchase order. The purchase order is governed by terms and conditions of the distributor agreements. Revenue is recognized upon transfer of control of the products to the distributor, which for us, occurs at a point in time depending on the shipping terms.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are primarily a mix of service contracts, installation services, and time and material-based repair and support. We recognize revenue from the sale of service contracts over the respective period, while revenue on product support is recognized as the services are performed. Service contracts are typically between one and three years. Payment terms are generally 30 days from the date of invoicing. Installation revenue is recognized upon completion of the installation, which, for us, occurs at a point in time.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and net realizable value. Cost is computed using standard cost, which approximates actual cost on a first-in, first-out basis. We regularly monitor inventory quantities on hand and record write-downs for excess and obsolete inventories based on our estimate of demand for our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Our estimates of forecasted demand are based upon our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Contract assets and contract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are recorded when the amount of revenue recognized exceeds the amount invoiced to the customer and the right to payment is not solely subject to the passage of time. As of December 31, 2024 and 2023, we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immaterial amounts of contract assets included within prepaid expenses and other current assets on the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fees invoiced or paid by our customers for which the associated services have not been performed and revenue has not been recognized based on our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Settlement Liability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the fourth quarter of 2024, we determined that it was necessary to revise our long-term forecasted net sales subject to royalties under the BD settlement as a result of the current macroeconomic conditions and headwinds. As a result, we remeasured the fair value of the legal settlement liability presented in the Consolidated Balance Sheets as of December 31, 2024. Based on the updated forecast, we recorded a $7.3 million reduction of the legal settlement liability, with a corresponding change to interest income (expense), net in the Consolidated Statements of Operations and Comprehensive Income (Loss) for the year ended December 31, 2024. </w:t>
      </w:r>
      <w:r>
        <w:rPr>
          <w:rFonts w:ascii="Times New Roman;sans-serif" w:hAnsi="Times New Roman;sans-serif"/>
          <w:b w:val="false"/>
          <w:color w:val="000000"/>
          <w:sz w:val="20"/>
          <w:shd w:fill="FFFFFF" w:val="clear"/>
        </w:rPr>
        <w:t>See Note 11 to our consolidated financial statements included elsewhere in this Annual Report on Form 10-K for further details.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equity incentive compensation plan under which incentive stock options and nonqualified stock options to purchase common stock, and restricted stock units for common stock, are granted primarily to employees and non-employee consultants.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fair value of the award and is recognized as expense over the vesting period. The fair value of stock options is estimated using the Black-Scholes option pricing model. We record forfeitures as they occur.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Black-Scholes model considers several variables and assumptions in estimating the fair value of stock- based awards. These variables include the per share fair value of the underlying common stock, exercise price, expected term, risk-free interest rate, expected annual dividend yield and expected stock price volatility over the expected term. For all stock options granted, we calculated the expected term using the simplified method for standard stock option awards. After our IPO, the fair value of our common stock is determined by the closing price of our common stock on the date of grant as reported on the Nasdaq Global Select Market. The risk-free interest rate is based on the yield available on U.S. Treasury zero-coupon issues similar in duration to the expected term of the equity-settled award.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assumptions used in estimating the fair value of stock options granted during each of the periods presented:</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volatility—Expected volatility is estimated by analyzing the historical volatility of selected industry peers, and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Expected term—Expected term represents the period that our stock-based awards are expected to be outstanding and is determined using the simplified method.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Risk-free interest rate—The risk-free interest rate is based on the U.S. Treasury zero-coupon issued in effect at the time of grant for periods corresponding with the expected term of the option.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Dividend yield— The expected dividend yield is zero as we have never declared or paid cash dividends and have no current plans to do so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elsewhere in this Annual Report on Form 10-K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lineRule="auto" w:line="288" w:before="120" w:after="283"/>
        <w:jc w:val="both"/>
        <w:rPr/>
      </w:pPr>
      <w:r>
        <w:rPr>
          <w:rFonts w:ascii="Times New Roman;sans-serif" w:hAnsi="Times New Roman;sans-serif"/>
          <w:b/>
          <w:i/>
          <w:color w:val="000000"/>
          <w:sz w:val="20"/>
        </w:rPr>
        <w:t>Interest rate risk</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in our financial condition represents the potential loss arising from adverse changes in interest rates or exchange rates. As of December 31, 2024, we had cash and cash equivalents of $98.7 million, which consisted primarily of money market funds and bank deposits. The primary objective of our investment is to preserve principal and provide liquidity. These money market funds and bank deposits generate interest income at variable rates.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therefore do not believe we are exposed to, nor do we anticipate being in the near future exposed to, material risk due to changes in interest rates because of the short-term nature of our cash and cash equivalents.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either inflation or foreign currency risk had a material effect on our business, financial condition, or results of operations during the periods presented. Please see the section entitled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Cytek Biosciences, Inc.</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Cytek Biosciences, Inc. and subsidiaries (the "Company") as of December 31, 2024 and 2023, the related consolidated statements of operations and comprehensive (loss) income, stockholders' equity,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120" w:after="283"/>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27, 2025, expressed an adverse opinion on the Company's internal control over financial reporting because of material weaknesses.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Inventories – Excess and Obsolete Inventories — Refer to Notes 2 and 5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write-downs for excess and obsolete inventories based on the Company’s estimate of demand for its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The Company’s inventories balance is $43.9 million as of December 31,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excess and obsolete inventories as a critical audit matter because of the estimates and assumptions made by management to evaluate inventories for excess and obsolescence, especially considering the uncertainty present in these estimates and assumptions. This required a high degree of auditor judgment when performing audit procedures to evaluate the reasonableness of management’s estimates and assumptions related to excess and obsolete inventories.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excess and obsolete inventories included the following,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tested the effectiveness of internal controls over management’s estimates and assumptions used to evaluate excess and obsolete inventories, including internal controls over the estimates of demand for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evaluated the reasonableness of management’s method, assumptions, and judgments used in developing their estimate of excess and obsolete inventories, which included estimates of demand for its products, potential obsolescence of technology, product life cycles, pricing trends and forecasts, and selling prices.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tested underlying data used and considered by management in making their estimates and assumptions related to excess and obsolete inventories, including the amount of inventory on hand, estimates of demand for products, and historical usage by product.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compared actual inventory usage and write-down activity in the current year to the excess and obsolete estimates made by management in the prior year to evaluate management’s ability to make accurate estimates.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selected a sample of inventory items from a) those management determined to be excess and obsolete and b) those management did not determine to be excess and obsolete, and performed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evaluated the reasonableness of management’s estimates and assumptions by obtaining product-specific information.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inquired of management, including personnel with operational roles, regarding the estimates and assumptions specific to the selected inventory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considered inventory write-downs made subsequent to December 31, 2024 in evaluating the reasonableness of management’s estimates and assumptions related to excess and obsolete inventories.</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22"/>
        <w:gridCol w:w="2191"/>
        <w:gridCol w:w="2200"/>
        <w:gridCol w:w="109"/>
        <w:gridCol w:w="109"/>
        <w:gridCol w:w="109"/>
        <w:gridCol w:w="211"/>
        <w:gridCol w:w="826"/>
        <w:gridCol w:w="109"/>
        <w:gridCol w:w="109"/>
        <w:gridCol w:w="109"/>
        <w:gridCol w:w="109"/>
        <w:gridCol w:w="211"/>
        <w:gridCol w:w="826"/>
        <w:gridCol w:w="155"/>
      </w:tblGrid>
      <w:tr>
        <w:trPr/>
        <w:tc>
          <w:tcPr>
            <w:tcW w:w="282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Common stock, $0.001 par value; 1,000,000,000 authorized shares as of December 31, 2024 and December 31, 2023, respectively; </w:t>
            </w:r>
            <w:r>
              <w:rPr>
                <w:rFonts w:ascii="Times New Roman;sans-serif" w:hAnsi="Times New Roman;sans-serif"/>
                <w:b w:val="false"/>
                <w:color w:val="000000"/>
                <w:sz w:val="20"/>
                <w:shd w:fill="CCEEFF" w:val="clear"/>
              </w:rPr>
              <w:t>129,205,901</w:t>
            </w:r>
            <w:r>
              <w:rPr>
                <w:color w:val="000000"/>
              </w:rPr>
              <w:t xml:space="preserve"> </w:t>
            </w:r>
            <w:r>
              <w:rPr>
                <w:rFonts w:ascii="Times New Roman;sans-serif" w:hAnsi="Times New Roman;sans-serif"/>
                <w:b w:val="false"/>
                <w:color w:val="000000"/>
                <w:sz w:val="20"/>
              </w:rPr>
              <w:t>and 130,714,906 issued and outstanding shares as of December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494,457 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 Income</w:t>
      </w:r>
    </w:p>
    <w:tbl>
      <w:tblPr>
        <w:tblW w:w="10205" w:type="dxa"/>
        <w:jc w:val="left"/>
        <w:tblInd w:w="0" w:type="dxa"/>
        <w:tblLayout w:type="fixed"/>
        <w:tblCellMar>
          <w:top w:w="28" w:type="dxa"/>
          <w:left w:w="28" w:type="dxa"/>
          <w:bottom w:w="28" w:type="dxa"/>
          <w:right w:w="28" w:type="dxa"/>
        </w:tblCellMar>
      </w:tblPr>
      <w:tblGrid>
        <w:gridCol w:w="2159"/>
        <w:gridCol w:w="1787"/>
        <w:gridCol w:w="1794"/>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5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(Notes 11,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allocated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calculating net (loss) income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135,283,044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134,510,831</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calculating net (loss) income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135,283,044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138,562,111</w:t>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Cytek Biosciences,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Consolidated Statements of Stockholders’ Equity</w:t>
      </w:r>
    </w:p>
    <w:tbl>
      <w:tblPr>
        <w:tblW w:w="10205" w:type="dxa"/>
        <w:jc w:val="left"/>
        <w:tblInd w:w="0" w:type="dxa"/>
        <w:tblLayout w:type="fixed"/>
        <w:tblCellMar>
          <w:top w:w="28" w:type="dxa"/>
          <w:left w:w="28" w:type="dxa"/>
          <w:bottom w:w="28" w:type="dxa"/>
          <w:right w:w="28" w:type="dxa"/>
        </w:tblCellMar>
      </w:tblPr>
      <w:tblGrid>
        <w:gridCol w:w="1152"/>
        <w:gridCol w:w="953"/>
        <w:gridCol w:w="957"/>
        <w:gridCol w:w="109"/>
        <w:gridCol w:w="109"/>
        <w:gridCol w:w="109"/>
        <w:gridCol w:w="279"/>
        <w:gridCol w:w="279"/>
        <w:gridCol w:w="283"/>
        <w:gridCol w:w="181"/>
        <w:gridCol w:w="361"/>
        <w:gridCol w:w="109"/>
        <w:gridCol w:w="181"/>
        <w:gridCol w:w="616"/>
        <w:gridCol w:w="109"/>
        <w:gridCol w:w="182"/>
        <w:gridCol w:w="599"/>
        <w:gridCol w:w="109"/>
        <w:gridCol w:w="269"/>
        <w:gridCol w:w="719"/>
        <w:gridCol w:w="164"/>
        <w:gridCol w:w="360"/>
        <w:gridCol w:w="810"/>
        <w:gridCol w:w="218"/>
        <w:gridCol w:w="185"/>
        <w:gridCol w:w="635"/>
        <w:gridCol w:w="168"/>
      </w:tblGrid>
      <w:tr>
        <w:trPr/>
        <w:tc>
          <w:tcPr>
            <w:tcW w:w="11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 xml:space="preserve">paid-in </w:t>
              <w:br/>
              <w:t xml:space="preserve">capital </w:t>
            </w:r>
          </w:p>
        </w:tc>
        <w:tc>
          <w:tcPr>
            <w:tcW w:w="8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deficit </w:t>
            </w:r>
          </w:p>
        </w:tc>
        <w:tc>
          <w:tcPr>
            <w:tcW w:w="11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w:t>
              <w:br/>
              <w:t xml:space="preserve">(loss) income </w:t>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Noncontrolling </w:t>
              <w:br/>
              <w:t xml:space="preserve">interest in consolidated </w:t>
              <w:br/>
              <w:t xml:space="preserve">subsidiary </w:t>
            </w:r>
          </w:p>
        </w:tc>
        <w:tc>
          <w:tcPr>
            <w:tcW w:w="9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r>
      <w:tr>
        <w:trPr/>
        <w:tc>
          <w:tcPr>
            <w:tcW w:w="3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890" w:type="dxa"/>
            <w:gridSpan w:val="3"/>
            <w:vMerge w:val="continue"/>
            <w:tcBorders/>
            <w:tcMar>
              <w:top w:w="0" w:type="dxa"/>
              <w:left w:w="0" w:type="dxa"/>
              <w:bottom w:w="0" w:type="dxa"/>
              <w:right w:w="0" w:type="dxa"/>
            </w:tcMar>
            <w:vAlign w:val="center"/>
          </w:tcPr>
          <w:p>
            <w:pPr>
              <w:pStyle w:val="Normal"/>
              <w:bidi w:val="0"/>
              <w:jc w:val="left"/>
              <w:rPr/>
            </w:pPr>
            <w:r>
              <w:rPr/>
            </w:r>
          </w:p>
        </w:tc>
        <w:tc>
          <w:tcPr>
            <w:tcW w:w="1152" w:type="dxa"/>
            <w:gridSpan w:val="3"/>
            <w:vMerge w:val="continue"/>
            <w:tcBorders/>
            <w:tcMar>
              <w:top w:w="0" w:type="dxa"/>
              <w:left w:w="0" w:type="dxa"/>
              <w:bottom w:w="0" w:type="dxa"/>
              <w:right w:w="0" w:type="dxa"/>
            </w:tcMar>
            <w:vAlign w:val="center"/>
          </w:tcPr>
          <w:p>
            <w:pPr>
              <w:pStyle w:val="Normal"/>
              <w:bidi w:val="0"/>
              <w:jc w:val="left"/>
              <w:rPr/>
            </w:pPr>
            <w:r>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2021</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133,749,663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405,385 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1,632,467</w:t>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2,885 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withheld related to net share settlement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(16,749)</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2022</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135,365,381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425,546 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1,723,511</w:t>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1,467 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296,236</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(56,442)</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(6,613,780)</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marketable securities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2023</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130,714,906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393,064 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2,193,491</w:t>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1,015 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358,547</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(89,419)</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(3,971,624)</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129,205,901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395,737 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16"/>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48"/>
        <w:gridCol w:w="1941"/>
        <w:gridCol w:w="1955"/>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224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investments, accretion, and amortization,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expenses for accretion of the 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Legal settlement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assets (patents)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additional investment in Cytek Japan,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repurchase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taxes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asset purchases in accounts payable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tbl>
      <w:tblPr>
        <w:tblW w:w="9429" w:type="dxa"/>
        <w:jc w:val="center"/>
        <w:tblInd w:w="0" w:type="dxa"/>
        <w:tblLayout w:type="fixed"/>
        <w:tblCellMar>
          <w:top w:w="28" w:type="dxa"/>
          <w:left w:w="28" w:type="dxa"/>
          <w:bottom w:w="28" w:type="dxa"/>
          <w:right w:w="28" w:type="dxa"/>
        </w:tblCellMar>
      </w:tblPr>
      <w:tblGrid>
        <w:gridCol w:w="2210"/>
        <w:gridCol w:w="1944"/>
        <w:gridCol w:w="1951"/>
        <w:gridCol w:w="109"/>
        <w:gridCol w:w="109"/>
        <w:gridCol w:w="109"/>
        <w:gridCol w:w="196"/>
        <w:gridCol w:w="556"/>
        <w:gridCol w:w="109"/>
        <w:gridCol w:w="109"/>
        <w:gridCol w:w="109"/>
        <w:gridCol w:w="109"/>
        <w:gridCol w:w="196"/>
        <w:gridCol w:w="421"/>
        <w:gridCol w:w="109"/>
        <w:gridCol w:w="109"/>
        <w:gridCol w:w="109"/>
        <w:gridCol w:w="109"/>
        <w:gridCol w:w="196"/>
        <w:gridCol w:w="406"/>
        <w:gridCol w:w="154"/>
      </w:tblGrid>
      <w:tr>
        <w:trPr/>
        <w:tc>
          <w:tcPr>
            <w:tcW w:w="2210"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in accrued expenses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excise taxes for share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Derecognition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 in other receivables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Holdback amount in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Cytek Biosciences,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 or “FSP” technology). The Company is focused on becoming the premier cell analysis company through continued innovation that facilitates scientific advances in biomedical research and clinical applications.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successfully developed and manufactured its full spectrum flow cytometry platform (“instrument(s)” or “product(s)”). The Company's FSP cell analyzers, the Cytek Aurora and Northern Lights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incorporated in the state of Delaware in December 2014 and is headquartered in Fremont, California with offices, manufacturing facilities and distribution channels across the globe.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2.    Basis of presentation and 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prepared the accompanying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All intercompany accounts and transactions have been eliminated in consolidation.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Variable interest entities and voting interest entities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GAAP requires management to make estimates and assumptions that affect the reported amounts of assets,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judgments about the carrying values of assets and liabilities and the recording of expenses that are not readily apparent from other sources. Actual results may differ materially and adversely from these estimates.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segments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w:t>
      </w:r>
      <w:r>
        <w:rPr>
          <w:rFonts w:ascii="Times New Roman;sans-serif" w:hAnsi="Times New Roman;sans-serif"/>
          <w:b w:val="false"/>
          <w:color w:val="000000"/>
          <w:sz w:val="20"/>
          <w:shd w:fill="FFFFFF" w:val="clear"/>
        </w:rPr>
        <w:t>one</w:t>
      </w:r>
      <w:r>
        <w:rPr>
          <w:color w:val="000000"/>
        </w:rPr>
        <w:t xml:space="preserve"> </w:t>
      </w:r>
      <w:r>
        <w:rPr>
          <w:rFonts w:ascii="Times New Roman;sans-serif" w:hAnsi="Times New Roman;sans-serif"/>
          <w:b w:val="false"/>
          <w:color w:val="000000"/>
          <w:sz w:val="20"/>
        </w:rPr>
        <w:t xml:space="preserve">reportable and operating segment.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currency translation and transactions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operations and comprehensive (loss) income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consolidated statements of operations and comprehensive (loss) income.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purchased to be cash equivalents. Cash equivalents are carried at cost, which approximates fair value.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Company’s cash, cash equivalents, and restricted cash consist of money held in demand depository accounts and money market funds. The carrying amount of cash, cash equivalents, and restricted cash was $98.7 million and </w:t>
      </w:r>
      <w:r>
        <w:rPr>
          <w:rFonts w:ascii="Times New Roman;sans-serif" w:hAnsi="Times New Roman;sans-serif"/>
          <w:b w:val="false"/>
          <w:color w:val="000000"/>
          <w:sz w:val="20"/>
          <w:shd w:fill="FFFFFF" w:val="clear"/>
        </w:rPr>
        <w:t>$167.6</w:t>
      </w:r>
      <w:r>
        <w:rPr>
          <w:color w:val="000000"/>
        </w:rPr>
        <w:t xml:space="preserve"> </w:t>
      </w:r>
      <w:r>
        <w:rPr>
          <w:rFonts w:ascii="Times New Roman;sans-serif" w:hAnsi="Times New Roman;sans-serif"/>
          <w:b w:val="false"/>
          <w:color w:val="000000"/>
          <w:sz w:val="20"/>
        </w:rPr>
        <w:t>million as of December 31, 2024 and 2023,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December 31,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restricted cash as current on the accompanying consolidated balance sheets based upon the term of the remaining restrictions.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cash, cash equivalents and restricted cash on the consolidated balance sheets (in thousands): </w:t>
      </w:r>
    </w:p>
    <w:tbl>
      <w:tblPr>
        <w:tblW w:w="10205" w:type="dxa"/>
        <w:jc w:val="left"/>
        <w:tblInd w:w="0" w:type="dxa"/>
        <w:tblLayout w:type="fixed"/>
        <w:tblCellMar>
          <w:top w:w="28" w:type="dxa"/>
          <w:left w:w="28" w:type="dxa"/>
          <w:bottom w:w="28" w:type="dxa"/>
          <w:right w:w="28" w:type="dxa"/>
        </w:tblCellMar>
      </w:tblPr>
      <w:tblGrid>
        <w:gridCol w:w="2775"/>
        <w:gridCol w:w="2393"/>
        <w:gridCol w:w="2430"/>
        <w:gridCol w:w="220"/>
        <w:gridCol w:w="753"/>
        <w:gridCol w:w="113"/>
        <w:gridCol w:w="109"/>
        <w:gridCol w:w="109"/>
        <w:gridCol w:w="109"/>
        <w:gridCol w:w="211"/>
        <w:gridCol w:w="826"/>
        <w:gridCol w:w="157"/>
      </w:tblGrid>
      <w:tr>
        <w:trPr/>
        <w:tc>
          <w:tcPr>
            <w:tcW w:w="2775"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as presented on the consolidated statements of cash flows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Short-term restricted cash </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As of December 31, 2024, two bank guarantees to Cytek Biosciences B.V. totaled </w:t>
      </w:r>
      <w:r>
        <w:rPr>
          <w:rFonts w:ascii="Times New Roman;sans-serif" w:hAnsi="Times New Roman;sans-serif"/>
          <w:b w:val="false"/>
          <w:color w:val="000000"/>
          <w:sz w:val="20"/>
          <w:shd w:fill="FFFFFF" w:val="clear"/>
        </w:rPr>
        <w:t>$29,000</w:t>
      </w:r>
      <w:r>
        <w:rPr>
          <w:color w:val="000000"/>
        </w:rPr>
        <w:t xml:space="preserve"> </w:t>
      </w:r>
      <w:r>
        <w:rPr>
          <w:rFonts w:ascii="Times New Roman;sans-serif" w:hAnsi="Times New Roman;sans-serif"/>
          <w:b w:val="false"/>
          <w:color w:val="000000"/>
          <w:sz w:val="20"/>
        </w:rPr>
        <w:t xml:space="preserve">(EUR </w:t>
      </w:r>
      <w:r>
        <w:rPr>
          <w:rFonts w:ascii="Times New Roman;sans-serif" w:hAnsi="Times New Roman;sans-serif"/>
          <w:b w:val="false"/>
          <w:color w:val="000000"/>
          <w:sz w:val="20"/>
          <w:shd w:fill="FFFFFF" w:val="clear"/>
        </w:rPr>
        <w:t>27,540</w:t>
      </w:r>
      <w:r>
        <w:rPr>
          <w:rFonts w:ascii="Times New Roman;sans-serif" w:hAnsi="Times New Roman;sans-serif"/>
          <w:b w:val="false"/>
          <w:color w:val="000000"/>
          <w:sz w:val="20"/>
        </w:rPr>
        <w:t xml:space="preserve">). The restricted cash is related to two customers and is based on a 12-month period warranty security that will be released in 2025.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Available-for-sale investments. </w:t>
      </w:r>
      <w:r>
        <w:rPr>
          <w:rFonts w:ascii="Times New Roman;sans-serif" w:hAnsi="Times New Roman;sans-serif"/>
          <w:b w:val="false"/>
          <w:color w:val="000000"/>
          <w:sz w:val="20"/>
        </w:rPr>
        <w:t xml:space="preserve">The Company's investments may consist of U.S. treasury and U.S. government agency securities, corporate notes and 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other income (expenses),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Equity Investment. </w:t>
      </w:r>
      <w:r>
        <w:rPr>
          <w:rFonts w:ascii="Times New Roman;sans-serif" w:hAnsi="Times New Roman;sans-serif"/>
          <w:b w:val="false"/>
          <w:color w:val="000000"/>
          <w:sz w:val="20"/>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year ended December 31, 2024.</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consists principally of amounts due related to product sales of instrument systems and accessories, as well as installation and repair services. These receivables are generally due within 30 to 90 days of the period in which the corresponding sales occur, do not bear interest, and are classified as trade accounts receivable, net on the consolidated balance sheets. Trade accounts receivable are reported at their estimated net realizable value.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2016-13, Financial Instruments—Credit Losses (Topic 326): Measurement of Credit Losses on Financial Instruments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 in accordance with this accounting standard.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for the year ended December 31, 2024 were as follows (in thousands):</w:t>
      </w:r>
    </w:p>
    <w:tbl>
      <w:tblPr>
        <w:tblW w:w="5960" w:type="dxa"/>
        <w:jc w:val="left"/>
        <w:tblInd w:w="0" w:type="dxa"/>
        <w:tblLayout w:type="fixed"/>
        <w:tblCellMar>
          <w:top w:w="28" w:type="dxa"/>
          <w:left w:w="28" w:type="dxa"/>
          <w:bottom w:w="28" w:type="dxa"/>
          <w:right w:w="28" w:type="dxa"/>
        </w:tblCellMar>
      </w:tblPr>
      <w:tblGrid>
        <w:gridCol w:w="1857"/>
        <w:gridCol w:w="1631"/>
        <w:gridCol w:w="1641"/>
        <w:gridCol w:w="211"/>
        <w:gridCol w:w="466"/>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adjustment upon adoption of ASU 2016-13</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allowance for credit losses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allowance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 </w:t>
      </w:r>
    </w:p>
    <w:tbl>
      <w:tblPr>
        <w:tblW w:w="7153" w:type="dxa"/>
        <w:jc w:val="left"/>
        <w:tblInd w:w="0" w:type="dxa"/>
        <w:tblLayout w:type="fixed"/>
        <w:tblCellMar>
          <w:top w:w="28" w:type="dxa"/>
          <w:left w:w="28" w:type="dxa"/>
          <w:bottom w:w="28" w:type="dxa"/>
          <w:right w:w="28" w:type="dxa"/>
        </w:tblCellMar>
      </w:tblPr>
      <w:tblGrid>
        <w:gridCol w:w="971"/>
        <w:gridCol w:w="850"/>
        <w:gridCol w:w="863"/>
        <w:gridCol w:w="1306"/>
        <w:gridCol w:w="1306"/>
        <w:gridCol w:w="1857"/>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Estimated Useful Lives</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2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4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computer equipment</w:t>
            </w:r>
          </w:p>
        </w:tc>
        <w:tc>
          <w:tcPr>
            <w:tcW w:w="44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expected lease term or estimated useful life</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sale or retirement of the assets, the cost and related accumulated depreciation are removed from the accounts and the resulting gain or loss is recognized in the consolidated statement of operations and comprehensive (loss) income. Expenditures for general maintenance and repairs are expensed as incurred.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and intangible assets,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 </w:t>
      </w:r>
    </w:p>
    <w:tbl>
      <w:tblPr>
        <w:tblW w:w="4379" w:type="dxa"/>
        <w:jc w:val="left"/>
        <w:tblInd w:w="0" w:type="dxa"/>
        <w:tblLayout w:type="fixed"/>
        <w:tblCellMar>
          <w:top w:w="28" w:type="dxa"/>
          <w:left w:w="28" w:type="dxa"/>
          <w:bottom w:w="28" w:type="dxa"/>
          <w:right w:w="28" w:type="dxa"/>
        </w:tblCellMar>
      </w:tblPr>
      <w:tblGrid>
        <w:gridCol w:w="829"/>
        <w:gridCol w:w="730"/>
        <w:gridCol w:w="736"/>
        <w:gridCol w:w="609"/>
        <w:gridCol w:w="609"/>
        <w:gridCol w:w="86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Estimated Useful Lives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2 - 15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FCI developed technology</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1 - 6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7 - 9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Reagent licenses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 license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for Impairment of Long-Lived Assets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605" cy="14605"/>
                <wp:effectExtent l="0" t="0" r="0" b="0"/>
                <wp:wrapNone/>
                <wp:docPr id="97" name="Frame9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in active markets for identical assets or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consolidated balance sheets for cash and cash equivalents, trade accounts receivable, net, trade accounts payable and accrued expenses approximate their fair values.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 revenue consists of sales of its instrument systems and accessories. The Company recognizes product revenue at the point in time when control of the product is transferred to the customer.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Invoicing for products occurs upon shipment and is adjusted based on the applicable International Commercial Terms,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 arrangements, the associated product inventory is identified separately by the Company as belonging to the customer and is ready for physical transfer.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twelve months ended December 31, 2024 and December 31, 2023, the Company recorded </w:t>
      </w:r>
      <w:r>
        <w:rPr>
          <w:rFonts w:ascii="Times New Roman;sans-serif" w:hAnsi="Times New Roman;sans-serif"/>
          <w:b w:val="false"/>
          <w:color w:val="000000"/>
          <w:sz w:val="20"/>
          <w:shd w:fill="FFFFFF" w:val="clear"/>
        </w:rPr>
        <w:t xml:space="preserve">$0.0 million </w:t>
      </w:r>
      <w:r>
        <w:rPr>
          <w:rFonts w:ascii="Times New Roman;sans-serif" w:hAnsi="Times New Roman;sans-serif"/>
          <w:b w:val="false"/>
          <w:color w:val="000000"/>
          <w:sz w:val="20"/>
        </w:rPr>
        <w:t xml:space="preserve">and $14.9 million, respectively, of revenue under bill-and-hold arrangements. As of December 31, 2024 and December 31, 2023, $0.0 million and $5.4 million, respectively, was included in revenue for products that had not yet shipped. As of December 31, 2022, revenue recorded under bill-and-hold arrangements was </w:t>
      </w:r>
      <w:r>
        <w:rPr>
          <w:rFonts w:ascii="Times New Roman;sans-serif" w:hAnsi="Times New Roman;sans-serif"/>
          <w:b w:val="false"/>
          <w:color w:val="000000"/>
          <w:sz w:val="20"/>
          <w:shd w:fill="FFFFFF" w:val="clear"/>
        </w:rPr>
        <w:t>$12.1 million.</w:t>
      </w:r>
      <w:r>
        <w:rPr>
          <w:color w:val="000000"/>
        </w:rPr>
        <w:t xml:space="preserv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Product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standard arrangement for sales to end users is a purchase order or an executed contract. Revenue is recognized upon transfer of control of the product to the customer, which occurs at a point in time depending on the shipping terms.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Service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Assurance-type product warranties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one 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offering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offering costs, which consist of direct incremental legal, consulting, banking and accounting fees, are capitalized, and are offset against proceeds from an offering upon the effectiveness of the offering.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2024, the Company has not made any sales of common stock pursuant to the 2022 Sales Agreement. Accordingly, </w:t>
      </w:r>
      <w:r>
        <w:rPr>
          <w:rFonts w:ascii="Times New Roman;sans-serif" w:hAnsi="Times New Roman;sans-serif"/>
          <w:b w:val="false"/>
          <w:color w:val="000000"/>
          <w:sz w:val="20"/>
          <w:shd w:fill="FFFFFF" w:val="clear"/>
        </w:rPr>
        <w:t>$0.7 million</w:t>
      </w:r>
      <w:r>
        <w:rPr>
          <w:color w:val="000000"/>
        </w:rPr>
        <w:t xml:space="preserve"> </w:t>
      </w:r>
      <w:r>
        <w:rPr>
          <w:rFonts w:ascii="Times New Roman;sans-serif" w:hAnsi="Times New Roman;sans-serif"/>
          <w:b w:val="false"/>
          <w:color w:val="000000"/>
          <w:sz w:val="20"/>
        </w:rPr>
        <w:t>in transaction expenses recorded as prepaid offering costs have not yet been expensed in transaction expenses recorded.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used in research and development activities are recorded as prepaid expenses until the related goods or services are received.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Advertising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advertising, marketing and media is expensed as incurred. For the years ended December 31, 2024, 2023 and 2022 advertising, marketing and media expenses were $3.8 million, $3.4 million and $2.5 million,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Volatility—Expected volatility is estimated by analyzing the historical volatility of selected industry peers, and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Term—Expected term represents the period that the Company's stock-based awards are expected to be outstanding and is determined using the simplified method.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Yield— The expected dividend yield is zero as the Company has never declared or paid cash dividends and has no current plans to do so in the foreseeable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Rate—The risk-free interest rate is based on the U.S. Treasury zero-coupon issued in effect at the time of grant for periods corresponding with the expected term of the option.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consolidated financial statements.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Net income (loss) attributable to common stockholders per share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and diluted net income (loss) attributable to common stockholders per share are computed using the weighted-average number of shares of common stock outstanding for the period. Net income (loss) per share attributable to common stockholders is calculated using the two-class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is an earnings allocation formula that determines net income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(loss) per share in the periods in which net income (loss) is recorded.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equivalents are excluded from the computation of diluted net income (loss) attributable to common stockholders per share if their effect is antidilutive.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uses the acquisition method of accounting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Supplier Finance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2024, Cytek Wuxi entered into a Kuaiyifu Business Cooperation Agreement with the Bank of Communications Co., Ltd. to implement a supplier financing program which enables certain Cytek Wuxi suppliers, at their sole discretion, to sell their Cytek Wuxi receivables (i.e., Cytek Wuxi’s payment obligations to the suppliers) to the Bank of Communications Co., Ltd. on a non-recourse basis in order to be paid earlier than current payment terms provide.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Cytek Wuxi’s payment terms to the Bank of Communications Co., Ltd., including the timing and amount of payments, are based on the original supplier invoices. Cytek Wuxi’s current payment terms with a majority of its suppliers are typically between 30 and 90 days. Cytek Wuxi undertakes unconditional payment obligations with respect to the suppliers’ account receivable transferred to the bank under the supplier finance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program allowed for the transfer of supplier receivables up to an aggregate outstanding balance of $20.0 million Chinese renminbi (approximately US $2.8 million) through December 25, 2024. As of December 25, 2024, the program had no outstanding balance, and no supplier had transferred their receivables to the Bank of Communications Co., Ltd. The program expired on December 25, 2024.</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Recently adopted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 of significant segment expenses and other segment items as well as incremental qualitative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22 for further information on the Company’s reportable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 (“ASU 2023-09”)</w:t>
      </w:r>
      <w:r>
        <w:rPr>
          <w:rFonts w:ascii="Times New Roman;sans-serif" w:hAnsi="Times New Roman;sans-serif"/>
          <w:b w:val="false"/>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Statement-Reporting Comprehensive Income-Expense Disaggregation Disclosure (Subtopic 220-40): Disaggregation of Income Statement Expenses</w:t>
      </w:r>
      <w:r>
        <w:rPr>
          <w:color w:val="000000"/>
        </w:rPr>
        <w:t xml:space="preserve"> </w:t>
      </w:r>
      <w:r>
        <w:rPr>
          <w:rFonts w:ascii="Times New Roman;sans-serif" w:hAnsi="Times New Roman;sans-serif"/>
          <w:b w:val="false"/>
          <w:color w:val="000000"/>
          <w:sz w:val="20"/>
        </w:rPr>
        <w:t xml:space="preserve">(“ASU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3.    Concentrations of credit risk and other risks and uncertainties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4.    Revenue from contracts with customers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disaggregation of revenue by sales channel mix and customer mix as defined by the nature of workflows (in thousands):</w:t>
      </w:r>
    </w:p>
    <w:tbl>
      <w:tblPr>
        <w:tblW w:w="10205" w:type="dxa"/>
        <w:jc w:val="left"/>
        <w:tblInd w:w="0" w:type="dxa"/>
        <w:tblLayout w:type="fixed"/>
        <w:tblCellMar>
          <w:top w:w="28" w:type="dxa"/>
          <w:left w:w="28" w:type="dxa"/>
          <w:bottom w:w="28" w:type="dxa"/>
          <w:right w:w="28" w:type="dxa"/>
        </w:tblCellMar>
      </w:tblPr>
      <w:tblGrid>
        <w:gridCol w:w="2228"/>
        <w:gridCol w:w="1913"/>
        <w:gridCol w:w="1926"/>
        <w:gridCol w:w="211"/>
        <w:gridCol w:w="826"/>
        <w:gridCol w:w="109"/>
        <w:gridCol w:w="109"/>
        <w:gridCol w:w="109"/>
        <w:gridCol w:w="109"/>
        <w:gridCol w:w="211"/>
        <w:gridCol w:w="826"/>
        <w:gridCol w:w="109"/>
        <w:gridCol w:w="109"/>
        <w:gridCol w:w="109"/>
        <w:gridCol w:w="109"/>
        <w:gridCol w:w="211"/>
        <w:gridCol w:w="826"/>
        <w:gridCol w:w="155"/>
      </w:tblGrid>
      <w:tr>
        <w:trPr/>
        <w:tc>
          <w:tcPr>
            <w:tcW w:w="222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Sales channel mix</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sales channel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channel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mix</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Academia and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 pharmaceutical, distributor and contract research organizations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Revenue by geographical markets is presented in Note 22, </w:t>
      </w:r>
      <w:r>
        <w:rPr>
          <w:rFonts w:ascii="Times New Roman;sans-serif" w:hAnsi="Times New Roman;sans-serif"/>
          <w:b w:val="false"/>
          <w:i/>
          <w:color w:val="000000"/>
          <w:sz w:val="20"/>
        </w:rPr>
        <w:t>Segment Information and Geographic Data</w:t>
      </w:r>
      <w:r>
        <w:rPr>
          <w:rFonts w:ascii="Times New Roman;sans-serif" w:hAnsi="Times New Roman;sans-serif"/>
          <w:b w:val="false"/>
          <w:color w:val="000000"/>
          <w:sz w:val="20"/>
        </w:rPr>
        <w:t xml:space="preserv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Remaining performance obligations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estimated revenues expected to be recognized in the future related to performance obligations that are unsatisfied (or partially satisfied) as of December 31, 2024 (in thousands): </w:t>
      </w:r>
    </w:p>
    <w:tbl>
      <w:tblPr>
        <w:tblW w:w="6045" w:type="dxa"/>
        <w:jc w:val="left"/>
        <w:tblInd w:w="0" w:type="dxa"/>
        <w:tblLayout w:type="fixed"/>
        <w:tblCellMar>
          <w:top w:w="28" w:type="dxa"/>
          <w:left w:w="28" w:type="dxa"/>
          <w:bottom w:w="28" w:type="dxa"/>
          <w:right w:w="28" w:type="dxa"/>
        </w:tblCellMar>
      </w:tblPr>
      <w:tblGrid>
        <w:gridCol w:w="521"/>
        <w:gridCol w:w="459"/>
        <w:gridCol w:w="460"/>
        <w:gridCol w:w="261"/>
        <w:gridCol w:w="894"/>
        <w:gridCol w:w="135"/>
        <w:gridCol w:w="109"/>
        <w:gridCol w:w="109"/>
        <w:gridCol w:w="109"/>
        <w:gridCol w:w="319"/>
        <w:gridCol w:w="1091"/>
        <w:gridCol w:w="165"/>
        <w:gridCol w:w="109"/>
        <w:gridCol w:w="109"/>
        <w:gridCol w:w="109"/>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balances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immaterial amounts of contract assets included within prepaid expenses and other current assets on the consolidated balance sheets. The following table provides information about deferred revenue from contracts with customers, and customer deposits (in thousands): </w:t>
      </w:r>
    </w:p>
    <w:tbl>
      <w:tblPr>
        <w:tblW w:w="8020" w:type="dxa"/>
        <w:jc w:val="left"/>
        <w:tblInd w:w="0" w:type="dxa"/>
        <w:tblLayout w:type="fixed"/>
        <w:tblCellMar>
          <w:top w:w="28" w:type="dxa"/>
          <w:left w:w="28" w:type="dxa"/>
          <w:bottom w:w="28" w:type="dxa"/>
          <w:right w:w="28" w:type="dxa"/>
        </w:tblCellMar>
      </w:tblPr>
      <w:tblGrid>
        <w:gridCol w:w="1976"/>
        <w:gridCol w:w="1738"/>
        <w:gridCol w:w="1745"/>
        <w:gridCol w:w="222"/>
        <w:gridCol w:w="759"/>
        <w:gridCol w:w="114"/>
        <w:gridCol w:w="109"/>
        <w:gridCol w:w="109"/>
        <w:gridCol w:w="109"/>
        <w:gridCol w:w="221"/>
        <w:gridCol w:w="757"/>
        <w:gridCol w:w="161"/>
      </w:tblGrid>
      <w:tr>
        <w:trPr/>
        <w:tc>
          <w:tcPr>
            <w:tcW w:w="197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long-term</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which are included in 'Other 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 roll-forward of the contract liabilities (in thousands): </w:t>
      </w:r>
    </w:p>
    <w:tbl>
      <w:tblPr>
        <w:tblW w:w="3681" w:type="dxa"/>
        <w:jc w:val="left"/>
        <w:tblInd w:w="0" w:type="dxa"/>
        <w:tblLayout w:type="fixed"/>
        <w:tblCellMar>
          <w:top w:w="28" w:type="dxa"/>
          <w:left w:w="28" w:type="dxa"/>
          <w:bottom w:w="28" w:type="dxa"/>
          <w:right w:w="28" w:type="dxa"/>
        </w:tblCellMar>
      </w:tblPr>
      <w:tblGrid>
        <w:gridCol w:w="941"/>
        <w:gridCol w:w="824"/>
        <w:gridCol w:w="830"/>
        <w:gridCol w:w="211"/>
        <w:gridCol w:w="72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Contract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5.    Balance sheet details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inventory (in thousands): </w:t>
      </w:r>
    </w:p>
    <w:tbl>
      <w:tblPr>
        <w:tblW w:w="4076" w:type="dxa"/>
        <w:jc w:val="left"/>
        <w:tblInd w:w="0" w:type="dxa"/>
        <w:tblLayout w:type="fixed"/>
        <w:tblCellMar>
          <w:top w:w="28" w:type="dxa"/>
          <w:left w:w="28" w:type="dxa"/>
          <w:bottom w:w="28" w:type="dxa"/>
          <w:right w:w="28" w:type="dxa"/>
        </w:tblCellMar>
      </w:tblPr>
      <w:tblGrid>
        <w:gridCol w:w="549"/>
        <w:gridCol w:w="481"/>
        <w:gridCol w:w="485"/>
        <w:gridCol w:w="222"/>
        <w:gridCol w:w="759"/>
        <w:gridCol w:w="114"/>
        <w:gridCol w:w="109"/>
        <w:gridCol w:w="109"/>
        <w:gridCol w:w="109"/>
        <w:gridCol w:w="221"/>
        <w:gridCol w:w="757"/>
        <w:gridCol w:w="16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605" cy="14605"/>
                <wp:effectExtent l="0" t="0" r="0" b="0"/>
                <wp:wrapNone/>
                <wp:docPr id="103" name="Frame10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prepaid expenses and other current assets (in thousands): </w:t>
      </w:r>
    </w:p>
    <w:tbl>
      <w:tblPr>
        <w:tblW w:w="6491" w:type="dxa"/>
        <w:jc w:val="left"/>
        <w:tblInd w:w="0" w:type="dxa"/>
        <w:tblLayout w:type="fixed"/>
        <w:tblCellMar>
          <w:top w:w="28" w:type="dxa"/>
          <w:left w:w="28" w:type="dxa"/>
          <w:bottom w:w="28" w:type="dxa"/>
          <w:right w:w="28" w:type="dxa"/>
        </w:tblCellMar>
      </w:tblPr>
      <w:tblGrid>
        <w:gridCol w:w="1423"/>
        <w:gridCol w:w="1248"/>
        <w:gridCol w:w="1259"/>
        <w:gridCol w:w="222"/>
        <w:gridCol w:w="759"/>
        <w:gridCol w:w="114"/>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inventory</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refund receivable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accrued expenses (in thousands): </w:t>
      </w:r>
    </w:p>
    <w:tbl>
      <w:tblPr>
        <w:tblW w:w="6176" w:type="dxa"/>
        <w:jc w:val="left"/>
        <w:tblInd w:w="0" w:type="dxa"/>
        <w:tblLayout w:type="fixed"/>
        <w:tblCellMar>
          <w:top w:w="28" w:type="dxa"/>
          <w:left w:w="28" w:type="dxa"/>
          <w:bottom w:w="28" w:type="dxa"/>
          <w:right w:w="28" w:type="dxa"/>
        </w:tblCellMar>
      </w:tblPr>
      <w:tblGrid>
        <w:gridCol w:w="1310"/>
        <w:gridCol w:w="1148"/>
        <w:gridCol w:w="1157"/>
        <w:gridCol w:w="222"/>
        <w:gridCol w:w="759"/>
        <w:gridCol w:w="114"/>
        <w:gridCol w:w="109"/>
        <w:gridCol w:w="109"/>
        <w:gridCol w:w="109"/>
        <w:gridCol w:w="221"/>
        <w:gridCol w:w="757"/>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benefits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 fees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product warranty analysis refer to Note 20.</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current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other current liabilities (in thousands): </w:t>
      </w:r>
    </w:p>
    <w:tbl>
      <w:tblPr>
        <w:tblW w:w="5306" w:type="dxa"/>
        <w:jc w:val="left"/>
        <w:tblInd w:w="0" w:type="dxa"/>
        <w:tblLayout w:type="fixed"/>
        <w:tblCellMar>
          <w:top w:w="28" w:type="dxa"/>
          <w:left w:w="28" w:type="dxa"/>
          <w:bottom w:w="28" w:type="dxa"/>
          <w:right w:w="28" w:type="dxa"/>
        </w:tblCellMar>
      </w:tblPr>
      <w:tblGrid>
        <w:gridCol w:w="994"/>
        <w:gridCol w:w="874"/>
        <w:gridCol w:w="876"/>
        <w:gridCol w:w="222"/>
        <w:gridCol w:w="759"/>
        <w:gridCol w:w="114"/>
        <w:gridCol w:w="109"/>
        <w:gridCol w:w="109"/>
        <w:gridCol w:w="109"/>
        <w:gridCol w:w="245"/>
        <w:gridCol w:w="716"/>
        <w:gridCol w:w="17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use tax payable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loan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6.    Fair value of financial instruments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table sets forth the fair value of the Company’s financial assets and liabilities by level within the fair value hierarchy (in thousands): </w:t>
      </w:r>
    </w:p>
    <w:p>
      <w:pPr>
        <w:pStyle w:val="TextBody"/>
        <w:bidi w:val="0"/>
        <w:spacing w:before="120" w:after="283"/>
        <w:ind w:left="0" w:right="0" w:firstLine="540"/>
        <w:jc w:val="both"/>
        <w:rPr/>
      </w:pPr>
      <w:r>
        <w:rPr/>
      </w:r>
    </w:p>
    <w:tbl>
      <w:tblPr>
        <w:tblW w:w="7806" w:type="dxa"/>
        <w:jc w:val="left"/>
        <w:tblInd w:w="0" w:type="dxa"/>
        <w:tblLayout w:type="fixed"/>
        <w:tblCellMar>
          <w:top w:w="28" w:type="dxa"/>
          <w:left w:w="28" w:type="dxa"/>
          <w:bottom w:w="28" w:type="dxa"/>
          <w:right w:w="28" w:type="dxa"/>
        </w:tblCellMar>
      </w:tblPr>
      <w:tblGrid>
        <w:gridCol w:w="742"/>
        <w:gridCol w:w="653"/>
        <w:gridCol w:w="65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11"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transfers of financial assets measured at fair value on a recurring basis to or from Level 1, Level 2 or Level 3 for any of the periods presented.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table above does not include the Company's investments in privately held equity securities. Non-marketable equity investments of </w:t>
      </w:r>
      <w:r>
        <w:rPr>
          <w:rFonts w:ascii="Times New Roman;sans-serif" w:hAnsi="Times New Roman;sans-serif"/>
          <w:b w:val="false"/>
          <w:color w:val="000000"/>
          <w:sz w:val="20"/>
          <w:shd w:fill="FFFFFF" w:val="clear"/>
        </w:rPr>
        <w:t>$1.6 million</w:t>
      </w:r>
      <w:r>
        <w:rPr>
          <w:color w:val="000000"/>
        </w:rPr>
        <w:t xml:space="preserve"> </w:t>
      </w:r>
      <w:r>
        <w:rPr>
          <w:rFonts w:ascii="Times New Roman;sans-serif" w:hAnsi="Times New Roman;sans-serif"/>
          <w:b w:val="false"/>
          <w:color w:val="000000"/>
          <w:sz w:val="20"/>
        </w:rPr>
        <w:t>are included within Other noncurrent assets on the consolidated balance sheet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7.    Investments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investments in available-for-sale securities by significant investment category reported as short-term as of December 31, 2024 (in thousands):</w:t>
      </w:r>
    </w:p>
    <w:tbl>
      <w:tblPr>
        <w:tblW w:w="10205" w:type="dxa"/>
        <w:jc w:val="left"/>
        <w:tblInd w:w="0" w:type="dxa"/>
        <w:tblLayout w:type="fixed"/>
        <w:tblCellMar>
          <w:top w:w="28" w:type="dxa"/>
          <w:left w:w="28" w:type="dxa"/>
          <w:bottom w:w="28" w:type="dxa"/>
          <w:right w:w="28" w:type="dxa"/>
        </w:tblCellMar>
      </w:tblPr>
      <w:tblGrid>
        <w:gridCol w:w="1065"/>
        <w:gridCol w:w="924"/>
        <w:gridCol w:w="917"/>
        <w:gridCol w:w="227"/>
        <w:gridCol w:w="892"/>
        <w:gridCol w:w="117"/>
        <w:gridCol w:w="109"/>
        <w:gridCol w:w="109"/>
        <w:gridCol w:w="109"/>
        <w:gridCol w:w="464"/>
        <w:gridCol w:w="1031"/>
        <w:gridCol w:w="243"/>
        <w:gridCol w:w="109"/>
        <w:gridCol w:w="109"/>
        <w:gridCol w:w="109"/>
        <w:gridCol w:w="509"/>
        <w:gridCol w:w="909"/>
        <w:gridCol w:w="265"/>
        <w:gridCol w:w="109"/>
        <w:gridCol w:w="109"/>
        <w:gridCol w:w="109"/>
        <w:gridCol w:w="292"/>
        <w:gridCol w:w="1147"/>
        <w:gridCol w:w="222"/>
      </w:tblGrid>
      <w:tr>
        <w:trPr/>
        <w:tc>
          <w:tcPr>
            <w:tcW w:w="106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9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Unrealized 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securities at December 31, 2024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less than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investments in available-for-sale securities by significant investment category reported as short-term as of December 31, 2023 (in thousands):</w:t>
      </w:r>
    </w:p>
    <w:tbl>
      <w:tblPr>
        <w:tblW w:w="10205" w:type="dxa"/>
        <w:jc w:val="left"/>
        <w:tblInd w:w="0" w:type="dxa"/>
        <w:tblLayout w:type="fixed"/>
        <w:tblCellMar>
          <w:top w:w="28" w:type="dxa"/>
          <w:left w:w="28" w:type="dxa"/>
          <w:bottom w:w="28" w:type="dxa"/>
          <w:right w:w="28" w:type="dxa"/>
        </w:tblCellMar>
      </w:tblPr>
      <w:tblGrid>
        <w:gridCol w:w="1077"/>
        <w:gridCol w:w="925"/>
        <w:gridCol w:w="927"/>
        <w:gridCol w:w="249"/>
        <w:gridCol w:w="852"/>
        <w:gridCol w:w="128"/>
        <w:gridCol w:w="109"/>
        <w:gridCol w:w="109"/>
        <w:gridCol w:w="109"/>
        <w:gridCol w:w="542"/>
        <w:gridCol w:w="928"/>
        <w:gridCol w:w="283"/>
        <w:gridCol w:w="109"/>
        <w:gridCol w:w="109"/>
        <w:gridCol w:w="109"/>
        <w:gridCol w:w="480"/>
        <w:gridCol w:w="924"/>
        <w:gridCol w:w="249"/>
        <w:gridCol w:w="109"/>
        <w:gridCol w:w="109"/>
        <w:gridCol w:w="109"/>
        <w:gridCol w:w="321"/>
        <w:gridCol w:w="1098"/>
        <w:gridCol w:w="241"/>
      </w:tblGrid>
      <w:tr>
        <w:trPr/>
        <w:tc>
          <w:tcPr>
            <w:tcW w:w="107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agency securities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securities at December 31, 2023 (in thousands):</w:t>
      </w:r>
    </w:p>
    <w:tbl>
      <w:tblPr>
        <w:tblW w:w="5057" w:type="dxa"/>
        <w:jc w:val="left"/>
        <w:tblInd w:w="0" w:type="dxa"/>
        <w:tblLayout w:type="fixed"/>
        <w:tblCellMar>
          <w:top w:w="28" w:type="dxa"/>
          <w:left w:w="28" w:type="dxa"/>
          <w:bottom w:w="28" w:type="dxa"/>
          <w:right w:w="28" w:type="dxa"/>
        </w:tblCellMar>
      </w:tblPr>
      <w:tblGrid>
        <w:gridCol w:w="867"/>
        <w:gridCol w:w="765"/>
        <w:gridCol w:w="768"/>
        <w:gridCol w:w="252"/>
        <w:gridCol w:w="862"/>
        <w:gridCol w:w="130"/>
        <w:gridCol w:w="109"/>
        <w:gridCol w:w="109"/>
        <w:gridCol w:w="109"/>
        <w:gridCol w:w="211"/>
        <w:gridCol w:w="721"/>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8.    Property and equipment,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property and equipment, net (in thousands): </w:t>
      </w:r>
    </w:p>
    <w:tbl>
      <w:tblPr>
        <w:tblW w:w="5245" w:type="dxa"/>
        <w:jc w:val="left"/>
        <w:tblInd w:w="0" w:type="dxa"/>
        <w:tblLayout w:type="fixed"/>
        <w:tblCellMar>
          <w:top w:w="28" w:type="dxa"/>
          <w:left w:w="28" w:type="dxa"/>
          <w:bottom w:w="28" w:type="dxa"/>
          <w:right w:w="28" w:type="dxa"/>
        </w:tblCellMar>
      </w:tblPr>
      <w:tblGrid>
        <w:gridCol w:w="972"/>
        <w:gridCol w:w="854"/>
        <w:gridCol w:w="858"/>
        <w:gridCol w:w="222"/>
        <w:gridCol w:w="759"/>
        <w:gridCol w:w="114"/>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land</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computer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Total depreciation expense for the years ended December 31, 2024, 2023, and 2022 were </w:t>
      </w:r>
      <w:r>
        <w:rPr>
          <w:rFonts w:ascii="Times New Roman;sans-serif" w:hAnsi="Times New Roman;sans-serif"/>
          <w:b w:val="false"/>
          <w:color w:val="000000"/>
          <w:sz w:val="20"/>
          <w:shd w:fill="FFFFFF" w:val="clear"/>
        </w:rPr>
        <w:t>$3.5 million</w:t>
      </w:r>
      <w:r>
        <w:rPr>
          <w:rFonts w:ascii="Times New Roman;sans-serif" w:hAnsi="Times New Roman;sans-serif"/>
          <w:b w:val="false"/>
          <w:color w:val="000000"/>
          <w:sz w:val="20"/>
        </w:rPr>
        <w:t>, $2.8 million and $1.7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9.    </w:t>
      </w:r>
      <w:r>
        <w:rPr>
          <w:rFonts w:ascii="Times New Roman;sans-serif" w:hAnsi="Times New Roman;sans-serif"/>
          <w:b/>
          <w:color w:val="000000"/>
          <w:sz w:val="20"/>
          <w:shd w:fill="FFFFFF" w:val="clear"/>
        </w:rPr>
        <w:t>Acquisition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the Company completed the FCI Acquisition for an aggregate cash consideration of $44.9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FCI Acquisition expanded Cytek’s product portfolio to include high-resolution cell images with the speed, sensitivity and phenotyping abilities of flow cytometry and added cost-effective, entry-level and personal instrument options to broaden the market and research areas it services.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acquisition was accounted for as a business combination in accordance with ASC 805. The purchase price has been allocated to tangible assets and identifiable intangible assets acquired and liabilities assumed based upon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estimated fair values, with the exception of contract liabilities assumed which are recognized and measured in accordance with ASC 606, </w:t>
      </w:r>
      <w:r>
        <w:rPr>
          <w:rFonts w:ascii="Times New Roman;sans-serif" w:hAnsi="Times New Roman;sans-serif"/>
          <w:b w:val="false"/>
          <w:i/>
          <w:color w:val="000000"/>
          <w:sz w:val="20"/>
          <w:shd w:fill="FFFFFF" w:val="clear"/>
        </w:rPr>
        <w:t>Revenue from Contracts with Customers</w:t>
      </w:r>
      <w:r>
        <w:rPr>
          <w:rFonts w:ascii="Times New Roman;sans-serif" w:hAnsi="Times New Roman;sans-serif"/>
          <w:b w:val="false"/>
          <w:color w:val="000000"/>
          <w:sz w:val="20"/>
          <w:shd w:fill="FFFFFF" w:val="clear"/>
        </w:rPr>
        <w:t xml:space="preserve">. The Company finalized its accounting for the </w:t>
      </w:r>
      <w:r>
        <w:rPr>
          <w:rFonts w:ascii="Times New Roman;sans-serif" w:hAnsi="Times New Roman;sans-serif"/>
          <w:b w:val="false"/>
          <w:color w:val="000000"/>
          <w:sz w:val="20"/>
        </w:rPr>
        <w:t xml:space="preserve">FCI Acquisition during the fourth quarter of 2023.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the Company recorded the following changes as a result of measurement period adjustments to the fair value of the initial assets as follows:</w:t>
      </w:r>
    </w:p>
    <w:p>
      <w:pPr>
        <w:pStyle w:val="TextBody"/>
        <w:bidi w:val="0"/>
        <w:spacing w:lineRule="auto" w:line="288" w:before="120" w:after="283"/>
        <w:ind w:left="0" w:right="0" w:hanging="540"/>
        <w:jc w:val="both"/>
        <w:rPr/>
      </w:pPr>
      <w:r>
        <w:rPr>
          <w:color w:val="000000"/>
          <w:shd w:fill="FFFFFF" w:val="clear"/>
        </w:rPr>
        <w:t>•</w:t>
      </w:r>
      <w:r>
        <w:rPr>
          <w:rFonts w:ascii="Times New Roman;sans-serif" w:hAnsi="Times New Roman;sans-serif"/>
          <w:b w:val="false"/>
          <w:color w:val="000000"/>
          <w:sz w:val="20"/>
          <w:shd w:fill="FFFFFF" w:val="clear"/>
        </w:rPr>
        <w:t>Property and equipment increased by $1.4 million</w:t>
      </w:r>
    </w:p>
    <w:p>
      <w:pPr>
        <w:pStyle w:val="TextBody"/>
        <w:bidi w:val="0"/>
        <w:spacing w:lineRule="auto" w:line="288" w:before="120" w:after="283"/>
        <w:ind w:left="0" w:right="0" w:hanging="540"/>
        <w:jc w:val="both"/>
        <w:rPr/>
      </w:pPr>
      <w:r>
        <w:rPr>
          <w:color w:val="000000"/>
          <w:shd w:fill="FFFFFF" w:val="clear"/>
        </w:rPr>
        <w:t>•</w:t>
      </w:r>
      <w:r>
        <w:rPr>
          <w:rFonts w:ascii="Times New Roman;sans-serif" w:hAnsi="Times New Roman;sans-serif"/>
          <w:b w:val="false"/>
          <w:color w:val="000000"/>
          <w:sz w:val="20"/>
          <w:shd w:fill="FFFFFF" w:val="clear"/>
        </w:rPr>
        <w:t xml:space="preserve">Deferred tax assets increased by </w:t>
      </w:r>
      <w:r>
        <w:rPr>
          <w:rFonts w:ascii="Times New Roman;sans-serif" w:hAnsi="Times New Roman;sans-serif"/>
          <w:b w:val="false"/>
          <w:color w:val="000000"/>
          <w:sz w:val="20"/>
        </w:rPr>
        <w:t>$0.6 million</w:t>
      </w:r>
    </w:p>
    <w:p>
      <w:pPr>
        <w:pStyle w:val="TextBody"/>
        <w:bidi w:val="0"/>
        <w:spacing w:lineRule="auto" w:line="288" w:before="120" w:after="283"/>
        <w:ind w:left="0" w:right="0" w:hanging="540"/>
        <w:jc w:val="both"/>
        <w:rPr/>
      </w:pPr>
      <w:r>
        <w:rPr>
          <w:color w:val="000000"/>
          <w:shd w:fill="FFFFFF" w:val="clear"/>
        </w:rPr>
        <w:t>•</w:t>
      </w:r>
      <w:r>
        <w:rPr>
          <w:rFonts w:ascii="Times New Roman;sans-serif" w:hAnsi="Times New Roman;sans-serif"/>
          <w:b w:val="false"/>
          <w:color w:val="000000"/>
          <w:sz w:val="20"/>
          <w:shd w:fill="FFFFFF" w:val="clear"/>
        </w:rPr>
        <w:t>Customer relationships increased by $0.1 million</w:t>
      </w:r>
    </w:p>
    <w:p>
      <w:pPr>
        <w:pStyle w:val="TextBody"/>
        <w:bidi w:val="0"/>
        <w:spacing w:lineRule="auto" w:line="288" w:before="120" w:after="283"/>
        <w:ind w:left="0" w:right="0" w:hanging="540"/>
        <w:jc w:val="both"/>
        <w:rPr/>
      </w:pPr>
      <w:r>
        <w:rPr>
          <w:color w:val="000000"/>
          <w:shd w:fill="FFFFFF" w:val="clear"/>
        </w:rPr>
        <w:t>•</w:t>
      </w:r>
      <w:r>
        <w:rPr>
          <w:rFonts w:ascii="Times New Roman;sans-serif" w:hAnsi="Times New Roman;sans-serif"/>
          <w:b w:val="false"/>
          <w:color w:val="000000"/>
          <w:sz w:val="20"/>
          <w:shd w:fill="FFFFFF" w:val="clear"/>
        </w:rPr>
        <w:t>Developed technologies increased by $0.7 million</w:t>
      </w:r>
    </w:p>
    <w:p>
      <w:pPr>
        <w:pStyle w:val="TextBody"/>
        <w:bidi w:val="0"/>
        <w:spacing w:lineRule="auto" w:line="288" w:before="120" w:after="283"/>
        <w:ind w:left="0" w:right="0" w:hanging="540"/>
        <w:jc w:val="both"/>
        <w:rPr/>
      </w:pPr>
      <w:r>
        <w:rPr>
          <w:color w:val="000000"/>
          <w:shd w:fill="FFFFFF" w:val="clear"/>
        </w:rPr>
        <w:t>•</w:t>
      </w:r>
      <w:r>
        <w:rPr>
          <w:rFonts w:ascii="Times New Roman;sans-serif" w:hAnsi="Times New Roman;sans-serif"/>
          <w:b w:val="false"/>
          <w:color w:val="000000"/>
          <w:sz w:val="20"/>
          <w:shd w:fill="FFFFFF" w:val="clear"/>
        </w:rPr>
        <w:t>Trade names increased by $0.2 million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measurement period adjustments noted above decreased goodwill by $3.0 million.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fol</w:t>
      </w:r>
      <w:r>
        <w:rPr>
          <w:rFonts w:ascii="Times New Roman;sans-serif" w:hAnsi="Times New Roman;sans-serif"/>
          <w:b w:val="false"/>
          <w:color w:val="000000"/>
          <w:sz w:val="20"/>
        </w:rPr>
        <w:t>lowing table summarizes the estimated fair value of assets acquired and liabilities assumed at the date of the FCI Acquisition:</w:t>
      </w:r>
    </w:p>
    <w:tbl>
      <w:tblPr>
        <w:tblW w:w="5910" w:type="dxa"/>
        <w:jc w:val="left"/>
        <w:tblInd w:w="0" w:type="dxa"/>
        <w:tblLayout w:type="fixed"/>
        <w:tblCellMar>
          <w:top w:w="28" w:type="dxa"/>
          <w:left w:w="28" w:type="dxa"/>
          <w:bottom w:w="28" w:type="dxa"/>
          <w:right w:w="28" w:type="dxa"/>
        </w:tblCellMar>
      </w:tblPr>
      <w:tblGrid>
        <w:gridCol w:w="1699"/>
        <w:gridCol w:w="1495"/>
        <w:gridCol w:w="1501"/>
        <w:gridCol w:w="236"/>
        <w:gridCol w:w="807"/>
        <w:gridCol w:w="172"/>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and liabilities assumed:</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ImageStream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easyCyte and Muse developed technology</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FlowSight and CellStream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trade name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trade name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costs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tbl>
      <w:tblPr>
        <w:tblW w:w="7682" w:type="dxa"/>
        <w:jc w:val="left"/>
        <w:tblInd w:w="0" w:type="dxa"/>
        <w:tblLayout w:type="fixed"/>
        <w:tblCellMar>
          <w:top w:w="28" w:type="dxa"/>
          <w:left w:w="28" w:type="dxa"/>
          <w:bottom w:w="28" w:type="dxa"/>
          <w:right w:w="28" w:type="dxa"/>
        </w:tblCellMar>
      </w:tblPr>
      <w:tblGrid>
        <w:gridCol w:w="1700"/>
        <w:gridCol w:w="1495"/>
        <w:gridCol w:w="1500"/>
        <w:gridCol w:w="211"/>
        <w:gridCol w:w="721"/>
        <w:gridCol w:w="109"/>
        <w:gridCol w:w="109"/>
        <w:gridCol w:w="109"/>
        <w:gridCol w:w="109"/>
        <w:gridCol w:w="474"/>
        <w:gridCol w:w="474"/>
        <w:gridCol w:w="671"/>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 (years)</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for years)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ImageStream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easyCyte and Muse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FlowSight and CellStream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trade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All acquired intangibles are being amortized over their estimated useful lives using the straight-line method of amortization.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assigned to the assets acquired are based on reasonable assumptions and estimates that market participants would use. Actual results may differ from these estimates and assumptions.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results of operation</w:t>
      </w:r>
      <w:r>
        <w:rPr>
          <w:rFonts w:ascii="Times New Roman;sans-serif" w:hAnsi="Times New Roman;sans-serif"/>
          <w:b w:val="false"/>
          <w:color w:val="000000"/>
          <w:sz w:val="20"/>
          <w:shd w:fill="FFFFFF" w:val="clear"/>
        </w:rPr>
        <w:t>s for the FCI Business are included in the consolidated financial statements of the Company from the date of th</w:t>
      </w:r>
      <w:r>
        <w:rPr>
          <w:rFonts w:ascii="Times New Roman;sans-serif" w:hAnsi="Times New Roman;sans-serif"/>
          <w:b w:val="false"/>
          <w:color w:val="000000"/>
          <w:sz w:val="20"/>
        </w:rPr>
        <w:t xml:space="preserve">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10.    Goodwill and intangible assets,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Cytek Biosciences Ltd completed an immaterial acquisition of certain assets of Cytometric Engineering Ltd. (d.b.a. FlowCEL) for cash consideration of $571,732. The increase in goodwill and the customer relationships intangible during the year ended December 31, 2024 was primarily due to this acquisition.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intangible assets, net (in thousands):</w:t>
      </w:r>
    </w:p>
    <w:tbl>
      <w:tblPr>
        <w:tblW w:w="5261" w:type="dxa"/>
        <w:jc w:val="left"/>
        <w:tblInd w:w="0" w:type="dxa"/>
        <w:tblLayout w:type="fixed"/>
        <w:tblCellMar>
          <w:top w:w="28" w:type="dxa"/>
          <w:left w:w="28" w:type="dxa"/>
          <w:bottom w:w="28" w:type="dxa"/>
          <w:right w:w="28" w:type="dxa"/>
        </w:tblCellMar>
      </w:tblPr>
      <w:tblGrid>
        <w:gridCol w:w="976"/>
        <w:gridCol w:w="859"/>
        <w:gridCol w:w="865"/>
        <w:gridCol w:w="222"/>
        <w:gridCol w:w="759"/>
        <w:gridCol w:w="114"/>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trademarks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 license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Reagent license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Total amortization expense for the years ended December 31, 2024, 2023 and 2022 were approximately </w:t>
      </w:r>
      <w:r>
        <w:rPr>
          <w:rFonts w:ascii="Times New Roman;sans-serif" w:hAnsi="Times New Roman;sans-serif"/>
          <w:b w:val="false"/>
          <w:color w:val="000000"/>
          <w:sz w:val="20"/>
          <w:shd w:fill="FFFFFF" w:val="clear"/>
        </w:rPr>
        <w:t>$3.7</w:t>
      </w:r>
      <w:r>
        <w:rPr>
          <w:color w:val="000000"/>
        </w:rPr>
        <w:t xml:space="preserve"> </w:t>
      </w:r>
      <w:r>
        <w:rPr>
          <w:rFonts w:ascii="Times New Roman;sans-serif" w:hAnsi="Times New Roman;sans-serif"/>
          <w:b w:val="false"/>
          <w:color w:val="000000"/>
          <w:sz w:val="20"/>
        </w:rPr>
        <w:t>million, $3.2 million, $0.8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color w:val="000000"/>
          <w:sz w:val="20"/>
        </w:rPr>
        <w:t>11.    </w:t>
      </w:r>
      <w:r>
        <w:rPr>
          <w:rFonts w:ascii="Times New Roman;sans-serif" w:hAnsi="Times New Roman;sans-serif"/>
          <w:b/>
          <w:color w:val="000000"/>
          <w:sz w:val="20"/>
          <w:shd w:fill="FFFFFF" w:val="clear"/>
        </w:rPr>
        <w:t xml:space="preserve">Legal settlement liability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patents in question were determined to have an average useful life of 18 months. Accordingly, beginning the second quarter of 2022, the remaining contractual payments were classified as operating expenses as they were considered deferred litigation settlement. The Company recorded $0.0 million, $0.0 million, and $0.6 million product cost of sales related to royalty expense for the years ended December 31, 2024, 2023, and 2022, respectively. The Company recorded </w:t>
      </w:r>
      <w:r>
        <w:rPr>
          <w:rFonts w:ascii="Times New Roman;sans-serif" w:hAnsi="Times New Roman;sans-serif"/>
          <w:b w:val="false"/>
          <w:color w:val="000000"/>
          <w:sz w:val="20"/>
          <w:shd w:fill="FFFFFF" w:val="clear"/>
        </w:rPr>
        <w:t xml:space="preserve">$5.5 million of reduction in interest expense for the years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color w:val="000000"/>
          <w:sz w:val="20"/>
        </w:rPr>
        <w:t xml:space="preserve">$1.6 million, and $2.2 million of interest expense for the years ended December 31, 2023, and 2022,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$10.7 million and $19.0 million as of December 31, 2024 and December 31, 2023, respectively, and will record licensing expense in future periods.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the Company determined that it was necessary to revise its long-term forecasted net sales subject to royalties under the BD settlement as a result of the current macroeconomic conditions and headwinds. As a result, the Company remeasured the fair value of the legal settlement liability presented in the Consolidated Balance Sheets as of December 31, 2024. Based on the updated forecast, the Company recorded a $7.3 million reduction of the legal settlement liability, with a corresponding change to interest income (expense), net in the Consolidated Statements of Operations and Comprehensive Income (Loss) for the year ended December 31,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legal settlement liability (in thousands):</w:t>
      </w:r>
    </w:p>
    <w:tbl>
      <w:tblPr>
        <w:tblW w:w="5155" w:type="dxa"/>
        <w:jc w:val="left"/>
        <w:tblInd w:w="0" w:type="dxa"/>
        <w:tblLayout w:type="fixed"/>
        <w:tblCellMar>
          <w:top w:w="28" w:type="dxa"/>
          <w:left w:w="28" w:type="dxa"/>
          <w:bottom w:w="28" w:type="dxa"/>
          <w:right w:w="28" w:type="dxa"/>
        </w:tblCellMar>
      </w:tblPr>
      <w:tblGrid>
        <w:gridCol w:w="937"/>
        <w:gridCol w:w="823"/>
        <w:gridCol w:w="834"/>
        <w:gridCol w:w="222"/>
        <w:gridCol w:w="759"/>
        <w:gridCol w:w="114"/>
        <w:gridCol w:w="109"/>
        <w:gridCol w:w="109"/>
        <w:gridCol w:w="109"/>
        <w:gridCol w:w="221"/>
        <w:gridCol w:w="757"/>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legal settlement liability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April 2023, the restricted cash account was released. The purchased building in Wuxi serves as collateral for the Wuxi Loan. The total loan amount was $2.9 million and the loan term is five years. As of December 31, 2024, the total loan amount left is </w:t>
      </w:r>
      <w:r>
        <w:rPr>
          <w:rFonts w:ascii="Times New Roman;sans-serif" w:hAnsi="Times New Roman;sans-serif"/>
          <w:b w:val="false"/>
          <w:color w:val="000000"/>
          <w:sz w:val="20"/>
          <w:shd w:fill="FFFFFF" w:val="clear"/>
        </w:rPr>
        <w:t>$1.6 million</w:t>
      </w:r>
      <w:r>
        <w:rPr>
          <w:rFonts w:ascii="Times New Roman;sans-serif" w:hAnsi="Times New Roman;sans-serif"/>
          <w:b w:val="false"/>
          <w:color w:val="000000"/>
          <w:sz w:val="20"/>
        </w:rPr>
        <w:t xml:space="preserve">. The current portion of the loan, </w:t>
      </w:r>
      <w:r>
        <w:rPr>
          <w:rFonts w:ascii="Times New Roman;sans-serif" w:hAnsi="Times New Roman;sans-serif"/>
          <w:b w:val="false"/>
          <w:color w:val="000000"/>
          <w:sz w:val="20"/>
          <w:shd w:fill="FFFFFF" w:val="clear"/>
        </w:rPr>
        <w:t>$0.5 million</w:t>
      </w:r>
      <w:r>
        <w:rPr>
          <w:rFonts w:ascii="Times New Roman;sans-serif" w:hAnsi="Times New Roman;sans-serif"/>
          <w:b w:val="false"/>
          <w:color w:val="000000"/>
          <w:sz w:val="20"/>
        </w:rPr>
        <w:t>, is included in other current liabilities. The fixed interest rate on the loan was 4.5%.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2024, the Company signed a maximum credit agreement with Bank of Communications, China for 40 million Chinese renminbi (approximately US $5.7 million). This credit is collateralized by the Wuxi building purchased in November 2023. 20 million Chinese renminbi (approximately US $2.8 million) under the credit agreement serves as collateral for the Wuxi Loan. The remaining 20 million Chinese renminbi (approximately US $2.8 million) can be borrowed, as needed, as a short-term loan for normal business operation requirements. The line of credit is available from December 25, 2023 to December 25,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based on the above mentioned line of credit, Cytek Wuxi entered into a one year loan agreement with Bank of Communications, China. The loan is denominated in Chinese renminbi and collateralized by the building purchased by Cytek Wuxi in November 2023. The total loan amount was 10 million Chinese renminbi (approximately US $1.4 million) and the interest rate is fixed at 3.45%. The loan effective term is February 28, 2024 to February 28, 2025. The interest expenses are paid on a monthly basis. The loan will be used for operating expenses. The current portion of the line of credit loan of 10 million Chinese renminbi (approximately US $1.4 million) is included in other current liabilities. Cytek Wuxi intends to pay off the total loan amount of 10 million Chinese renminbi (approximately US $1.4 million) that it borrowed from Bank of Communications, China, at the end of the loan term on February 28, 2025.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October 24, 2024, the Company signed a maximum credit agreement with the Bank of China, Wuxi Branch, for </w:t>
      </w:r>
      <w:r>
        <w:rPr>
          <w:rFonts w:ascii="Times New Roman;sans-serif" w:hAnsi="Times New Roman;sans-serif"/>
          <w:b w:val="false"/>
          <w:color w:val="000000"/>
          <w:sz w:val="20"/>
        </w:rPr>
        <w:t>37</w:t>
      </w:r>
      <w:r>
        <w:rPr>
          <w:color w:val="000000"/>
          <w:shd w:fill="FFFFFF" w:val="clear"/>
        </w:rPr>
        <w:t xml:space="preserve"> </w:t>
      </w:r>
      <w:r>
        <w:rPr>
          <w:rFonts w:ascii="Times New Roman;sans-serif" w:hAnsi="Times New Roman;sans-serif"/>
          <w:b w:val="false"/>
          <w:color w:val="000000"/>
          <w:sz w:val="20"/>
          <w:shd w:fill="FFFFFF" w:val="clear"/>
        </w:rPr>
        <w:t>million Chinese renminbi (approximately US $</w:t>
      </w:r>
      <w:r>
        <w:rPr>
          <w:rFonts w:ascii="Times New Roman;sans-serif" w:hAnsi="Times New Roman;sans-serif"/>
          <w:b w:val="false"/>
          <w:color w:val="000000"/>
          <w:sz w:val="20"/>
        </w:rPr>
        <w:t>5.2</w:t>
      </w:r>
      <w:r>
        <w:rPr>
          <w:color w:val="000000"/>
          <w:shd w:fill="FFFFFF" w:val="clear"/>
        </w:rPr>
        <w:t xml:space="preserve"> </w:t>
      </w:r>
      <w:r>
        <w:rPr>
          <w:rFonts w:ascii="Times New Roman;sans-serif" w:hAnsi="Times New Roman;sans-serif"/>
          <w:b w:val="false"/>
          <w:color w:val="000000"/>
          <w:sz w:val="20"/>
          <w:shd w:fill="FFFFFF" w:val="clear"/>
        </w:rPr>
        <w:t xml:space="preserve">million). This credit is collateralized by Cytek Wuxi's cash deposit to the bank. The </w:t>
      </w:r>
      <w:r>
        <w:rPr>
          <w:rFonts w:ascii="Times New Roman;sans-serif" w:hAnsi="Times New Roman;sans-serif"/>
          <w:b w:val="false"/>
          <w:color w:val="000000"/>
          <w:sz w:val="20"/>
        </w:rPr>
        <w:t>37</w:t>
      </w:r>
      <w:r>
        <w:rPr>
          <w:color w:val="000000"/>
          <w:shd w:fill="FFFFFF" w:val="clear"/>
        </w:rPr>
        <w:t xml:space="preserve"> </w:t>
      </w:r>
      <w:r>
        <w:rPr>
          <w:rFonts w:ascii="Times New Roman;sans-serif" w:hAnsi="Times New Roman;sans-serif"/>
          <w:b w:val="false"/>
          <w:color w:val="000000"/>
          <w:sz w:val="20"/>
          <w:shd w:fill="FFFFFF" w:val="clear"/>
        </w:rPr>
        <w:t>million Chinese renminbi (approximately US $</w:t>
      </w:r>
      <w:r>
        <w:rPr>
          <w:rFonts w:ascii="Times New Roman;sans-serif" w:hAnsi="Times New Roman;sans-serif"/>
          <w:b w:val="false"/>
          <w:color w:val="000000"/>
          <w:sz w:val="20"/>
        </w:rPr>
        <w:t>5.2</w:t>
      </w:r>
      <w:r>
        <w:rPr>
          <w:color w:val="000000"/>
          <w:shd w:fill="FFFFFF" w:val="clear"/>
        </w:rPr>
        <w:t xml:space="preserve"> </w:t>
      </w:r>
      <w:r>
        <w:rPr>
          <w:rFonts w:ascii="Times New Roman;sans-serif" w:hAnsi="Times New Roman;sans-serif"/>
          <w:b w:val="false"/>
          <w:color w:val="000000"/>
          <w:sz w:val="20"/>
          <w:shd w:fill="FFFFFF" w:val="clear"/>
        </w:rPr>
        <w:t>million) can be borrowed, as needed, as a short-term loan for normal business operation requirements. The line of credit is available from October 24, 2024 to September 22, 2025. During the fourth quarter, the Company withdrew 10 million Chinese renminbi (approximately US $1.4 million) in November and an additional 10 million Chinese renminbi (approximately US $1.4 million) in December to support its operational needs. The outstanding balance as of December 31, 2024, was 17 million Chinese renminbi (approximately US $2.4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13.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2024, the Company has not made any sales of common stock pursuant to the 2022 Sales Agreement. Accordingly, </w:t>
      </w:r>
      <w:r>
        <w:rPr>
          <w:rFonts w:ascii="Times New Roman;sans-serif" w:hAnsi="Times New Roman;sans-serif"/>
          <w:b w:val="false"/>
          <w:color w:val="000000"/>
          <w:sz w:val="20"/>
          <w:shd w:fill="FFFFFF" w:val="clear"/>
        </w:rPr>
        <w:t>$0.7 million</w:t>
      </w:r>
      <w:r>
        <w:rPr>
          <w:color w:val="000000"/>
        </w:rPr>
        <w:t xml:space="preserve"> </w:t>
      </w:r>
      <w:r>
        <w:rPr>
          <w:rFonts w:ascii="Times New Roman;sans-serif" w:hAnsi="Times New Roman;sans-serif"/>
          <w:b w:val="false"/>
          <w:color w:val="000000"/>
          <w:sz w:val="20"/>
        </w:rPr>
        <w:t>in transaction expenses recorded as prepaid offering costs have not yet been expensed in transaction expenses recorded.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May 17, 2023, the Board approved a program for the repurchase by the Company of up to an aggregate of $50 million of its outstanding common stock. During the three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repurchased 5,332,769 shares of its outstanding common stock for a total cost of approximately $34.6 million at an average price per share of $6.49. During the twelve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repurchased 6,613,780 shares of its outstanding common stock for a total cost of approximately $44.2 million at an average price per share of $6.66. The commission costs related to the repurchases were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 xml:space="preserve">for both the three months and twelve months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repurchase program was used to return capital to shareholders and to minimize the dilutive impact of stock options and other stock-based awards. The repurchased shares of common stock were retired. The repurchase program expired on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June 6, 2024, the Board approved a program for the repurchase by the Company of up to an aggregate of $50 million of its outstanding common stock. During the three months ended December 31, 2024, the Company repurchased </w:t>
      </w:r>
      <w:r>
        <w:rPr>
          <w:rFonts w:ascii="Times New Roman;sans-serif" w:hAnsi="Times New Roman;sans-serif"/>
          <w:b w:val="false"/>
          <w:color w:val="000000"/>
          <w:sz w:val="20"/>
          <w:shd w:fill="FFFFFF" w:val="clear"/>
        </w:rPr>
        <w:t xml:space="preserve">1,332,950 </w:t>
      </w:r>
      <w:r>
        <w:rPr>
          <w:rFonts w:ascii="Times New Roman;sans-serif" w:hAnsi="Times New Roman;sans-serif"/>
          <w:b w:val="false"/>
          <w:color w:val="000000"/>
          <w:sz w:val="20"/>
        </w:rPr>
        <w:t xml:space="preserve">shares of its outstanding common stock for a total cost of approximately </w:t>
      </w:r>
      <w:r>
        <w:rPr>
          <w:rFonts w:ascii="Times New Roman;sans-serif" w:hAnsi="Times New Roman;sans-serif"/>
          <w:b w:val="false"/>
          <w:color w:val="000000"/>
          <w:sz w:val="20"/>
          <w:shd w:fill="FFFFFF" w:val="clear"/>
        </w:rPr>
        <w:t>$7.0 million</w:t>
      </w:r>
      <w:r>
        <w:rPr>
          <w:color w:val="000000"/>
        </w:rPr>
        <w:t xml:space="preserve"> </w:t>
      </w:r>
      <w:r>
        <w:rPr>
          <w:rFonts w:ascii="Times New Roman;sans-serif" w:hAnsi="Times New Roman;sans-serif"/>
          <w:b w:val="false"/>
          <w:color w:val="000000"/>
          <w:sz w:val="20"/>
        </w:rPr>
        <w:t xml:space="preserve">at an average price per share of </w:t>
      </w:r>
      <w:r>
        <w:rPr>
          <w:rFonts w:ascii="Times New Roman;sans-serif" w:hAnsi="Times New Roman;sans-serif"/>
          <w:b w:val="false"/>
          <w:color w:val="000000"/>
          <w:sz w:val="20"/>
          <w:shd w:fill="FFFFFF" w:val="clear"/>
        </w:rPr>
        <w:t>$5.21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During the twelve months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repurchased </w:t>
      </w:r>
      <w:r>
        <w:rPr>
          <w:rFonts w:ascii="Times New Roman;sans-serif" w:hAnsi="Times New Roman;sans-serif"/>
          <w:b w:val="false"/>
          <w:color w:val="000000"/>
          <w:sz w:val="20"/>
        </w:rPr>
        <w:t>3,971,624</w:t>
      </w:r>
      <w:r>
        <w:rPr>
          <w:color w:val="000000"/>
          <w:shd w:fill="FFFFFF" w:val="clear"/>
        </w:rPr>
        <w:t xml:space="preserve"> </w:t>
      </w:r>
      <w:r>
        <w:rPr>
          <w:rFonts w:ascii="Times New Roman;sans-serif" w:hAnsi="Times New Roman;sans-serif"/>
          <w:b w:val="false"/>
          <w:color w:val="000000"/>
          <w:sz w:val="20"/>
          <w:shd w:fill="FFFFFF" w:val="clear"/>
        </w:rPr>
        <w:t xml:space="preserve">shares of its outstanding common stock for a total cost of approximately $21.6 million at an average price per share of $ $5.41. As of December 31, 2024, the Company had a remaining authorized amount of </w:t>
      </w:r>
      <w:r>
        <w:rPr>
          <w:rFonts w:ascii="Times New Roman;sans-serif" w:hAnsi="Times New Roman;sans-serif"/>
          <w:b w:val="false"/>
          <w:color w:val="000000"/>
          <w:sz w:val="20"/>
        </w:rPr>
        <w:t>$28.5 million</w:t>
      </w:r>
      <w:r>
        <w:rPr>
          <w:color w:val="000000"/>
          <w:shd w:fill="FFFFFF" w:val="clear"/>
        </w:rPr>
        <w:t xml:space="preserve"> </w:t>
      </w:r>
      <w:r>
        <w:rPr>
          <w:rFonts w:ascii="Times New Roman;sans-serif" w:hAnsi="Times New Roman;sans-serif"/>
          <w:b w:val="false"/>
          <w:color w:val="000000"/>
          <w:sz w:val="20"/>
          <w:shd w:fill="FFFFFF" w:val="clear"/>
        </w:rPr>
        <w:t xml:space="preserve">in the repurchase program. The repurchase program was used to return capital to shareholders and to minimize the dilutive impact of stock options and other stock-based awards. The repurchased shares of common stock were retired. The repurchase program expired on </w:t>
      </w:r>
      <w:r>
        <w:rPr>
          <w:rFonts w:ascii="Times New Roman;sans-serif" w:hAnsi="Times New Roman;sans-serif"/>
          <w:b w:val="false"/>
          <w:color w:val="000000"/>
          <w:sz w:val="20"/>
        </w:rPr>
        <w:t xml:space="preserve">December 31, 2024.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Under these two repurchase programs, the Company has purchased an aggregate of </w:t>
      </w:r>
      <w:r>
        <w:rPr>
          <w:rFonts w:ascii="Times New Roman;sans-serif" w:hAnsi="Times New Roman;sans-serif"/>
          <w:b w:val="false"/>
          <w:color w:val="000000"/>
          <w:sz w:val="20"/>
        </w:rPr>
        <w:t>10,585,404 shares of its outstanding common stock for a total cost of approximately $65.5 million at an average price per share of $6.19.</w:t>
      </w:r>
      <w:r>
        <w:rPr>
          <w:color w:val="000000"/>
          <w:shd w:fill="FFFFFF" w:val="clear"/>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December 11, 2024, the Board approved a new program for the repurchase by the Company of up to an aggregate of</w:t>
      </w:r>
      <w:r>
        <w:rPr>
          <w:color w:val="000000"/>
          <w:shd w:fill="FFFFFF" w:val="clear"/>
        </w:rPr>
        <w:t xml:space="preserve"> </w:t>
      </w:r>
      <w:r>
        <w:rPr>
          <w:rFonts w:ascii="Times New Roman;sans-serif" w:hAnsi="Times New Roman;sans-serif"/>
          <w:b w:val="false"/>
          <w:color w:val="000000"/>
          <w:sz w:val="20"/>
        </w:rPr>
        <w:t xml:space="preserve">$50 million of its outstanding common stock commencing January 1, 2025, to succeed the expiration of the previous repurchase program on December 31, 2024.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August 16, 2022, the Inflation Reduction Act of 2022, or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2024, we have accrued </w:t>
      </w:r>
      <w:r>
        <w:rPr>
          <w:rFonts w:ascii="Times New Roman;sans-serif" w:hAnsi="Times New Roman;sans-serif"/>
          <w:b w:val="false"/>
          <w:color w:val="000000"/>
          <w:sz w:val="20"/>
          <w:shd w:fill="FFFFFF" w:val="clear"/>
        </w:rPr>
        <w:t>$0.4 million</w:t>
      </w:r>
      <w:r>
        <w:rPr>
          <w:color w:val="000000"/>
        </w:rPr>
        <w:t xml:space="preserve"> </w:t>
      </w:r>
      <w:r>
        <w:rPr>
          <w:rFonts w:ascii="Times New Roman;sans-serif" w:hAnsi="Times New Roman;sans-serif"/>
          <w:b w:val="false"/>
          <w:color w:val="000000"/>
          <w:sz w:val="20"/>
        </w:rPr>
        <w:t xml:space="preserve">excise taxes related with our shares buy 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14.    Stock-based compensation plan </w:t>
      </w:r>
    </w:p>
    <w:p>
      <w:pPr>
        <w:pStyle w:val="TextBody"/>
        <w:bidi w:val="0"/>
        <w:spacing w:lineRule="auto" w:line="288" w:before="120" w:after="283"/>
        <w:jc w:val="both"/>
        <w:rPr/>
      </w:pPr>
      <w:r>
        <w:rPr>
          <w:rFonts w:ascii="Times New Roman;sans-serif" w:hAnsi="Times New Roman;sans-serif"/>
          <w:b w:val="false"/>
          <w:i/>
          <w:color w:val="000000"/>
          <w:sz w:val="20"/>
        </w:rPr>
        <w:t>Stock Plans</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As of December 31, 2024, the Company had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stock-based compensation plans (the “Plans”) which are described below.</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2015 Equity Incentive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Equity Incentive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Board elects to authorize a lesser number of shares prior to the applicable January 1. As of December 31, 2024, the total number of shares of common stock available for issuance under the 2021 Plan was 22,266,746 shares.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Employee Stock Purchase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year ended December 31, 2024, 358,547 shares were issued pursuant to purchases under the ESPP. As of December 31, 2024, the total number of shares of common stock available for issuance under the ESPP was 5,150,823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 valuation assumptions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stock option activity during the periods indicated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877"/>
        <w:gridCol w:w="721"/>
        <w:gridCol w:w="727"/>
        <w:gridCol w:w="562"/>
        <w:gridCol w:w="546"/>
        <w:gridCol w:w="548"/>
        <w:gridCol w:w="109"/>
        <w:gridCol w:w="109"/>
        <w:gridCol w:w="109"/>
        <w:gridCol w:w="487"/>
        <w:gridCol w:w="1182"/>
        <w:gridCol w:w="253"/>
        <w:gridCol w:w="109"/>
        <w:gridCol w:w="109"/>
        <w:gridCol w:w="109"/>
        <w:gridCol w:w="602"/>
        <w:gridCol w:w="602"/>
        <w:gridCol w:w="603"/>
        <w:gridCol w:w="109"/>
        <w:gridCol w:w="109"/>
        <w:gridCol w:w="109"/>
        <w:gridCol w:w="292"/>
        <w:gridCol w:w="1001"/>
        <w:gridCol w:w="221"/>
      </w:tblGrid>
      <w:tr>
        <w:trPr/>
        <w:tc>
          <w:tcPr>
            <w:tcW w:w="8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options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6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December 31, 2024</w:t>
            </w:r>
          </w:p>
        </w:tc>
        <w:tc>
          <w:tcPr>
            <w:tcW w:w="16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weighted-average grant date fair value of options granted during the years ended December 31, 2024, 2023, and 2022 were </w:t>
      </w:r>
      <w:r>
        <w:rPr>
          <w:rFonts w:ascii="Times New Roman;sans-serif" w:hAnsi="Times New Roman;sans-serif"/>
          <w:b w:val="false"/>
          <w:color w:val="000000"/>
          <w:sz w:val="20"/>
          <w:shd w:fill="FFFFFF" w:val="clear"/>
        </w:rPr>
        <w:t>$4.61</w:t>
      </w:r>
      <w:r>
        <w:rPr>
          <w:rFonts w:ascii="Times New Roman;sans-serif" w:hAnsi="Times New Roman;sans-serif"/>
          <w:b w:val="false"/>
          <w:color w:val="000000"/>
          <w:sz w:val="20"/>
        </w:rPr>
        <w:t>, $6.64, and $8.21 per share, respectively.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There was </w:t>
      </w:r>
      <w:r>
        <w:rPr>
          <w:rFonts w:ascii="Times New Roman;sans-serif" w:hAnsi="Times New Roman;sans-serif"/>
          <w:b w:val="false"/>
          <w:color w:val="000000"/>
          <w:sz w:val="20"/>
          <w:shd w:fill="FFFFFF" w:val="clear"/>
        </w:rPr>
        <w:t>$14.2 million</w:t>
      </w:r>
      <w:r>
        <w:rPr>
          <w:color w:val="000000"/>
        </w:rPr>
        <w:t xml:space="preserve"> </w:t>
      </w:r>
      <w:r>
        <w:rPr>
          <w:rFonts w:ascii="Times New Roman;sans-serif" w:hAnsi="Times New Roman;sans-serif"/>
          <w:b w:val="false"/>
          <w:color w:val="000000"/>
          <w:sz w:val="20"/>
        </w:rPr>
        <w:t xml:space="preserve">of unrecognized stock-based compensation expense related to unvested stock options as of December 31, 2024. The unrecognized stock-based compensation expense is estimated to be recognized over a period of </w:t>
      </w:r>
      <w:r>
        <w:rPr>
          <w:rFonts w:ascii="Times New Roman;sans-serif" w:hAnsi="Times New Roman;sans-serif"/>
          <w:b w:val="false"/>
          <w:color w:val="000000"/>
          <w:sz w:val="20"/>
          <w:shd w:fill="FFFFFF" w:val="clear"/>
        </w:rPr>
        <w:t>2.29 years</w:t>
      </w:r>
      <w:r>
        <w:rPr>
          <w:color w:val="000000"/>
        </w:rPr>
        <w:t xml:space="preserve"> </w:t>
      </w:r>
      <w:r>
        <w:rPr>
          <w:rFonts w:ascii="Times New Roman;sans-serif" w:hAnsi="Times New Roman;sans-serif"/>
          <w:b w:val="false"/>
          <w:color w:val="000000"/>
          <w:sz w:val="20"/>
        </w:rPr>
        <w:t>as of December 31,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uses authorized and unissued shares to satisfy option exercises.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and the estimated fair value of the Company’s common stock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RSU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RSU awards activity during the periods indicated:</w:t>
      </w:r>
    </w:p>
    <w:tbl>
      <w:tblPr>
        <w:tblW w:w="10205" w:type="dxa"/>
        <w:jc w:val="left"/>
        <w:tblInd w:w="0" w:type="dxa"/>
        <w:tblLayout w:type="fixed"/>
        <w:tblCellMar>
          <w:top w:w="28" w:type="dxa"/>
          <w:left w:w="28" w:type="dxa"/>
          <w:bottom w:w="28" w:type="dxa"/>
          <w:right w:w="28" w:type="dxa"/>
        </w:tblCellMar>
      </w:tblPr>
      <w:tblGrid>
        <w:gridCol w:w="647"/>
        <w:gridCol w:w="569"/>
        <w:gridCol w:w="572"/>
        <w:gridCol w:w="505"/>
        <w:gridCol w:w="506"/>
        <w:gridCol w:w="313"/>
        <w:gridCol w:w="109"/>
        <w:gridCol w:w="109"/>
        <w:gridCol w:w="109"/>
        <w:gridCol w:w="503"/>
        <w:gridCol w:w="1474"/>
        <w:gridCol w:w="262"/>
        <w:gridCol w:w="806"/>
        <w:gridCol w:w="806"/>
        <w:gridCol w:w="808"/>
        <w:gridCol w:w="109"/>
        <w:gridCol w:w="109"/>
        <w:gridCol w:w="109"/>
        <w:gridCol w:w="344"/>
        <w:gridCol w:w="1178"/>
        <w:gridCol w:w="258"/>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c>
          <w:tcPr>
            <w:tcW w:w="24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2022</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2023</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(1,372,225)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(545,839)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2024</w:t>
            </w:r>
          </w:p>
        </w:tc>
        <w:tc>
          <w:tcPr>
            <w:tcW w:w="13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There was </w:t>
      </w:r>
      <w:r>
        <w:rPr>
          <w:rFonts w:ascii="Times New Roman;sans-serif" w:hAnsi="Times New Roman;sans-serif"/>
          <w:b w:val="false"/>
          <w:color w:val="000000"/>
          <w:sz w:val="20"/>
          <w:shd w:fill="FFFFFF" w:val="clear"/>
        </w:rPr>
        <w:t>$32.5 million</w:t>
      </w:r>
      <w:r>
        <w:rPr>
          <w:color w:val="000000"/>
        </w:rPr>
        <w:t xml:space="preserve"> </w:t>
      </w:r>
      <w:r>
        <w:rPr>
          <w:rFonts w:ascii="Times New Roman;sans-serif" w:hAnsi="Times New Roman;sans-serif"/>
          <w:b w:val="false"/>
          <w:color w:val="000000"/>
          <w:sz w:val="20"/>
        </w:rPr>
        <w:t xml:space="preserve">of unrecognized stock-based compensation expense related to unvested RSU awards as of December 31, 2024. The unrecognized stock-based compensation expense is estimated to be recognized over a period of </w:t>
      </w:r>
      <w:r>
        <w:rPr>
          <w:rFonts w:ascii="Times New Roman;sans-serif" w:hAnsi="Times New Roman;sans-serif"/>
          <w:b w:val="false"/>
          <w:color w:val="000000"/>
          <w:sz w:val="20"/>
          <w:shd w:fill="FFFFFF" w:val="clear"/>
        </w:rPr>
        <w:t>2.80 years</w:t>
      </w:r>
      <w:r>
        <w:rPr>
          <w:color w:val="000000"/>
        </w:rPr>
        <w:t xml:space="preserve"> </w:t>
      </w:r>
      <w:r>
        <w:rPr>
          <w:rFonts w:ascii="Times New Roman;sans-serif" w:hAnsi="Times New Roman;sans-serif"/>
          <w:b w:val="false"/>
          <w:color w:val="000000"/>
          <w:sz w:val="20"/>
        </w:rPr>
        <w:t>as of December 31, 2024.</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expense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allocation of stock-based compensation expense related to the Company’s stock-based awards (in thousands): </w:t>
      </w:r>
    </w:p>
    <w:tbl>
      <w:tblPr>
        <w:tblW w:w="6567" w:type="dxa"/>
        <w:jc w:val="left"/>
        <w:tblInd w:w="0" w:type="dxa"/>
        <w:tblLayout w:type="fixed"/>
        <w:tblCellMar>
          <w:top w:w="28" w:type="dxa"/>
          <w:left w:w="28" w:type="dxa"/>
          <w:bottom w:w="28" w:type="dxa"/>
          <w:right w:w="28" w:type="dxa"/>
        </w:tblCellMar>
      </w:tblPr>
      <w:tblGrid>
        <w:gridCol w:w="993"/>
        <w:gridCol w:w="868"/>
        <w:gridCol w:w="884"/>
        <w:gridCol w:w="211"/>
        <w:gridCol w:w="721"/>
        <w:gridCol w:w="109"/>
        <w:gridCol w:w="109"/>
        <w:gridCol w:w="109"/>
        <w:gridCol w:w="109"/>
        <w:gridCol w:w="211"/>
        <w:gridCol w:w="721"/>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weighted-average valuation assumptions used in determining the fair value of employee stock options: </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assumptions used in estimating the fair value of the ESPP for the current offering period using the Black-Scholes option-pricing model:</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15.    Employee benefit plan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401(k) retirement savings plan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currently maintains a 401(k) retirement savings plan that covers substantially all of its employees (the “401(k) Plan”). The 401(k) Plan permits voluntary contributions by employees, a portion of which are matched by the Company. The Company’s contributions to the 401(k) Plan were approximately </w:t>
      </w:r>
      <w:r>
        <w:rPr>
          <w:rFonts w:ascii="Times New Roman;sans-serif" w:hAnsi="Times New Roman;sans-serif"/>
          <w:b w:val="false"/>
          <w:color w:val="000000"/>
          <w:sz w:val="20"/>
          <w:shd w:fill="FFFFFF" w:val="clear"/>
        </w:rPr>
        <w:t>$1,823,000</w:t>
      </w:r>
      <w:r>
        <w:rPr>
          <w:rFonts w:ascii="Times New Roman;sans-serif" w:hAnsi="Times New Roman;sans-serif"/>
          <w:b w:val="false"/>
          <w:color w:val="000000"/>
          <w:sz w:val="20"/>
        </w:rPr>
        <w:t>, $1,678,000, and $1,045,000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16.    </w:t>
      </w:r>
      <w:r>
        <w:rPr>
          <w:rFonts w:ascii="Times New Roman;sans-serif" w:hAnsi="Times New Roman;sans-serif"/>
          <w:b/>
          <w:color w:val="000000"/>
          <w:sz w:val="20"/>
          <w:shd w:fill="FFFFFF" w:val="clear"/>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income from continuing operations before taxes consisted of amounts related to U.S. operations and income associated with the Company’s foreign operations. The geographical breakdown of the Company’s income (loss) before provision for (benefit from) income taxes is as follows (in thousands):</w:t>
      </w:r>
    </w:p>
    <w:tbl>
      <w:tblPr>
        <w:tblW w:w="6867" w:type="dxa"/>
        <w:jc w:val="left"/>
        <w:tblInd w:w="0" w:type="dxa"/>
        <w:tblLayout w:type="fixed"/>
        <w:tblCellMar>
          <w:top w:w="28" w:type="dxa"/>
          <w:left w:w="28" w:type="dxa"/>
          <w:bottom w:w="28" w:type="dxa"/>
          <w:right w:w="28" w:type="dxa"/>
        </w:tblCellMar>
      </w:tblPr>
      <w:tblGrid>
        <w:gridCol w:w="1059"/>
        <w:gridCol w:w="929"/>
        <w:gridCol w:w="937"/>
        <w:gridCol w:w="211"/>
        <w:gridCol w:w="796"/>
        <w:gridCol w:w="109"/>
        <w:gridCol w:w="109"/>
        <w:gridCol w:w="109"/>
        <w:gridCol w:w="109"/>
        <w:gridCol w:w="211"/>
        <w:gridCol w:w="796"/>
        <w:gridCol w:w="109"/>
        <w:gridCol w:w="109"/>
        <w:gridCol w:w="109"/>
        <w:gridCol w:w="109"/>
        <w:gridCol w:w="211"/>
        <w:gridCol w:w="69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attributable to income from continuing operations consists of (in thousands):</w:t>
      </w:r>
    </w:p>
    <w:tbl>
      <w:tblPr>
        <w:tblW w:w="7857" w:type="dxa"/>
        <w:jc w:val="left"/>
        <w:tblInd w:w="0" w:type="dxa"/>
        <w:tblLayout w:type="fixed"/>
        <w:tblCellMar>
          <w:top w:w="28" w:type="dxa"/>
          <w:left w:w="28" w:type="dxa"/>
          <w:bottom w:w="28" w:type="dxa"/>
          <w:right w:w="28" w:type="dxa"/>
        </w:tblCellMar>
      </w:tblPr>
      <w:tblGrid>
        <w:gridCol w:w="1416"/>
        <w:gridCol w:w="1248"/>
        <w:gridCol w:w="1251"/>
        <w:gridCol w:w="211"/>
        <w:gridCol w:w="691"/>
        <w:gridCol w:w="109"/>
        <w:gridCol w:w="109"/>
        <w:gridCol w:w="109"/>
        <w:gridCol w:w="109"/>
        <w:gridCol w:w="211"/>
        <w:gridCol w:w="796"/>
        <w:gridCol w:w="109"/>
        <w:gridCol w:w="109"/>
        <w:gridCol w:w="109"/>
        <w:gridCol w:w="109"/>
        <w:gridCol w:w="211"/>
        <w:gridCol w:w="79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provisions for income taxes: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 (benefit):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rate reconciliation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federal statutory rate to the Company’s effective tax rate:</w:t>
      </w:r>
    </w:p>
    <w:tbl>
      <w:tblPr>
        <w:tblW w:w="7197" w:type="dxa"/>
        <w:jc w:val="left"/>
        <w:tblInd w:w="0" w:type="dxa"/>
        <w:tblLayout w:type="fixed"/>
        <w:tblCellMar>
          <w:top w:w="28" w:type="dxa"/>
          <w:left w:w="28" w:type="dxa"/>
          <w:bottom w:w="28" w:type="dxa"/>
          <w:right w:w="28" w:type="dxa"/>
        </w:tblCellMar>
      </w:tblPr>
      <w:tblGrid>
        <w:gridCol w:w="1383"/>
        <w:gridCol w:w="1219"/>
        <w:gridCol w:w="1223"/>
        <w:gridCol w:w="291"/>
        <w:gridCol w:w="294"/>
        <w:gridCol w:w="271"/>
        <w:gridCol w:w="109"/>
        <w:gridCol w:w="109"/>
        <w:gridCol w:w="109"/>
        <w:gridCol w:w="291"/>
        <w:gridCol w:w="294"/>
        <w:gridCol w:w="271"/>
        <w:gridCol w:w="109"/>
        <w:gridCol w:w="109"/>
        <w:gridCol w:w="109"/>
        <w:gridCol w:w="343"/>
        <w:gridCol w:w="347"/>
        <w:gridCol w:w="316"/>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 benefit at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at different rates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 deduction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foreign earnings and losses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Subpart F</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adjustments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true up due to tax rate change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components of deferred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and carryforwards that give rise to significant portions of the deferred tax assets and deferred tax liabilities at December 31, 2024 and 2023 are presented below (in thousands):</w:t>
      </w:r>
    </w:p>
    <w:tbl>
      <w:tblPr>
        <w:tblW w:w="6339" w:type="dxa"/>
        <w:jc w:val="left"/>
        <w:tblInd w:w="0" w:type="dxa"/>
        <w:tblLayout w:type="fixed"/>
        <w:tblCellMar>
          <w:top w:w="28" w:type="dxa"/>
          <w:left w:w="28" w:type="dxa"/>
          <w:bottom w:w="28" w:type="dxa"/>
          <w:right w:w="28" w:type="dxa"/>
        </w:tblCellMar>
      </w:tblPr>
      <w:tblGrid>
        <w:gridCol w:w="1409"/>
        <w:gridCol w:w="1235"/>
        <w:gridCol w:w="1241"/>
        <w:gridCol w:w="211"/>
        <w:gridCol w:w="721"/>
        <w:gridCol w:w="109"/>
        <w:gridCol w:w="109"/>
        <w:gridCol w:w="109"/>
        <w:gridCol w:w="109"/>
        <w:gridCol w:w="211"/>
        <w:gridCol w:w="721"/>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carryforward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capitalization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available positive and negative evidence to estimate if sufficient future taxable income will be generated to utilize the existing deferred tax assets. The Company believes its deferred tax assets are more likely than not to be realized except for one entity in China which is expected to incur tax losses due to research and development deductions available.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maintained a valuation allowance with respect to one of its foreign subsidiary’s net operating loss that the Company believes is not more likely than not to be realized. The Company will continue to reassess the valuation allowance annually and if future evidence allows for a partial or full release of the valuation allowance, a tax benefit will be recorded accordingly.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state tax credit carryforwards of $4.0 million and $3.1 million, respectively, to offset future tax liability. The credit carryforwards are not subject to expiration. As of December 31, 2024 and 2023, the Company had foreign tax credit for Cytek (Shanghai) Biosciences Co., Ltd of $1.2 million and $0.9 million, respectively, which expires in 2027 if not utilized.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Section 382 of the Internal Revenue Code, as amended, places a limitation on the amount of taxable income that can be offset by net operating loss carryforwards and tax credit carryforwards after a greater than 50% change in control in ownership. California has similar rules. The Company had performed a Section 382 analysis and determined that its capitalization have resulted in such a change in prior year and current year. Utilization of the net operating loss carryforwards and tax credit carryforwards had been subject to the annual limitations under IRC Section 382 and similar state provisions. The annual limitation may result in the expiration of the state net operating loss carryforwards before utilization.</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 Tax Positions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tabular reconciliation of the total amounts of unrecognized tax benefits (in thousands):</w:t>
      </w:r>
    </w:p>
    <w:tbl>
      <w:tblPr>
        <w:tblW w:w="8261" w:type="dxa"/>
        <w:jc w:val="left"/>
        <w:tblInd w:w="0" w:type="dxa"/>
        <w:tblLayout w:type="fixed"/>
        <w:tblCellMar>
          <w:top w:w="28" w:type="dxa"/>
          <w:left w:w="28" w:type="dxa"/>
          <w:bottom w:w="28" w:type="dxa"/>
          <w:right w:w="28" w:type="dxa"/>
        </w:tblCellMar>
      </w:tblPr>
      <w:tblGrid>
        <w:gridCol w:w="1723"/>
        <w:gridCol w:w="1512"/>
        <w:gridCol w:w="1519"/>
        <w:gridCol w:w="211"/>
        <w:gridCol w:w="616"/>
        <w:gridCol w:w="109"/>
        <w:gridCol w:w="109"/>
        <w:gridCol w:w="109"/>
        <w:gridCol w:w="109"/>
        <w:gridCol w:w="211"/>
        <w:gridCol w:w="616"/>
        <w:gridCol w:w="109"/>
        <w:gridCol w:w="109"/>
        <w:gridCol w:w="109"/>
        <w:gridCol w:w="109"/>
        <w:gridCol w:w="211"/>
        <w:gridCol w:w="61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related to prior year tax provisions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current year tax provisions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accounts for uncertain tax positions under ASC 740. As of December 31, 2024, 2023 and 2022, there was approximately $3.6 million, $3.6 million and $2.2 million, respectively, of unrecognized tax benefits. Of the unrecognized tax benefits, </w:t>
      </w:r>
      <w:r>
        <w:rPr>
          <w:rFonts w:ascii="Times New Roman;sans-serif" w:hAnsi="Times New Roman;sans-serif"/>
          <w:b w:val="false"/>
          <w:color w:val="000000"/>
          <w:sz w:val="20"/>
          <w:shd w:fill="FFFFFF" w:val="clear"/>
        </w:rPr>
        <w:t>$3.3 million</w:t>
      </w:r>
      <w:r>
        <w:rPr>
          <w:rFonts w:ascii="Times New Roman;sans-serif" w:hAnsi="Times New Roman;sans-serif"/>
          <w:b w:val="false"/>
          <w:color w:val="000000"/>
          <w:sz w:val="20"/>
        </w:rPr>
        <w:t>, $3.4 million and $2.0 million represents the amount that if recognized, would favorably affect the effective income tax rate in 2024, 2023 and 2022, respectively. The Company does not expect a significant change to its unrecognized tax benefits or recorded liabilities over the next twelve months. The unrecognized tax benefits may increase or change during the next year for items that arise in the ordinary course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or foreign income tax purposes.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Company’s management asserted that it was their intent to indefinitely reinvest unremitted foreign earnings for all its foreign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17.    Lease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facilities and equipment from unrelated parties under operating lease agreements that have initial terms ranging from 1 to 8 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option. The Company’s leases generally do not contain any material restrictive covenants. The Company is a sub-lessor in an agreement with a term of three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The components of lease expense are as follows (in thousands):</w:t>
      </w:r>
    </w:p>
    <w:tbl>
      <w:tblPr>
        <w:tblW w:w="4842" w:type="dxa"/>
        <w:jc w:val="left"/>
        <w:tblInd w:w="0" w:type="dxa"/>
        <w:tblLayout w:type="fixed"/>
        <w:tblCellMar>
          <w:top w:w="28" w:type="dxa"/>
          <w:left w:w="28" w:type="dxa"/>
          <w:bottom w:w="28" w:type="dxa"/>
          <w:right w:w="28" w:type="dxa"/>
        </w:tblCellMar>
      </w:tblPr>
      <w:tblGrid>
        <w:gridCol w:w="651"/>
        <w:gridCol w:w="572"/>
        <w:gridCol w:w="576"/>
        <w:gridCol w:w="338"/>
        <w:gridCol w:w="987"/>
        <w:gridCol w:w="174"/>
        <w:gridCol w:w="332"/>
        <w:gridCol w:w="970"/>
        <w:gridCol w:w="24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2024</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For the year ended December 31, 2024, sublease loss was </w:t>
      </w:r>
      <w:r>
        <w:rPr>
          <w:rFonts w:ascii="Times New Roman;sans-serif" w:hAnsi="Times New Roman;sans-serif"/>
          <w:b w:val="false"/>
          <w:color w:val="000000"/>
          <w:sz w:val="20"/>
          <w:shd w:fill="FFFFFF" w:val="clear"/>
        </w:rPr>
        <w:t>$10,647</w:t>
      </w:r>
      <w:r>
        <w:rPr>
          <w:rFonts w:ascii="Times New Roman;sans-serif" w:hAnsi="Times New Roman;sans-serif"/>
          <w:b w:val="false"/>
          <w:color w:val="000000"/>
          <w:sz w:val="20"/>
        </w:rPr>
        <w:t>, recorded as other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 (in thousands):</w:t>
      </w:r>
    </w:p>
    <w:tbl>
      <w:tblPr>
        <w:tblW w:w="8623" w:type="dxa"/>
        <w:jc w:val="left"/>
        <w:tblInd w:w="0" w:type="dxa"/>
        <w:tblLayout w:type="fixed"/>
        <w:tblCellMar>
          <w:top w:w="28" w:type="dxa"/>
          <w:left w:w="28" w:type="dxa"/>
          <w:bottom w:w="28" w:type="dxa"/>
          <w:right w:w="28" w:type="dxa"/>
        </w:tblCellMar>
      </w:tblPr>
      <w:tblGrid>
        <w:gridCol w:w="2023"/>
        <w:gridCol w:w="1774"/>
        <w:gridCol w:w="1783"/>
        <w:gridCol w:w="338"/>
        <w:gridCol w:w="987"/>
        <w:gridCol w:w="174"/>
        <w:gridCol w:w="332"/>
        <w:gridCol w:w="970"/>
        <w:gridCol w:w="242"/>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2024</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 payments on operating leases</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obligations:</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5414" w:type="dxa"/>
        <w:jc w:val="left"/>
        <w:tblInd w:w="0" w:type="dxa"/>
        <w:tblLayout w:type="fixed"/>
        <w:tblCellMar>
          <w:top w:w="28" w:type="dxa"/>
          <w:left w:w="28" w:type="dxa"/>
          <w:bottom w:w="28" w:type="dxa"/>
          <w:right w:w="28" w:type="dxa"/>
        </w:tblCellMar>
      </w:tblPr>
      <w:tblGrid>
        <w:gridCol w:w="1152"/>
        <w:gridCol w:w="1011"/>
        <w:gridCol w:w="1017"/>
        <w:gridCol w:w="222"/>
        <w:gridCol w:w="759"/>
        <w:gridCol w:w="114"/>
        <w:gridCol w:w="221"/>
        <w:gridCol w:w="757"/>
        <w:gridCol w:w="161"/>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current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38" w:type="dxa"/>
        <w:jc w:val="left"/>
        <w:tblInd w:w="0" w:type="dxa"/>
        <w:tblLayout w:type="fixed"/>
        <w:tblCellMar>
          <w:top w:w="28" w:type="dxa"/>
          <w:left w:w="28" w:type="dxa"/>
          <w:bottom w:w="28" w:type="dxa"/>
          <w:right w:w="28" w:type="dxa"/>
        </w:tblCellMar>
      </w:tblPr>
      <w:tblGrid>
        <w:gridCol w:w="1756"/>
        <w:gridCol w:w="1541"/>
        <w:gridCol w:w="1547"/>
        <w:gridCol w:w="174"/>
        <w:gridCol w:w="174"/>
        <w:gridCol w:w="176"/>
        <w:gridCol w:w="166"/>
        <w:gridCol w:w="166"/>
        <w:gridCol w:w="238"/>
      </w:tblGrid>
      <w:tr>
        <w:trPr/>
        <w:tc>
          <w:tcPr>
            <w:tcW w:w="175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undiscounted cash flows for each of the next five years and thereafter and reconciliation to the lease liabilities recognized on the balance sheet as of December 31, 2024 is as follows (in thousands):</w:t>
      </w:r>
    </w:p>
    <w:tbl>
      <w:tblPr>
        <w:tblW w:w="4250" w:type="dxa"/>
        <w:jc w:val="left"/>
        <w:tblInd w:w="0" w:type="dxa"/>
        <w:tblLayout w:type="fixed"/>
        <w:tblCellMar>
          <w:top w:w="28" w:type="dxa"/>
          <w:left w:w="28" w:type="dxa"/>
          <w:bottom w:w="28" w:type="dxa"/>
          <w:right w:w="28" w:type="dxa"/>
        </w:tblCellMar>
      </w:tblPr>
      <w:tblGrid>
        <w:gridCol w:w="1144"/>
        <w:gridCol w:w="1003"/>
        <w:gridCol w:w="1017"/>
        <w:gridCol w:w="211"/>
        <w:gridCol w:w="72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18.    Commitments and contingencies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Obligations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non-cancelable arrangements with third parties, primarily related to cloud computing and other information technology services. As of December 31, 2024, future payments under these contractual obligations were as follows (in thousands):</w:t>
      </w:r>
    </w:p>
    <w:tbl>
      <w:tblPr>
        <w:tblW w:w="3305" w:type="dxa"/>
        <w:jc w:val="left"/>
        <w:tblInd w:w="0" w:type="dxa"/>
        <w:tblLayout w:type="fixed"/>
        <w:tblCellMar>
          <w:top w:w="28" w:type="dxa"/>
          <w:left w:w="28" w:type="dxa"/>
          <w:bottom w:w="28" w:type="dxa"/>
          <w:right w:w="28" w:type="dxa"/>
        </w:tblCellMar>
      </w:tblPr>
      <w:tblGrid>
        <w:gridCol w:w="839"/>
        <w:gridCol w:w="735"/>
        <w:gridCol w:w="750"/>
        <w:gridCol w:w="211"/>
        <w:gridCol w:w="61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Legal proceedings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and claims. On August 14, 2024, Beckman Coulter, Inc. (“Beckman Coulter”) sued the Company in federal court in the District of Delaware, alleging that the Company's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A claim construction hearing is currently scheduled for July 16, 2025, briefing on dispositive motions is currently scheduled in March and April of 2026, and a trial is scheduled for August 17, 2026. The Company intends to vigorously defend itself and pursue the counterclaim.</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19.    Investment in Cytek Japan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(loss) income for the year ended December 31,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net assets of $1.1 million, consisting primarily of $1.0 million cash. The Company recorded noncontrolling interest of $315,000 on the unaudited interim consolidated financial statements as of March 31, 2021.</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purchased an additional $235,000 of common stock of Cytek Japan. Cytek Japan became a wholly-owned subsidiary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20.    Product warranty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in the product warranty accrual included in accrued expenses on the consolidated balance sheets (in thousands): </w:t>
      </w:r>
    </w:p>
    <w:tbl>
      <w:tblPr>
        <w:tblW w:w="5456" w:type="dxa"/>
        <w:jc w:val="left"/>
        <w:tblInd w:w="0" w:type="dxa"/>
        <w:tblLayout w:type="fixed"/>
        <w:tblCellMar>
          <w:top w:w="28" w:type="dxa"/>
          <w:left w:w="28" w:type="dxa"/>
          <w:bottom w:w="28" w:type="dxa"/>
          <w:right w:w="28" w:type="dxa"/>
        </w:tblCellMar>
      </w:tblPr>
      <w:tblGrid>
        <w:gridCol w:w="1048"/>
        <w:gridCol w:w="921"/>
        <w:gridCol w:w="925"/>
        <w:gridCol w:w="247"/>
        <w:gridCol w:w="721"/>
        <w:gridCol w:w="127"/>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period</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for current year warranties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 incurred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21.    Net (loss) income attributable to common stockholders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the Company’s basic and diluted net (loss) income attributable to common stockholders per share for the years ended December 31, 2024, 2023, and 2022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259"/>
        <w:gridCol w:w="1924"/>
        <w:gridCol w:w="1898"/>
        <w:gridCol w:w="253"/>
        <w:gridCol w:w="757"/>
        <w:gridCol w:w="131"/>
        <w:gridCol w:w="109"/>
        <w:gridCol w:w="109"/>
        <w:gridCol w:w="109"/>
        <w:gridCol w:w="227"/>
        <w:gridCol w:w="795"/>
        <w:gridCol w:w="119"/>
        <w:gridCol w:w="109"/>
        <w:gridCol w:w="109"/>
        <w:gridCol w:w="109"/>
        <w:gridCol w:w="255"/>
        <w:gridCol w:w="744"/>
        <w:gridCol w:w="189"/>
      </w:tblGrid>
      <w:tr>
        <w:trPr/>
        <w:tc>
          <w:tcPr>
            <w:tcW w:w="225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1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allocated to noncontrolling interests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basic and 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attributable to common stockholders,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135,283,044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134,510,831</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employee stock plans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4,051,280</w:t>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attributable to common stockholders, diluted</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135,283,044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138,562,111</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per share, basic</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 per share, diluted</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Stock-based compensation awards of approximately $</w:t>
      </w:r>
      <w:r>
        <w:rPr>
          <w:rFonts w:ascii="Times New Roman;sans-serif" w:hAnsi="Times New Roman;sans-serif"/>
          <w:b w:val="false"/>
          <w:color w:val="000000"/>
          <w:sz w:val="20"/>
          <w:shd w:fill="FFFFFF" w:val="clear"/>
        </w:rPr>
        <w:t>7.2 million</w:t>
      </w:r>
      <w:r>
        <w:rPr>
          <w:rFonts w:ascii="Times New Roman;sans-serif" w:hAnsi="Times New Roman;sans-serif"/>
          <w:b w:val="false"/>
          <w:color w:val="000000"/>
          <w:sz w:val="20"/>
        </w:rPr>
        <w:t>, $9.0 million, and $3.5 million shares for the years ended December 31, 2024, 2023, and 2022, respectively, were outstanding but were not included in the computation of diluted net income (loss) per share attributable to Cytek Biosciences,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22.    </w:t>
      </w:r>
      <w:r>
        <w:rPr>
          <w:rFonts w:ascii="Times New Roman;sans-serif" w:hAnsi="Times New Roman;sans-serif"/>
          <w:b/>
          <w:color w:val="000000"/>
          <w:sz w:val="20"/>
          <w:shd w:fill="FFFFFF" w:val="clear"/>
        </w:rPr>
        <w:t>Segment Information and Geographic Data</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Segment Information</w:t>
      </w:r>
    </w:p>
    <w:p>
      <w:pPr>
        <w:pStyle w:val="TextBody"/>
        <w:bidi w:val="0"/>
        <w:spacing w:lineRule="auto" w:line="26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pStyle w:val="TextBody"/>
        <w:bidi w:val="0"/>
        <w:spacing w:lineRule="auto" w:line="26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 the CODM reviews the significant segment expenses in the table below on net (loss) income when assessing performance and allocating resources, as well as those used for strategic decisions related to headcount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capital expenditures. The measure of segment assets is reported on the balance sheet as total assets. The CODM does not review segment assets at a level other than that presented in the Company’s consolidated balance sheets. </w:t>
      </w:r>
    </w:p>
    <w:p>
      <w:pPr>
        <w:pStyle w:val="TextBody"/>
        <w:bidi w:val="0"/>
        <w:spacing w:lineRule="auto" w:line="26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reflect the Company’s significant segment expenses:</w:t>
      </w:r>
    </w:p>
    <w:p>
      <w:pPr>
        <w:pStyle w:val="TextBody"/>
        <w:bidi w:val="0"/>
        <w:spacing w:before="120" w:after="283"/>
        <w:jc w:val="both"/>
        <w:rPr/>
      </w:pPr>
      <w:r>
        <w:rPr/>
      </w:r>
    </w:p>
    <w:tbl>
      <w:tblPr>
        <w:tblW w:w="9626" w:type="dxa"/>
        <w:jc w:val="left"/>
        <w:tblInd w:w="0" w:type="dxa"/>
        <w:tblLayout w:type="fixed"/>
        <w:tblCellMar>
          <w:top w:w="28" w:type="dxa"/>
          <w:left w:w="28" w:type="dxa"/>
          <w:bottom w:w="28" w:type="dxa"/>
          <w:right w:w="28" w:type="dxa"/>
        </w:tblCellMar>
      </w:tblPr>
      <w:tblGrid>
        <w:gridCol w:w="1985"/>
        <w:gridCol w:w="1747"/>
        <w:gridCol w:w="1757"/>
        <w:gridCol w:w="211"/>
        <w:gridCol w:w="826"/>
        <w:gridCol w:w="109"/>
        <w:gridCol w:w="109"/>
        <w:gridCol w:w="109"/>
        <w:gridCol w:w="109"/>
        <w:gridCol w:w="211"/>
        <w:gridCol w:w="826"/>
        <w:gridCol w:w="109"/>
        <w:gridCol w:w="109"/>
        <w:gridCol w:w="109"/>
        <w:gridCol w:w="109"/>
        <w:gridCol w:w="211"/>
        <w:gridCol w:w="826"/>
        <w:gridCol w:w="154"/>
      </w:tblGrid>
      <w:tr>
        <w:trPr/>
        <w:tc>
          <w:tcPr>
            <w:tcW w:w="198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stock-based compensation)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 license &amp; IP expense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(excluding stock-based compensation)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(excluding stock-based compensation)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items include other income (expenses) and interest income (expenses).</w:t>
      </w:r>
    </w:p>
    <w:p>
      <w:pPr>
        <w:pStyle w:val="TextBody"/>
        <w:bidi w:val="0"/>
        <w:spacing w:lineRule="auto" w:line="26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products worldwide and attributes revenue to the geography where the product is delivered. The geographical distribution of revenue for the years ended December 31, 2024, 2023, and 2022 was as follows (in thousands): </w:t>
      </w:r>
    </w:p>
    <w:tbl>
      <w:tblPr>
        <w:tblW w:w="5727" w:type="dxa"/>
        <w:jc w:val="left"/>
        <w:tblInd w:w="0" w:type="dxa"/>
        <w:tblLayout w:type="fixed"/>
        <w:tblCellMar>
          <w:top w:w="28" w:type="dxa"/>
          <w:left w:w="28" w:type="dxa"/>
          <w:bottom w:w="28" w:type="dxa"/>
          <w:right w:w="28" w:type="dxa"/>
        </w:tblCellMar>
      </w:tblPr>
      <w:tblGrid>
        <w:gridCol w:w="577"/>
        <w:gridCol w:w="505"/>
        <w:gridCol w:w="508"/>
        <w:gridCol w:w="211"/>
        <w:gridCol w:w="826"/>
        <w:gridCol w:w="109"/>
        <w:gridCol w:w="109"/>
        <w:gridCol w:w="109"/>
        <w:gridCol w:w="109"/>
        <w:gridCol w:w="211"/>
        <w:gridCol w:w="826"/>
        <w:gridCol w:w="109"/>
        <w:gridCol w:w="109"/>
        <w:gridCol w:w="109"/>
        <w:gridCol w:w="109"/>
        <w:gridCol w:w="211"/>
        <w:gridCol w:w="826"/>
        <w:gridCol w:w="154"/>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EMEA includes Europe, the Middle East and Africa; APAC includes Asia and the Pacific countries; Other includes Canada and Latin America.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had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major customers and no individual country represented more than 10% of total revenues for the years ending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Long-lived assets by geographic location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the Company’s long-lived assets by geographic area were as follows (in thousands): </w:t>
      </w:r>
    </w:p>
    <w:tbl>
      <w:tblPr>
        <w:tblW w:w="3760" w:type="dxa"/>
        <w:jc w:val="left"/>
        <w:tblInd w:w="0" w:type="dxa"/>
        <w:tblLayout w:type="fixed"/>
        <w:tblCellMar>
          <w:top w:w="28" w:type="dxa"/>
          <w:left w:w="28" w:type="dxa"/>
          <w:bottom w:w="28" w:type="dxa"/>
          <w:right w:w="28" w:type="dxa"/>
        </w:tblCellMar>
      </w:tblPr>
      <w:tblGrid>
        <w:gridCol w:w="435"/>
        <w:gridCol w:w="381"/>
        <w:gridCol w:w="383"/>
        <w:gridCol w:w="222"/>
        <w:gridCol w:w="759"/>
        <w:gridCol w:w="114"/>
        <w:gridCol w:w="109"/>
        <w:gridCol w:w="109"/>
        <w:gridCol w:w="109"/>
        <w:gridCol w:w="221"/>
        <w:gridCol w:w="757"/>
        <w:gridCol w:w="16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most of the Company’s long-lived assets were located in the United States and in Wuxi,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23.    </w:t>
      </w:r>
      <w:r>
        <w:rPr>
          <w:rFonts w:ascii="Times New Roman;sans-serif" w:hAnsi="Times New Roman;sans-serif"/>
          <w:b/>
          <w:color w:val="000000"/>
          <w:sz w:val="20"/>
          <w:shd w:fill="FFFFFF" w:val="clear"/>
        </w:rPr>
        <w:t xml:space="preserve">Subsequent Events </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Credit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January 6, 2025, </w:t>
      </w:r>
      <w:r>
        <w:rPr>
          <w:rFonts w:ascii="Times New Roman;sans-serif" w:hAnsi="Times New Roman;sans-serif"/>
          <w:b w:val="false"/>
          <w:color w:val="000000"/>
          <w:sz w:val="20"/>
        </w:rPr>
        <w:t>Cytek (Shanghai) Biosciences Co., Ltd.</w:t>
      </w:r>
      <w:r>
        <w:rPr>
          <w:color w:val="000000"/>
          <w:shd w:fill="FFFFFF" w:val="clear"/>
        </w:rPr>
        <w:t xml:space="preserve"> </w:t>
      </w:r>
      <w:r>
        <w:rPr>
          <w:rFonts w:ascii="Times New Roman;sans-serif" w:hAnsi="Times New Roman;sans-serif"/>
          <w:b w:val="false"/>
          <w:color w:val="000000"/>
          <w:sz w:val="20"/>
          <w:shd w:fill="FFFFFF" w:val="clear"/>
        </w:rPr>
        <w:t xml:space="preserve">signed a maximum credit agreement with Bank of Ningbo, for </w:t>
      </w:r>
      <w:r>
        <w:rPr>
          <w:rFonts w:ascii="Times New Roman;sans-serif" w:hAnsi="Times New Roman;sans-serif"/>
          <w:b w:val="false"/>
          <w:color w:val="000000"/>
          <w:sz w:val="20"/>
        </w:rPr>
        <w:t>10</w:t>
      </w:r>
      <w:r>
        <w:rPr>
          <w:color w:val="000000"/>
          <w:shd w:fill="FFFFFF" w:val="clear"/>
        </w:rPr>
        <w:t xml:space="preserve"> </w:t>
      </w:r>
      <w:r>
        <w:rPr>
          <w:rFonts w:ascii="Times New Roman;sans-serif" w:hAnsi="Times New Roman;sans-serif"/>
          <w:b w:val="false"/>
          <w:color w:val="000000"/>
          <w:sz w:val="20"/>
          <w:shd w:fill="FFFFFF" w:val="clear"/>
        </w:rPr>
        <w:t xml:space="preserve">million Chinese renminbi (approximately US </w:t>
      </w:r>
      <w:r>
        <w:rPr>
          <w:rFonts w:ascii="Times New Roman;sans-serif" w:hAnsi="Times New Roman;sans-serif"/>
          <w:b w:val="false"/>
          <w:color w:val="000000"/>
          <w:sz w:val="20"/>
        </w:rPr>
        <w:t>$1.4 million</w:t>
      </w:r>
      <w:r>
        <w:rPr>
          <w:rFonts w:ascii="Times New Roman;sans-serif" w:hAnsi="Times New Roman;sans-serif"/>
          <w:b w:val="false"/>
          <w:color w:val="000000"/>
          <w:sz w:val="20"/>
          <w:shd w:fill="FFFFFF" w:val="clear"/>
        </w:rPr>
        <w:t xml:space="preserve">). Cytek Wuxi collateralizes this credit to the bank, and </w:t>
      </w:r>
      <w:r>
        <w:rPr>
          <w:rFonts w:ascii="Times New Roman;sans-serif" w:hAnsi="Times New Roman;sans-serif"/>
          <w:b w:val="false"/>
          <w:color w:val="000000"/>
          <w:sz w:val="20"/>
        </w:rPr>
        <w:t>the interest rate is fixed at 3.1%</w:t>
      </w:r>
      <w:r>
        <w:rPr>
          <w:rFonts w:ascii="Times New Roman;sans-serif" w:hAnsi="Times New Roman;sans-serif"/>
          <w:b w:val="false"/>
          <w:color w:val="000000"/>
          <w:sz w:val="20"/>
          <w:shd w:fill="FFFFFF" w:val="clear"/>
        </w:rPr>
        <w:t xml:space="preserve">. The line of credit is available from January 7, 2025 to January 9, 2026. On January 15, 2025, </w:t>
      </w:r>
      <w:r>
        <w:rPr>
          <w:rFonts w:ascii="Times New Roman;sans-serif" w:hAnsi="Times New Roman;sans-serif"/>
          <w:b w:val="false"/>
          <w:color w:val="000000"/>
          <w:sz w:val="20"/>
        </w:rPr>
        <w:t>Cytek (Shanghai) Biosciences Co., Ltd.</w:t>
      </w:r>
      <w:r>
        <w:rPr>
          <w:color w:val="000000"/>
          <w:shd w:fill="FFFFFF" w:val="clear"/>
        </w:rPr>
        <w:t xml:space="preserve"> </w:t>
      </w:r>
      <w:r>
        <w:rPr>
          <w:rFonts w:ascii="Times New Roman;sans-serif" w:hAnsi="Times New Roman;sans-serif"/>
          <w:b w:val="false"/>
          <w:color w:val="000000"/>
          <w:sz w:val="20"/>
          <w:shd w:fill="FFFFFF" w:val="clear"/>
        </w:rPr>
        <w:t xml:space="preserve">withdrew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million Chinese renminbi (approximately US </w:t>
      </w:r>
      <w:r>
        <w:rPr>
          <w:rFonts w:ascii="Times New Roman;sans-serif" w:hAnsi="Times New Roman;sans-serif"/>
          <w:b w:val="false"/>
          <w:color w:val="000000"/>
          <w:sz w:val="20"/>
        </w:rPr>
        <w:t>$0.3 million</w:t>
      </w:r>
      <w:r>
        <w:rPr>
          <w:rFonts w:ascii="Times New Roman;sans-serif" w:hAnsi="Times New Roman;sans-serif"/>
          <w:b w:val="false"/>
          <w:color w:val="000000"/>
          <w:sz w:val="20"/>
          <w:shd w:fill="FFFFFF" w:val="clear"/>
        </w:rPr>
        <w:t xml:space="preserve">) to support its operational needs. As of February 27, 2025, the outstanding balance was </w:t>
      </w:r>
      <w:r>
        <w:rPr>
          <w:rFonts w:ascii="Times New Roman;sans-serif" w:hAnsi="Times New Roman;sans-serif"/>
          <w:b w:val="false"/>
          <w:color w:val="000000"/>
          <w:sz w:val="20"/>
        </w:rPr>
        <w:t>8</w:t>
      </w:r>
      <w:r>
        <w:rPr>
          <w:color w:val="000000"/>
          <w:shd w:fill="FFFFFF" w:val="clear"/>
        </w:rPr>
        <w:t xml:space="preserve"> </w:t>
      </w:r>
      <w:r>
        <w:rPr>
          <w:rFonts w:ascii="Times New Roman;sans-serif" w:hAnsi="Times New Roman;sans-serif"/>
          <w:b w:val="false"/>
          <w:color w:val="000000"/>
          <w:sz w:val="20"/>
          <w:shd w:fill="FFFFFF" w:val="clear"/>
        </w:rPr>
        <w:t xml:space="preserve">million Chinese renminbi (approximately US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left"/>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jc w:val="both"/>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on Form 10-K.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w:t>
      </w:r>
      <w:r>
        <w:rPr>
          <w:rFonts w:ascii="Times New Roman;sans-serif" w:hAnsi="Times New Roman;sans-serif"/>
          <w:b w:val="false"/>
          <w:color w:val="000000"/>
          <w:sz w:val="20"/>
          <w:shd w:fill="FFFFFF" w:val="clear"/>
        </w:rPr>
        <w:t xml:space="preserve">as a result of the material weaknesses in our internal control, our disclosure controls and procedures were not effective as of </w:t>
      </w:r>
      <w:r>
        <w:rPr>
          <w:rFonts w:ascii="Times New Roman;sans-serif" w:hAnsi="Times New Roman;sans-serif"/>
          <w:b w:val="false"/>
          <w:color w:val="000000"/>
          <w:sz w:val="20"/>
        </w:rPr>
        <w:t xml:space="preserve">December 31, 2024.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our Chief Executive Officer and Chief Financial Officer, is responsible for establishing and maintaining adequate internal control over financial reporting as defined in Rules 13a- 15(f) and 15d-15(f) under the Exchange Act and based upon the criteria established in Internal Control-Integrated Framework (2013) issued by the Committee of Sponsoring Organizations of the Treadway Commission (“the COSO framework”). Our internal control over financial reporting is a process designed to provide reasonable assurance regarding the reliability of our financial reporting and the preparation of our financial statements for external purposes in accordance with U.S. GAAP.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on the COSO framework. Based on evaluation under these criteria, management determined, based upon the existence of the material weaknesses described below, that we did not maintain effective internal control over financial reporting as of December 31, 2024.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deficiencies in the control environment and control activities components of the COSO Framework that constitute material weaknesses, either individually or in the aggregate.</w:t>
      </w:r>
    </w:p>
    <w:p>
      <w:pPr>
        <w:pStyle w:val="TextBody"/>
        <w:bidi w:val="0"/>
        <w:spacing w:lineRule="auto" w:line="256" w:before="120" w:after="283"/>
        <w:ind w:left="0" w:right="0" w:hanging="540"/>
        <w:jc w:val="both"/>
        <w:rPr/>
      </w:pPr>
      <w:r>
        <w:rPr>
          <w:color w:val="000000"/>
        </w:rPr>
        <w:t>•</w:t>
      </w:r>
      <w:r>
        <w:rPr>
          <w:rFonts w:ascii="Times New Roman;sans-serif" w:hAnsi="Times New Roman;sans-serif"/>
          <w:b w:val="false"/>
          <w:color w:val="000000"/>
          <w:sz w:val="20"/>
        </w:rPr>
        <w:t>Control environment – Management did not maintain an effective control environment based on the criteria established in the COSO framework and identified deficiencies in the principles associated with the control environment of the COSO framework. Specifically, the Company’s resources within its accounting and IT function require additional time to perform their assigned responsibilities for a sufficient period of time to evidence an effective control environment.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our independent registered public accounting firm, has audited the effectiveness of our internal control over financial reporting as of December 31, 2024 and has issued an attestation report on our internal controls over financial reporting, which is included herein.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Remediation Plan and Status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2024, we have executed, and we will continue to execute the following steps intended to remediate the material weaknesses described above and strengthen our internal control over financial reporting: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have augmented our workforce with qualified personnel in both our accounting and information technology functions. We have appointed personnel that are qualified to assume responsibility for the design and operation of internal control over financial reporting and monitor the progress for remediation.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are continuing to revise and improve the design of our controls, implement reviews and monitor the effectiveness of our internal control environment with external consultants with subject matter expertise, including GITCs.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are committed to an ongoing process to revise and implement new controls, update documentation.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will continue to expand education and training, enforce accountability, and strengthen supervisory reviews by our management.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will continue to focus on control execution and monitoring internal controls within our revenue and inventory processes.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We are committed to further strengthen GITCs related to financial accounting and reporting systems including implementing monitoring controls as appropriate. We invested in redesigning of our IT systems in 2024 through early 2025 to get those systems in compliance.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pStyle w:val="TextBody"/>
        <w:bidi w:val="0"/>
        <w:spacing w:lineRule="auto" w:line="288" w:before="120" w:after="283"/>
        <w:jc w:val="both"/>
        <w:rPr/>
      </w:pPr>
      <w:r>
        <w:rPr>
          <w:rFonts w:ascii="Times New Roman;sans-serif" w:hAnsi="Times New Roman;sans-serif"/>
          <w:b/>
          <w:i/>
          <w:color w:val="000000"/>
          <w:sz w:val="20"/>
        </w:rPr>
        <w:t>Changes in Internal Control over Financial Reporting</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December 31, 2024 that materially affected, or were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Cytek Biosciences, Inc.</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have audited the internal control over financial reporting of Cytek Biosciences, Inc.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2024, based on criteria established in Internal Control — Integrated Framework (2013) issued by COSO.</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consolidated financial statements as of and for the year ended December 31, 2024, of the Company and our report dated </w:t>
      </w:r>
      <w:r>
        <w:rPr>
          <w:rFonts w:ascii="Times New Roman;sans-serif" w:hAnsi="Times New Roman;sans-serif"/>
          <w:b w:val="false"/>
          <w:color w:val="000000"/>
          <w:sz w:val="20"/>
          <w:shd w:fill="FFFFFF" w:val="clear"/>
        </w:rPr>
        <w:t>February 27, 2025,</w:t>
      </w:r>
      <w:r>
        <w:rPr>
          <w:color w:val="000000"/>
        </w:rPr>
        <w:t xml:space="preserve"> </w:t>
      </w:r>
      <w:r>
        <w:rPr>
          <w:rFonts w:ascii="Times New Roman;sans-serif" w:hAnsi="Times New Roman;sans-serif"/>
          <w:b w:val="false"/>
          <w:color w:val="000000"/>
          <w:sz w:val="20"/>
        </w:rPr>
        <w:t>expressed an unqualified opinion on those financial statements.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Material Weaknesses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Control environment</w:t>
      </w:r>
      <w:r>
        <w:rPr>
          <w:color w:val="000000"/>
        </w:rPr>
        <w:t xml:space="preserve"> – </w:t>
      </w:r>
      <w:r>
        <w:rPr>
          <w:rFonts w:ascii="Times New Roman;sans-serif" w:hAnsi="Times New Roman;sans-serif"/>
          <w:b w:val="false"/>
          <w:color w:val="000000"/>
          <w:sz w:val="20"/>
        </w:rPr>
        <w:t>Management did not maintain an effective control environment based on the criteria established in COSO and identified deficiencies in the principles associated with the control environment of COSO. Specifically, the Company’s resources within its accounting and IT function require additional time to perform their assigned responsibilities for a sufficient period of time to evidence an effective control environment.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Control activities</w:t>
      </w:r>
      <w:r>
        <w:rPr>
          <w:color w:val="000000"/>
        </w:rPr>
        <w:t xml:space="preserve"> – </w:t>
      </w:r>
      <w:r>
        <w:rPr>
          <w:rFonts w:ascii="Times New Roman;sans-serif" w:hAnsi="Times New Roman;sans-serif"/>
          <w:b w:val="false"/>
          <w:color w:val="000000"/>
          <w:sz w:val="20"/>
        </w:rPr>
        <w:t xml:space="preserve">Management did not design and implement effective control activities based on the criteria established in the COSO framework and identified deficiencies in the principles associated with the control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 of COSO.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weaknesses were contributing factors: (i) inadequate general information technology controls in the areas of access security and program change-management over certain information technology systems that support the Company’s financial reporting processes. Some of the Company’s business process controls (automated and manual) are dependent on the affected general information technology controls; they too were deemed ineffective because they could have been adversely impacted; and (ii) ineffective design and/or review procedures for journal entries and balance sheet account reconciliations.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were considered in determining the nature, timing, and extent of audit tests applied in our audit of the consolidated financial statements as of and for the year ended December 31, 2024, of the Company, and this report does not affect our report on such financial statements.</w:t>
      </w:r>
    </w:p>
    <w:p>
      <w:pPr>
        <w:pStyle w:val="TextBody"/>
        <w:bidi w:val="0"/>
        <w:spacing w:lineRule="auto" w:line="288" w:before="4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9B. Other Information</w:t>
      </w:r>
    </w:p>
    <w:p>
      <w:pPr>
        <w:pStyle w:val="TextBody"/>
        <w:bidi w:val="0"/>
        <w:spacing w:before="0" w:after="0"/>
        <w:ind w:left="0" w:right="0" w:firstLine="540"/>
        <w:jc w:val="both"/>
        <w:rPr/>
      </w:pPr>
      <w:r>
        <w:rPr/>
      </w:r>
    </w:p>
    <w:p>
      <w:pPr>
        <w:pStyle w:val="TextBody"/>
        <w:bidi w:val="0"/>
        <w:spacing w:lineRule="auto" w:line="268" w:before="0" w:after="0"/>
        <w:ind w:left="0" w:right="0" w:firstLine="506"/>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the 2025 Annual Meeting of Stockholders, which will be filed with the SEC no later than 120 days after December 31, 2024, under the captions “Information Regarding the Board of Directors and Corporate Governance,” “Election of Directors,” and “Executive Officers.”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Information regarding our Code of Business Conduct and Ethics, or the Code of Conduct, required by this item will be contained in our 2025 Proxy Statement under the caption “Information Regarding the Board of Directors and Corporate Governance - Code of Ethics,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and is hereby incorporated by reference. If we make any substantive amendments to the Code of Conduct or grant any waiver from a provision of the Code of Conduct to any executive officer or director, we will promptly disclose the nature of the amendment or waiver on its website. The full text of our Code of Conduct is available at the Investor Relations section of our website at https://investors.cytekbio.com. The reference to our website address does not constitute incorporation by reference of the information contained at or available through our website, and you should not consider it to be part of this Annual Report.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adopted an insider trading policy governing the purchase, sale, and other dispositions of our securities by our directors, officers and employees and by the Company itself. We believe this policy is reasonably designed to promote compliance with insider trading laws, rules and regulations and the listing standards of the Nasdaq Stock Market.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the 2025 Annual Meeting of Stockholders, which will be filed with the SEC no later than 120 days after December 31, 2024, under the captions “Executive Compensation” and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the 2025 Annual Meeting of Stockholders, which will be filed with the SEC no later than 120 days after December 31, 2024, under the caption “Security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the 2025 Annual Meeting of Stockholders, which will be filed with the SEC no later than 120 days after December 31, 2024, under the captions “Transactions with Related Persons” and “Independence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the 2025 Annual Meeting of Stockholders, which will be filed with the SEC no later than 120 days after December 31, 2024, under the caption “Ratification of Selection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15. Exhibits and Financial Statement Schedules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 on Form 10-K:</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filed as part of this Annual Report on Form 10-K are included in Part II, Item 8 of this Annual Report on Form 10-K.</w:t>
      </w:r>
    </w:p>
    <w:tbl>
      <w:tblPr>
        <w:tblW w:w="7829" w:type="dxa"/>
        <w:jc w:val="left"/>
        <w:tblInd w:w="0" w:type="dxa"/>
        <w:tblLayout w:type="fixed"/>
        <w:tblCellMar>
          <w:top w:w="28" w:type="dxa"/>
          <w:left w:w="28" w:type="dxa"/>
          <w:bottom w:w="28" w:type="dxa"/>
          <w:right w:w="28" w:type="dxa"/>
        </w:tblCellMar>
      </w:tblPr>
      <w:tblGrid>
        <w:gridCol w:w="2508"/>
        <w:gridCol w:w="2205"/>
        <w:gridCol w:w="3116"/>
      </w:tblGrid>
      <w:tr>
        <w:trPr/>
        <w:tc>
          <w:tcPr>
            <w:tcW w:w="250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9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 34)</w:t>
            </w:r>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94">
              <w:r>
                <w:rPr>
                  <w:rStyle w:val="InternetLink"/>
                  <w:rFonts w:ascii="Times New Roman;sans-serif" w:hAnsi="Times New Roman;sans-serif"/>
                  <w:b w:val="false"/>
                  <w:color w:val="0000FF"/>
                  <w:sz w:val="20"/>
                  <w:u w:val="single"/>
                </w:rPr>
                <w:t>Consolidated Balance Sheet</w:t>
              </w:r>
            </w:hyperlink>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97">
              <w:r>
                <w:rPr>
                  <w:rStyle w:val="InternetLink"/>
                  <w:rFonts w:ascii="Times New Roman;sans-serif" w:hAnsi="Times New Roman;sans-serif"/>
                  <w:b w:val="false"/>
                  <w:color w:val="0000FF"/>
                  <w:sz w:val="20"/>
                  <w:u w:val="single"/>
                </w:rPr>
                <w:t>Consolidated Statements of Operations and Comprehensive (Loss) Income</w:t>
              </w:r>
            </w:hyperlink>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00">
              <w:r>
                <w:rPr>
                  <w:rStyle w:val="InternetLink"/>
                  <w:rFonts w:ascii="Times New Roman;sans-serif" w:hAnsi="Times New Roman;sans-serif"/>
                  <w:b w:val="false"/>
                  <w:color w:val="0000FF"/>
                  <w:sz w:val="20"/>
                  <w:u w:val="single"/>
                </w:rPr>
                <w:t>Consolidated Statements of Redeemable Convertible Preferred Stock and Stockholders' Equity</w:t>
              </w:r>
            </w:hyperlink>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03">
              <w:r>
                <w:rPr>
                  <w:rStyle w:val="InternetLink"/>
                  <w:rFonts w:ascii="Times New Roman;sans-serif" w:hAnsi="Times New Roman;sans-serif"/>
                  <w:b w:val="false"/>
                  <w:color w:val="0000FF"/>
                  <w:sz w:val="20"/>
                  <w:u w:val="single"/>
                </w:rPr>
                <w:t>Consolidated Statements of Cash Flows</w:t>
              </w:r>
            </w:hyperlink>
          </w:p>
        </w:tc>
      </w:tr>
      <w:tr>
        <w:trPr/>
        <w:tc>
          <w:tcPr>
            <w:tcW w:w="78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106">
              <w:r>
                <w:rPr>
                  <w:rStyle w:val="InternetLink"/>
                  <w:rFonts w:ascii="Times New Roman;sans-serif" w:hAnsi="Times New Roman;sans-serif"/>
                  <w:b w:val="false"/>
                  <w:color w:val="0000FF"/>
                  <w:sz w:val="20"/>
                  <w:u w:val="single"/>
                </w:rPr>
                <w:t>Notes to consolidated financial statements</w:t>
              </w:r>
            </w:hyperlink>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in this Annual Report on Form 10-K because they are not applicable, not required under the instructions or the information requested is set forth in the financial statements or related notes thereto in Part II, Item 8 of this Annual Report on Form 10-K.</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(3)List of Exhibits required by Item 601 of Regulation S-K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679"/>
        <w:gridCol w:w="1603"/>
        <w:gridCol w:w="1555"/>
        <w:gridCol w:w="109"/>
        <w:gridCol w:w="109"/>
        <w:gridCol w:w="109"/>
        <w:gridCol w:w="195"/>
        <w:gridCol w:w="195"/>
        <w:gridCol w:w="196"/>
        <w:gridCol w:w="360"/>
        <w:gridCol w:w="299"/>
        <w:gridCol w:w="210"/>
        <w:gridCol w:w="245"/>
        <w:gridCol w:w="245"/>
        <w:gridCol w:w="246"/>
        <w:gridCol w:w="258"/>
        <w:gridCol w:w="258"/>
        <w:gridCol w:w="260"/>
        <w:gridCol w:w="272"/>
        <w:gridCol w:w="272"/>
        <w:gridCol w:w="3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w:t>
              <w:br/>
              <w:t>Date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Filed</w:t>
              <w:b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Asset Purchase Agreement, dated February 13, 2023, by and between Cytek, Inc. and Luminex Corporation</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001-40632</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03/01/2023</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color w:val="0000FF"/>
                  <w:u w:val="single"/>
                </w:rPr>
                <w:t> </w:t>
              </w:r>
            </w:hyperlink>
            <w:hyperlink r:id="rId6">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8">
              <w:r>
                <w:rPr>
                  <w:rStyle w:val="InternetLink"/>
                  <w:color w:val="0000FF"/>
                  <w:u w:val="single"/>
                </w:rPr>
                <w:t> </w:t>
              </w:r>
            </w:hyperlink>
            <w:hyperlink r:id="rId9">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Exhibits 3.1 and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Form of common stock certificate of Cytek Biosciences,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Times New Roman;sans-serif" w:hAnsi="Times New Roman;sans-serif"/>
                  <w:b w:val="false"/>
                  <w:color w:val="0000FF"/>
                  <w:sz w:val="20"/>
                  <w:u w:val="single"/>
                </w:rPr>
                <w:t>333-257663</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Cytek Biosciences, Inc. 2015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Forms of Option Agreement, Notice of Stock Option Grant and Exercise Notice under Cytek Biosciences, Inc.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7">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Cytek Biosciences,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ans-serif" w:hAnsi="Times New Roman;sans-serif"/>
                  <w:b w:val="false"/>
                  <w:color w:val="0000FF"/>
                  <w:sz w:val="20"/>
                  <w:u w:val="single"/>
                </w:rPr>
                <w:t>333-257663</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Forms of Option Agreement and Notice of Stock Option Grant under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br/>
              <w:t> </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Forms of Restricted Stock Unit Grant Notice and Restricted Stock Unit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3">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Forms of Option Agreement and Notice of Stock Option Grant under 2021 Equity Incentive Plan, effective August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11/09/2022</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6"/>
        <w:gridCol w:w="199"/>
        <w:gridCol w:w="109"/>
        <w:gridCol w:w="109"/>
        <w:gridCol w:w="109"/>
        <w:gridCol w:w="2196"/>
        <w:gridCol w:w="1905"/>
        <w:gridCol w:w="1911"/>
        <w:gridCol w:w="109"/>
        <w:gridCol w:w="109"/>
        <w:gridCol w:w="109"/>
        <w:gridCol w:w="144"/>
        <w:gridCol w:w="144"/>
        <w:gridCol w:w="145"/>
        <w:gridCol w:w="331"/>
        <w:gridCol w:w="258"/>
        <w:gridCol w:w="260"/>
        <w:gridCol w:w="189"/>
        <w:gridCol w:w="189"/>
        <w:gridCol w:w="193"/>
        <w:gridCol w:w="229"/>
        <w:gridCol w:w="229"/>
        <w:gridCol w:w="231"/>
        <w:gridCol w:w="109"/>
        <w:gridCol w:w="109"/>
        <w:gridCol w:w="162"/>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Forms of Restricted Stock Unit Grant Notice and Restricted Stock Unit Award Agreement under the 2021 Equity Incentive Plan, effective August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Cytek Biosciences,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ans-serif" w:hAnsi="Times New Roman;sans-serif"/>
                  <w:b w:val="false"/>
                  <w:color w:val="0000FF"/>
                  <w:sz w:val="20"/>
                  <w:u w:val="single"/>
                </w:rPr>
                <w:t>333-257663</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07/19/2021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Form of Indemnification Agreement, by and between Cytek Biosciences, Inc.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07/19/2021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 xml:space="preserve">Offer letter, by and between Cytek Biosciences, Inc. and Valerie Barnett, dated January 12, 2021.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05/09/2023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80"/>
                  <w:sz w:val="20"/>
                  <w:u w:val="single"/>
                </w:rPr>
                <w:t>O</w:t>
              </w:r>
            </w:hyperlink>
            <w:hyperlink r:id="rId35">
              <w:r>
                <w:rPr>
                  <w:rStyle w:val="InternetLink"/>
                  <w:rFonts w:ascii="Times New Roman;sans-serif" w:hAnsi="Times New Roman;sans-serif"/>
                  <w:b w:val="false"/>
                  <w:color w:val="000080"/>
                  <w:sz w:val="20"/>
                  <w:u w:val="single"/>
                </w:rPr>
                <w:t xml:space="preserve">ffer letter, by and between Cytek Biosciences, Inc. and Allen Poirson, Ph.D., dated </w:t>
              </w:r>
            </w:hyperlink>
            <w:hyperlink r:id="rId36">
              <w:r>
                <w:rPr>
                  <w:rStyle w:val="InternetLink"/>
                  <w:rFonts w:ascii="Times New Roman;sans-serif" w:hAnsi="Times New Roman;sans-serif"/>
                  <w:b w:val="false"/>
                  <w:color w:val="000080"/>
                  <w:sz w:val="20"/>
                  <w:u w:val="single"/>
                </w:rPr>
                <w:t>M</w:t>
              </w:r>
            </w:hyperlink>
            <w:hyperlink r:id="rId37">
              <w:r>
                <w:rPr>
                  <w:rStyle w:val="InternetLink"/>
                  <w:rFonts w:ascii="Times New Roman;sans-serif" w:hAnsi="Times New Roman;sans-serif"/>
                  <w:b w:val="false"/>
                  <w:color w:val="000080"/>
                  <w:sz w:val="20"/>
                  <w:u w:val="single"/>
                </w:rPr>
                <w:t>arch 23,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8">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05/08/2024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80"/>
                  <w:sz w:val="20"/>
                  <w:u w:val="single"/>
                </w:rPr>
                <w:t xml:space="preserve">Offer letter, by and between Cytek Biosciences, Inc. and </w:t>
              </w:r>
            </w:hyperlink>
            <w:hyperlink r:id="rId40">
              <w:r>
                <w:rPr>
                  <w:rStyle w:val="InternetLink"/>
                  <w:rFonts w:ascii="Times New Roman;sans-serif" w:hAnsi="Times New Roman;sans-serif"/>
                  <w:b w:val="false"/>
                  <w:color w:val="000080"/>
                  <w:sz w:val="20"/>
                  <w:u w:val="single"/>
                </w:rPr>
                <w:t>William McCombe</w:t>
              </w:r>
            </w:hyperlink>
            <w:hyperlink r:id="rId41">
              <w:r>
                <w:rPr>
                  <w:rStyle w:val="InternetLink"/>
                  <w:rFonts w:ascii="Times New Roman;sans-serif" w:hAnsi="Times New Roman;sans-serif"/>
                  <w:b w:val="false"/>
                  <w:color w:val="000080"/>
                  <w:sz w:val="20"/>
                  <w:u w:val="single"/>
                </w:rPr>
                <w:t>,</w:t>
              </w:r>
            </w:hyperlink>
            <w:hyperlink r:id="rId42">
              <w:r>
                <w:rPr>
                  <w:rStyle w:val="InternetLink"/>
                  <w:rFonts w:ascii="Times New Roman;sans-serif" w:hAnsi="Times New Roman;sans-serif"/>
                  <w:b w:val="false"/>
                  <w:color w:val="000080"/>
                  <w:sz w:val="20"/>
                  <w:u w:val="single"/>
                </w:rPr>
                <w:t xml:space="preserve"> </w:t>
              </w:r>
            </w:hyperlink>
            <w:hyperlink r:id="rId43">
              <w:r>
                <w:rPr>
                  <w:rStyle w:val="InternetLink"/>
                  <w:rFonts w:ascii="Times New Roman;sans-serif" w:hAnsi="Times New Roman;sans-serif"/>
                  <w:b w:val="false"/>
                  <w:color w:val="000080"/>
                  <w:sz w:val="20"/>
                  <w:u w:val="single"/>
                </w:rPr>
                <w:t xml:space="preserve">dated </w:t>
              </w:r>
            </w:hyperlink>
            <w:hyperlink r:id="rId44">
              <w:r>
                <w:rPr>
                  <w:rStyle w:val="InternetLink"/>
                  <w:rFonts w:ascii="Times New Roman;sans-serif" w:hAnsi="Times New Roman;sans-serif"/>
                  <w:b w:val="false"/>
                  <w:color w:val="000080"/>
                  <w:sz w:val="20"/>
                  <w:u w:val="single"/>
                </w:rPr>
                <w:t>M</w:t>
              </w:r>
            </w:hyperlink>
            <w:hyperlink r:id="rId45">
              <w:r>
                <w:rPr>
                  <w:rStyle w:val="InternetLink"/>
                  <w:rFonts w:ascii="Times New Roman;sans-serif" w:hAnsi="Times New Roman;sans-serif"/>
                  <w:b w:val="false"/>
                  <w:color w:val="000080"/>
                  <w:sz w:val="20"/>
                  <w:u w:val="single"/>
                </w:rPr>
                <w:t xml:space="preserve">arch </w:t>
              </w:r>
            </w:hyperlink>
            <w:hyperlink r:id="rId46">
              <w:r>
                <w:rPr>
                  <w:rStyle w:val="InternetLink"/>
                  <w:rFonts w:ascii="Times New Roman;sans-serif" w:hAnsi="Times New Roman;sans-serif"/>
                  <w:b w:val="false"/>
                  <w:color w:val="000080"/>
                  <w:sz w:val="20"/>
                  <w:u w:val="single"/>
                </w:rPr>
                <w:t>18</w:t>
              </w:r>
            </w:hyperlink>
            <w:hyperlink r:id="rId47">
              <w:r>
                <w:rPr>
                  <w:rStyle w:val="InternetLink"/>
                  <w:rFonts w:ascii="Times New Roman;sans-serif" w:hAnsi="Times New Roman;sans-serif"/>
                  <w:b w:val="false"/>
                  <w:color w:val="000080"/>
                  <w:sz w:val="20"/>
                  <w:u w:val="single"/>
                </w:rPr>
                <w:t>, 202</w:t>
              </w:r>
            </w:hyperlink>
            <w:hyperlink r:id="rId48">
              <w:r>
                <w:rPr>
                  <w:rStyle w:val="InternetLink"/>
                  <w:rFonts w:ascii="Times New Roman;sans-serif" w:hAnsi="Times New Roman;sans-serif"/>
                  <w:b w:val="false"/>
                  <w:color w:val="000080"/>
                  <w:sz w:val="20"/>
                  <w:u w:val="single"/>
                </w:rPr>
                <w:t>4</w:t>
              </w:r>
            </w:hyperlink>
            <w:hyperlink r:id="rId4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0">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03/19/2024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20"/>
                  <w:u w:val="single"/>
                </w:rPr>
                <w:t>Cytek Biosciences, Inc. Second Amended and Restated Severance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2">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05/08/2024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20"/>
                  <w:u w:val="single"/>
                </w:rPr>
                <w:t>Supply Agreement between the Registrant and Cytek (Wuxi) Biosciences Co., Ltd, a China subsidiary of Cytek Biosciences, Inc., and Coherent NA, Inc. dated August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4">
              <w:r>
                <w:rPr>
                  <w:rStyle w:val="InternetLink"/>
                  <w:rFonts w:ascii="Times New Roman;sans-serif" w:hAnsi="Times New Roman;sans-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11/12/2021</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20"/>
                  <w:u w:val="single"/>
                </w:rPr>
                <w:t>Supply and License Agreement, by and between Biotium, Inc. and Cytek Biosciences, Inc., dated as of September 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6">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20"/>
                  <w:u w:val="single"/>
                </w:rPr>
                <w:t>Settlement, License, and Equity Issuance Agreement, by and between Becton, Dickinson and Company and Cytek Biosciences, Inc., dated October 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8">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Lease, by and between SNH Medical Office Properties Trust and Cytek Biosciences, Inc., dated November 20,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0">
              <w:r>
                <w:rPr>
                  <w:rStyle w:val="InternetLink"/>
                  <w:rFonts w:ascii="Times New Roman;sans-serif" w:hAnsi="Times New Roman;sans-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8firstamendmentt.htm">
              <w:r>
                <w:rPr>
                  <w:rStyle w:val="InternetLink"/>
                  <w:rFonts w:ascii="Times New Roman;sans-serif" w:hAnsi="Times New Roman;sans-serif"/>
                  <w:b w:val="false"/>
                  <w:color w:val="000080"/>
                  <w:sz w:val="20"/>
                  <w:u w:val="single"/>
                </w:rPr>
                <w:t>F</w:t>
              </w:r>
            </w:hyperlink>
            <w:hyperlink w:anchor="exhibit1018firstamendmentt.htm">
              <w:r>
                <w:rPr>
                  <w:rStyle w:val="InternetLink"/>
                  <w:rFonts w:ascii="Times New Roman;sans-serif" w:hAnsi="Times New Roman;sans-serif"/>
                  <w:b w:val="false"/>
                  <w:color w:val="000080"/>
                  <w:sz w:val="20"/>
                  <w:u w:val="single"/>
                </w:rPr>
                <w:t>irst Amendment to Lease, by and betwe</w:t>
              </w:r>
            </w:hyperlink>
            <w:hyperlink w:anchor="exhibit1018firstamendmentt.htm">
              <w:r>
                <w:rPr>
                  <w:rStyle w:val="InternetLink"/>
                  <w:rFonts w:ascii="Times New Roman;sans-serif" w:hAnsi="Times New Roman;sans-serif"/>
                  <w:b w:val="false"/>
                  <w:color w:val="000080"/>
                  <w:sz w:val="20"/>
                  <w:u w:val="single"/>
                </w:rPr>
                <w:t>en DHC ZB Properties LLC and Cytek Biosciences</w:t>
              </w:r>
            </w:hyperlink>
            <w:hyperlink w:anchor="exhibit1018firstamendmentt.htm">
              <w:r>
                <w:rPr>
                  <w:rStyle w:val="InternetLink"/>
                  <w:rFonts w:ascii="Times New Roman;sans-serif" w:hAnsi="Times New Roman;sans-serif"/>
                  <w:b w:val="false"/>
                  <w:color w:val="000080"/>
                  <w:sz w:val="20"/>
                  <w:u w:val="single"/>
                </w:rPr>
                <w:t>, Inc., dated October 28,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20"/>
                  <w:u w:val="single"/>
                </w:rPr>
                <w:t>Equity Distribution Agreement, by and between the Company and Piper Sandler &amp; Co. dated August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2">
              <w:r>
                <w:rPr>
                  <w:rStyle w:val="InternetLink"/>
                  <w:rFonts w:ascii="Times New Roman;sans-serif" w:hAnsi="Times New Roman;sans-serif"/>
                  <w:b w:val="false"/>
                  <w:color w:val="0000FF"/>
                  <w:sz w:val="20"/>
                  <w:u w:val="single"/>
                </w:rPr>
                <w:t>333-267118</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08/26/2022</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nsidertradingpo.htm">
              <w:r>
                <w:rPr>
                  <w:rStyle w:val="InternetLink"/>
                  <w:rFonts w:ascii="Times New Roman;sans-serif" w:hAnsi="Times New Roman;sans-serif"/>
                  <w:b w:val="false"/>
                  <w:color w:val="000080"/>
                  <w:sz w:val="20"/>
                  <w:u w:val="single"/>
                </w:rPr>
                <w:t>I</w:t>
              </w:r>
            </w:hyperlink>
            <w:hyperlink w:anchor="exhibit191insidertradingpo.htm">
              <w:r>
                <w:rPr>
                  <w:rStyle w:val="InternetLink"/>
                  <w:rFonts w:ascii="Times New Roman;sans-serif" w:hAnsi="Times New Roman;sans-serif"/>
                  <w:b w:val="false"/>
                  <w:color w:val="000080"/>
                  <w:sz w:val="20"/>
                  <w:u w:val="single"/>
                </w:rPr>
                <w:t>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subsidiaries1.htm">
              <w:r>
                <w:rPr>
                  <w:rStyle w:val="InternetLink"/>
                  <w:rFonts w:ascii="Times New Roman;sans-serif" w:hAnsi="Times New Roman;sans-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deloittecytek202.htm">
              <w:r>
                <w:rPr>
                  <w:rStyle w:val="InternetLink"/>
                  <w:rFonts w:ascii="Times New Roman;sans-serif" w:hAnsi="Times New Roman;sans-serif"/>
                  <w:b w:val="false"/>
                  <w:color w:val="0000FF"/>
                  <w:sz w:val="20"/>
                  <w:u w:val="single"/>
                </w:rPr>
                <w:t>Consent of Deloitte &amp; Touche LLP, independent registered public accounting firm.</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a57cef937b476db801a23d14542c1d_226">
              <w:r>
                <w:rPr>
                  <w:rStyle w:val="InternetLink"/>
                  <w:rFonts w:ascii="Times New Roman;sans-serif" w:hAnsi="Times New Roman;sans-serif"/>
                  <w:b w:val="false"/>
                  <w:color w:val="0000FF"/>
                  <w:sz w:val="20"/>
                  <w:u w:val="single"/>
                </w:rPr>
                <w:t>Power of Attorney (incorporated by reference to the signatures page of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41231ex311.htm">
              <w:r>
                <w:rPr>
                  <w:rStyle w:val="InternetLink"/>
                  <w:rFonts w:ascii="Times New Roman;sans-serif" w:hAnsi="Times New Roman;sans-serif"/>
                  <w:b w:val="false"/>
                  <w:color w:val="0000FF"/>
                  <w:sz w:val="20"/>
                  <w:u w:val="single"/>
                </w:rPr>
                <w:t>Certification of Principal Executive Officer required by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
        <w:gridCol w:w="194"/>
        <w:gridCol w:w="195"/>
        <w:gridCol w:w="109"/>
        <w:gridCol w:w="109"/>
        <w:gridCol w:w="109"/>
        <w:gridCol w:w="2112"/>
        <w:gridCol w:w="2112"/>
        <w:gridCol w:w="2116"/>
        <w:gridCol w:w="109"/>
        <w:gridCol w:w="109"/>
        <w:gridCol w:w="109"/>
        <w:gridCol w:w="139"/>
        <w:gridCol w:w="139"/>
        <w:gridCol w:w="140"/>
        <w:gridCol w:w="251"/>
        <w:gridCol w:w="251"/>
        <w:gridCol w:w="252"/>
        <w:gridCol w:w="109"/>
        <w:gridCol w:w="109"/>
        <w:gridCol w:w="109"/>
        <w:gridCol w:w="234"/>
        <w:gridCol w:w="234"/>
        <w:gridCol w:w="235"/>
        <w:gridCol w:w="109"/>
        <w:gridCol w:w="109"/>
        <w:gridCol w:w="162"/>
      </w:tblGrid>
      <w:tr>
        <w:trPr/>
        <w:tc>
          <w:tcPr>
            <w:tcW w:w="2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41231ex312.htm">
              <w:r>
                <w:rPr>
                  <w:rStyle w:val="InternetLink"/>
                  <w:rFonts w:ascii="Times New Roman;sans-serif" w:hAnsi="Times New Roman;sans-serif"/>
                  <w:b w:val="false"/>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41231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41231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FF"/>
                  <w:sz w:val="20"/>
                  <w:u w:val="single"/>
                </w:rPr>
                <w:t>Cytek Biosciences, Inc. 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5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4">
              <w:r>
                <w:rPr>
                  <w:rStyle w:val="InternetLink"/>
                  <w:rFonts w:ascii="Times New Roman;sans-serif" w:hAnsi="Times New Roman;sans-serif"/>
                  <w:b w:val="false"/>
                  <w:color w:val="0000FF"/>
                  <w:sz w:val="20"/>
                  <w:u w:val="single"/>
                </w:rPr>
                <w:t>001-40632</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03/13/2024</w:t>
            </w:r>
          </w:p>
        </w:tc>
        <w:tc>
          <w:tcPr>
            <w:tcW w:w="38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601(b)(10) of Regulation S-K, portions of this exhibit have been omitted as the Registrant has determined that the omitted information is both not material and is the type that the Registrant treats as private and confidential.</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*As contemplated by SEC Release No. 33-8212, these exhibits are furnished with this Annual Report on Form 10-K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917" w:type="dxa"/>
        <w:jc w:val="left"/>
        <w:tblInd w:w="0" w:type="dxa"/>
        <w:tblLayout w:type="fixed"/>
        <w:tblCellMar>
          <w:top w:w="28" w:type="dxa"/>
          <w:left w:w="28" w:type="dxa"/>
          <w:bottom w:w="28" w:type="dxa"/>
          <w:right w:w="28" w:type="dxa"/>
        </w:tblCellMar>
      </w:tblPr>
      <w:tblGrid>
        <w:gridCol w:w="754"/>
        <w:gridCol w:w="664"/>
        <w:gridCol w:w="667"/>
        <w:gridCol w:w="321"/>
        <w:gridCol w:w="321"/>
        <w:gridCol w:w="321"/>
        <w:gridCol w:w="1126"/>
        <w:gridCol w:w="1126"/>
        <w:gridCol w:w="161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Cytek Biosciences,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Wenbin Jiang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McCombe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120" w:after="120"/>
        <w:jc w:val="left"/>
        <w:rPr/>
      </w:pPr>
      <w:hyperlink w:anchor="i83a57cef937b476db801a23d14542c1d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Wenbin Jiang, William McCombe and Valerie Barnett, and each or any one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123" w:type="dxa"/>
        <w:jc w:val="left"/>
        <w:tblInd w:w="0" w:type="dxa"/>
        <w:tblLayout w:type="fixed"/>
        <w:tblCellMar>
          <w:top w:w="28" w:type="dxa"/>
          <w:left w:w="28" w:type="dxa"/>
          <w:bottom w:w="28" w:type="dxa"/>
          <w:right w:w="28" w:type="dxa"/>
        </w:tblCellMar>
      </w:tblPr>
      <w:tblGrid>
        <w:gridCol w:w="695"/>
        <w:gridCol w:w="608"/>
        <w:gridCol w:w="617"/>
        <w:gridCol w:w="109"/>
        <w:gridCol w:w="109"/>
        <w:gridCol w:w="109"/>
        <w:gridCol w:w="1299"/>
        <w:gridCol w:w="1299"/>
        <w:gridCol w:w="1316"/>
        <w:gridCol w:w="109"/>
        <w:gridCol w:w="109"/>
        <w:gridCol w:w="109"/>
        <w:gridCol w:w="477"/>
        <w:gridCol w:w="477"/>
        <w:gridCol w:w="681"/>
      </w:tblGrid>
      <w:tr>
        <w:trPr/>
        <w:tc>
          <w:tcPr>
            <w:tcW w:w="69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Wenbin Jiang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Wenbin Jiang,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McCombe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William McCombe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Ming 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Ming Yan,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Jack Ball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Jack Ball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Don Hardison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Don Hardison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Deborah Neff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Deborah Neff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Michael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Vera Imper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Vera Imper,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10.18</w:t>
      </w:r>
    </w:p>
    <w:p>
      <w:pPr>
        <w:pStyle w:val="TextBody"/>
        <w:bidi w:val="0"/>
        <w:spacing w:before="0" w:after="0"/>
        <w:jc w:val="left"/>
        <w:rPr/>
      </w:pPr>
      <w:r>
        <w:rPr/>
      </w:r>
    </w:p>
    <w:p>
      <w:pPr>
        <w:pStyle w:val="TextBody"/>
        <w:bidi w:val="0"/>
        <w:spacing w:lineRule="auto" w:line="240" w:before="0" w:after="240"/>
        <w:ind w:left="0" w:right="0" w:firstLine="808"/>
        <w:jc w:val="center"/>
        <w:rPr>
          <w:rFonts w:ascii="Times New Roman;sans-serif" w:hAnsi="Times New Roman;sans-serif"/>
          <w:b/>
          <w:color w:val="000000"/>
          <w:sz w:val="24"/>
          <w:u w:val="single"/>
        </w:rPr>
      </w:pPr>
      <w:r>
        <w:rPr>
          <w:rFonts w:ascii="Times New Roman;sans-serif" w:hAnsi="Times New Roman;sans-serif"/>
          <w:b/>
          <w:color w:val="000000"/>
          <w:sz w:val="24"/>
          <w:u w:val="single"/>
        </w:rPr>
        <w:t>FIRST AMENDMENT TO LEASE</w:t>
      </w:r>
    </w:p>
    <w:p>
      <w:pPr>
        <w:pStyle w:val="TextBody"/>
        <w:bidi w:val="0"/>
        <w:spacing w:lineRule="auto" w:line="240" w:before="0" w:after="240"/>
        <w:ind w:left="0" w:right="0" w:firstLine="820"/>
        <w:jc w:val="both"/>
        <w:rPr/>
      </w:pPr>
      <w:r>
        <w:rPr>
          <w:rFonts w:ascii="Times New Roman;sans-serif" w:hAnsi="Times New Roman;sans-serif"/>
          <w:b w:val="false"/>
          <w:color w:val="000000"/>
          <w:sz w:val="24"/>
        </w:rPr>
        <w:t>This FIRST AMENDMENT TO LEASE (“</w:t>
      </w:r>
      <w:r>
        <w:rPr>
          <w:rFonts w:ascii="Times New Roman;sans-serif" w:hAnsi="Times New Roman;sans-serif"/>
          <w:b/>
          <w:color w:val="000000"/>
          <w:sz w:val="24"/>
        </w:rPr>
        <w:t>First Amendment</w:t>
      </w:r>
      <w:r>
        <w:rPr>
          <w:color w:val="000000"/>
        </w:rPr>
        <w:t>”</w:t>
      </w:r>
      <w:r>
        <w:rPr>
          <w:rFonts w:ascii="Times New Roman;sans-serif" w:hAnsi="Times New Roman;sans-serif"/>
          <w:b w:val="false"/>
          <w:color w:val="000000"/>
          <w:sz w:val="24"/>
        </w:rPr>
        <w:t>) is made and entered into as of October 28, 2024, by and between DHC ZB PROPERTIES LLC, a Maryland limited liability company (“</w:t>
      </w:r>
      <w:r>
        <w:rPr>
          <w:rFonts w:ascii="Times New Roman;sans-serif" w:hAnsi="Times New Roman;sans-serif"/>
          <w:b/>
          <w:color w:val="000000"/>
          <w:sz w:val="24"/>
        </w:rPr>
        <w:t>Landlord</w:t>
      </w:r>
      <w:r>
        <w:rPr>
          <w:color w:val="000000"/>
        </w:rPr>
        <w:t>”</w:t>
      </w:r>
      <w:r>
        <w:rPr>
          <w:rFonts w:ascii="Times New Roman;sans-serif" w:hAnsi="Times New Roman;sans-serif"/>
          <w:b w:val="false"/>
          <w:color w:val="000000"/>
          <w:sz w:val="24"/>
        </w:rPr>
        <w:t>), and CYTEK BIOSCIENCES, INC., a Delaware corporation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 E C I T A L S :</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SNH Medical Office Properties Trust (predecessor-in-interest to Landlord) (the “</w:t>
      </w:r>
      <w:r>
        <w:rPr>
          <w:rFonts w:ascii="Times New Roman;sans-serif" w:hAnsi="Times New Roman;sans-serif"/>
          <w:b/>
          <w:color w:val="000000"/>
          <w:sz w:val="24"/>
        </w:rPr>
        <w:t>Original Landlord</w:t>
      </w:r>
      <w:r>
        <w:rPr>
          <w:color w:val="000000"/>
        </w:rPr>
        <w:t>”</w:t>
      </w:r>
      <w:r>
        <w:rPr>
          <w:rFonts w:ascii="Times New Roman;sans-serif" w:hAnsi="Times New Roman;sans-serif"/>
          <w:b w:val="false"/>
          <w:color w:val="000000"/>
          <w:sz w:val="24"/>
        </w:rPr>
        <w:t>) and Tenant entered into that certain Lease dated November 20, 2020 (the “</w:t>
      </w:r>
      <w:r>
        <w:rPr>
          <w:rFonts w:ascii="Times New Roman;sans-serif" w:hAnsi="Times New Roman;sans-serif"/>
          <w:b/>
          <w:color w:val="000000"/>
          <w:sz w:val="24"/>
        </w:rPr>
        <w:t>Lease</w:t>
      </w:r>
      <w:r>
        <w:rPr>
          <w:color w:val="000000"/>
        </w:rPr>
        <w:t>”</w:t>
      </w:r>
      <w:r>
        <w:rPr>
          <w:rFonts w:ascii="Times New Roman;sans-serif" w:hAnsi="Times New Roman;sans-serif"/>
          <w:b w:val="false"/>
          <w:color w:val="000000"/>
          <w:sz w:val="24"/>
        </w:rPr>
        <w:t>), whereby Landlord leases to Tenant and Tenant leases from Landlord that certain building containing approximately 99,378 square feet of space located at 47211/47215 Lakeview Boulevard, Fremont, California 94538 (the “</w:t>
      </w:r>
      <w:r>
        <w:rPr>
          <w:rFonts w:ascii="Times New Roman;sans-serif" w:hAnsi="Times New Roman;sans-serif"/>
          <w:b/>
          <w:color w:val="000000"/>
          <w:sz w:val="24"/>
        </w:rPr>
        <w:t>Premises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Effective as of December 21, 2023, Original Landlord assigned all of its right, title and interest in and to the Lease to Landlord, and Landlord assumed all such right, title and interest in and to the Lease from Original Landlord.</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rPr>
        <w:t>Tenant desires to utilize certain portions of the Parking Facility for the placement of (i) one (1) twenty-foot (20’) standard shipping container, and (ii) one (1) forty-foot (40’) standard shipping container (collectively, the “</w:t>
      </w:r>
      <w:r>
        <w:rPr>
          <w:rFonts w:ascii="Times New Roman;sans-serif" w:hAnsi="Times New Roman;sans-serif"/>
          <w:b/>
          <w:color w:val="000000"/>
          <w:sz w:val="24"/>
        </w:rPr>
        <w:t>Storage Containers</w:t>
      </w:r>
      <w:r>
        <w:rPr>
          <w:color w:val="000000"/>
        </w:rPr>
        <w:t>”</w:t>
      </w:r>
      <w:r>
        <w:rPr>
          <w:rFonts w:ascii="Times New Roman;sans-serif" w:hAnsi="Times New Roman;sans-serif"/>
          <w:b w:val="false"/>
          <w:color w:val="000000"/>
          <w:sz w:val="24"/>
        </w:rPr>
        <w:t>). The portions of the Parking Facility where such Storage Containers may be placed are, collectively, the “</w:t>
      </w:r>
      <w:r>
        <w:rPr>
          <w:rFonts w:ascii="Times New Roman;sans-serif" w:hAnsi="Times New Roman;sans-serif"/>
          <w:b/>
          <w:color w:val="000000"/>
          <w:sz w:val="24"/>
        </w:rPr>
        <w:t>Storage Container Areas</w:t>
      </w:r>
      <w:r>
        <w:rPr>
          <w:color w:val="000000"/>
        </w:rPr>
        <w:t>”</w:t>
      </w:r>
      <w:r>
        <w:rPr>
          <w:rFonts w:ascii="Times New Roman;sans-serif" w:hAnsi="Times New Roman;sans-serif"/>
          <w:b w:val="false"/>
          <w:color w:val="000000"/>
          <w:sz w:val="24"/>
        </w:rPr>
        <w:t xml:space="preserve">, as shown more particularly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rPr>
        <w:t>Landlord is willing to grant Tenant the right to utilize the Storage Container Areas for the purposes set forth herein, subject to and conditioned upon the following terms and conditions, and in connection therewith, Landlord and Tenant desire to amend the Lease as hereinafter provided.</w:t>
      </w:r>
    </w:p>
    <w:p>
      <w:pPr>
        <w:pStyle w:val="TextBody"/>
        <w:bidi w:val="0"/>
        <w:spacing w:lineRule="auto" w:line="240" w:before="0" w:after="240"/>
        <w:ind w:left="0" w:right="0" w:firstLine="808"/>
        <w:jc w:val="center"/>
        <w:rPr>
          <w:rFonts w:ascii="Times New Roman;sans-serif" w:hAnsi="Times New Roman;sans-serif"/>
          <w:b w:val="false"/>
          <w:color w:val="000000"/>
          <w:sz w:val="24"/>
        </w:rPr>
      </w:pPr>
      <w:r>
        <w:rPr>
          <w:rFonts w:ascii="Times New Roman;sans-serif" w:hAnsi="Times New Roman;sans-serif"/>
          <w:b w:val="false"/>
          <w:color w:val="000000"/>
          <w:sz w:val="24"/>
        </w:rPr>
        <w:t>A G R E E M E N T :</w:t>
      </w:r>
    </w:p>
    <w:p>
      <w:pPr>
        <w:pStyle w:val="TextBody"/>
        <w:bidi w:val="0"/>
        <w:spacing w:lineRule="auto" w:line="240" w:before="0" w:after="240"/>
        <w:ind w:left="0" w:right="0" w:firstLine="81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w:t>
      </w:r>
      <w:r>
        <w:rPr>
          <w:rFonts w:ascii="Times New Roman;sans-serif" w:hAnsi="Times New Roman;sans-serif"/>
          <w:b/>
          <w:color w:val="000000"/>
          <w:sz w:val="24"/>
          <w:u w:val="single"/>
        </w:rPr>
        <w:t>Terms</w:t>
      </w:r>
      <w:r>
        <w:rPr>
          <w:rFonts w:ascii="Times New Roman;sans-serif" w:hAnsi="Times New Roman;sans-serif"/>
          <w:b w:val="false"/>
          <w:color w:val="000000"/>
          <w:sz w:val="24"/>
        </w:rPr>
        <w:t>. All capitalized terms when used herein shall have the same respective meanings as are given such terms in the Lease unless expressly provided otherwise in this First Amendment.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2.</w:t>
      </w:r>
      <w:r>
        <w:rPr>
          <w:rFonts w:ascii="Times New Roman;sans-serif" w:hAnsi="Times New Roman;sans-serif"/>
          <w:b/>
          <w:color w:val="000000"/>
          <w:sz w:val="24"/>
          <w:u w:val="single"/>
        </w:rPr>
        <w:t>Lease of Storage Area</w:t>
      </w:r>
      <w:r>
        <w:rPr>
          <w:rFonts w:ascii="Times New Roman;sans-serif" w:hAnsi="Times New Roman;sans-serif"/>
          <w:b w:val="false"/>
          <w:color w:val="000000"/>
          <w:sz w:val="24"/>
        </w:rPr>
        <w:t>. In addition to the above-referenced Premises, Landlord hereby leases to Tenant and Tenant hereby leases and rents from Landlord the Storage Container Areas. Except as otherwise provided herein, all provisions of the Lease shall be applicable to the Storage Container Areas, it being understood, however, that Landlord shall not be obligated to provide or pay for any improvement work to (or services related to the improvement of) the Storage Container Areas, and Tenant shall accept the Storage Container Areas in their presently existing, “as-is”, “where-is” condition. Landlord makes no representations and/or warranties whatsoever as to the suitability or condition of the Storage Container Areas for Tenant’s intended use thereof, and Tenant has inspected and hereby accepts the Storage Container Areas in their present condition as suitable for the purposes of this First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240"/>
        <w:ind w:left="0" w:right="0" w:firstLine="819"/>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included in this First Amendment with respect to the Storage Container Areas in compliance with the requirements set forth in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3.</w:t>
      </w:r>
      <w:r>
        <w:rPr>
          <w:rFonts w:ascii="Times New Roman;sans-serif" w:hAnsi="Times New Roman;sans-serif"/>
          <w:b/>
          <w:color w:val="000000"/>
          <w:sz w:val="24"/>
          <w:u w:val="single"/>
        </w:rPr>
        <w:t>Term; Surrender</w:t>
      </w:r>
      <w:r>
        <w:rPr>
          <w:rFonts w:ascii="Times New Roman;sans-serif" w:hAnsi="Times New Roman;sans-serif"/>
          <w:b w:val="false"/>
          <w:color w:val="000000"/>
          <w:sz w:val="24"/>
        </w:rPr>
        <w:t>. The term of Tenant’s lease of the Storage Container Areas shall be coterminous with the term of the Premises. Upon the expiration or earlier termination of the Lease, Tenant shall, at Tenant’s sole cost and expense, remove the Storage Containers from the Property and shall repair any damage to the Parking Facility and Property caused by such removal and return the Storage Container Area to the condition immediately preceding the placement of the Storage Containers (reasonable wear and tear excepted). If Tenant fails to complete such removal and/or restoration, then Landlord shall have the right (but not the obligation) to do so and charge the cost thereof to Tenant.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4.</w:t>
      </w:r>
      <w:r>
        <w:rPr>
          <w:rFonts w:ascii="Times New Roman;sans-serif" w:hAnsi="Times New Roman;sans-serif"/>
          <w:b/>
          <w:color w:val="000000"/>
          <w:sz w:val="24"/>
          <w:u w:val="single"/>
        </w:rPr>
        <w:t>Use of Storage Container Areas and Storage Containers</w:t>
      </w:r>
      <w:r>
        <w:rPr>
          <w:rFonts w:ascii="Times New Roman;sans-serif" w:hAnsi="Times New Roman;sans-serif"/>
          <w:b w:val="false"/>
          <w:color w:val="000000"/>
          <w:sz w:val="24"/>
        </w:rPr>
        <w:t>. Tenant hereby acknowledges and agrees that notwithstanding any contrary provisions in the Lease, Tenant shall use (i) the Storage Container Areas solely for the placement of the Storage Containers, and (ii) the Storage Containers solely for the purpose of storing shipping and storage materials used in connection with the Permitted Uses under the Lease, and for no other purpose whatsoever, without Landlord’s consent, in Landlord’s sole and absolute discretion. In no event shall the Storage Container be used by Tenant (or any party under Tenant) for the purpose of storing foods, liquids, or any Hazardous Materials, or for any use that results in an increased rate of insurance on the Property, the Building and/or the Premises, or for any use in violation of applicable laws. Tenant’s use of the Storage Container Areas and the Storage Container is subject to Tenant’s receipt (at Tenant’s sole cost and expense) of all applicable governmental approvals, consents, permits and/or licenses necessary for the placement of the Storage Containers in the Storage Container Areas and for the intended use of the Storage Containers as set forth above. Tenant shall keep the Storage Containers locked at all times, and Landlord shall not be obligated to provide any security or monitoring services of any kind with respect to the Storage Containers.</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5.</w:t>
      </w:r>
      <w:r>
        <w:rPr>
          <w:rFonts w:ascii="Times New Roman;sans-serif" w:hAnsi="Times New Roman;sans-serif"/>
          <w:b/>
          <w:color w:val="000000"/>
          <w:sz w:val="24"/>
          <w:u w:val="single"/>
        </w:rPr>
        <w:t>Alterations to the Storage Container Areas</w:t>
      </w:r>
      <w:r>
        <w:rPr>
          <w:rFonts w:ascii="Times New Roman;sans-serif" w:hAnsi="Times New Roman;sans-serif"/>
          <w:b w:val="false"/>
          <w:color w:val="000000"/>
          <w:sz w:val="24"/>
        </w:rPr>
        <w:t>. Tenant shall have no right to make any installations, alterations or additions in, to or on the Storage Container Areas without Landlord’s prior written consent in its sole and absolute discretion.</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6.</w:t>
      </w:r>
      <w:r>
        <w:rPr>
          <w:rFonts w:ascii="Times New Roman;sans-serif" w:hAnsi="Times New Roman;sans-serif"/>
          <w:b/>
          <w:color w:val="000000"/>
          <w:sz w:val="24"/>
          <w:u w:val="single"/>
        </w:rPr>
        <w:t>Rent</w:t>
      </w:r>
      <w:r>
        <w:rPr>
          <w:rFonts w:ascii="Times New Roman;sans-serif" w:hAnsi="Times New Roman;sans-serif"/>
          <w:b w:val="false"/>
          <w:color w:val="000000"/>
          <w:sz w:val="24"/>
        </w:rPr>
        <w:t>. Tenant shall not be obligated to pay any separate amount of Annual Fixed Rent, or Tenant’s Percentage of Taxes or Operating Costs, with respect to the Storage Container Areas, but Tenant shall be obligated to pay any other amounts of Additional Rent that may otherwise be due in connection with the Storage Container Areas and/or Tenant’s use thereof.</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7.</w:t>
      </w:r>
      <w:r>
        <w:rPr>
          <w:rFonts w:ascii="Times New Roman;sans-serif" w:hAnsi="Times New Roman;sans-serif"/>
          <w:b/>
          <w:color w:val="000000"/>
          <w:sz w:val="24"/>
          <w:u w:val="single"/>
        </w:rPr>
        <w:t>Parking Rights</w:t>
      </w:r>
      <w:r>
        <w:rPr>
          <w:rFonts w:ascii="Times New Roman;sans-serif" w:hAnsi="Times New Roman;sans-serif"/>
          <w:b w:val="false"/>
          <w:color w:val="000000"/>
          <w:sz w:val="24"/>
        </w:rPr>
        <w:t xml:space="preserve">. Tenant acknowledges that the Storage Container Areas will occupy a total of five (5) currently existing parking spaces in the Parking Facility. Accordingly, </w:t>
      </w:r>
      <w:r>
        <w:rPr>
          <w:rFonts w:ascii="Times New Roman;sans-serif" w:hAnsi="Times New Roman;sans-serif"/>
          <w:b w:val="false"/>
          <w:color w:val="000000"/>
          <w:sz w:val="24"/>
          <w:u w:val="single"/>
        </w:rPr>
        <w:t>Section 2.4(a)</w:t>
      </w:r>
      <w:r>
        <w:rPr>
          <w:color w:val="000000"/>
        </w:rPr>
        <w:t xml:space="preserve"> </w:t>
      </w:r>
      <w:r>
        <w:rPr>
          <w:rFonts w:ascii="Times New Roman;sans-serif" w:hAnsi="Times New Roman;sans-serif"/>
          <w:b w:val="false"/>
          <w:color w:val="000000"/>
          <w:sz w:val="24"/>
        </w:rPr>
        <w:t>of the Lease is restated in its entirety as follows: “Tenant shall be entitled to use, in common with Landlord and other occupants of the Property, up to 3.37 parking spaces per 1,000 rentable square feet of the Premises rounded down to the nearest whole number (i.e., 355 parking spaces). All parking spaces shall be on an unreserved unassigned basis, until further notice.”</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8.</w:t>
      </w:r>
      <w:r>
        <w:rPr>
          <w:rFonts w:ascii="Times New Roman;sans-serif" w:hAnsi="Times New Roman;sans-serif"/>
          <w:b/>
          <w:color w:val="000000"/>
          <w:sz w:val="24"/>
          <w:u w:val="single"/>
        </w:rPr>
        <w:t>Relocation of Storage Container Areas</w:t>
      </w:r>
      <w:r>
        <w:rPr>
          <w:rFonts w:ascii="Times New Roman;sans-serif" w:hAnsi="Times New Roman;sans-serif"/>
          <w:b w:val="false"/>
          <w:color w:val="000000"/>
          <w:sz w:val="24"/>
        </w:rPr>
        <w:t>. In the event that, at any time during the term of the Lease, Landlord desires to perform (or is required by applicable laws or the terms of the Lease to perform) any maintenance, repairs, improvements or other alterations to the Storage Container Areas or the areas immediately adjacent thereto (which may include, at Landlord’s sole election, maintenance or repairs to the surface of the Parking Facility, such as, without limitation, slurry coating) then Landlord shall have the right, in Landlord’s sole discretion, to cause Tenant to relocate the Storage Container to another area(s) of the Parking Facility mutually and reasonably agreed upon by Landlord and Tenant (which other area(s) shall then be deemed to be Storage Container Areas) upon at least thirty (30) days’ prior written notice to Tenant.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9.</w:t>
      </w:r>
      <w:r>
        <w:rPr>
          <w:rFonts w:ascii="Times New Roman;sans-serif" w:hAnsi="Times New Roman;sans-serif"/>
          <w:b/>
          <w:color w:val="000000"/>
          <w:sz w:val="24"/>
          <w:u w:val="single"/>
        </w:rPr>
        <w:t>Maintenance and Repair</w:t>
      </w:r>
      <w:r>
        <w:rPr>
          <w:rFonts w:ascii="Times New Roman;sans-serif" w:hAnsi="Times New Roman;sans-serif"/>
          <w:b w:val="false"/>
          <w:color w:val="000000"/>
          <w:sz w:val="24"/>
        </w:rPr>
        <w:t>. Tenant shall maintain the Storage Container Areas to the same condition and standards as the Premises. In the event of any damage to the Storage Container Areas in connection with Tenant’s use of the Storage Container Areas (or use of the Storage Containers), Tenant shall be solely responsible to promptly repair such damage at Tenant’s sole cost and expense, and in the event Tenant fails to do so, Landlord shall have the right (but not the obligation) to perform such repair and charge the actual, reasonable, out-of-pocket cost thereof to Tenant.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10.</w:t>
      </w:r>
      <w:r>
        <w:rPr>
          <w:rFonts w:ascii="Times New Roman;sans-serif" w:hAnsi="Times New Roman;sans-serif"/>
          <w:b/>
          <w:color w:val="000000"/>
          <w:sz w:val="24"/>
          <w:u w:val="single"/>
        </w:rPr>
        <w:t>No Right to Assign or Sublease</w:t>
      </w:r>
      <w:r>
        <w:rPr>
          <w:rFonts w:ascii="Times New Roman;sans-serif" w:hAnsi="Times New Roman;sans-serif"/>
          <w:b w:val="false"/>
          <w:color w:val="000000"/>
          <w:sz w:val="24"/>
        </w:rPr>
        <w:t>. In no event shall Tenant have the right to sublease all or any portion of the Storage Container Areas (or the use of the Storage Containers) or assign all or any portion of its rights under the Lease (as hereby amended) with respect to the Storage Container Areas without Landlord’s prior written consent (which consent may be condition or withheld in Landlord’s sole and absolute discretion) other than in connection with a sublease or assignment to an Affiliate under the terms of the third (3</w:t>
      </w:r>
      <w:r>
        <w:rPr>
          <w:rFonts w:ascii="Times New Roman;sans-serif" w:hAnsi="Times New Roman;sans-serif"/>
          <w:b w:val="false"/>
          <w:color w:val="000000"/>
          <w:sz w:val="13"/>
        </w:rPr>
        <w:t>rd</w:t>
      </w:r>
      <w:r>
        <w:rPr>
          <w:rFonts w:ascii="Times New Roman;sans-serif" w:hAnsi="Times New Roman;sans-serif"/>
          <w:b w:val="false"/>
          <w:color w:val="000000"/>
          <w:sz w:val="24"/>
        </w:rPr>
        <w:t xml:space="preserve">) paragraph of </w:t>
      </w:r>
      <w:r>
        <w:rPr>
          <w:rFonts w:ascii="Times New Roman;sans-serif" w:hAnsi="Times New Roman;sans-serif"/>
          <w:b w:val="false"/>
          <w:color w:val="000000"/>
          <w:sz w:val="24"/>
          <w:u w:val="single"/>
        </w:rPr>
        <w:t>Section 6.2.1</w:t>
      </w:r>
      <w:r>
        <w:rPr>
          <w:color w:val="000000"/>
        </w:rPr>
        <w:t xml:space="preserve"> </w:t>
      </w:r>
      <w:r>
        <w:rPr>
          <w:rFonts w:ascii="Times New Roman;sans-serif" w:hAnsi="Times New Roman;sans-serif"/>
          <w:b w:val="false"/>
          <w:color w:val="000000"/>
          <w:sz w:val="24"/>
        </w:rPr>
        <w:t>of the Lease.</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11.</w:t>
      </w:r>
      <w:r>
        <w:rPr>
          <w:rFonts w:ascii="Times New Roman;sans-serif" w:hAnsi="Times New Roman;sans-serif"/>
          <w:b/>
          <w:color w:val="000000"/>
          <w:sz w:val="24"/>
          <w:u w:val="single"/>
        </w:rPr>
        <w:t>Insurance; Indemnity</w:t>
      </w:r>
      <w:r>
        <w:rPr>
          <w:rFonts w:ascii="Times New Roman;sans-serif" w:hAnsi="Times New Roman;sans-serif"/>
          <w:b w:val="false"/>
          <w:color w:val="000000"/>
          <w:sz w:val="24"/>
        </w:rPr>
        <w:t>. Tenant hereby acknowledges and agrees that the provisions of the Lease pertaining to Tenant’s insurance and indemnity obligations shall apply with full force and effect to the Storage Container Areas and the Storage Containers.</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12.</w:t>
      </w:r>
      <w:r>
        <w:rPr>
          <w:rFonts w:ascii="Times New Roman;sans-serif" w:hAnsi="Times New Roman;sans-serif"/>
          <w:b/>
          <w:color w:val="000000"/>
          <w:sz w:val="24"/>
          <w:u w:val="single"/>
        </w:rPr>
        <w:t>Reimbursement of Fees</w:t>
      </w:r>
      <w:r>
        <w:rPr>
          <w:rFonts w:ascii="Times New Roman;sans-serif" w:hAnsi="Times New Roman;sans-serif"/>
          <w:b w:val="false"/>
          <w:color w:val="000000"/>
          <w:sz w:val="24"/>
        </w:rPr>
        <w:t>. Tenant hereby agrees to pay Landlord all out-of-pocket legal fees incurred by Landlord in connection with the preparation of this First Amendment, which fees shall be paid to Landlord concurrently with Tenant’s execution of this First Amendment.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13.</w:t>
      </w:r>
      <w:r>
        <w:rPr>
          <w:rFonts w:ascii="Times New Roman;sans-serif" w:hAnsi="Times New Roman;sans-serif"/>
          <w:b/>
          <w:color w:val="000000"/>
          <w:sz w:val="24"/>
          <w:u w:val="single"/>
        </w:rPr>
        <w:t>No Brokers</w:t>
      </w:r>
      <w:r>
        <w:rPr>
          <w:rFonts w:ascii="Times New Roman;sans-serif" w:hAnsi="Times New Roman;sans-serif"/>
          <w:b w:val="false"/>
          <w:color w:val="000000"/>
          <w:sz w:val="24"/>
        </w:rPr>
        <w:t>. Tenant warrants and represents that it has not dealt with any broker in connection with the consummation of this First Amendment, and in the event of any brokerage claims or liens against Landlord or the Premises or Property predicated upon or arising out of prior dealings with Tenant, Tenant agrees to defend the same and indemnify and hold Landlord harmless against any such claim, and to discharge any such lien.</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14.</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First Amendment may be executed in multiple counterparts, each of which is to be deemed original for all purposes, but all of which together shall constitute one and the same instrument. Delivery by facsimile, or e-mail of a PDF copy, or by using electronic signature technology (e.g., via DocuSign or similar electronic signature technology), of a counterpart of this First Amendment executed by Landlord or Tenant shall constitute delivery by such party of such party’s executed counterpart of this First Amendment.</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15.</w:t>
      </w:r>
      <w:r>
        <w:rPr>
          <w:rFonts w:ascii="Times New Roman;sans-serif" w:hAnsi="Times New Roman;sans-serif"/>
          <w:b/>
          <w:color w:val="000000"/>
          <w:sz w:val="24"/>
          <w:u w:val="single"/>
        </w:rPr>
        <w:t>Effectiveness of Agreement</w:t>
      </w:r>
      <w:r>
        <w:rPr>
          <w:rFonts w:ascii="Times New Roman;sans-serif" w:hAnsi="Times New Roman;sans-serif"/>
          <w:b w:val="false"/>
          <w:color w:val="000000"/>
          <w:sz w:val="24"/>
        </w:rPr>
        <w:t>. In no event shall any draft of this First Amendment create any rights, obligations or liabilities, it being intended that only a fully executed and delivered copy of this First Amendment will bind the parties hereto.</w:t>
      </w:r>
    </w:p>
    <w:p>
      <w:pPr>
        <w:pStyle w:val="TextBody"/>
        <w:bidi w:val="0"/>
        <w:spacing w:lineRule="auto" w:line="240" w:before="0" w:after="240"/>
        <w:ind w:left="0" w:right="0" w:firstLine="810"/>
        <w:jc w:val="both"/>
        <w:rPr/>
      </w:pPr>
      <w:r>
        <w:rPr>
          <w:rFonts w:ascii="Times New Roman;sans-serif" w:hAnsi="Times New Roman;sans-serif"/>
          <w:b w:val="false"/>
          <w:color w:val="000000"/>
          <w:sz w:val="22"/>
        </w:rPr>
        <w:t>16.</w:t>
      </w:r>
      <w:r>
        <w:rPr>
          <w:rFonts w:ascii="Times New Roman;sans-serif" w:hAnsi="Times New Roman;sans-serif"/>
          <w:b/>
          <w:color w:val="000000"/>
          <w:sz w:val="24"/>
          <w:u w:val="single"/>
        </w:rPr>
        <w:t>No Further Modification</w:t>
      </w:r>
      <w:r>
        <w:rPr>
          <w:rFonts w:ascii="Times New Roman;sans-serif" w:hAnsi="Times New Roman;sans-serif"/>
          <w:b w:val="false"/>
          <w:color w:val="000000"/>
          <w:sz w:val="24"/>
        </w:rPr>
        <w:t xml:space="preserve">. Except as set forth in this First Amendment, all of the terms and provisions of the Lease shall remain unmodified and in full force and effect.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event of a conflict between the terms of the Lease and the terms of this First Amendment, the terms of this First Amendment shall control. The provisions of the Lease, as amended and supplemented by this First Amendment, are hereby ratified and confirmed by Tenant and Landlord in all respects.</w:t>
      </w:r>
    </w:p>
    <w:p>
      <w:pPr>
        <w:pStyle w:val="TextBody"/>
        <w:bidi w:val="0"/>
        <w:spacing w:before="0" w:after="240"/>
        <w:jc w:val="left"/>
        <w:rPr/>
      </w:pPr>
      <w:r>
        <w:rPr/>
      </w:r>
    </w:p>
    <w:p>
      <w:pPr>
        <w:pStyle w:val="TextBody"/>
        <w:bidi w:val="0"/>
        <w:spacing w:lineRule="auto" w:line="240" w:before="0" w:after="240"/>
        <w:ind w:left="0" w:right="0" w:firstLine="809"/>
        <w:jc w:val="center"/>
        <w:rPr/>
      </w:pPr>
      <w:r>
        <w:rPr>
          <w:rFonts w:ascii="Times New Roman;sans-serif" w:hAnsi="Times New Roman;sans-serif"/>
          <w:b w:val="false"/>
          <w:color w:val="000000"/>
          <w:sz w:val="24"/>
        </w:rPr>
        <w:t>[</w:t>
      </w:r>
      <w:r>
        <w:rPr>
          <w:rFonts w:ascii="Times New Roman;sans-serif" w:hAnsi="Times New Roman;sans-serif"/>
          <w:b/>
          <w:i/>
          <w:color w:val="000000"/>
          <w:sz w:val="24"/>
        </w:rPr>
        <w:t>continued on the following page</w:t>
      </w:r>
      <w:r>
        <w:rPr>
          <w:rFonts w:ascii="Times New Roman;sans-serif" w:hAnsi="Times New Roman;sans-serif"/>
          <w:b w:val="false"/>
          <w:color w:val="000000"/>
          <w:sz w:val="24"/>
        </w:rPr>
        <w:t>]</w:t>
      </w:r>
    </w:p>
    <w:p>
      <w:pPr>
        <w:pStyle w:val="TextBody"/>
        <w:bidi w:val="0"/>
        <w:spacing w:before="0" w:after="240"/>
        <w:jc w:val="left"/>
        <w:rPr/>
      </w:pPr>
      <w:r>
        <w:rPr/>
      </w:r>
    </w:p>
    <w:p>
      <w:pPr>
        <w:pStyle w:val="TextBody"/>
        <w:bidi w:val="0"/>
        <w:spacing w:before="0" w:after="240"/>
        <w:ind w:left="0" w:right="0" w:firstLine="81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240"/>
        <w:ind w:left="0" w:right="0" w:firstLine="819"/>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this First Amendment has been executed as of the day and year first above written.</w:t>
      </w:r>
    </w:p>
    <w:p>
      <w:pPr>
        <w:pStyle w:val="TextBody"/>
        <w:bidi w:val="0"/>
        <w:spacing w:lineRule="auto" w:line="240" w:before="0" w:after="0"/>
        <w:ind w:left="0" w:right="0" w:firstLine="208"/>
        <w:jc w:val="left"/>
        <w:rPr/>
      </w:pPr>
      <w:r>
        <w:rPr>
          <w:color w:val="000000"/>
        </w:rPr>
        <w:t>“</w:t>
      </w:r>
      <w:r>
        <w:rPr>
          <w:rFonts w:ascii="Times New Roman;sans-serif" w:hAnsi="Times New Roman;sans-serif"/>
          <w:b/>
          <w:color w:val="000000"/>
          <w:sz w:val="24"/>
        </w:rPr>
        <w:t xml:space="preserve">LANDLORD” </w:t>
      </w:r>
      <w:r>
        <w:rPr>
          <w:rFonts w:ascii="Times New Roman;sans-serif" w:hAnsi="Times New Roman;sans-serif"/>
          <w:b w:val="false"/>
          <w:color w:val="000000"/>
          <w:sz w:val="24"/>
        </w:rPr>
        <w:t>DHC ZB PROPERTIES LLC,</w:t>
      </w:r>
    </w:p>
    <w:p>
      <w:pPr>
        <w:pStyle w:val="TextBody"/>
        <w:bidi w:val="0"/>
        <w:spacing w:lineRule="auto" w:line="240" w:before="0" w:after="0"/>
        <w:ind w:left="0" w:right="0" w:firstLine="3449"/>
        <w:jc w:val="left"/>
        <w:rPr>
          <w:rFonts w:ascii="Times New Roman;sans-serif" w:hAnsi="Times New Roman;sans-serif"/>
          <w:b w:val="false"/>
          <w:color w:val="000000"/>
          <w:sz w:val="24"/>
        </w:rPr>
      </w:pPr>
      <w:r>
        <w:rPr>
          <w:rFonts w:ascii="Times New Roman;sans-serif" w:hAnsi="Times New Roman;sans-serif"/>
          <w:b w:val="false"/>
          <w:color w:val="000000"/>
          <w:sz w:val="24"/>
        </w:rPr>
        <w:t>a Maryland limited liability company</w:t>
      </w:r>
    </w:p>
    <w:p>
      <w:pPr>
        <w:pStyle w:val="TextBody"/>
        <w:bidi w:val="0"/>
        <w:spacing w:before="0" w:after="0"/>
        <w:ind w:left="0" w:right="0" w:firstLine="3449"/>
        <w:jc w:val="left"/>
        <w:rPr/>
      </w:pPr>
      <w:r>
        <w:rPr/>
      </w:r>
    </w:p>
    <w:p>
      <w:pPr>
        <w:pStyle w:val="TextBody"/>
        <w:bidi w:val="0"/>
        <w:spacing w:lineRule="auto" w:line="240" w:before="0" w:after="0"/>
        <w:ind w:left="0" w:right="0" w:firstLine="341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The RMR Group LLC, </w:t>
      </w:r>
    </w:p>
    <w:p>
      <w:pPr>
        <w:pStyle w:val="TextBody"/>
        <w:bidi w:val="0"/>
        <w:spacing w:lineRule="auto" w:line="240" w:before="0" w:after="0"/>
        <w:ind w:left="0" w:right="0" w:firstLine="3417"/>
        <w:jc w:val="left"/>
        <w:rPr>
          <w:rFonts w:ascii="Times New Roman;sans-serif" w:hAnsi="Times New Roman;sans-serif"/>
          <w:b w:val="false"/>
          <w:color w:val="000000"/>
          <w:sz w:val="24"/>
        </w:rPr>
      </w:pPr>
      <w:r>
        <w:rPr>
          <w:rFonts w:ascii="Times New Roman;sans-serif" w:hAnsi="Times New Roman;sans-serif"/>
          <w:b w:val="false"/>
          <w:color w:val="000000"/>
          <w:sz w:val="24"/>
        </w:rPr>
        <w:t>its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41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Yael Duffy </w:t>
      </w:r>
    </w:p>
    <w:p>
      <w:pPr>
        <w:pStyle w:val="TextBody"/>
        <w:bidi w:val="0"/>
        <w:spacing w:lineRule="auto" w:line="240" w:before="0" w:after="0"/>
        <w:ind w:left="0" w:right="0" w:firstLine="4140"/>
        <w:jc w:val="left"/>
        <w:rPr>
          <w:rFonts w:ascii="Times New Roman;sans-serif" w:hAnsi="Times New Roman;sans-serif"/>
          <w:b w:val="false"/>
          <w:color w:val="000000"/>
          <w:sz w:val="24"/>
        </w:rPr>
      </w:pPr>
      <w:r>
        <w:rPr>
          <w:rFonts w:ascii="Times New Roman;sans-serif" w:hAnsi="Times New Roman;sans-serif"/>
          <w:b w:val="false"/>
          <w:color w:val="000000"/>
          <w:sz w:val="24"/>
        </w:rPr>
        <w:t>Yael Duffy</w:t>
      </w:r>
    </w:p>
    <w:p>
      <w:pPr>
        <w:pStyle w:val="TextBody"/>
        <w:bidi w:val="0"/>
        <w:spacing w:lineRule="auto" w:line="240" w:before="0" w:after="0"/>
        <w:ind w:left="0" w:right="0" w:firstLine="4140"/>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p>
      <w:pPr>
        <w:pStyle w:val="TextBody"/>
        <w:bidi w:val="0"/>
        <w:spacing w:before="0" w:after="0"/>
        <w:ind w:left="0" w:right="0" w:firstLine="4140"/>
        <w:jc w:val="left"/>
        <w:rPr/>
      </w:pPr>
      <w:r>
        <w:rPr/>
      </w:r>
    </w:p>
    <w:p>
      <w:pPr>
        <w:pStyle w:val="TextBody"/>
        <w:bidi w:val="0"/>
        <w:spacing w:before="0" w:after="0"/>
        <w:jc w:val="left"/>
        <w:rPr/>
      </w:pPr>
      <w:r>
        <w:rPr/>
      </w:r>
    </w:p>
    <w:p>
      <w:pPr>
        <w:pStyle w:val="TextBody"/>
        <w:bidi w:val="0"/>
        <w:spacing w:lineRule="auto" w:line="240" w:before="0" w:after="0"/>
        <w:ind w:left="0" w:right="0" w:firstLine="208"/>
        <w:jc w:val="left"/>
        <w:rPr/>
      </w:pPr>
      <w:r>
        <w:rPr>
          <w:color w:val="000000"/>
        </w:rPr>
        <w:t>“</w:t>
      </w:r>
      <w:r>
        <w:rPr>
          <w:rFonts w:ascii="Times New Roman;sans-serif" w:hAnsi="Times New Roman;sans-serif"/>
          <w:b/>
          <w:color w:val="000000"/>
          <w:sz w:val="24"/>
        </w:rPr>
        <w:t xml:space="preserve">TENANT” </w:t>
      </w:r>
      <w:r>
        <w:rPr>
          <w:rFonts w:ascii="Times New Roman;sans-serif" w:hAnsi="Times New Roman;sans-serif"/>
          <w:b w:val="false"/>
          <w:color w:val="000000"/>
          <w:sz w:val="24"/>
        </w:rPr>
        <w:t>CYTEK BIOSCIENCES, INC.,</w:t>
      </w:r>
    </w:p>
    <w:p>
      <w:pPr>
        <w:pStyle w:val="TextBody"/>
        <w:bidi w:val="0"/>
        <w:spacing w:lineRule="auto" w:line="240" w:before="0" w:after="0"/>
        <w:ind w:left="0" w:right="0" w:firstLine="3449"/>
        <w:jc w:val="left"/>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3449"/>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Wenbin Jiang </w:t>
      </w:r>
    </w:p>
    <w:p>
      <w:pPr>
        <w:pStyle w:val="TextBody"/>
        <w:bidi w:val="0"/>
        <w:spacing w:lineRule="auto" w:line="240" w:before="0" w:after="0"/>
        <w:ind w:left="0" w:right="0" w:firstLine="3449"/>
        <w:jc w:val="left"/>
        <w:rPr>
          <w:rFonts w:ascii="Times New Roman;sans-serif" w:hAnsi="Times New Roman;sans-serif"/>
          <w:b w:val="false"/>
          <w:color w:val="000000"/>
          <w:sz w:val="24"/>
        </w:rPr>
      </w:pPr>
      <w:r>
        <w:rPr>
          <w:rFonts w:ascii="Times New Roman;sans-serif" w:hAnsi="Times New Roman;sans-serif"/>
          <w:b w:val="false"/>
          <w:color w:val="000000"/>
          <w:sz w:val="24"/>
        </w:rPr>
        <w:t>Name: Wenbin Jiang</w:t>
      </w:r>
    </w:p>
    <w:p>
      <w:pPr>
        <w:pStyle w:val="TextBody"/>
        <w:bidi w:val="0"/>
        <w:spacing w:lineRule="auto" w:line="240" w:before="0" w:after="0"/>
        <w:ind w:left="0" w:right="0" w:firstLine="3449"/>
        <w:jc w:val="left"/>
        <w:rPr>
          <w:rFonts w:ascii="Times New Roman;sans-serif" w:hAnsi="Times New Roman;sans-serif"/>
          <w:b w:val="false"/>
          <w:color w:val="000000"/>
          <w:sz w:val="24"/>
        </w:rPr>
      </w:pPr>
      <w:r>
        <w:rPr>
          <w:rFonts w:ascii="Times New Roman;sans-serif" w:hAnsi="Times New Roman;sans-serif"/>
          <w:b w:val="false"/>
          <w:color w:val="000000"/>
          <w:sz w:val="24"/>
        </w:rPr>
        <w:t>Title: CEO</w:t>
      </w:r>
    </w:p>
    <w:p>
      <w:pPr>
        <w:pStyle w:val="TextBody"/>
        <w:bidi w:val="0"/>
        <w:spacing w:before="0" w:after="24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238375" cy="676275"/>
            <wp:effectExtent l="0" t="0" r="0" b="0"/>
            <wp:docPr id="1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 descr=""/>
                    <pic:cNvPicPr>
                      <a:picLocks noChangeAspect="1" noChangeArrowheads="1"/>
                    </pic:cNvPicPr>
                  </pic:nvPicPr>
                  <pic:blipFill>
                    <a:blip r:embed="rId65"/>
                    <a:stretch>
                      <a:fillRect/>
                    </a:stretch>
                  </pic:blipFill>
                  <pic:spPr bwMode="auto">
                    <a:xfrm>
                      <a:off x="0" y="0"/>
                      <a:ext cx="2238375" cy="676275"/>
                    </a:xfrm>
                    <a:prstGeom prst="rect">
                      <a:avLst/>
                    </a:prstGeom>
                  </pic:spPr>
                </pic:pic>
              </a:graphicData>
            </a:graphic>
          </wp:inline>
        </w:drawing>
      </w:r>
      <w:r>
        <w:rPr>
          <w:color w:val="000000"/>
        </w:rPr>
        <w:t>    </w:t>
      </w: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APPROVED BY THE BOARD OF DIRECTORS ON JUNE 30, 2021; AMENDED BY THE NOMINATING AND CORPORATE GOVERNANCE COMMITTEE ON MAY 24, 2022</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w:t>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Insider Trading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determines acceptable transactions in the securities of Cytek Biosciences, Inc. (together with its subsidiaries, the “</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Cytek</w:t>
      </w:r>
      <w:r>
        <w:rPr>
          <w:color w:val="000000"/>
        </w:rPr>
        <w:t>”</w:t>
      </w:r>
      <w:r>
        <w:rPr>
          <w:rFonts w:ascii="Times New Roman;sans-serif" w:hAnsi="Times New Roman;sans-serif"/>
          <w:b w:val="false"/>
          <w:color w:val="000000"/>
          <w:sz w:val="24"/>
        </w:rPr>
        <w:t>) by our employees, directors and consultants. During the course of your employment, directorship or consultancy with the Company, you may receive material information that is not yet publicly available (“</w:t>
      </w:r>
      <w:r>
        <w:rPr>
          <w:rFonts w:ascii="Times New Roman;sans-serif" w:hAnsi="Times New Roman;sans-serif"/>
          <w:b/>
          <w:i/>
          <w:color w:val="000000"/>
          <w:sz w:val="24"/>
        </w:rPr>
        <w:t>inside information</w:t>
      </w:r>
      <w:r>
        <w:rPr>
          <w:color w:val="000000"/>
        </w:rPr>
        <w:t>”</w:t>
      </w:r>
      <w:r>
        <w:rPr>
          <w:rFonts w:ascii="Times New Roman;sans-serif" w:hAnsi="Times New Roman;sans-serif"/>
          <w:b w:val="false"/>
          <w:color w:val="000000"/>
          <w:sz w:val="24"/>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sans-serif" w:hAnsi="Times New Roman;sans-serif"/>
          <w:b/>
          <w:i/>
          <w:color w:val="000000"/>
          <w:sz w:val="24"/>
        </w:rPr>
        <w:t>tippee</w:t>
      </w:r>
      <w:r>
        <w:rPr>
          <w:color w:val="000000"/>
        </w:rPr>
        <w:t>”</w:t>
      </w:r>
      <w:r>
        <w:rPr>
          <w:rFonts w:ascii="Times New Roman;sans-serif" w:hAnsi="Times New Roman;sans-serif"/>
          <w:b w:val="false"/>
          <w:color w:val="000000"/>
          <w:sz w:val="24"/>
        </w:rPr>
        <w:t>). Cytek opposes the unauthorized disclosure of any inside information acquired in the course of your service with the Company and the misuse of inside information in securities trading. Any such actions will be deemed violations of this Policy.</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Scope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Policy applies to all Cytek employees, directors and consultants (as may be determined by the Company’s Chief Legal Officer), their respective family members and other household members, and all companies controlled by those covered by this Policy (“</w:t>
      </w:r>
      <w:r>
        <w:rPr>
          <w:rFonts w:ascii="Times New Roman;sans-serif" w:hAnsi="Times New Roman;sans-serif"/>
          <w:b/>
          <w:i/>
          <w:color w:val="000000"/>
          <w:sz w:val="24"/>
        </w:rPr>
        <w:t>Covered Persons</w:t>
      </w:r>
      <w:r>
        <w:rPr>
          <w:color w:val="000000"/>
        </w:rPr>
        <w:t>”</w:t>
      </w:r>
      <w:r>
        <w:rPr>
          <w:rFonts w:ascii="Times New Roman;sans-serif" w:hAnsi="Times New Roman;sans-serif"/>
          <w:b w:val="false"/>
          <w:color w:val="000000"/>
          <w:sz w:val="24"/>
        </w:rPr>
        <w:t>). Except for the limited exceptions provided below, this Policy applies to all transactions involving the securities of the Company or the securities of other companies as to which you possess inside information obtained in the course of your service with the Company. This Policy therefore applies to purchases, sales and other transfers of common stock, options, warrants, preferred stock, debt securities (such as debentures, bonds and notes) and other securities, and any arrangements that affect economic exposure to changes in the prices of these securities, such as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Securities Transactions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Use of inside information by someone for personal gain, or to pass on the inside information (“</w:t>
      </w:r>
      <w:r>
        <w:rPr>
          <w:rFonts w:ascii="Times New Roman;sans-serif" w:hAnsi="Times New Roman;sans-serif"/>
          <w:b/>
          <w:i/>
          <w:color w:val="000000"/>
          <w:sz w:val="24"/>
        </w:rPr>
        <w:t>tipping</w:t>
      </w:r>
      <w:r>
        <w:rPr>
          <w:color w:val="000000"/>
        </w:rPr>
        <w:t>”</w:t>
      </w:r>
      <w:r>
        <w:rPr>
          <w:rFonts w:ascii="Times New Roman;sans-serif" w:hAnsi="Times New Roman;sans-serif"/>
          <w:b w:val="false"/>
          <w:color w:val="000000"/>
          <w:sz w:val="24"/>
        </w:rPr>
        <w:t>) to someone who uses it for personal gain (“</w:t>
      </w:r>
      <w:r>
        <w:rPr>
          <w:rFonts w:ascii="Times New Roman;sans-serif" w:hAnsi="Times New Roman;sans-serif"/>
          <w:b/>
          <w:i/>
          <w:color w:val="000000"/>
          <w:sz w:val="24"/>
        </w:rPr>
        <w:t>tippee</w:t>
      </w:r>
      <w:r>
        <w:rPr>
          <w:color w:val="000000"/>
        </w:rPr>
        <w:t>”</w:t>
      </w:r>
      <w:r>
        <w:rPr>
          <w:rFonts w:ascii="Times New Roman;sans-serif" w:hAnsi="Times New Roman;sans-serif"/>
          <w:b w:val="false"/>
          <w:color w:val="000000"/>
          <w:sz w:val="24"/>
        </w:rPr>
        <w:t>), is illegal and is therefore prohibited. You can be held liable both for your own transactions and for transactions effected by a tippee, or even a tippee of a tippee. Furthermore, it is important that the appearance of insider trading in securities be avoided.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Inside Information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w:t>
      </w:r>
      <w:r>
        <w:rPr>
          <w:rFonts w:ascii="Times New Roman;sans-serif" w:hAnsi="Times New Roman;sans-serif"/>
          <w:b/>
          <w:i/>
          <w:color w:val="000000"/>
          <w:sz w:val="24"/>
        </w:rPr>
        <w:t>material</w:t>
      </w:r>
      <w:r>
        <w:rPr>
          <w:rFonts w:ascii="Times New Roman;sans-serif" w:hAnsi="Times New Roman;sans-serif"/>
          <w:b w:val="false"/>
          <w:color w:val="000000"/>
          <w:sz w:val="24"/>
        </w:rPr>
        <w:t>,”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sans-serif" w:hAnsi="Times New Roman;sans-serif"/>
          <w:b/>
          <w:i/>
          <w:color w:val="000000"/>
          <w:sz w:val="24"/>
        </w:rPr>
        <w:t>Trading</w:t>
      </w:r>
      <w:r>
        <w:rPr>
          <w:color w:val="000000"/>
        </w:rPr>
        <w:t xml:space="preserve">” </w:t>
      </w:r>
      <w:r>
        <w:rPr>
          <w:rFonts w:ascii="Times New Roman;sans-serif" w:hAnsi="Times New Roman;sans-serif"/>
          <w:b w:val="false"/>
          <w:color w:val="000000"/>
          <w:sz w:val="24"/>
        </w:rPr>
        <w:t>includes engaging in short sales, transactions in put or call options, hedging transactions and other inherently speculative transactions.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may not participate in “chat rooms” or other electronic discussion groups or contribute to blogs, bulletin boards or social media forums on the Internet concerning the activities of Cytek or other companies with which Cytek does business, even if you do so anonymously, unless doing so is part of your job responsibilities and you have explicit authorization from the Company’s Chief Legal Officer or Chief Financial Officer.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Although by no means an all-inclusive list, information about the following items may be considered to be inside information until it is publicly disseminated:</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financial results, financial condition, earnings pre-announcements, business plans, budgets, guidance, projections or forecasts, particularly if inconsistent with the Company’s guidance;</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material new product introductions, modifications, defects or recalls or significant pricing changes or other product announcements of a significant nature;</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creation of significant financial obligations, or any significant default under or acceleration of any financial obligation;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    scientific, technology, legal or regulatory developments or results;</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    major personnel changes, such as changes in senior management or lay-offs;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(h)    possible tender offers or proxy fights;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restatements of financial results, or significant impairments or writeoffs;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(j)    significant litigation or related settlements;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(k)    impending bankruptcy or financial liquidity problems;</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(l)    gain or loss of significant contracts or relationships with customers, distributors or suppliers;</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(m)    changes in independent auditors, or notification that the Company may no longer rely on an audit report;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    licensing or other corporate partner relationships;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(o)    significant developments in research and development or relating to intellectual property;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(p)    the existence of a special blackout period.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The term “trading day” means a day on which U.S. national stock exchanges are open for trading. A “full” trading day has elapsed when, after the public disclosure, trading in the relevant security has opened and then closed. For example, if an announcement of inside information of which you were aware was made prior to trading on Wednesday, then you may execute a transaction in the Company’s securities on Friday.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Confidentiality of Inside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employees and consultants of the Company are required to sign and comply with a confidentiality agreement in connection with commencement of service to the Company. 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 You must use all reasonable efforts to safeguard nonpublic information in the Company’s possession.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STOCK TRADING BY COVERED PERSONS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require that all Covered Persons limit their transactions in the Company’s stock to defined time periods following public dissemination of quarterly and annual financial results and observe other restrictions designed to minimize the risk of apparent or actual insider trading.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Trading Window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Generally, except as set forth in this Policy, all Covered Persons may buy or sell securities of the Company only during an open “trading window” that opens two full trading days after the public dissemination of the Company’s annual or quarterly financial results and closes on the fifteenth (15th) calendar day of the last month of each fiscal quarter. The trading window may be closed early, may not open or a special blackout period may be implemented (i.e., the trading window closes) if, in the judgment of the Company’s (i) Chief Executive Officer and (ii) Chief Legal Officer or Chief Financial Officer, there exists undisclosed information that would make trades by Covered Persons inappropriate. It is important to note that the fact that the trading window has closed early or has not opened should be considered inside information. Trading during a closed trading window is not allowed regardless of extenuating circumstances.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Exceptions to Trading Window Restrictions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    ESPP/Option Exercises</w:t>
      </w:r>
      <w:r>
        <w:rPr>
          <w:rFonts w:ascii="Times New Roman;sans-serif" w:hAnsi="Times New Roman;sans-serif"/>
          <w:b w:val="false"/>
          <w:color w:val="000000"/>
          <w:sz w:val="24"/>
        </w:rPr>
        <w:t>. Employees who are eligible to do so may purchase stock under the Company’s Employee Stock Purchase Plan (“</w:t>
      </w:r>
      <w:r>
        <w:rPr>
          <w:rFonts w:ascii="Times New Roman;sans-serif" w:hAnsi="Times New Roman;sans-serif"/>
          <w:b/>
          <w:i/>
          <w:color w:val="000000"/>
          <w:sz w:val="24"/>
        </w:rPr>
        <w:t>ESPP</w:t>
      </w:r>
      <w:r>
        <w:rPr>
          <w:color w:val="000000"/>
        </w:rPr>
        <w:t>”</w:t>
      </w:r>
      <w:r>
        <w:rPr>
          <w:rFonts w:ascii="Times New Roman;sans-serif" w:hAnsi="Times New Roman;sans-serif"/>
          <w:b w:val="false"/>
          <w:color w:val="000000"/>
          <w:sz w:val="24"/>
        </w:rPr>
        <w:t>) on periodic designated dates in accordance with the ESPP without restriction to any particular period. Covered Persons may exercise options for cash granted under the Company’s stock option plans without restriction to any particular period. However, the subsequent sale of the stock (including sales of stock in a cashless exercise) acquired upon the exercise of options or pursuant to the ESPP is subject to all provisions of this Policy.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ans-serif" w:hAnsi="Times New Roman;sans-serif"/>
          <w:b/>
          <w:color w:val="000000"/>
          <w:sz w:val="24"/>
        </w:rPr>
        <w:t>2.    10b5-1 Automatic Trading Programs</w:t>
      </w:r>
      <w:r>
        <w:rPr>
          <w:rFonts w:ascii="Times New Roman;sans-serif" w:hAnsi="Times New Roman;sans-serif"/>
          <w:b w:val="false"/>
          <w:color w:val="000000"/>
          <w:sz w:val="24"/>
        </w:rPr>
        <w:t>. In addition, purchases or sales of the Company’s securities made pursuant to, and in compliance with, a written plan established by a director or executive officer or other member of management that meets the requirements of Rule 10b5-1 under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 “</w:t>
      </w:r>
      <w:r>
        <w:rPr>
          <w:rFonts w:ascii="Times New Roman;sans-serif" w:hAnsi="Times New Roman;sans-serif"/>
          <w:b/>
          <w:i/>
          <w:color w:val="000000"/>
          <w:sz w:val="24"/>
        </w:rPr>
        <w:t>Trading Plan</w:t>
      </w:r>
      <w:r>
        <w:rPr>
          <w:color w:val="000000"/>
        </w:rPr>
        <w:t>”</w:t>
      </w:r>
      <w:r>
        <w:rPr>
          <w:rFonts w:ascii="Times New Roman;sans-serif" w:hAnsi="Times New Roman;sans-serif"/>
          <w:b w:val="false"/>
          <w:color w:val="000000"/>
          <w:sz w:val="24"/>
        </w:rPr>
        <w:t>) may be made without restriction to any particular period provided that (i) the Trading Plan was established in good faith, in compliance with the requirements of Rule 10b5-1 and the Company’s internal policy relating to Trading Plans, at the time when such individual was not in possession of inside information about the Company and the Company’s trading window is open, and (ii) the Trading Plan was reviewed and approved by the Company’s Chief Legal Officer prior to establishment, solely to confirm compliance with this Policy and the securities laws. Any amendment or termination of an effective Trading Plan must be approved by the Company’s Chief Legal Officer.</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ans-serif" w:hAnsi="Times New Roman;sans-serif"/>
          <w:b/>
          <w:color w:val="000000"/>
          <w:sz w:val="24"/>
        </w:rPr>
        <w:t>3.    Receipt and vesting of equity awards</w:t>
      </w:r>
      <w:r>
        <w:rPr>
          <w:rFonts w:ascii="Times New Roman;sans-serif" w:hAnsi="Times New Roman;sans-serif"/>
          <w:b w:val="false"/>
          <w:color w:val="000000"/>
          <w:sz w:val="24"/>
        </w:rPr>
        <w:t>. The trading restrictions under this Policy do not apply to the grant or award to you of equity awards. This Policy also does not apply to the vesting, cancellation or forfeiture of equity awards in accordance with applicable plans and agreements. However, the trading restrictions do apply to any subsequent sales of any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ans-serif" w:hAnsi="Times New Roman;sans-serif"/>
          <w:b/>
          <w:color w:val="000000"/>
          <w:sz w:val="24"/>
        </w:rPr>
        <w:t>4.    Change in Form of Ownership</w:t>
      </w:r>
      <w:r>
        <w:rPr>
          <w:rFonts w:ascii="Times New Roman;sans-serif" w:hAnsi="Times New Roman;sans-serif"/>
          <w:b w:val="false"/>
          <w:color w:val="000000"/>
          <w:sz w:val="24"/>
        </w:rPr>
        <w:t xml:space="preserve">. Transactions that involve merely a change in the form in which you own securities are permissible. For example, you may transfer shares to an </w:t>
      </w:r>
      <w:r>
        <w:rPr>
          <w:rFonts w:ascii="Times New Roman;sans-serif" w:hAnsi="Times New Roman;sans-serif"/>
          <w:b w:val="false"/>
          <w:i/>
          <w:color w:val="000000"/>
          <w:sz w:val="24"/>
        </w:rPr>
        <w:t xml:space="preserve">inter vivos </w:t>
      </w:r>
      <w:r>
        <w:rPr>
          <w:rFonts w:ascii="Times New Roman;sans-serif" w:hAnsi="Times New Roman;sans-serif"/>
          <w:b w:val="false"/>
          <w:color w:val="000000"/>
          <w:sz w:val="24"/>
        </w:rPr>
        <w:t>trust of which you are the sole beneficiary during your lifetime.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 xml:space="preserve">5.    Other Exceptions. </w:t>
      </w:r>
      <w:r>
        <w:rPr>
          <w:rFonts w:ascii="Times New Roman;sans-serif" w:hAnsi="Times New Roman;sans-serif"/>
          <w:b w:val="false"/>
          <w:color w:val="000000"/>
          <w:sz w:val="24"/>
        </w:rPr>
        <w:t>Any other exception from this Policy must be approved by the Board of Directors or an independent committee of the Board of Directors in consultation with Company’s Chief Legal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Pre-Clearance of Transactions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In addition to the requirements of above, the individuals listed on </w:t>
      </w:r>
      <w:r>
        <w:rPr>
          <w:rFonts w:ascii="Times New Roman;sans-serif" w:hAnsi="Times New Roman;sans-serif"/>
          <w:b/>
          <w:color w:val="000000"/>
          <w:sz w:val="24"/>
        </w:rPr>
        <w:t xml:space="preserve">Exhibit A </w:t>
      </w:r>
      <w:r>
        <w:rPr>
          <w:rFonts w:ascii="Times New Roman;sans-serif" w:hAnsi="Times New Roman;sans-serif"/>
          <w:b w:val="false"/>
          <w:color w:val="000000"/>
          <w:sz w:val="24"/>
        </w:rPr>
        <w:t>attached hereto, as may be amended from time to time by the Company’s Chief Legal Officer (“</w:t>
      </w:r>
      <w:r>
        <w:rPr>
          <w:rFonts w:ascii="Times New Roman;sans-serif" w:hAnsi="Times New Roman;sans-serif"/>
          <w:b/>
          <w:i/>
          <w:color w:val="000000"/>
          <w:sz w:val="24"/>
        </w:rPr>
        <w:t>Pre-Clearance Persons</w:t>
      </w:r>
      <w:r>
        <w:rPr>
          <w:color w:val="000000"/>
        </w:rPr>
        <w:t>”</w:t>
      </w:r>
      <w:r>
        <w:rPr>
          <w:rFonts w:ascii="Times New Roman;sans-serif" w:hAnsi="Times New Roman;sans-serif"/>
          <w:b w:val="false"/>
          <w:color w:val="000000"/>
          <w:sz w:val="24"/>
        </w:rPr>
        <w:t>), must first obtain pre-clearance of the transaction from the Company’s Chief Legal Officer or Chief Financial Officer (the “</w:t>
      </w:r>
      <w:r>
        <w:rPr>
          <w:rFonts w:ascii="Times New Roman;sans-serif" w:hAnsi="Times New Roman;sans-serif"/>
          <w:b/>
          <w:i/>
          <w:color w:val="000000"/>
          <w:sz w:val="24"/>
        </w:rPr>
        <w:t>Clearing Officer</w:t>
      </w:r>
      <w:r>
        <w:rPr>
          <w:color w:val="000000"/>
        </w:rPr>
        <w:t>”</w:t>
      </w:r>
      <w:r>
        <w:rPr>
          <w:rFonts w:ascii="Times New Roman;sans-serif" w:hAnsi="Times New Roman;sans-serif"/>
          <w:b w:val="false"/>
          <w:color w:val="000000"/>
          <w:sz w:val="24"/>
        </w:rPr>
        <w:t xml:space="preserve">) by completing the pre-clearance form attached hereto as </w:t>
      </w:r>
      <w:r>
        <w:rPr>
          <w:rFonts w:ascii="Times New Roman;sans-serif" w:hAnsi="Times New Roman;sans-serif"/>
          <w:b/>
          <w:color w:val="000000"/>
          <w:sz w:val="24"/>
        </w:rPr>
        <w:t xml:space="preserve">Exhibit B </w:t>
      </w:r>
      <w:r>
        <w:rPr>
          <w:rFonts w:ascii="Times New Roman;sans-serif" w:hAnsi="Times New Roman;sans-serif"/>
          <w:b w:val="false"/>
          <w:color w:val="000000"/>
          <w:sz w:val="24"/>
        </w:rPr>
        <w:t>and submitting the same to the Clearing Officer at least two business days in advance of the proposed transaction; provided, however, Pre-Clearance Persons who are not subject to the reporting obligations under Section 16 of the Exchange Act are not required to obtain pre-clearance approval for transactions that are exempt from trading window restrictions. In the event pre-clearance approval is required, the Clearing Officer will determine whether the transaction may proceed and, if so, will direct the Compliance Coordinator (as identified in the Company’s Section 16 Compliance Program) to assist in complying with the reporting requirements under Section 16(a) of the Exchange Act, if any. The Clearing Officer shall not clear his/her own transactions and may not engage in a transaction involving the Company’s securities unless the transaction has been pre-cleared by the Chief Executive Officer, Chief Financial Officer or Chief Legal Officer, as the case may be. Pre-cleared transactions not completed within five trading days from the approval date shall require new pre-clearance under the provisions of this paragraph. The Company may, at its discretion, shorten such period of time.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These pre-clearance procedures are intended to decrease insider trading risks associated with transactions by individuals with regular or special access to material nonpublic information and ensure compliance with applicable laws on resale restrictions and reporting obligations of officers and directors. Pre-clearance of a trade, however, is not a defense to a claim of insider trading and does not excuse you from otherwise complying with insider trading laws or this Policy. Further, pre-clearance of a transaction does not constitute an affirmation by the Company or the Clearing Officer that you are not in possession of material nonpublic information. The Clearing Officer is under no obligation to approve a transaction submitted for pre-clearance, and may determine not to permit the transaction.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directors, employees or consultants must immediately notify the Compliance Coordinator and any other individuals identified in Section 3 of the Company’s Section 16 Compliance Program so that the Company may assist in any Section 16 reporting obligations.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Prohibition of Speculative or Short-Term Trading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Covered Person may engage in short sales, transactions in put or call options, hedging transactions, margin accounts, pledges, or other inherently speculative transactions with respect to the Company’s stock at any time.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Short-Swing Trading/Control Stock/Section 16 Reports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DURATION OF POLICY’S APPLICABILITY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to transactions by Covered Persons in the Company’s stock or the stock of other public companies engaged in business transactions with the Company so long as you continue to provide services to the Company. Please note that the securities laws continue to apply to your securities transactions after your relationship with the Company concludes. Accordingly, if you are in possession of inside information when your relationship with the Company concludes, you should not trade in the Company’s stock or the stock of such other company until the information has been publicly disseminated or is no longer material. The ultimate responsibility for complying with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PENALTIES</w:t>
      </w:r>
    </w:p>
    <w:p>
      <w:pPr>
        <w:pStyle w:val="TextBody"/>
        <w:bidi w:val="0"/>
        <w:spacing w:before="0" w:after="0"/>
        <w:jc w:val="left"/>
        <w:rPr/>
      </w:pPr>
      <w:r>
        <w:rPr/>
      </w:r>
    </w:p>
    <w:p>
      <w:pPr>
        <w:pStyle w:val="TextBody"/>
        <w:bidi w:val="0"/>
        <w:spacing w:lineRule="auto" w:line="268" w:before="0" w:after="0"/>
        <w:ind w:left="0" w:right="0" w:firstLine="1539"/>
        <w:jc w:val="both"/>
        <w:rPr/>
      </w:pPr>
      <w:r>
        <w:rPr>
          <w:rFonts w:ascii="Times New Roman;sans-serif" w:hAnsi="Times New Roman;sans-serif"/>
          <w:b w:val="false"/>
          <w:color w:val="000000"/>
          <w:sz w:val="24"/>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If the Company has a reasonable basis to conclude that an employee, director, or consultant has failed to comply with this Policy, such person may be subject to disciplinary action by the Company, up to and including dismissal for cause if the person is an employee, or subject to termination of services if the person is a director or consultant, regardless of whether or not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 A Covered Person who has questions about this policy should contact his or her own attorney, the Company’s Chief Legal Officer at </w:t>
      </w:r>
      <w:r>
        <w:rPr>
          <w:rFonts w:ascii="Times New Roman;sans-serif" w:hAnsi="Times New Roman;sans-serif"/>
          <w:b w:val="false"/>
          <w:color w:val="0000FF"/>
          <w:sz w:val="24"/>
        </w:rPr>
        <w:t>vbarnett@cytekbio.com.</w:t>
      </w:r>
      <w:r>
        <w:rPr>
          <w:color w:val="000000"/>
        </w:rPr>
        <w:t xml:space="preserve"> </w:t>
      </w:r>
      <w:r>
        <w:rPr>
          <w:rFonts w:ascii="Times New Roman;sans-serif" w:hAnsi="Times New Roman;sans-serif"/>
          <w:b w:val="false"/>
          <w:color w:val="000000"/>
          <w:sz w:val="24"/>
        </w:rPr>
        <w:t xml:space="preserve">Please also see Frequently Asked Questions attached hereto as </w:t>
      </w:r>
      <w:r>
        <w:rPr>
          <w:rFonts w:ascii="Times New Roman;sans-serif" w:hAnsi="Times New Roman;sans-serif"/>
          <w:b/>
          <w:color w:val="000000"/>
          <w:sz w:val="24"/>
        </w:rPr>
        <w:t>Exhibit C</w:t>
      </w:r>
      <w:r>
        <w:rPr>
          <w:rFonts w:ascii="Times New Roman;sans-serif" w:hAnsi="Times New Roman;sans-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TRADING BY THE COMPANY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not transact in our securities unless in compliance with applicable U.S. securities laws, rules and regulations and applicable stock exchange listing standards of The Nasdaq Stock Market LLC.</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ADDITIONAL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Delivery of Policy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delivered to all existing directors, employees and certain consultants of the Company (as may be determined by the Company’s Chief Legal Officer) promptly following its adoption and to all new directors, employees and certain consultants (as may be determined by the Company’s Chief Legal Officer) when they commence service with the Company. Each director, employee and applicable consultant of the Company is required to acknowledge that he or she understands this Policy.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Amendments</w:t>
      </w:r>
    </w:p>
    <w:p>
      <w:pPr>
        <w:pStyle w:val="TextBody"/>
        <w:bidi w:val="0"/>
        <w:spacing w:before="0" w:after="0"/>
        <w:jc w:val="left"/>
        <w:rPr/>
      </w:pPr>
      <w:r>
        <w:rPr/>
      </w:r>
    </w:p>
    <w:p>
      <w:pPr>
        <w:pStyle w:val="TextBody"/>
        <w:bidi w:val="0"/>
        <w:spacing w:lineRule="auto" w:line="268" w:before="0" w:after="0"/>
        <w:ind w:left="0" w:right="0" w:firstLine="1539"/>
        <w:jc w:val="both"/>
        <w:rPr>
          <w:rFonts w:ascii="Times New Roman;sans-serif" w:hAnsi="Times New Roman;sans-serif"/>
          <w:b w:val="false"/>
          <w:color w:val="000000"/>
          <w:sz w:val="24"/>
        </w:rPr>
      </w:pPr>
      <w:r>
        <w:rPr>
          <w:rFonts w:ascii="Times New Roman;sans-serif" w:hAnsi="Times New Roman;sans-serif"/>
          <w:b w:val="false"/>
          <w:color w:val="000000"/>
          <w:sz w:val="24"/>
        </w:rPr>
        <w:t>We are committed to continuously reviewing and updating our policies and procedures. The Company therefore reserves the right to amend, alter or terminate this Policy at any time and for any reason, subject to applicable law and approval by the Company’s the Board of Directors or an independent committee of the Board of Directors. For the avoidance of doubt, immaterial updates or changes to the Policy will not require such approval. A current copy of the Company’s policies may be obtained by contacting the Company’s Chief Legal Officer.</w:t>
      </w:r>
    </w:p>
    <w:p>
      <w:pPr>
        <w:pStyle w:val="TextBody"/>
        <w:bidi w:val="0"/>
        <w:spacing w:before="0" w:after="0"/>
        <w:jc w:val="left"/>
        <w:rPr/>
      </w:pPr>
      <w:r>
        <w:rPr/>
      </w:r>
    </w:p>
    <w:p>
      <w:pPr>
        <w:pStyle w:val="TextBody"/>
        <w:bidi w:val="0"/>
        <w:spacing w:lineRule="auto" w:line="268" w:before="0" w:after="0"/>
        <w:ind w:left="0" w:right="0" w:firstLine="117"/>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ind w:left="0" w:right="0" w:firstLine="914"/>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Individuals Subject to Pre-Clearance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819"/>
        <w:jc w:val="center"/>
        <w:rPr>
          <w:rFonts w:ascii="Times New Roman;sans-serif" w:hAnsi="Times New Roman;sans-serif"/>
          <w:b w:val="false"/>
          <w:color w:val="000000"/>
          <w:sz w:val="24"/>
        </w:rPr>
      </w:pPr>
      <w:r>
        <w:rPr>
          <w:rFonts w:ascii="Times New Roman;sans-serif" w:hAnsi="Times New Roman;sans-serif"/>
          <w:b w:val="false"/>
          <w:color w:val="000000"/>
          <w:sz w:val="24"/>
        </w:rPr>
        <w:t>Maintained by the Chief Legal Officer</w:t>
      </w:r>
    </w:p>
    <w:p>
      <w:pPr>
        <w:pStyle w:val="TextBody"/>
        <w:bidi w:val="0"/>
        <w:spacing w:before="0" w:after="0"/>
        <w:jc w:val="left"/>
        <w:rPr/>
      </w:pPr>
      <w:r>
        <w:rPr/>
      </w:r>
    </w:p>
    <w:p>
      <w:pPr>
        <w:pStyle w:val="TextBody"/>
        <w:bidi w:val="0"/>
        <w:spacing w:lineRule="auto" w:line="268"/>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ans-serif" w:hAnsi="Times New Roman;sans-serif"/>
          <w:b/>
          <w:color w:val="000000"/>
          <w:sz w:val="24"/>
        </w:rPr>
      </w:pPr>
      <w:r>
        <w:rPr>
          <w:rFonts w:ascii="Times New Roman;sans-serif" w:hAnsi="Times New Roman;sans-serif"/>
          <w:b/>
          <w:color w:val="000000"/>
          <w:sz w:val="24"/>
        </w:rPr>
        <w:t>Pre-Clearance Form</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To: Clearing Officer of </w:t>
      </w:r>
      <w:r>
        <w:rPr>
          <w:rFonts w:ascii="Times New Roman;sans-serif" w:hAnsi="Times New Roman;sans-serif"/>
          <w:b/>
          <w:color w:val="000000"/>
          <w:sz w:val="24"/>
        </w:rPr>
        <w:t xml:space="preserve">Cytek Biosciences, Inc. </w:t>
      </w:r>
      <w:r>
        <w:rPr>
          <w:rFonts w:ascii="Times New Roman;sans-serif" w:hAnsi="Times New Roman;sans-serif"/>
          <w:b w:val="false"/>
          <w:color w:val="000000"/>
          <w:sz w:val="24"/>
        </w:rPr>
        <w:t>(the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In connection with my proposal to execute a transaction in securities of the Company, the general terms of which are set forth below, on or about , I hereby request that the Company pre-clear the proposed transaction pursuant to the Company’s Insider Trading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I hereby certify that that I have carefully read and understand the Policy and all other applicable materials provided by the Company and that:</w:t>
      </w:r>
    </w:p>
    <w:p>
      <w:pPr>
        <w:pStyle w:val="TextBody"/>
        <w:bidi w:val="0"/>
        <w:spacing w:before="0" w:after="0"/>
        <w:jc w:val="left"/>
        <w:rPr/>
      </w:pPr>
      <w:r>
        <w:rPr/>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I am not aware of any material nonpublic information about the Company and will not enter into the transaction if I come into possession of material nonpublic information about the Company between the date hereof and the proposed execution date;</w:t>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To the best of my knowledge, the proposed transaction complies with the Policy and any other criteria established by the Company with respect to such transaction;</w:t>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I agree to advise the Company promptly if, as a result of future developments, any of the foregoing information becomes inaccurate or incomplete in any respect. I understand that the Company may require additional information about the transaction, and agree to provide such information upon request; and</w:t>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I have not entered into or altered a corresponding or hedging transaction or position with respect to the Company’s securities subject to the proposed transaction and I hereby agree not to enter into any such transaction pursuant to this request;</w:t>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I hereby confirm that I shall not engage in any short-swing trading i.e. buying and selling (or selling and buying) Company securities within a six-month time frame;</w:t>
      </w:r>
    </w:p>
    <w:p>
      <w:pPr>
        <w:pStyle w:val="TextBody"/>
        <w:bidi w:val="0"/>
        <w:spacing w:lineRule="auto" w:line="268" w:before="0" w:after="12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I give the Company express permission to publicly disclose information regarding the proposed transaction; and</w:t>
      </w:r>
    </w:p>
    <w:p>
      <w:pPr>
        <w:pStyle w:val="TextBody"/>
        <w:bidi w:val="0"/>
        <w:spacing w:lineRule="auto" w:line="268" w:before="0" w:after="0"/>
        <w:jc w:val="left"/>
        <w:rPr/>
      </w:pPr>
      <w:r>
        <w:rPr>
          <w:rFonts w:ascii="Wingdings;sans-serif" w:hAnsi="Wingdings;sans-serif"/>
          <w:b w:val="false"/>
          <w:color w:val="000000"/>
          <w:sz w:val="20"/>
        </w:rPr>
        <w:t>l</w:t>
      </w:r>
      <w:r>
        <w:rPr>
          <w:color w:val="000000"/>
        </w:rPr>
        <w:t>    </w:t>
      </w:r>
      <w:r>
        <w:rPr>
          <w:rFonts w:ascii="Times New Roman;sans-serif" w:hAnsi="Times New Roman;sans-serif"/>
          <w:b w:val="false"/>
          <w:color w:val="000000"/>
          <w:sz w:val="24"/>
        </w:rPr>
        <w:t>Upon executing a transaction, I will immediately notify the Company in order to allow timely filing of a Form 4, as applicable,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general nature of the transaction is as follows:</w:t>
      </w:r>
    </w:p>
    <w:p>
      <w:pPr>
        <w:pStyle w:val="TextBody"/>
        <w:bidi w:val="0"/>
        <w:spacing w:before="0" w:after="0"/>
        <w:jc w:val="left"/>
        <w:rPr/>
      </w:pPr>
      <w:r>
        <w:rPr/>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4"/>
        </w:rPr>
        <w:t>Purchase or sell shares of the Company’s common stock in the open market</w:t>
      </w:r>
    </w:p>
    <w:p>
      <w:pPr>
        <w:pStyle w:val="TextBody"/>
        <w:bidi w:val="0"/>
        <w:spacing w:before="0" w:after="0"/>
        <w:ind w:left="0" w:right="0" w:hanging="450"/>
        <w:jc w:val="left"/>
        <w:rPr/>
      </w:pPr>
      <w:r>
        <w:rPr/>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4"/>
        </w:rPr>
        <w:t>Employee Stock Purchase Plan (enroll, make investment change or discontinue participation)</w:t>
      </w:r>
    </w:p>
    <w:p>
      <w:pPr>
        <w:pStyle w:val="TextBody"/>
        <w:bidi w:val="0"/>
        <w:spacing w:before="0" w:after="0"/>
        <w:ind w:left="0" w:right="0" w:hanging="450"/>
        <w:jc w:val="left"/>
        <w:rPr/>
      </w:pPr>
      <w:r>
        <w:rPr/>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4"/>
        </w:rPr>
        <w:t>Transfer the Company’s common stock to another person (includes family members)</w:t>
      </w:r>
    </w:p>
    <w:p>
      <w:pPr>
        <w:pStyle w:val="TextBody"/>
        <w:bidi w:val="0"/>
        <w:spacing w:before="0" w:after="0"/>
        <w:ind w:left="0" w:right="0" w:hanging="450"/>
        <w:jc w:val="left"/>
        <w:rPr/>
      </w:pPr>
      <w:r>
        <w:rPr/>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4"/>
        </w:rPr>
        <w:t xml:space="preserve">Other [explain] </w:t>
      </w:r>
    </w:p>
    <w:p>
      <w:pPr>
        <w:pStyle w:val="TextBody"/>
        <w:bidi w:val="0"/>
        <w:spacing w:before="0" w:after="0"/>
        <w:jc w:val="left"/>
        <w:rPr/>
      </w:pPr>
      <w:r>
        <w:rPr/>
      </w:r>
    </w:p>
    <w:p>
      <w:pPr>
        <w:pStyle w:val="TextBody"/>
        <w:bidi w:val="0"/>
        <w:spacing w:lineRule="auto" w:line="268"/>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I acknowledge and agree that clearance of a transaction is valid only for a period of five trading days. If the transaction is not placed within that period, clearance of the transaction must be re-requested.</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9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Date: </w:t>
      </w:r>
      <w:r>
        <w:rPr>
          <w:color w:val="000000"/>
        </w:rPr>
        <w:t>    </w:t>
      </w:r>
      <w:r>
        <w:rPr>
          <w:rFonts w:ascii="Times New Roman;sans-serif" w:hAnsi="Times New Roman;sans-serif"/>
          <w:b w:val="false"/>
          <w:color w:val="000000"/>
          <w:sz w:val="24"/>
        </w:rPr>
        <w:t xml:space="preserve">Signature: </w:t>
      </w:r>
      <w:r>
        <w:rPr>
          <w:color w:val="000000"/>
          <w:u w:val="single"/>
        </w:rPr>
        <w:t>                    </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4"/>
        </w:rPr>
        <w:t>(Please Print)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Clearing Officer of the Company hereby approves the aforementioned transaction and confirms that the proposed timeline of the transaction is within an open trading window.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Date: </w:t>
      </w:r>
      <w:r>
        <w:rPr>
          <w:color w:val="000000"/>
        </w:rPr>
        <w:t>    </w:t>
      </w:r>
      <w:r>
        <w:rPr>
          <w:rFonts w:ascii="Times New Roman;sans-serif" w:hAnsi="Times New Roman;sans-serif"/>
          <w:b w:val="false"/>
          <w:color w:val="000000"/>
          <w:sz w:val="24"/>
        </w:rPr>
        <w:t xml:space="preserve">Signature: </w:t>
      </w:r>
      <w:r>
        <w:rPr>
          <w:color w:val="000000"/>
          <w:u w:val="single"/>
        </w:rPr>
        <w:t>                    </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68" w:before="0" w:after="0"/>
        <w:ind w:left="0" w:right="0" w:firstLine="990"/>
        <w:jc w:val="left"/>
        <w:rPr>
          <w:color w:val="000000"/>
        </w:rPr>
      </w:pPr>
      <w:r>
        <w:rPr>
          <w:color w:val="000000"/>
        </w:rPr>
        <w:t>    </w:t>
      </w:r>
      <w:r>
        <w:rPr>
          <w:rFonts w:ascii="Times New Roman;sans-serif" w:hAnsi="Times New Roman;sans-serif"/>
          <w:b w:val="false"/>
          <w:color w:val="000000"/>
          <w:sz w:val="24"/>
        </w:rPr>
        <w:t>(Please Print)</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4"/>
        </w:rPr>
        <w:t>THE TRADE MUST OCCUR ON OR BEFORE</w:t>
      </w:r>
      <w:r>
        <w:rPr>
          <w:color w:val="000000"/>
          <w:u w:val="single"/>
        </w:rPr>
        <w:t xml:space="preserve"> </w:t>
      </w:r>
      <w:r>
        <w:rPr>
          <w:rFonts w:ascii="Times New Roman;sans-serif" w:hAnsi="Times New Roman;sans-serif"/>
          <w:b/>
          <w:color w:val="000000"/>
          <w:sz w:val="24"/>
        </w:rPr>
        <w:t>.</w:t>
      </w:r>
    </w:p>
    <w:p>
      <w:pPr>
        <w:pStyle w:val="TextBody"/>
        <w:bidi w:val="0"/>
        <w:spacing w:before="0" w:after="0"/>
        <w:jc w:val="left"/>
        <w:rPr/>
      </w:pPr>
      <w:r>
        <w:rPr/>
      </w:r>
    </w:p>
    <w:p>
      <w:pPr>
        <w:pStyle w:val="TextBody"/>
        <w:bidi w:val="0"/>
        <w:ind w:left="0" w:right="0" w:firstLine="501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9" w:before="0" w:after="0"/>
        <w:ind w:left="0" w:right="0" w:firstLine="5010"/>
        <w:jc w:val="center"/>
        <w:rPr>
          <w:rFonts w:ascii="Times New Roman;sans-serif" w:hAnsi="Times New Roman;sans-serif"/>
          <w:b/>
          <w:color w:val="000000"/>
          <w:sz w:val="24"/>
        </w:rPr>
      </w:pPr>
      <w:r>
        <w:rPr>
          <w:rFonts w:ascii="Times New Roman;sans-serif" w:hAnsi="Times New Roman;sans-serif"/>
          <w:b/>
          <w:color w:val="000000"/>
          <w:sz w:val="24"/>
        </w:rPr>
        <w:t xml:space="preserve">EXHIBIT C </w:t>
      </w:r>
    </w:p>
    <w:p>
      <w:pPr>
        <w:pStyle w:val="TextBody"/>
        <w:bidi w:val="0"/>
        <w:spacing w:lineRule="auto" w:line="489" w:before="0" w:after="0"/>
        <w:ind w:left="0" w:right="0" w:firstLine="5010"/>
        <w:jc w:val="center"/>
        <w:rPr>
          <w:rFonts w:ascii="Times New Roman;sans-serif" w:hAnsi="Times New Roman;sans-serif"/>
          <w:b/>
          <w:color w:val="000000"/>
          <w:sz w:val="24"/>
        </w:rPr>
      </w:pPr>
      <w:r>
        <w:rPr>
          <w:rFonts w:ascii="Times New Roman;sans-serif" w:hAnsi="Times New Roman;sans-serif"/>
          <w:b/>
          <w:color w:val="000000"/>
          <w:sz w:val="24"/>
        </w:rPr>
        <w:t>Frequently Asked Questions</w:t>
      </w:r>
    </w:p>
    <w:p>
      <w:pPr>
        <w:pStyle w:val="TextBody"/>
        <w:bidi w:val="0"/>
        <w:spacing w:lineRule="auto" w:line="247"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    What is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    Why is insider trading illegal?</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3.    What is material, nonpublic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4.    Who can be guilty of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Anyone who buys or sells a security while in possession of material, nonpublic information. It does not matter if you are not an executive officer or director, or even if you do not work at Cytek– if you know something material about the value of a security that not everyone else does, regardless of who you are, you can be found guilty of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5.    Does Cytek have an insider trading policy?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Yes.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6.    What if I work in a foreign office?</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There is no difference. The policy and law apply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 based individuals and firms. In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addition, as a Cytek employee, our policies apply to you no matter where in the world you work.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7.    What if I don’t buy or sell anything, but I tell someone else the information and they buy or sell?</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Cytek with anyone outside Cytek, including spouses, partners, family members, friends, or business associates. This includes anonymous discussion on the Internet about Cytek or companies with which Cytek does business.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8.    What if I don’t tell them the information itself, I just tell them whether they should buy or sell?</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9.    What are the penalties if I trade on inside information, or tip off someone else?</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10.    What is “loss avoided”?</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11.    Am I restricted from trading securities of any companies except Cytek (for example a customer or competitor of Cytek)?</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Cytek, you sometimes obtain sensitive, material information about other companies and their business dealings with Cytek.</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12.    So if I do not trade Cytek securities when I have material nonpublic information, and I don’t “tip” other people, I am in the clear, right?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Not necessarily. Even if you do not violate U.S. law, you may still violate our policies. Our policies are stricter than the law requires, so that we and our employees can avoid even the appearance of wrongdoing. Therefore, please review the entire policy carefully.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13.    If I am aware of new product or service developments that have not been announced to the public, do I possess material non-public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Maybe. In most circumstances, Cytek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You should contact the Company’s Chief Legal Officer if you have any questions.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14.    So when can I buy or sell my Cytek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4"/>
        </w:rPr>
        <w:t xml:space="preserve">A:    According to our policies, if you have material, nonpublic information, you may not buy or sell our common stock until the third trading day after that information is released or announced to the public. At that point, the information is considered public. </w:t>
      </w:r>
      <w:r>
        <w:rPr>
          <w:rFonts w:ascii="Times New Roman;sans-serif" w:hAnsi="Times New Roman;sans-serif"/>
          <w:b/>
          <w:i/>
          <w:color w:val="000000"/>
          <w:sz w:val="24"/>
        </w:rPr>
        <w:t>Even if you do not have material, nonpublic information</w:t>
      </w:r>
      <w:r>
        <w:rPr>
          <w:rFonts w:ascii="Times New Roman;sans-serif" w:hAnsi="Times New Roman;sans-serif"/>
          <w:b/>
          <w:color w:val="000000"/>
          <w:sz w:val="24"/>
        </w:rPr>
        <w:t xml:space="preserve">, you may trade in our common stock only during an open trading window. </w:t>
      </w:r>
      <w:r>
        <w:rPr>
          <w:rFonts w:ascii="Times New Roman;sans-serif" w:hAnsi="Times New Roman;sans-serif"/>
          <w:b w:val="false"/>
          <w:color w:val="000000"/>
          <w:sz w:val="24"/>
        </w:rPr>
        <w:t>(If in doubt, you should confirm with the Company’s Chief Legal Officer or Chief Financial Officer whether the Company is in an open trading window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15.    If I have an open order to buy or sell Cytek securities on the date the trading window closes, my broker will cancel the open order and won’t execute the trade, right?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No. Although certain orders allow you to designate upfront that the order should be canceled upon the closing of the Company’s trading window, it is your responsibility to confirm cancellation of these orders with your broker. If you have an open order and it executes after the trading window closes, it is a violation of our insider trading policy and may also be a violation of the insider trading laws.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16.    Am I allowed to trade derivative securities of Cytek? Or, short Cytek common stock?</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color w:val="000000"/>
        </w:rPr>
        <w:t>“</w:t>
      </w:r>
      <w:r>
        <w:rPr>
          <w:rFonts w:ascii="Times New Roman;sans-serif" w:hAnsi="Times New Roman;sans-serif"/>
          <w:b/>
          <w:i/>
          <w:color w:val="000000"/>
          <w:sz w:val="24"/>
        </w:rPr>
        <w:t>Derivative securities</w:t>
      </w:r>
      <w:r>
        <w:rPr>
          <w:color w:val="000000"/>
        </w:rPr>
        <w:t xml:space="preserve">” </w:t>
      </w:r>
      <w:r>
        <w:rPr>
          <w:rFonts w:ascii="Times New Roman;sans-serif" w:hAnsi="Times New Roman;sans-serif"/>
          <w:b w:val="false"/>
          <w:color w:val="000000"/>
          <w:sz w:val="24"/>
        </w:rPr>
        <w:t>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i/>
          <w:color w:val="000000"/>
          <w:sz w:val="24"/>
        </w:rPr>
        <w:t>Short selling</w:t>
      </w:r>
      <w:r>
        <w:rPr>
          <w:color w:val="000000"/>
        </w:rPr>
        <w:t xml:space="preserve">” </w:t>
      </w:r>
      <w:r>
        <w:rPr>
          <w:rFonts w:ascii="Times New Roman;sans-serif" w:hAnsi="Times New Roman;sans-serif"/>
          <w:b w:val="false"/>
          <w:color w:val="000000"/>
          <w:sz w:val="24"/>
        </w:rPr>
        <w:t>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17.    Why does Cytek prohibit trading in derivative securities and short selling?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18.    Can I purchase Cytek securities on margin or hold them in a margin account?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Under our policies, you may not purchase our common stock on margin or hold it in a margin account at any time.</w:t>
      </w:r>
    </w:p>
    <w:p>
      <w:pPr>
        <w:pStyle w:val="TextBody"/>
        <w:bidi w:val="0"/>
        <w:spacing w:before="0" w:after="0"/>
        <w:ind w:left="0" w:right="0" w:hanging="720"/>
        <w:jc w:val="left"/>
        <w:rPr/>
      </w:pPr>
      <w:r>
        <w:rPr/>
      </w:r>
    </w:p>
    <w:p>
      <w:pPr>
        <w:pStyle w:val="TextBody"/>
        <w:bidi w:val="0"/>
        <w:spacing w:lineRule="auto" w:line="268" w:before="0" w:after="0"/>
        <w:jc w:val="both"/>
        <w:rPr/>
      </w:pPr>
      <w:r>
        <w:rPr>
          <w:color w:val="000000"/>
        </w:rPr>
        <w:t>“</w:t>
      </w:r>
      <w:r>
        <w:rPr>
          <w:rFonts w:ascii="Times New Roman;sans-serif" w:hAnsi="Times New Roman;sans-serif"/>
          <w:b/>
          <w:i/>
          <w:color w:val="000000"/>
          <w:sz w:val="24"/>
        </w:rPr>
        <w:t>Purchasing on margin</w:t>
      </w:r>
      <w:r>
        <w:rPr>
          <w:color w:val="000000"/>
        </w:rPr>
        <w:t xml:space="preserve">” </w:t>
      </w:r>
      <w:r>
        <w:rPr>
          <w:rFonts w:ascii="Times New Roman;sans-serif" w:hAnsi="Times New Roman;sans-serif"/>
          <w:b w:val="false"/>
          <w:color w:val="000000"/>
          <w:sz w:val="24"/>
        </w:rPr>
        <w:t>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19.    Why does Cytek prohibit me from purchasing Cytek securities on margin or holding them in a margin account?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Margin loans are subject to a margin call whether or not you possess insider information at the time of the call. If your margin call were called at a time when you had insider information and you could not or did not supply other collateral, you and Cytek could be subject to litigation based on your insider trading activities: the sale of the stock (through the margin call) when you possessed material nonpublic information. The sale would be attributed to you even though the lender made the ultimate determination to sell. The SEC takes the view that you made the determination to not supply the additional collateral and you are therefore responsible for the sale.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20.    Can I exercise stock options during a closed trading window or when I possess material nonpublic information?</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Yes. You may exercise the option for cash and receive shares, but you may not sell the shares (even to pay the exercise price or any taxes due) or otherwise settle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during a closed trading window or any time that you have material, nonpublic information. Also note that if you choose to exercise and hold the shares, you will be responsible at that time for any taxes due.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21.    Am I subject to the trading window if I am no longer an employee of Cytek?</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No. If your employment with Cytek ends, Cytek’s policy will no longer apply to you. However, even if you are not subject to our policy after you leave Cytek, applicable securities laws will continue to apply and you should not trade in Cytek securities if you possess material non-public information. That restriction stays with you as long as the information you possess is material and not released by Cytek. The ultimate responsibility for complying with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22.    Can I gift stock while I possess material nonpublic information or during a closed trading window?</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Because of the potential for the appearance of impropriety, you may not make gifts, whether to charities, to a trust or otherwise, of our common stock when you possess material nonpublic information or during a closed trading window.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23.    What if I purchased publicly-traded options or other derivative securities before I became a Cytek employee (or contractor or consultant)?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The same rules apply as for employee stock options. You may exercise the publicly-traded options for cash at any time, but you may not sell such securities during a closed trading window or at any time that you have material, nonpublic information. When you become a Cytek employee, you must report to our Chief Legal Officer or Chief Financial Officer that you hold such publicly traded options or other derivative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24.    May I own shares of a mutual fund that invests in Cytek?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Yes.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25    Are mutual fund shares holding Cytek subject to the trading windows?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No. You may trade in mutual funds holding our common stock at any time.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26.    May I use a “routine trading program” or “10b5-1 plan”?</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Yes, subject to the requirements discussed in our Insider Trading Policy. A routine trading program, also known as a 10b5-1 plan, allows you to set up a highly structured program with your stockbroker through which you specify ahead of time the date, price, and amount of securities to be traded. If you wish to create a 10b5-1 plan, you must contact our Chief Legal Officer for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27.    What happens if I violate our insider trading policy?</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Violation of our policies may result in severe personnel action, including a memo to your personnel file and up to and including termination of your employment or other relationship with Cytek. In addition, you may be subject to criminal and civil enforcement actions by the government.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28.    Who should I contact if I have questions about our insider trading policy?</w:t>
      </w:r>
    </w:p>
    <w:p>
      <w:pPr>
        <w:pStyle w:val="TextBody"/>
        <w:bidi w:val="0"/>
        <w:spacing w:before="0" w:after="0"/>
        <w:ind w:left="0" w:right="0" w:hanging="720"/>
        <w:jc w:val="left"/>
        <w:rPr/>
      </w:pPr>
      <w:r>
        <w:rPr/>
      </w:r>
    </w:p>
    <w:p>
      <w:pPr>
        <w:pStyle w:val="TextBody"/>
        <w:bidi w:val="0"/>
        <w:spacing w:lineRule="auto" w:line="268"/>
        <w:ind w:left="0" w:right="0" w:hanging="720"/>
        <w:jc w:val="left"/>
        <w:rPr/>
      </w:pPr>
      <w:r>
        <w:rPr>
          <w:rFonts w:ascii="Times New Roman;sans-serif" w:hAnsi="Times New Roman;sans-serif"/>
          <w:b w:val="false"/>
          <w:color w:val="000000"/>
          <w:sz w:val="24"/>
        </w:rPr>
        <w:t xml:space="preserve">A:    You should contact our Chief Legal Officer, Valerie Barnett, at </w:t>
      </w:r>
      <w:r>
        <w:rPr>
          <w:rFonts w:ascii="Times New Roman;sans-serif" w:hAnsi="Times New Roman;sans-serif"/>
          <w:b w:val="false"/>
          <w:color w:val="0000FF"/>
          <w:sz w:val="24"/>
        </w:rPr>
        <w:t>vbarnett@cytekbio.com.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Cytek Biosciences, Inc.</w:t>
      </w:r>
    </w:p>
    <w:p>
      <w:pPr>
        <w:pStyle w:val="TextBody"/>
        <w:bidi w:val="0"/>
        <w:spacing w:lineRule="auto" w:line="240" w:before="0" w:after="0"/>
        <w:jc w:val="left"/>
        <w:rPr>
          <w:color w:val="000000"/>
        </w:rPr>
      </w:pPr>
      <w:r>
        <w:rPr>
          <w:color w:val="000000"/>
        </w:rPr>
        <w:t> </w:t>
      </w:r>
    </w:p>
    <w:tbl>
      <w:tblPr>
        <w:tblW w:w="5111" w:type="dxa"/>
        <w:jc w:val="left"/>
        <w:tblInd w:w="0" w:type="dxa"/>
        <w:tblLayout w:type="fixed"/>
        <w:tblCellMar>
          <w:top w:w="28" w:type="dxa"/>
          <w:left w:w="28" w:type="dxa"/>
          <w:bottom w:w="28" w:type="dxa"/>
          <w:right w:w="28" w:type="dxa"/>
        </w:tblCellMar>
      </w:tblPr>
      <w:tblGrid>
        <w:gridCol w:w="1201"/>
        <w:gridCol w:w="1052"/>
        <w:gridCol w:w="1062"/>
        <w:gridCol w:w="109"/>
        <w:gridCol w:w="109"/>
        <w:gridCol w:w="109"/>
        <w:gridCol w:w="429"/>
        <w:gridCol w:w="429"/>
        <w:gridCol w:w="611"/>
      </w:tblGrid>
      <w:tr>
        <w:trPr/>
        <w:tc>
          <w:tcPr>
            <w:tcW w:w="120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0"/>
              <w:ind w:left="0" w:right="0" w:hanging="26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Biosciences B.V.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Biosciences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Biosciences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Kingdon</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Biosciences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Cytek Biosciences S.A.S.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Japan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(Shanghai) Biosciences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Cytek (Wuxi) Biosciences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300"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We consent to the incorporation by reference in Registration Statement No. 333-267118 on Form S-3 and Registration Statement Nos. 333-258153, 333-263661, 333-270200 and 333-277936 on Form S-8 of our </w:t>
      </w:r>
      <w:r>
        <w:rPr>
          <w:rFonts w:ascii="Times New Roman;sans-serif" w:hAnsi="Times New Roman;sans-serif"/>
          <w:b w:val="false"/>
          <w:color w:val="000000"/>
          <w:sz w:val="20"/>
        </w:rPr>
        <w:t>February 27, 2025</w:t>
      </w:r>
      <w:r>
        <w:rPr>
          <w:rFonts w:ascii="Times New Roman;sans-serif" w:hAnsi="Times New Roman;sans-serif"/>
          <w:b w:val="false"/>
          <w:color w:val="000000"/>
          <w:sz w:val="20"/>
          <w:shd w:fill="FFFFFF" w:val="clear"/>
        </w:rPr>
        <w:t xml:space="preserve">, relating to the financial statements of Cytek Biosciences, Inc. and the effectiveness of Cytek Biosciences, Inc.'s internal control over financial reporting appearing in this Annual Report on Form 10-K for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w:t>
      </w:r>
    </w:p>
    <w:p>
      <w:pPr>
        <w:pStyle w:val="TextBody"/>
        <w:bidi w:val="0"/>
        <w:spacing w:lineRule="auto" w:line="300"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br/>
        <w:t>/s/ Deloitte &amp; Touche LLP</w:t>
      </w:r>
    </w:p>
    <w:p>
      <w:pPr>
        <w:pStyle w:val="TextBody"/>
        <w:bidi w:val="0"/>
        <w:spacing w:lineRule="auto" w:line="300" w:before="0" w:after="160"/>
        <w:jc w:val="left"/>
        <w:rPr/>
      </w:pPr>
      <w:r>
        <w:rPr>
          <w:rFonts w:ascii="Times New Roman;sans-serif" w:hAnsi="Times New Roman;sans-serif"/>
          <w:b w:val="false"/>
          <w:color w:val="000000"/>
          <w:sz w:val="20"/>
          <w:shd w:fill="FFFFFF" w:val="clear"/>
        </w:rPr>
        <w:t>San Jose, California</w:t>
        <w:br/>
      </w:r>
      <w:r>
        <w:rPr>
          <w:rFonts w:ascii="Times New Roman;sans-serif" w:hAnsi="Times New Roman;sans-serif"/>
          <w:b w:val="false"/>
          <w:color w:val="000000"/>
          <w:sz w:val="20"/>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Wenbin Jiang, Ph.D.,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Cytek Biosciences,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02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64"/>
        <w:gridCol w:w="664"/>
        <w:gridCol w:w="667"/>
        <w:gridCol w:w="109"/>
        <w:gridCol w:w="109"/>
        <w:gridCol w:w="109"/>
        <w:gridCol w:w="940"/>
        <w:gridCol w:w="940"/>
        <w:gridCol w:w="133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Wenbin Jiang,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51460"/>
                <wp:effectExtent l="0" t="0" r="0" b="0"/>
                <wp:wrapNone/>
                <wp:docPr id="157" name="Frame15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McCombe,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Cytek Biosciences,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30"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1"/>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Cytek Biosciences, Inc. (the “Company”) for the period ended December 31, 2024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53"/>
        <w:gridCol w:w="1053"/>
        <w:gridCol w:w="105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Wenbin Jiang,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Cytek Biosciences, Inc. (the “Company”) for the period ended December 31, 2024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230"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1"/>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1915/000095017023005610/ctkb-ex10_16.htm" TargetMode="External"/><Relationship Id="rId4" Type="http://schemas.openxmlformats.org/officeDocument/2006/relationships/hyperlink" Target="https://www.sec.gov/Archives/edgar/data/1831915/000119312521225716/d183956dex31.htm" TargetMode="External"/><Relationship Id="rId5" Type="http://schemas.openxmlformats.org/officeDocument/2006/relationships/hyperlink" Target="https://www.sec.gov/Archives/edgar/data/1831915/000119312521225716/d183956dex31.htm" TargetMode="External"/><Relationship Id="rId6" Type="http://schemas.openxmlformats.org/officeDocument/2006/relationships/hyperlink" Target="https://www.sec.gov/Archives/edgar/data/1831915/000119312521225716/d183956dex31.htm" TargetMode="External"/><Relationship Id="rId7" Type="http://schemas.openxmlformats.org/officeDocument/2006/relationships/hyperlink" Target="https://www.sec.gov/Archives/edgar/data/1831915/000119312521225716/d183956dex32.htm" TargetMode="External"/><Relationship Id="rId8" Type="http://schemas.openxmlformats.org/officeDocument/2006/relationships/hyperlink" Target="https://www.sec.gov/Archives/edgar/data/1831915/000119312521225716/d183956dex32.htm" TargetMode="External"/><Relationship Id="rId9" Type="http://schemas.openxmlformats.org/officeDocument/2006/relationships/hyperlink" Target="https://www.sec.gov/Archives/edgar/data/1831915/000119312521225716/d183956dex32.htm" TargetMode="External"/><Relationship Id="rId10" Type="http://schemas.openxmlformats.org/officeDocument/2006/relationships/hyperlink" Target="https://www.sec.gov/Archives/edgar/data/1831915/000119312521217965/d80783dex41.htm" TargetMode="External"/><Relationship Id="rId11" Type="http://schemas.openxmlformats.org/officeDocument/2006/relationships/hyperlink" Target="https://www.sec.gov/Archives/edgar/data/1831915/000119312521217965/d80783dex41.htm" TargetMode="External"/><Relationship Id="rId12" Type="http://schemas.openxmlformats.org/officeDocument/2006/relationships/hyperlink" Target="https://www.sec.gov/Archives/edgar/data/1831915/000095017023005610/ctkb-ex4_3.htm" TargetMode="External"/><Relationship Id="rId13" Type="http://schemas.openxmlformats.org/officeDocument/2006/relationships/hyperlink" Target="https://www.sec.gov/Archives/edgar/data/1831915/000095017023005610/ctkb-ex4_3.htm" TargetMode="External"/><Relationship Id="rId14" Type="http://schemas.openxmlformats.org/officeDocument/2006/relationships/hyperlink" Target="https://www.sec.gov/Archives/edgar/data/1831915/000119312521207678/d80783dex102.htm" TargetMode="External"/><Relationship Id="rId15" Type="http://schemas.openxmlformats.org/officeDocument/2006/relationships/hyperlink" Target="https://www.sec.gov/Archives/edgar/data/1831915/000119312521207678/d80783dex102.htm" TargetMode="External"/><Relationship Id="rId16" Type="http://schemas.openxmlformats.org/officeDocument/2006/relationships/hyperlink" Target="https://www.sec.gov/Archives/edgar/data/1831915/000119312521207678/d80783dex103.htm" TargetMode="External"/><Relationship Id="rId17" Type="http://schemas.openxmlformats.org/officeDocument/2006/relationships/hyperlink" Target="https://www.sec.gov/Archives/edgar/data/1831915/000119312521207678/d80783dex103.htm" TargetMode="External"/><Relationship Id="rId18" Type="http://schemas.openxmlformats.org/officeDocument/2006/relationships/hyperlink" Target="https://www.sec.gov/Archives/edgar/data/1831915/000119312521217965/d80783dex104.htm" TargetMode="External"/><Relationship Id="rId19" Type="http://schemas.openxmlformats.org/officeDocument/2006/relationships/hyperlink" Target="https://www.sec.gov/Archives/edgar/data/1831915/000119312521217965/d80783dex104.htm" TargetMode="External"/><Relationship Id="rId20" Type="http://schemas.openxmlformats.org/officeDocument/2006/relationships/hyperlink" Target="https://www.sec.gov/Archives/edgar/data/1831915/000119312521217965/d80783dex105.htm" TargetMode="External"/><Relationship Id="rId21" Type="http://schemas.openxmlformats.org/officeDocument/2006/relationships/hyperlink" Target="https://www.sec.gov/Archives/edgar/data/1831915/000119312521217965/d80783dex105.htm" TargetMode="External"/><Relationship Id="rId22" Type="http://schemas.openxmlformats.org/officeDocument/2006/relationships/hyperlink" Target="https://www.sec.gov/Archives/edgar/data/1831915/000095017021004256/ctkb-ex10_2.htm" TargetMode="External"/><Relationship Id="rId23" Type="http://schemas.openxmlformats.org/officeDocument/2006/relationships/hyperlink" Target="https://www.sec.gov/Archives/edgar/data/1831915/000095017021004256/ctkb-ex10_2.htm" TargetMode="External"/><Relationship Id="rId24" Type="http://schemas.openxmlformats.org/officeDocument/2006/relationships/hyperlink" Target="https://www.sec.gov/Archives/edgar/data/1831915/000095017022023935/ctkb-ex10_1.htm" TargetMode="External"/><Relationship Id="rId25" Type="http://schemas.openxmlformats.org/officeDocument/2006/relationships/hyperlink" Target="https://www.sec.gov/Archives/edgar/data/1831915/000095017022023935/ctkb-ex10_1.htm" TargetMode="External"/><Relationship Id="rId26" Type="http://schemas.openxmlformats.org/officeDocument/2006/relationships/hyperlink" Target="https://www.sec.gov/Archives/edgar/data/1831915/000095017022023935/ctkb-ex10_2.htm" TargetMode="External"/><Relationship Id="rId27" Type="http://schemas.openxmlformats.org/officeDocument/2006/relationships/hyperlink" Target="https://www.sec.gov/Archives/edgar/data/1831915/000095017022023935/ctkb-ex10_2.htm" TargetMode="External"/><Relationship Id="rId28" Type="http://schemas.openxmlformats.org/officeDocument/2006/relationships/hyperlink" Target="https://www.sec.gov/Archives/edgar/data/1831915/000119312521217965/d80783dex106.htm" TargetMode="External"/><Relationship Id="rId29" Type="http://schemas.openxmlformats.org/officeDocument/2006/relationships/hyperlink" Target="https://www.sec.gov/Archives/edgar/data/1831915/000119312521217965/d80783dex106.htm" TargetMode="External"/><Relationship Id="rId30" Type="http://schemas.openxmlformats.org/officeDocument/2006/relationships/hyperlink" Target="https://www.sec.gov/Archives/edgar/data/1831915/000119312521217965/d80783dex107.htm" TargetMode="External"/><Relationship Id="rId31" Type="http://schemas.openxmlformats.org/officeDocument/2006/relationships/hyperlink" Target="https://www.sec.gov/Archives/edgar/data/1831915/000119312521217965/d80783dex107.htm" TargetMode="External"/><Relationship Id="rId32" Type="http://schemas.openxmlformats.org/officeDocument/2006/relationships/hyperlink" Target="https://www.sec.gov/Archives/edgar/data/1831915/000095017023019777/ctkb-ex10_1.htm" TargetMode="External"/><Relationship Id="rId33" Type="http://schemas.openxmlformats.org/officeDocument/2006/relationships/hyperlink" Target="https://www.sec.gov/Archives/edgar/data/1831915/000095017023019777/ctkb-ex10_1.htm" TargetMode="External"/><Relationship Id="rId34" Type="http://schemas.openxmlformats.org/officeDocument/2006/relationships/hyperlink" Target="https://www.sec.gov/Archives/edgar/data/1831915/000162828024021723/exhibit102allenpoirsonoffe.htm" TargetMode="External"/><Relationship Id="rId35" Type="http://schemas.openxmlformats.org/officeDocument/2006/relationships/hyperlink" Target="https://www.sec.gov/Archives/edgar/data/1831915/000162828024021723/exhibit102allenpoirsonoffe.htm" TargetMode="External"/><Relationship Id="rId36" Type="http://schemas.openxmlformats.org/officeDocument/2006/relationships/hyperlink" Target="https://www.sec.gov/Archives/edgar/data/1831915/000162828024021723/exhibit102allenpoirsonoffe.htm" TargetMode="External"/><Relationship Id="rId37" Type="http://schemas.openxmlformats.org/officeDocument/2006/relationships/hyperlink" Target="https://www.sec.gov/Archives/edgar/data/1831915/000162828024021723/exhibit102allenpoirsonoffe.htm" TargetMode="External"/><Relationship Id="rId38" Type="http://schemas.openxmlformats.org/officeDocument/2006/relationships/hyperlink" Target="https://www.sec.gov/Archives/edgar/data/1831915/000162828024021723/exhibit102allenpoirsonoffe.htm" TargetMode="External"/><Relationship Id="rId39" Type="http://schemas.openxmlformats.org/officeDocument/2006/relationships/hyperlink" Target="https://www.sec.gov/Archives/edgar/data/1831915/000119312524071467/d773908dex101.htm" TargetMode="External"/><Relationship Id="rId40" Type="http://schemas.openxmlformats.org/officeDocument/2006/relationships/hyperlink" Target="https://www.sec.gov/Archives/edgar/data/1831915/000119312524071467/d773908dex101.htm" TargetMode="External"/><Relationship Id="rId41" Type="http://schemas.openxmlformats.org/officeDocument/2006/relationships/hyperlink" Target="https://www.sec.gov/Archives/edgar/data/1831915/000119312524071467/d773908dex101.htm" TargetMode="External"/><Relationship Id="rId42" Type="http://schemas.openxmlformats.org/officeDocument/2006/relationships/hyperlink" Target="https://www.sec.gov/Archives/edgar/data/1831915/000119312524071467/d773908dex101.htm" TargetMode="External"/><Relationship Id="rId43" Type="http://schemas.openxmlformats.org/officeDocument/2006/relationships/hyperlink" Target="https://www.sec.gov/Archives/edgar/data/1831915/000119312524071467/d773908dex101.htm" TargetMode="External"/><Relationship Id="rId44" Type="http://schemas.openxmlformats.org/officeDocument/2006/relationships/hyperlink" Target="https://www.sec.gov/Archives/edgar/data/1831915/000119312524071467/d773908dex101.htm" TargetMode="External"/><Relationship Id="rId45" Type="http://schemas.openxmlformats.org/officeDocument/2006/relationships/hyperlink" Target="https://www.sec.gov/Archives/edgar/data/1831915/000119312524071467/d773908dex101.htm" TargetMode="External"/><Relationship Id="rId46" Type="http://schemas.openxmlformats.org/officeDocument/2006/relationships/hyperlink" Target="https://www.sec.gov/Archives/edgar/data/1831915/000119312524071467/d773908dex101.htm" TargetMode="External"/><Relationship Id="rId47" Type="http://schemas.openxmlformats.org/officeDocument/2006/relationships/hyperlink" Target="https://www.sec.gov/Archives/edgar/data/1831915/000119312524071467/d773908dex101.htm" TargetMode="External"/><Relationship Id="rId48" Type="http://schemas.openxmlformats.org/officeDocument/2006/relationships/hyperlink" Target="https://www.sec.gov/Archives/edgar/data/1831915/000119312524071467/d773908dex101.htm" TargetMode="External"/><Relationship Id="rId49" Type="http://schemas.openxmlformats.org/officeDocument/2006/relationships/hyperlink" Target="https://www.sec.gov/Archives/edgar/data/1831915/000119312524071467/d773908dex101.htm" TargetMode="External"/><Relationship Id="rId50" Type="http://schemas.openxmlformats.org/officeDocument/2006/relationships/hyperlink" Target="https://www.sec.gov/Archives/edgar/data/1831915/000119312524071467/d773908dex101.htm" TargetMode="External"/><Relationship Id="rId51" Type="http://schemas.openxmlformats.org/officeDocument/2006/relationships/hyperlink" Target="https://www.sec.gov/Archives/edgar/data/1831915/000162828024021723/exhibit101secondamendedand.htm" TargetMode="External"/><Relationship Id="rId52" Type="http://schemas.openxmlformats.org/officeDocument/2006/relationships/hyperlink" Target="https://www.sec.gov/Archives/edgar/data/1831915/000162828024021723/exhibit101secondamendedand.htm" TargetMode="External"/><Relationship Id="rId53" Type="http://schemas.openxmlformats.org/officeDocument/2006/relationships/hyperlink" Target="https://www.sec.gov/Archives/edgar/data/1831915/000095017021004256/ctkb-ex10_1.htm" TargetMode="External"/><Relationship Id="rId54" Type="http://schemas.openxmlformats.org/officeDocument/2006/relationships/hyperlink" Target="https://www.sec.gov/Archives/edgar/data/1831915/000095017021004256/ctkb-ex10_1.htm" TargetMode="External"/><Relationship Id="rId55" Type="http://schemas.openxmlformats.org/officeDocument/2006/relationships/hyperlink" Target="https://www.sec.gov/Archives/edgar/data/1831915/000119312521207678/d80783dex1011.htm" TargetMode="External"/><Relationship Id="rId56" Type="http://schemas.openxmlformats.org/officeDocument/2006/relationships/hyperlink" Target="https://www.sec.gov/Archives/edgar/data/1831915/000119312521207678/d80783dex1011.htm" TargetMode="External"/><Relationship Id="rId57" Type="http://schemas.openxmlformats.org/officeDocument/2006/relationships/hyperlink" Target="https://www.sec.gov/Archives/edgar/data/1831915/000119312521207678/d80783dex1012.htm" TargetMode="External"/><Relationship Id="rId58" Type="http://schemas.openxmlformats.org/officeDocument/2006/relationships/hyperlink" Target="https://www.sec.gov/Archives/edgar/data/1831915/000119312521207678/d80783dex1012.htm" TargetMode="External"/><Relationship Id="rId59" Type="http://schemas.openxmlformats.org/officeDocument/2006/relationships/hyperlink" Target="https://www.sec.gov/Archives/edgar/data/1831915/000119312521207678/d80783dex1014.htm" TargetMode="External"/><Relationship Id="rId60" Type="http://schemas.openxmlformats.org/officeDocument/2006/relationships/hyperlink" Target="https://www.sec.gov/Archives/edgar/data/1831915/000119312521207678/d80783dex1014.htm" TargetMode="External"/><Relationship Id="rId61" Type="http://schemas.openxmlformats.org/officeDocument/2006/relationships/hyperlink" Target="https://www.sec.gov/Archives/edgar/data/1831915/000119312522231398/d661781dex12.htm" TargetMode="External"/><Relationship Id="rId62" Type="http://schemas.openxmlformats.org/officeDocument/2006/relationships/hyperlink" Target="https://www.sec.gov/Archives/edgar/data/1831915/000119312522231398/d661781dex12.htm" TargetMode="External"/><Relationship Id="rId63" Type="http://schemas.openxmlformats.org/officeDocument/2006/relationships/hyperlink" Target="https://www.sec.gov/Archives/edgar/data/1831915/000162828024010933/exhibit97clawbackpolicya.htm" TargetMode="External"/><Relationship Id="rId64" Type="http://schemas.openxmlformats.org/officeDocument/2006/relationships/hyperlink" Target="https://www.sec.gov/Archives/edgar/data/1831915/000162828024010933/exhibit97clawbackpolicya.htm" TargetMode="External"/><Relationship Id="rId65" Type="http://schemas.openxmlformats.org/officeDocument/2006/relationships/image" Target="media/image2.pn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91854</Words>
  <Characters>517364</Characters>
  <CharactersWithSpaces>606990</CharactersWithSpaces>
  <Paragraphs>4908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