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02026_080825.xml.htm"/>
      <w:bookmarkStart w:id="1" w:name="ksform408202026_08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MUIR GLENN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CYTEK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47215 LAKEVIEW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Cytek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52,469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 Award")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RSU Award shall vest over 3 years, with 2/36 of the total shares underlying the RSU Award vesting on August 18, 2026; 3/36 of the total shares underlying the RSU Award vesting on November 18, 2026 and each November 18 thereafter; 4/36 of the total shares underlying the RSU Award vesting on March 10, 2027 and each March 10 thereafter; 3/36 of the total shares underlying the RSU Award vesting on May 18, 2027 and each May 18 thereafter; and 3/36 of the total shares underlying the RSU Award vesting on August 18, 2027 and each August 18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Gordon Ho,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90" TargetMode="External"/><Relationship Id="rId5" Type="http://schemas.openxmlformats.org/officeDocument/2006/relationships/hyperlink" Target="http://www.sec.gov/cgi-bin/browse-edgar?action=getcompany&amp;CIK=00018319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703</Words>
  <Characters>3720</Characters>
  <CharactersWithSpaces>4343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