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FORM 10-Q</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8" w:lineRule="exact"/>
        <w:rPr>
          <w:sz w:val="24"/>
          <w:szCs w:val="24"/>
          <w:color w:val="auto"/>
        </w:rPr>
      </w:pPr>
    </w:p>
    <w:p>
      <w:pPr>
        <w:ind w:left="3900" w:right="3740" w:hanging="3892"/>
        <w:spacing w:after="0" w:line="342" w:lineRule="auto"/>
        <w:tabs>
          <w:tab w:leader="none" w:pos="17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2021</w:t>
      </w:r>
    </w:p>
    <w:p>
      <w:pPr>
        <w:ind w:left="5200"/>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180" w:hanging="172"/>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6" w:lineRule="exact"/>
        <w:rPr>
          <w:sz w:val="24"/>
          <w:szCs w:val="24"/>
          <w:color w:val="auto"/>
        </w:rPr>
      </w:pPr>
    </w:p>
    <w:p>
      <w:pPr>
        <w:ind w:left="3420"/>
        <w:spacing w:after="0"/>
        <w:rPr>
          <w:sz w:val="20"/>
          <w:szCs w:val="20"/>
          <w:color w:val="auto"/>
        </w:rPr>
      </w:pPr>
      <w:r>
        <w:rPr>
          <w:rFonts w:ascii="Arial" w:cs="Arial" w:eastAsia="Arial" w:hAnsi="Arial"/>
          <w:sz w:val="13"/>
          <w:szCs w:val="13"/>
          <w:b w:val="1"/>
          <w:bCs w:val="1"/>
          <w:color w:val="auto"/>
        </w:rPr>
        <w:t>For the transition period from ________________ to ________________</w:t>
      </w:r>
    </w:p>
    <w:p>
      <w:pPr>
        <w:spacing w:after="0" w:line="148"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Commission File Number: 001-40632</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CYTEK BIOSCIENCES,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576" w:right="339" w:bottom="1440" w:gutter="0" w:footer="0" w:header="0"/>
        </w:sectPr>
      </w:pPr>
    </w:p>
    <w:p>
      <w:pPr>
        <w:spacing w:after="0" w:line="190" w:lineRule="exact"/>
        <w:rPr>
          <w:sz w:val="24"/>
          <w:szCs w:val="24"/>
          <w:color w:val="auto"/>
        </w:rPr>
      </w:pPr>
    </w:p>
    <w:p>
      <w:pPr>
        <w:ind w:left="2840"/>
        <w:spacing w:after="0"/>
        <w:rPr>
          <w:sz w:val="20"/>
          <w:szCs w:val="20"/>
          <w:color w:val="auto"/>
        </w:rPr>
      </w:pPr>
      <w:r>
        <w:rPr>
          <w:rFonts w:ascii="Arial" w:cs="Arial" w:eastAsia="Arial" w:hAnsi="Arial"/>
          <w:sz w:val="14"/>
          <w:szCs w:val="14"/>
          <w:b w:val="1"/>
          <w:bCs w:val="1"/>
          <w:color w:val="auto"/>
        </w:rPr>
        <w:t>Delaware</w:t>
      </w:r>
    </w:p>
    <w:p>
      <w:pPr>
        <w:spacing w:after="0" w:line="55"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37" w:lineRule="exact"/>
        <w:rPr>
          <w:sz w:val="24"/>
          <w:szCs w:val="24"/>
          <w:color w:val="auto"/>
        </w:rPr>
      </w:pPr>
    </w:p>
    <w:p>
      <w:pPr>
        <w:ind w:left="2160"/>
        <w:spacing w:after="0"/>
        <w:rPr>
          <w:sz w:val="20"/>
          <w:szCs w:val="20"/>
          <w:color w:val="auto"/>
        </w:rPr>
      </w:pPr>
      <w:r>
        <w:rPr>
          <w:rFonts w:ascii="Arial" w:cs="Arial" w:eastAsia="Arial" w:hAnsi="Arial"/>
          <w:sz w:val="14"/>
          <w:szCs w:val="14"/>
          <w:b w:val="1"/>
          <w:bCs w:val="1"/>
          <w:color w:val="auto"/>
        </w:rPr>
        <w:t>46107 Landing Pkwy</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640"/>
        <w:spacing w:after="0"/>
        <w:rPr>
          <w:sz w:val="20"/>
          <w:szCs w:val="20"/>
          <w:color w:val="auto"/>
        </w:rPr>
      </w:pPr>
      <w:r>
        <w:rPr>
          <w:rFonts w:ascii="Arial" w:cs="Arial" w:eastAsia="Arial" w:hAnsi="Arial"/>
          <w:sz w:val="14"/>
          <w:szCs w:val="14"/>
          <w:b w:val="1"/>
          <w:bCs w:val="1"/>
          <w:color w:val="auto"/>
        </w:rPr>
        <w:t>47-2547526</w:t>
      </w:r>
    </w:p>
    <w:p>
      <w:pPr>
        <w:spacing w:after="0" w:line="55" w:lineRule="exact"/>
        <w:rPr>
          <w:sz w:val="24"/>
          <w:szCs w:val="24"/>
          <w:color w:val="auto"/>
        </w:rPr>
      </w:pPr>
    </w:p>
    <w:p>
      <w:pPr>
        <w:jc w:val="center"/>
        <w:ind w:right="1680"/>
        <w:spacing w:after="0"/>
        <w:rPr>
          <w:sz w:val="20"/>
          <w:szCs w:val="20"/>
          <w:color w:val="auto"/>
        </w:rPr>
      </w:pPr>
      <w:r>
        <w:rPr>
          <w:rFonts w:ascii="Arial" w:cs="Arial" w:eastAsia="Arial" w:hAnsi="Arial"/>
          <w:sz w:val="13"/>
          <w:szCs w:val="13"/>
          <w:b w:val="1"/>
          <w:bCs w:val="1"/>
          <w:color w:val="auto"/>
        </w:rPr>
        <w:t>(I.R.S. Employer Identification No.)</w:t>
      </w:r>
    </w:p>
    <w:p>
      <w:pPr>
        <w:spacing w:after="0" w:line="282" w:lineRule="exact"/>
        <w:rPr>
          <w:sz w:val="24"/>
          <w:szCs w:val="24"/>
          <w:color w:val="auto"/>
        </w:rPr>
      </w:pPr>
    </w:p>
    <w:p>
      <w:pPr>
        <w:sectPr>
          <w:pgSz w:w="11900" w:h="16838" w:orient="portrait"/>
          <w:cols w:equalWidth="0" w:num="2">
            <w:col w:w="6640" w:space="720"/>
            <w:col w:w="3880"/>
          </w:cols>
          <w:pgMar w:left="320" w:top="576" w:right="339" w:bottom="1440" w:gutter="0" w:footer="0" w:header="0"/>
          <w:type w:val="continuous"/>
        </w:sectPr>
      </w:pPr>
    </w:p>
    <w:p>
      <w:pPr>
        <w:ind w:left="2400"/>
        <w:spacing w:after="0"/>
        <w:rPr>
          <w:sz w:val="20"/>
          <w:szCs w:val="20"/>
          <w:color w:val="auto"/>
        </w:rPr>
      </w:pPr>
      <w:r>
        <w:rPr>
          <w:rFonts w:ascii="Arial" w:cs="Arial" w:eastAsia="Arial" w:hAnsi="Arial"/>
          <w:sz w:val="14"/>
          <w:szCs w:val="14"/>
          <w:b w:val="1"/>
          <w:bCs w:val="1"/>
          <w:color w:val="auto"/>
        </w:rPr>
        <w:t>Fremont, California</w:t>
      </w:r>
    </w:p>
    <w:p>
      <w:pPr>
        <w:spacing w:after="0" w:line="55" w:lineRule="exact"/>
        <w:rPr>
          <w:sz w:val="24"/>
          <w:szCs w:val="24"/>
          <w:color w:val="auto"/>
        </w:r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Arial" w:cs="Arial" w:eastAsia="Arial" w:hAnsi="Arial"/>
          <w:sz w:val="14"/>
          <w:szCs w:val="14"/>
          <w:b w:val="1"/>
          <w:bCs w:val="1"/>
          <w:color w:val="auto"/>
        </w:rPr>
        <w:t>94538</w:t>
      </w:r>
    </w:p>
    <w:p>
      <w:pPr>
        <w:spacing w:after="0" w:line="55" w:lineRule="exact"/>
        <w:rPr>
          <w:sz w:val="24"/>
          <w:szCs w:val="24"/>
          <w:color w:val="auto"/>
        </w:rPr>
      </w:pPr>
    </w:p>
    <w:p>
      <w:pPr>
        <w:jc w:val="center"/>
        <w:ind w:right="2480"/>
        <w:spacing w:after="0"/>
        <w:rPr>
          <w:sz w:val="20"/>
          <w:szCs w:val="20"/>
          <w:color w:val="auto"/>
        </w:rPr>
      </w:pPr>
      <w:r>
        <w:rPr>
          <w:rFonts w:ascii="Arial" w:cs="Arial" w:eastAsia="Arial" w:hAnsi="Arial"/>
          <w:sz w:val="13"/>
          <w:szCs w:val="13"/>
          <w:b w:val="1"/>
          <w:bCs w:val="1"/>
          <w:color w:val="auto"/>
        </w:rPr>
        <w:t>(Zip Code)</w:t>
      </w:r>
    </w:p>
    <w:p>
      <w:pPr>
        <w:spacing w:after="0" w:line="53" w:lineRule="exact"/>
        <w:rPr>
          <w:sz w:val="24"/>
          <w:szCs w:val="24"/>
          <w:color w:val="auto"/>
        </w:rPr>
      </w:pPr>
    </w:p>
    <w:p>
      <w:pPr>
        <w:sectPr>
          <w:pgSz w:w="11900" w:h="16838" w:orient="portrait"/>
          <w:cols w:equalWidth="0" w:num="2">
            <w:col w:w="7380" w:space="720"/>
            <w:col w:w="3140"/>
          </w:cols>
          <w:pgMar w:left="320" w:top="576"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(877) 922-9835</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ind w:left="98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47"/>
        </w:trPr>
        <w:tc>
          <w:tcPr>
            <w:tcW w:w="3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r>
      <w:tr>
        <w:trPr>
          <w:trHeight w:val="184"/>
        </w:trPr>
        <w:tc>
          <w:tcPr>
            <w:tcW w:w="3040" w:type="dxa"/>
            <w:vAlign w:val="bottom"/>
          </w:tcPr>
          <w:p>
            <w:pPr>
              <w:ind w:left="20"/>
              <w:spacing w:after="0"/>
              <w:rPr>
                <w:sz w:val="20"/>
                <w:szCs w:val="20"/>
                <w:color w:val="auto"/>
              </w:rPr>
            </w:pPr>
            <w:r>
              <w:rPr>
                <w:rFonts w:ascii="Arial" w:cs="Arial" w:eastAsia="Arial" w:hAnsi="Arial"/>
                <w:sz w:val="14"/>
                <w:szCs w:val="14"/>
                <w:color w:val="auto"/>
              </w:rPr>
              <w:t>Common Stock, $0.001 par value per share</w:t>
            </w:r>
          </w:p>
        </w:tc>
        <w:tc>
          <w:tcPr>
            <w:tcW w:w="12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Arial" w:cs="Arial" w:eastAsia="Arial" w:hAnsi="Arial"/>
                <w:sz w:val="14"/>
                <w:szCs w:val="14"/>
                <w:color w:val="auto"/>
              </w:rPr>
              <w:t>CTKB</w:t>
            </w:r>
          </w:p>
        </w:tc>
        <w:tc>
          <w:tcPr>
            <w:tcW w:w="10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317" w:lineRule="exact"/>
        <w:rPr>
          <w:sz w:val="24"/>
          <w:szCs w:val="24"/>
          <w:color w:val="auto"/>
        </w:rPr>
      </w:pPr>
    </w:p>
    <w:p>
      <w:pPr>
        <w:jc w:val="both"/>
        <w:ind w:right="20"/>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right="20"/>
        <w:spacing w:after="0" w:line="3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r>
    </w:tbl>
    <w:p>
      <w:pPr>
        <w:spacing w:after="0" w:line="207" w:lineRule="exact"/>
        <w:rPr>
          <w:sz w:val="24"/>
          <w:szCs w:val="24"/>
          <w:color w:val="auto"/>
        </w:rPr>
      </w:pPr>
    </w:p>
    <w:p>
      <w:pPr>
        <w:ind w:right="2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As of August 31, 2021, there were 46,425,422 outstanding shares of the registrant’s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60" w:type="dxa"/>
            <w:vAlign w:val="bottom"/>
            <w:gridSpan w:val="3"/>
          </w:tcPr>
          <w:p>
            <w:pPr>
              <w:ind w:left="120"/>
              <w:spacing w:after="0"/>
              <w:rPr>
                <w:sz w:val="20"/>
                <w:szCs w:val="20"/>
                <w:color w:val="auto"/>
              </w:rPr>
            </w:pPr>
            <w:r>
              <w:rPr>
                <w:rFonts w:ascii="Arial" w:cs="Arial" w:eastAsia="Arial" w:hAnsi="Arial"/>
                <w:sz w:val="14"/>
                <w:szCs w:val="14"/>
                <w:b w:val="1"/>
                <w:bCs w:val="1"/>
                <w:color w:val="auto"/>
              </w:rPr>
              <w:t>Table of Contents</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50"/>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PART I.</w:t>
            </w:r>
          </w:p>
        </w:tc>
        <w:tc>
          <w:tcPr>
            <w:tcW w:w="1800" w:type="dxa"/>
            <w:vAlign w:val="bottom"/>
            <w:tcBorders>
              <w:bottom w:val="single" w:sz="8" w:color="0000FF"/>
            </w:tcBorders>
            <w:gridSpan w:val="9"/>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FINANCIAL INFORMATION</w:t>
              </w:r>
            </w:hyperlink>
          </w:p>
        </w:tc>
        <w:tc>
          <w:tcPr>
            <w:tcW w:w="20" w:type="dxa"/>
            <w:vAlign w:val="bottom"/>
            <w:tcBorders>
              <w:bottom w:val="single" w:sz="8" w:color="0000EE"/>
            </w:tcBorders>
          </w:tcPr>
          <w:p>
            <w:pPr>
              <w:spacing w:after="0"/>
              <w:rPr>
                <w:sz w:val="24"/>
                <w:szCs w:val="24"/>
                <w:color w:val="auto"/>
              </w:rPr>
            </w:pPr>
          </w:p>
        </w:tc>
        <w:tc>
          <w:tcPr>
            <w:tcW w:w="5860" w:type="dxa"/>
            <w:vAlign w:val="bottom"/>
            <w:gridSpan w:val="1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1.</w:t>
            </w:r>
          </w:p>
        </w:tc>
        <w:tc>
          <w:tcPr>
            <w:tcW w:w="7680" w:type="dxa"/>
            <w:vAlign w:val="bottom"/>
            <w:gridSpan w:val="2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Consolidated Financial Statements (Unaudited)</w:t>
              </w:r>
            </w:hyperlink>
          </w:p>
        </w:tc>
        <w:tc>
          <w:tcPr>
            <w:tcW w:w="25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tcBorders>
              <w:top w:val="single" w:sz="8" w:color="0000FF"/>
            </w:tcBorders>
            <w:gridSpan w:val="15"/>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Consolidated Balance Sheets</w:t>
              </w:r>
            </w:hyperlink>
          </w:p>
        </w:tc>
        <w:tc>
          <w:tcPr>
            <w:tcW w:w="4960" w:type="dxa"/>
            <w:vAlign w:val="bottom"/>
            <w:gridSpan w:val="7"/>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00" w:type="dxa"/>
            <w:vAlign w:val="bottom"/>
            <w:tcBorders>
              <w:bottom w:val="single" w:sz="8" w:color="0000FF"/>
            </w:tcBorders>
            <w:gridSpan w:val="18"/>
          </w:tcPr>
          <w:p>
            <w:pPr>
              <w:spacing w:after="0"/>
              <w:rPr>
                <w:rFonts w:ascii="Arial" w:cs="Arial" w:eastAsia="Arial" w:hAnsi="Arial"/>
                <w:sz w:val="14"/>
                <w:szCs w:val="14"/>
                <w:color w:val="0000FF"/>
                <w:w w:val="91"/>
              </w:rPr>
            </w:pPr>
            <w:hyperlink w:anchor="page4">
              <w:r>
                <w:rPr>
                  <w:rFonts w:ascii="Arial" w:cs="Arial" w:eastAsia="Arial" w:hAnsi="Arial"/>
                  <w:sz w:val="14"/>
                  <w:szCs w:val="14"/>
                  <w:color w:val="0000FF"/>
                  <w:w w:val="91"/>
                </w:rPr>
                <w:t>Consolidated Statements of Operations and Comprehensive Income</w:t>
              </w:r>
            </w:hyperlink>
          </w:p>
        </w:tc>
        <w:tc>
          <w:tcPr>
            <w:tcW w:w="20" w:type="dxa"/>
            <w:vAlign w:val="bottom"/>
            <w:tcBorders>
              <w:bottom w:val="single" w:sz="8" w:color="0000EE"/>
            </w:tcBorders>
          </w:tcPr>
          <w:p>
            <w:pPr>
              <w:spacing w:after="0"/>
              <w:rPr>
                <w:sz w:val="24"/>
                <w:szCs w:val="24"/>
                <w:color w:val="auto"/>
              </w:rPr>
            </w:pPr>
          </w:p>
        </w:tc>
        <w:tc>
          <w:tcPr>
            <w:tcW w:w="3760" w:type="dxa"/>
            <w:vAlign w:val="bottom"/>
            <w:gridSpan w:val="3"/>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80" w:type="dxa"/>
            <w:vAlign w:val="bottom"/>
            <w:gridSpan w:val="22"/>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Redeemable Convertible Preferred Stock and Stockholders' Deficit</w:t>
              </w:r>
            </w:hyperlink>
          </w:p>
        </w:tc>
        <w:tc>
          <w:tcPr>
            <w:tcW w:w="25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60" w:type="dxa"/>
            <w:vAlign w:val="bottom"/>
            <w:tcBorders>
              <w:top w:val="single" w:sz="8" w:color="0000FF"/>
            </w:tcBorders>
            <w:gridSpan w:val="21"/>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Cash Flows</w:t>
              </w:r>
            </w:hyperlink>
          </w:p>
        </w:tc>
        <w:tc>
          <w:tcPr>
            <w:tcW w:w="22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Borders>
              <w:bottom w:val="single" w:sz="8" w:color="0000FF"/>
            </w:tcBorders>
            <w:gridSpan w:val="13"/>
          </w:tcPr>
          <w:p>
            <w:pPr>
              <w:spacing w:after="0"/>
              <w:rPr>
                <w:rFonts w:ascii="Arial" w:cs="Arial" w:eastAsia="Arial" w:hAnsi="Arial"/>
                <w:sz w:val="14"/>
                <w:szCs w:val="14"/>
                <w:color w:val="0000FF"/>
                <w:w w:val="91"/>
              </w:rPr>
            </w:pPr>
            <w:hyperlink w:anchor="page7">
              <w:r>
                <w:rPr>
                  <w:rFonts w:ascii="Arial" w:cs="Arial" w:eastAsia="Arial" w:hAnsi="Arial"/>
                  <w:sz w:val="14"/>
                  <w:szCs w:val="14"/>
                  <w:color w:val="0000FF"/>
                  <w:w w:val="91"/>
                </w:rPr>
                <w:t>Notes to Consolidated Financial Statements</w:t>
              </w:r>
            </w:hyperlink>
          </w:p>
        </w:tc>
        <w:tc>
          <w:tcPr>
            <w:tcW w:w="20" w:type="dxa"/>
            <w:vAlign w:val="bottom"/>
            <w:tcBorders>
              <w:bottom w:val="single" w:sz="8" w:color="0000EE"/>
            </w:tcBorders>
          </w:tcPr>
          <w:p>
            <w:pPr>
              <w:spacing w:after="0"/>
              <w:rPr>
                <w:sz w:val="24"/>
                <w:szCs w:val="24"/>
                <w:color w:val="auto"/>
              </w:rPr>
            </w:pPr>
          </w:p>
        </w:tc>
        <w:tc>
          <w:tcPr>
            <w:tcW w:w="5140" w:type="dxa"/>
            <w:vAlign w:val="bottom"/>
            <w:gridSpan w:val="8"/>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2.</w:t>
            </w:r>
          </w:p>
        </w:tc>
        <w:tc>
          <w:tcPr>
            <w:tcW w:w="5160" w:type="dxa"/>
            <w:vAlign w:val="bottom"/>
            <w:tcBorders>
              <w:bottom w:val="single" w:sz="8" w:color="0000FF"/>
            </w:tcBorders>
            <w:gridSpan w:val="20"/>
          </w:tcPr>
          <w:p>
            <w:pPr>
              <w:spacing w:after="0"/>
              <w:rPr>
                <w:rFonts w:ascii="Arial" w:cs="Arial" w:eastAsia="Arial" w:hAnsi="Arial"/>
                <w:sz w:val="14"/>
                <w:szCs w:val="14"/>
                <w:color w:val="0000FF"/>
                <w:w w:val="93"/>
              </w:rPr>
            </w:pPr>
            <w:hyperlink w:anchor="page23">
              <w:r>
                <w:rPr>
                  <w:rFonts w:ascii="Arial" w:cs="Arial" w:eastAsia="Arial" w:hAnsi="Arial"/>
                  <w:sz w:val="14"/>
                  <w:szCs w:val="14"/>
                  <w:color w:val="0000FF"/>
                  <w:w w:val="93"/>
                </w:rPr>
                <w:t>Management’s Discussion and Analysis of Financial Condition and Results of Operations</w:t>
              </w:r>
            </w:hyperlink>
          </w:p>
        </w:tc>
        <w:tc>
          <w:tcPr>
            <w:tcW w:w="2520" w:type="dxa"/>
            <w:vAlign w:val="bottom"/>
            <w:gridSpan w:val="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3.</w:t>
            </w:r>
          </w:p>
        </w:tc>
        <w:tc>
          <w:tcPr>
            <w:tcW w:w="3480" w:type="dxa"/>
            <w:vAlign w:val="bottom"/>
            <w:tcBorders>
              <w:bottom w:val="single" w:sz="8" w:color="0000FF"/>
            </w:tcBorders>
            <w:gridSpan w:val="17"/>
          </w:tcPr>
          <w:p>
            <w:pPr>
              <w:spacing w:after="0"/>
              <w:rPr>
                <w:rFonts w:ascii="Arial" w:cs="Arial" w:eastAsia="Arial" w:hAnsi="Arial"/>
                <w:sz w:val="14"/>
                <w:szCs w:val="14"/>
                <w:color w:val="0000FF"/>
                <w:w w:val="94"/>
              </w:rPr>
            </w:pPr>
            <w:hyperlink w:anchor="page33">
              <w:r>
                <w:rPr>
                  <w:rFonts w:ascii="Arial" w:cs="Arial" w:eastAsia="Arial" w:hAnsi="Arial"/>
                  <w:sz w:val="14"/>
                  <w:szCs w:val="14"/>
                  <w:color w:val="0000FF"/>
                  <w:w w:val="94"/>
                </w:rPr>
                <w:t>Quantitative and Qualitative Disclosures About Market Risk</w:t>
              </w:r>
            </w:hyperlink>
          </w:p>
        </w:tc>
        <w:tc>
          <w:tcPr>
            <w:tcW w:w="4200" w:type="dxa"/>
            <w:vAlign w:val="bottom"/>
            <w:gridSpan w:val="5"/>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4.</w:t>
            </w:r>
          </w:p>
        </w:tc>
        <w:tc>
          <w:tcPr>
            <w:tcW w:w="7680" w:type="dxa"/>
            <w:vAlign w:val="bottom"/>
            <w:gridSpan w:val="22"/>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Controls and Procedures</w:t>
              </w:r>
            </w:hyperlink>
          </w:p>
        </w:tc>
        <w:tc>
          <w:tcPr>
            <w:tcW w:w="25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 II.</w:t>
            </w: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vMerge w:val="continue"/>
          </w:tcPr>
          <w:p>
            <w:pPr>
              <w:spacing w:after="0"/>
              <w:rPr>
                <w:sz w:val="24"/>
                <w:szCs w:val="24"/>
                <w:color w:val="auto"/>
              </w:rPr>
            </w:pPr>
          </w:p>
        </w:tc>
        <w:tc>
          <w:tcPr>
            <w:tcW w:w="7680" w:type="dxa"/>
            <w:vAlign w:val="bottom"/>
            <w:gridSpan w:val="22"/>
          </w:tcPr>
          <w:p>
            <w:pPr>
              <w:spacing w:after="0"/>
              <w:rPr>
                <w:rFonts w:ascii="Arial" w:cs="Arial" w:eastAsia="Arial" w:hAnsi="Arial"/>
                <w:sz w:val="14"/>
                <w:szCs w:val="14"/>
                <w:color w:val="0000FF"/>
              </w:rPr>
            </w:pPr>
            <w:hyperlink w:anchor="page35">
              <w:r>
                <w:rPr>
                  <w:rFonts w:ascii="Arial" w:cs="Arial" w:eastAsia="Arial" w:hAnsi="Arial"/>
                  <w:sz w:val="14"/>
                  <w:szCs w:val="14"/>
                  <w:color w:val="0000FF"/>
                </w:rPr>
                <w:t>OTHER INFORMATION</w:t>
              </w:r>
            </w:hyperlink>
          </w:p>
        </w:tc>
        <w:tc>
          <w:tcPr>
            <w:tcW w:w="25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1.</w:t>
            </w:r>
          </w:p>
        </w:tc>
        <w:tc>
          <w:tcPr>
            <w:tcW w:w="1500" w:type="dxa"/>
            <w:vAlign w:val="bottom"/>
            <w:tcBorders>
              <w:top w:val="single" w:sz="8" w:color="0000FF"/>
            </w:tcBorders>
            <w:gridSpan w:val="7"/>
          </w:tcPr>
          <w:p>
            <w:pPr>
              <w:spacing w:after="0"/>
              <w:rPr>
                <w:rFonts w:ascii="Arial" w:cs="Arial" w:eastAsia="Arial" w:hAnsi="Arial"/>
                <w:sz w:val="14"/>
                <w:szCs w:val="14"/>
                <w:color w:val="0000FF"/>
              </w:rPr>
            </w:pPr>
            <w:hyperlink w:anchor="page35">
              <w:r>
                <w:rPr>
                  <w:rFonts w:ascii="Arial" w:cs="Arial" w:eastAsia="Arial" w:hAnsi="Arial"/>
                  <w:sz w:val="14"/>
                  <w:szCs w:val="14"/>
                  <w:color w:val="0000FF"/>
                </w:rPr>
                <w:t>Legal Proceedings</w:t>
              </w:r>
            </w:hyperlink>
          </w:p>
        </w:tc>
        <w:tc>
          <w:tcPr>
            <w:tcW w:w="6180" w:type="dxa"/>
            <w:vAlign w:val="bottom"/>
            <w:gridSpan w:val="15"/>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317"/>
        </w:trPr>
        <w:tc>
          <w:tcPr>
            <w:tcW w:w="102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72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89"/>
              </w:rPr>
            </w:pPr>
            <w:hyperlink w:anchor="page35">
              <w:r>
                <w:rPr>
                  <w:rFonts w:ascii="Arial" w:cs="Arial" w:eastAsia="Arial" w:hAnsi="Arial"/>
                  <w:sz w:val="14"/>
                  <w:szCs w:val="14"/>
                  <w:color w:val="0000FF"/>
                  <w:w w:val="89"/>
                </w:rPr>
                <w:t>Risk Factors</w:t>
              </w:r>
            </w:hyperlink>
          </w:p>
        </w:tc>
        <w:tc>
          <w:tcPr>
            <w:tcW w:w="20" w:type="dxa"/>
            <w:vAlign w:val="bottom"/>
            <w:tcBorders>
              <w:top w:val="single" w:sz="8" w:color="0000FF"/>
              <w:bottom w:val="single" w:sz="8" w:color="0000EE"/>
            </w:tcBorders>
          </w:tcPr>
          <w:p>
            <w:pPr>
              <w:spacing w:after="0"/>
              <w:rPr>
                <w:sz w:val="24"/>
                <w:szCs w:val="24"/>
                <w:color w:val="auto"/>
              </w:rPr>
            </w:pPr>
          </w:p>
        </w:tc>
        <w:tc>
          <w:tcPr>
            <w:tcW w:w="320" w:type="dxa"/>
            <w:vAlign w:val="bottom"/>
            <w:tcBorders>
              <w:top w:val="single" w:sz="8" w:color="0000FF"/>
            </w:tcBorders>
            <w:gridSpan w:val="2"/>
          </w:tcPr>
          <w:p>
            <w:pPr>
              <w:spacing w:after="0"/>
              <w:rPr>
                <w:sz w:val="24"/>
                <w:szCs w:val="24"/>
                <w:color w:val="auto"/>
              </w:rPr>
            </w:pPr>
          </w:p>
        </w:tc>
        <w:tc>
          <w:tcPr>
            <w:tcW w:w="6620" w:type="dxa"/>
            <w:vAlign w:val="bottom"/>
            <w:gridSpan w:val="17"/>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2.</w:t>
            </w:r>
          </w:p>
        </w:tc>
        <w:tc>
          <w:tcPr>
            <w:tcW w:w="7680" w:type="dxa"/>
            <w:vAlign w:val="bottom"/>
            <w:gridSpan w:val="22"/>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Unregistered Sales of Equity Securities and Use of Proceeds</w:t>
              </w:r>
            </w:hyperlink>
          </w:p>
        </w:tc>
        <w:tc>
          <w:tcPr>
            <w:tcW w:w="25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3.</w:t>
            </w:r>
          </w:p>
        </w:tc>
        <w:tc>
          <w:tcPr>
            <w:tcW w:w="186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92"/>
              </w:rPr>
            </w:pPr>
            <w:hyperlink w:anchor="page64">
              <w:r>
                <w:rPr>
                  <w:rFonts w:ascii="Arial" w:cs="Arial" w:eastAsia="Arial" w:hAnsi="Arial"/>
                  <w:sz w:val="14"/>
                  <w:szCs w:val="14"/>
                  <w:color w:val="0000FF"/>
                  <w:w w:val="92"/>
                </w:rPr>
                <w:t>Defaults Upon Senior Securities</w:t>
              </w:r>
            </w:hyperlink>
          </w:p>
        </w:tc>
        <w:tc>
          <w:tcPr>
            <w:tcW w:w="1600" w:type="dxa"/>
            <w:vAlign w:val="bottom"/>
            <w:tcBorders>
              <w:top w:val="single" w:sz="8" w:color="0000FF"/>
            </w:tcBorders>
            <w:gridSpan w:val="5"/>
          </w:tcPr>
          <w:p>
            <w:pPr>
              <w:spacing w:after="0"/>
              <w:rPr>
                <w:sz w:val="24"/>
                <w:szCs w:val="24"/>
                <w:color w:val="auto"/>
              </w:rPr>
            </w:pPr>
          </w:p>
        </w:tc>
        <w:tc>
          <w:tcPr>
            <w:tcW w:w="4220" w:type="dxa"/>
            <w:vAlign w:val="bottom"/>
            <w:gridSpan w:val="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4.</w:t>
            </w:r>
          </w:p>
        </w:tc>
        <w:tc>
          <w:tcPr>
            <w:tcW w:w="7680" w:type="dxa"/>
            <w:vAlign w:val="bottom"/>
            <w:gridSpan w:val="22"/>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Mine Safety Disclosures</w:t>
              </w:r>
            </w:hyperlink>
          </w:p>
        </w:tc>
        <w:tc>
          <w:tcPr>
            <w:tcW w:w="25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5.</w:t>
            </w:r>
          </w:p>
        </w:tc>
        <w:tc>
          <w:tcPr>
            <w:tcW w:w="1420" w:type="dxa"/>
            <w:vAlign w:val="bottom"/>
            <w:tcBorders>
              <w:top w:val="single" w:sz="8" w:color="0000FF"/>
            </w:tcBorders>
            <w:gridSpan w:val="6"/>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Other Information</w:t>
              </w:r>
            </w:hyperlink>
          </w:p>
        </w:tc>
        <w:tc>
          <w:tcPr>
            <w:tcW w:w="6260" w:type="dxa"/>
            <w:vAlign w:val="bottom"/>
            <w:gridSpan w:val="1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6.</w:t>
            </w:r>
          </w:p>
        </w:tc>
        <w:tc>
          <w:tcPr>
            <w:tcW w:w="1040" w:type="dxa"/>
            <w:vAlign w:val="bottom"/>
            <w:tcBorders>
              <w:top w:val="single" w:sz="8" w:color="0000FF"/>
            </w:tcBorders>
            <w:gridSpan w:val="4"/>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Exhibits</w:t>
              </w:r>
            </w:hyperlink>
          </w:p>
        </w:tc>
        <w:tc>
          <w:tcPr>
            <w:tcW w:w="6640" w:type="dxa"/>
            <w:vAlign w:val="bottom"/>
            <w:gridSpan w:val="18"/>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Signatures</w:t>
              </w:r>
            </w:hyperlink>
          </w:p>
        </w:tc>
        <w:tc>
          <w:tcPr>
            <w:tcW w:w="4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4"/>
          <w:szCs w:val="14"/>
          <w:b w:val="1"/>
          <w:bCs w:val="1"/>
          <w:color w:val="auto"/>
        </w:rPr>
        <w:t>PART I-FINANCIAL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Consolidated Financial Statements (Unaudited)</w:t>
      </w:r>
    </w:p>
    <w:p>
      <w:pPr>
        <w:spacing w:after="0" w:line="123"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Cytek Biosciences, Inc.</w:t>
      </w:r>
    </w:p>
    <w:p>
      <w:pPr>
        <w:spacing w:after="0" w:line="25"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Consolidated Balance Sheets</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2"/>
              </w:rPr>
              <w:t>December 31,</w:t>
            </w:r>
          </w:p>
        </w:tc>
      </w:tr>
      <w:tr>
        <w:trPr>
          <w:trHeight w:val="197"/>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tcPr>
          <w:p>
            <w:pPr>
              <w:spacing w:after="0"/>
              <w:rPr>
                <w:sz w:val="17"/>
                <w:szCs w:val="17"/>
                <w:color w:val="auto"/>
              </w:rPr>
            </w:pPr>
          </w:p>
        </w:tc>
        <w:tc>
          <w:tcPr>
            <w:tcW w:w="1380" w:type="dxa"/>
            <w:vAlign w:val="bottom"/>
          </w:tcPr>
          <w:p>
            <w:pPr>
              <w:jc w:val="center"/>
              <w:ind w:right="26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right="208"/>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7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248"/>
              <w:spacing w:after="0"/>
              <w:rPr>
                <w:sz w:val="20"/>
                <w:szCs w:val="20"/>
                <w:color w:val="auto"/>
              </w:rPr>
            </w:pPr>
            <w:r>
              <w:rPr>
                <w:rFonts w:ascii="Arial" w:cs="Arial" w:eastAsia="Arial" w:hAnsi="Arial"/>
                <w:sz w:val="14"/>
                <w:szCs w:val="14"/>
                <w:b w:val="1"/>
                <w:bCs w:val="1"/>
                <w:i w:val="1"/>
                <w:iCs w:val="1"/>
                <w:color w:val="auto"/>
                <w:w w:val="91"/>
              </w:rPr>
              <w:t>(unaudited)</w:t>
            </w: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208"/>
              <w:spacing w:after="0"/>
              <w:rPr>
                <w:sz w:val="20"/>
                <w:szCs w:val="20"/>
                <w:color w:val="auto"/>
              </w:rPr>
            </w:pPr>
            <w:r>
              <w:rPr>
                <w:rFonts w:ascii="Arial" w:cs="Arial" w:eastAsia="Arial" w:hAnsi="Arial"/>
                <w:sz w:val="14"/>
                <w:szCs w:val="14"/>
                <w:b w:val="1"/>
                <w:bCs w:val="1"/>
                <w:i w:val="1"/>
                <w:iCs w:val="1"/>
                <w:color w:val="auto"/>
                <w:w w:val="91"/>
              </w:rPr>
              <w:t>(audited)</w:t>
            </w:r>
          </w:p>
        </w:tc>
      </w:tr>
      <w:tr>
        <w:trPr>
          <w:trHeight w:val="209"/>
        </w:trPr>
        <w:tc>
          <w:tcPr>
            <w:tcW w:w="722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196"/>
        </w:trPr>
        <w:tc>
          <w:tcPr>
            <w:tcW w:w="722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72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159,846</w:t>
            </w:r>
          </w:p>
        </w:tc>
        <w:tc>
          <w:tcPr>
            <w:tcW w:w="4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165,231</w:t>
            </w:r>
          </w:p>
        </w:tc>
      </w:tr>
      <w:tr>
        <w:trPr>
          <w:trHeight w:val="196"/>
        </w:trPr>
        <w:tc>
          <w:tcPr>
            <w:tcW w:w="7220" w:type="dxa"/>
            <w:vAlign w:val="bottom"/>
            <w:gridSpan w:val="2"/>
          </w:tcPr>
          <w:p>
            <w:pPr>
              <w:ind w:left="120"/>
              <w:spacing w:after="0"/>
              <w:rPr>
                <w:sz w:val="20"/>
                <w:szCs w:val="20"/>
                <w:color w:val="auto"/>
              </w:rPr>
            </w:pPr>
            <w:r>
              <w:rPr>
                <w:rFonts w:ascii="Arial" w:cs="Arial" w:eastAsia="Arial" w:hAnsi="Arial"/>
                <w:sz w:val="14"/>
                <w:szCs w:val="14"/>
                <w:color w:val="auto"/>
              </w:rPr>
              <w:t>Trade accounts receivable, net</w:t>
            </w:r>
          </w:p>
        </w:tc>
        <w:tc>
          <w:tcPr>
            <w:tcW w:w="2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24,029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16,990</w:t>
            </w:r>
          </w:p>
        </w:tc>
      </w:tr>
      <w:tr>
        <w:trPr>
          <w:trHeight w:val="209"/>
        </w:trPr>
        <w:tc>
          <w:tcPr>
            <w:tcW w:w="72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888</w:t>
            </w:r>
          </w:p>
        </w:tc>
      </w:tr>
      <w:tr>
        <w:trPr>
          <w:trHeight w:val="196"/>
        </w:trPr>
        <w:tc>
          <w:tcPr>
            <w:tcW w:w="7220" w:type="dxa"/>
            <w:vAlign w:val="bottom"/>
            <w:gridSpan w:val="2"/>
          </w:tcPr>
          <w:p>
            <w:pPr>
              <w:ind w:left="12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26,655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23,018</w:t>
            </w:r>
          </w:p>
        </w:tc>
      </w:tr>
      <w:tr>
        <w:trPr>
          <w:trHeight w:val="203"/>
        </w:trPr>
        <w:tc>
          <w:tcPr>
            <w:tcW w:w="72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6,408</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2,495</w:t>
            </w:r>
          </w:p>
        </w:tc>
      </w:tr>
      <w:tr>
        <w:trPr>
          <w:trHeight w:val="196"/>
        </w:trPr>
        <w:tc>
          <w:tcPr>
            <w:tcW w:w="722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216,938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208,622</w:t>
            </w:r>
          </w:p>
        </w:tc>
      </w:tr>
      <w:tr>
        <w:trPr>
          <w:trHeight w:val="208"/>
        </w:trPr>
        <w:tc>
          <w:tcPr>
            <w:tcW w:w="7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Deferred income tax assets, noncurrent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7,378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7,378</w:t>
            </w:r>
          </w:p>
        </w:tc>
      </w:tr>
      <w:tr>
        <w:trPr>
          <w:trHeight w:val="197"/>
        </w:trPr>
        <w:tc>
          <w:tcPr>
            <w:tcW w:w="722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3,895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2,140</w:t>
            </w:r>
          </w:p>
        </w:tc>
      </w:tr>
      <w:tr>
        <w:trPr>
          <w:trHeight w:val="208"/>
        </w:trPr>
        <w:tc>
          <w:tcPr>
            <w:tcW w:w="7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476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476</w:t>
            </w:r>
          </w:p>
        </w:tc>
      </w:tr>
      <w:tr>
        <w:trPr>
          <w:trHeight w:val="197"/>
        </w:trPr>
        <w:tc>
          <w:tcPr>
            <w:tcW w:w="722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333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274</w:t>
            </w:r>
          </w:p>
        </w:tc>
      </w:tr>
      <w:tr>
        <w:trPr>
          <w:trHeight w:val="203"/>
        </w:trPr>
        <w:tc>
          <w:tcPr>
            <w:tcW w:w="7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1,259</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1,089</w:t>
            </w:r>
          </w:p>
        </w:tc>
      </w:tr>
      <w:tr>
        <w:trPr>
          <w:trHeight w:val="202"/>
        </w:trPr>
        <w:tc>
          <w:tcPr>
            <w:tcW w:w="7220" w:type="dxa"/>
            <w:vAlign w:val="bottom"/>
            <w:gridSpan w:val="2"/>
          </w:tcPr>
          <w:p>
            <w:pPr>
              <w:ind w:left="180"/>
              <w:spacing w:after="0"/>
              <w:rPr>
                <w:sz w:val="20"/>
                <w:szCs w:val="20"/>
                <w:color w:val="auto"/>
              </w:rPr>
            </w:pPr>
            <w:r>
              <w:rPr>
                <w:rFonts w:ascii="Arial" w:cs="Arial" w:eastAsia="Arial" w:hAnsi="Arial"/>
                <w:sz w:val="14"/>
                <w:szCs w:val="14"/>
                <w:color w:val="auto"/>
              </w:rPr>
              <w:t>Total assets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230,279</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219,979</w:t>
            </w:r>
          </w:p>
        </w:tc>
      </w:tr>
      <w:tr>
        <w:trPr>
          <w:trHeight w:val="20"/>
        </w:trPr>
        <w:tc>
          <w:tcPr>
            <w:tcW w:w="72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22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2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96"/>
        </w:trPr>
        <w:tc>
          <w:tcPr>
            <w:tcW w:w="72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72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Trade accounts payable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3,324</w:t>
            </w:r>
          </w:p>
        </w:tc>
        <w:tc>
          <w:tcPr>
            <w:tcW w:w="4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2,944</w:t>
            </w:r>
          </w:p>
        </w:tc>
      </w:tr>
      <w:tr>
        <w:trPr>
          <w:trHeight w:val="196"/>
        </w:trPr>
        <w:tc>
          <w:tcPr>
            <w:tcW w:w="7220" w:type="dxa"/>
            <w:vAlign w:val="bottom"/>
            <w:gridSpan w:val="2"/>
          </w:tcPr>
          <w:p>
            <w:pPr>
              <w:ind w:left="120"/>
              <w:spacing w:after="0"/>
              <w:rPr>
                <w:sz w:val="20"/>
                <w:szCs w:val="20"/>
                <w:color w:val="auto"/>
              </w:rPr>
            </w:pPr>
            <w:r>
              <w:rPr>
                <w:rFonts w:ascii="Arial" w:cs="Arial" w:eastAsia="Arial" w:hAnsi="Arial"/>
                <w:sz w:val="14"/>
                <w:szCs w:val="14"/>
                <w:color w:val="auto"/>
              </w:rPr>
              <w:t>Legal settlement liability, current</w:t>
            </w:r>
          </w:p>
        </w:tc>
        <w:tc>
          <w:tcPr>
            <w:tcW w:w="2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7,229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6,253</w:t>
            </w:r>
          </w:p>
        </w:tc>
      </w:tr>
      <w:tr>
        <w:trPr>
          <w:trHeight w:val="209"/>
        </w:trPr>
        <w:tc>
          <w:tcPr>
            <w:tcW w:w="72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11,593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9,048</w:t>
            </w:r>
          </w:p>
        </w:tc>
      </w:tr>
      <w:tr>
        <w:trPr>
          <w:trHeight w:val="196"/>
        </w:trPr>
        <w:tc>
          <w:tcPr>
            <w:tcW w:w="7220" w:type="dxa"/>
            <w:vAlign w:val="bottom"/>
            <w:gridSpan w:val="2"/>
          </w:tcPr>
          <w:p>
            <w:pPr>
              <w:ind w:left="120"/>
              <w:spacing w:after="0"/>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1,351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4,626</w:t>
            </w:r>
          </w:p>
        </w:tc>
      </w:tr>
      <w:tr>
        <w:trPr>
          <w:trHeight w:val="203"/>
        </w:trPr>
        <w:tc>
          <w:tcPr>
            <w:tcW w:w="72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4"/>
                <w:szCs w:val="14"/>
                <w:color w:val="auto"/>
              </w:rPr>
              <w:t>Deferred revenue, current</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4,668</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3,665</w:t>
            </w:r>
          </w:p>
        </w:tc>
      </w:tr>
      <w:tr>
        <w:trPr>
          <w:trHeight w:val="196"/>
        </w:trPr>
        <w:tc>
          <w:tcPr>
            <w:tcW w:w="722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28,165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26,536</w:t>
            </w:r>
          </w:p>
        </w:tc>
      </w:tr>
      <w:tr>
        <w:trPr>
          <w:trHeight w:val="208"/>
        </w:trPr>
        <w:tc>
          <w:tcPr>
            <w:tcW w:w="7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Legal settlement liability, noncurrent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11,724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10,959</w:t>
            </w:r>
          </w:p>
        </w:tc>
      </w:tr>
      <w:tr>
        <w:trPr>
          <w:trHeight w:val="197"/>
        </w:trPr>
        <w:tc>
          <w:tcPr>
            <w:tcW w:w="7220" w:type="dxa"/>
            <w:vAlign w:val="bottom"/>
            <w:gridSpan w:val="2"/>
          </w:tcPr>
          <w:p>
            <w:pPr>
              <w:ind w:left="120"/>
              <w:spacing w:after="0"/>
              <w:rPr>
                <w:sz w:val="20"/>
                <w:szCs w:val="20"/>
                <w:color w:val="auto"/>
              </w:rPr>
            </w:pPr>
            <w:r>
              <w:rPr>
                <w:rFonts w:ascii="Arial" w:cs="Arial" w:eastAsia="Arial" w:hAnsi="Arial"/>
                <w:sz w:val="14"/>
                <w:szCs w:val="14"/>
                <w:color w:val="auto"/>
              </w:rPr>
              <w:t>Deferred revenue, noncurrent</w:t>
            </w:r>
          </w:p>
        </w:tc>
        <w:tc>
          <w:tcPr>
            <w:tcW w:w="26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6,317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3,456</w:t>
            </w:r>
          </w:p>
        </w:tc>
      </w:tr>
      <w:tr>
        <w:trPr>
          <w:trHeight w:val="203"/>
        </w:trPr>
        <w:tc>
          <w:tcPr>
            <w:tcW w:w="7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739</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737</w:t>
            </w:r>
          </w:p>
        </w:tc>
      </w:tr>
      <w:tr>
        <w:trPr>
          <w:trHeight w:val="196"/>
        </w:trPr>
        <w:tc>
          <w:tcPr>
            <w:tcW w:w="722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46,945</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41,688</w:t>
            </w:r>
          </w:p>
        </w:tc>
      </w:tr>
      <w:tr>
        <w:trPr>
          <w:trHeight w:val="202"/>
        </w:trPr>
        <w:tc>
          <w:tcPr>
            <w:tcW w:w="7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Commitments and contingencies (Note 15)</w:t>
            </w:r>
          </w:p>
        </w:tc>
        <w:tc>
          <w:tcPr>
            <w:tcW w:w="26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r>
      <w:tr>
        <w:trPr>
          <w:trHeight w:val="184"/>
        </w:trPr>
        <w:tc>
          <w:tcPr>
            <w:tcW w:w="7220" w:type="dxa"/>
            <w:vAlign w:val="bottom"/>
            <w:gridSpan w:val="2"/>
          </w:tcPr>
          <w:p>
            <w:pPr>
              <w:spacing w:after="0"/>
              <w:rPr>
                <w:sz w:val="20"/>
                <w:szCs w:val="20"/>
                <w:color w:val="auto"/>
              </w:rPr>
            </w:pPr>
            <w:r>
              <w:rPr>
                <w:rFonts w:ascii="Arial" w:cs="Arial" w:eastAsia="Arial" w:hAnsi="Arial"/>
                <w:sz w:val="14"/>
                <w:szCs w:val="14"/>
                <w:color w:val="auto"/>
                <w:w w:val="97"/>
              </w:rPr>
              <w:t>Redeemable convertible preferred stock, $0.001 par value; 87,268,694 shares authorized, issued and outstanding as of</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7220" w:type="dxa"/>
            <w:vAlign w:val="bottom"/>
            <w:gridSpan w:val="2"/>
          </w:tcPr>
          <w:p>
            <w:pPr>
              <w:spacing w:after="0"/>
              <w:rPr>
                <w:sz w:val="20"/>
                <w:szCs w:val="20"/>
                <w:color w:val="auto"/>
              </w:rPr>
            </w:pPr>
            <w:r>
              <w:rPr>
                <w:rFonts w:ascii="Arial" w:cs="Arial" w:eastAsia="Arial" w:hAnsi="Arial"/>
                <w:sz w:val="14"/>
                <w:szCs w:val="14"/>
                <w:color w:val="auto"/>
                <w:w w:val="95"/>
              </w:rPr>
              <w:t>June 30, 2021 and December 31, 2020; aggregate liquidation preference of $199,230 as of June 30, 2021 and December</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8"/>
        </w:trPr>
        <w:tc>
          <w:tcPr>
            <w:tcW w:w="7020" w:type="dxa"/>
            <w:vAlign w:val="bottom"/>
          </w:tcPr>
          <w:p>
            <w:pPr>
              <w:spacing w:after="0"/>
              <w:rPr>
                <w:sz w:val="20"/>
                <w:szCs w:val="20"/>
                <w:color w:val="auto"/>
              </w:rPr>
            </w:pPr>
            <w:r>
              <w:rPr>
                <w:rFonts w:ascii="Arial" w:cs="Arial" w:eastAsia="Arial" w:hAnsi="Arial"/>
                <w:sz w:val="14"/>
                <w:szCs w:val="14"/>
                <w:color w:val="auto"/>
              </w:rPr>
              <w:t>31, 2020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194,319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194,319</w:t>
            </w:r>
          </w:p>
        </w:tc>
      </w:tr>
      <w:tr>
        <w:trPr>
          <w:trHeight w:val="209"/>
        </w:trPr>
        <w:tc>
          <w:tcPr>
            <w:tcW w:w="7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Stockholders’ deficit: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184"/>
        </w:trPr>
        <w:tc>
          <w:tcPr>
            <w:tcW w:w="7220" w:type="dxa"/>
            <w:vAlign w:val="bottom"/>
            <w:gridSpan w:val="2"/>
          </w:tcPr>
          <w:p>
            <w:pPr>
              <w:spacing w:after="0"/>
              <w:rPr>
                <w:sz w:val="20"/>
                <w:szCs w:val="20"/>
                <w:color w:val="auto"/>
              </w:rPr>
            </w:pPr>
            <w:r>
              <w:rPr>
                <w:rFonts w:ascii="Arial" w:cs="Arial" w:eastAsia="Arial" w:hAnsi="Arial"/>
                <w:sz w:val="14"/>
                <w:szCs w:val="14"/>
                <w:color w:val="auto"/>
              </w:rPr>
              <w:t>Common stock, $0.001 par value; 153,329,500 authorized shares at June 30, 2021 and December 31, 2020;</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8"/>
        </w:trPr>
        <w:tc>
          <w:tcPr>
            <w:tcW w:w="7220" w:type="dxa"/>
            <w:vAlign w:val="bottom"/>
            <w:gridSpan w:val="2"/>
          </w:tcPr>
          <w:p>
            <w:pPr>
              <w:spacing w:after="0"/>
              <w:rPr>
                <w:sz w:val="20"/>
                <w:szCs w:val="20"/>
                <w:color w:val="auto"/>
              </w:rPr>
            </w:pPr>
            <w:r>
              <w:rPr>
                <w:rFonts w:ascii="Arial" w:cs="Arial" w:eastAsia="Arial" w:hAnsi="Arial"/>
                <w:sz w:val="14"/>
                <w:szCs w:val="14"/>
                <w:color w:val="auto"/>
              </w:rPr>
              <w:t>32,096,586 and 31,241,916 issued and outstanding shares at June 30, 2021 and December 31, 2020, respectively</w:t>
            </w:r>
          </w:p>
        </w:tc>
        <w:tc>
          <w:tcPr>
            <w:tcW w:w="26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208"/>
        </w:trPr>
        <w:tc>
          <w:tcPr>
            <w:tcW w:w="7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7,975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6,491</w:t>
            </w:r>
          </w:p>
        </w:tc>
      </w:tr>
      <w:tr>
        <w:trPr>
          <w:trHeight w:val="197"/>
        </w:trPr>
        <w:tc>
          <w:tcPr>
            <w:tcW w:w="722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(19,835 )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(22,607 )</w:t>
            </w:r>
          </w:p>
        </w:tc>
      </w:tr>
      <w:tr>
        <w:trPr>
          <w:trHeight w:val="208"/>
        </w:trPr>
        <w:tc>
          <w:tcPr>
            <w:tcW w:w="7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65</w:t>
            </w:r>
          </w:p>
        </w:tc>
      </w:tr>
      <w:tr>
        <w:trPr>
          <w:trHeight w:val="197"/>
        </w:trPr>
        <w:tc>
          <w:tcPr>
            <w:tcW w:w="7220" w:type="dxa"/>
            <w:vAlign w:val="bottom"/>
            <w:gridSpan w:val="2"/>
          </w:tcPr>
          <w:p>
            <w:pPr>
              <w:spacing w:after="0"/>
              <w:rPr>
                <w:sz w:val="20"/>
                <w:szCs w:val="20"/>
                <w:color w:val="auto"/>
              </w:rPr>
            </w:pPr>
            <w:r>
              <w:rPr>
                <w:rFonts w:ascii="Arial" w:cs="Arial" w:eastAsia="Arial" w:hAnsi="Arial"/>
                <w:sz w:val="14"/>
                <w:szCs w:val="14"/>
                <w:color w:val="auto"/>
              </w:rPr>
              <w:t>Noncontrolling interest in consolidated subsidiary</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72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4"/>
                <w:szCs w:val="14"/>
                <w:color w:val="auto"/>
              </w:rPr>
              <w:t>Total stockholders’ deficit</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(10,985 )</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(16,028 )</w:t>
            </w:r>
          </w:p>
        </w:tc>
      </w:tr>
      <w:tr>
        <w:trPr>
          <w:trHeight w:val="202"/>
        </w:trPr>
        <w:tc>
          <w:tcPr>
            <w:tcW w:w="7220" w:type="dxa"/>
            <w:vAlign w:val="bottom"/>
            <w:gridSpan w:val="2"/>
          </w:tcPr>
          <w:p>
            <w:pPr>
              <w:ind w:left="22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230,279</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219,979</w:t>
            </w:r>
          </w:p>
        </w:tc>
      </w:tr>
      <w:tr>
        <w:trPr>
          <w:trHeight w:val="20"/>
        </w:trPr>
        <w:tc>
          <w:tcPr>
            <w:tcW w:w="7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-4171315</wp:posOffset>
            </wp:positionV>
            <wp:extent cx="1200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-3390900</wp:posOffset>
            </wp:positionV>
            <wp:extent cx="1200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-2327910</wp:posOffset>
            </wp:positionV>
            <wp:extent cx="1200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-1805305</wp:posOffset>
            </wp:positionV>
            <wp:extent cx="1200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-159385</wp:posOffset>
            </wp:positionV>
            <wp:extent cx="1200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64" w:lineRule="exact"/>
        <w:rPr>
          <w:sz w:val="20"/>
          <w:szCs w:val="20"/>
          <w:color w:val="auto"/>
        </w:rPr>
      </w:pPr>
    </w:p>
    <w:p>
      <w:pPr>
        <w:jc w:val="center"/>
        <w:ind w:right="-259"/>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6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0" w:right="6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4"/>
          <w:szCs w:val="14"/>
          <w:b w:val="1"/>
          <w:bCs w:val="1"/>
          <w:color w:val="auto"/>
        </w:rPr>
        <w:t>Cytek Biosciences,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Operations and Comprehensive Income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7"/>
                <w:szCs w:val="17"/>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w:t>
            </w:r>
          </w:p>
        </w:tc>
      </w:tr>
      <w:tr>
        <w:trPr>
          <w:trHeight w:val="208"/>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02"/>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net: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197"/>
        </w:trPr>
        <w:tc>
          <w:tcPr>
            <w:tcW w:w="5660" w:type="dxa"/>
            <w:vAlign w:val="bottom"/>
          </w:tcPr>
          <w:p>
            <w:pPr>
              <w:ind w:left="200"/>
              <w:spacing w:after="0"/>
              <w:rPr>
                <w:sz w:val="20"/>
                <w:szCs w:val="20"/>
                <w:color w:val="auto"/>
              </w:rPr>
            </w:pPr>
            <w:r>
              <w:rPr>
                <w:rFonts w:ascii="Arial" w:cs="Arial" w:eastAsia="Arial" w:hAnsi="Arial"/>
                <w:sz w:val="14"/>
                <w:szCs w:val="14"/>
                <w:color w:val="auto"/>
              </w:rPr>
              <w:t>Product</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28,676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17,471</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51,376</w:t>
            </w:r>
          </w:p>
        </w:tc>
        <w:tc>
          <w:tcPr>
            <w:tcW w:w="14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33,535</w:t>
            </w:r>
          </w:p>
        </w:tc>
      </w:tr>
      <w:tr>
        <w:trPr>
          <w:trHeight w:val="203"/>
        </w:trPr>
        <w:tc>
          <w:tcPr>
            <w:tcW w:w="5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Service</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1,732</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1,665</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3,304</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3,589</w:t>
            </w:r>
          </w:p>
        </w:tc>
      </w:tr>
      <w:tr>
        <w:trPr>
          <w:trHeight w:val="196"/>
        </w:trPr>
        <w:tc>
          <w:tcPr>
            <w:tcW w:w="5660" w:type="dxa"/>
            <w:vAlign w:val="bottom"/>
          </w:tcPr>
          <w:p>
            <w:pPr>
              <w:ind w:left="200"/>
              <w:spacing w:after="0"/>
              <w:rPr>
                <w:sz w:val="20"/>
                <w:szCs w:val="20"/>
                <w:color w:val="auto"/>
              </w:rPr>
            </w:pPr>
            <w:r>
              <w:rPr>
                <w:rFonts w:ascii="Arial" w:cs="Arial" w:eastAsia="Arial" w:hAnsi="Arial"/>
                <w:sz w:val="14"/>
                <w:szCs w:val="14"/>
                <w:color w:val="auto"/>
              </w:rPr>
              <w:t>Total revenue, net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30,408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19,136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54,680</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37,124</w:t>
            </w:r>
          </w:p>
        </w:tc>
      </w:tr>
      <w:tr>
        <w:trPr>
          <w:trHeight w:val="202"/>
        </w:trPr>
        <w:tc>
          <w:tcPr>
            <w:tcW w:w="5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sales:</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196"/>
        </w:trPr>
        <w:tc>
          <w:tcPr>
            <w:tcW w:w="5660" w:type="dxa"/>
            <w:vAlign w:val="bottom"/>
          </w:tcPr>
          <w:p>
            <w:pPr>
              <w:ind w:left="200"/>
              <w:spacing w:after="0"/>
              <w:rPr>
                <w:sz w:val="20"/>
                <w:szCs w:val="20"/>
                <w:color w:val="auto"/>
              </w:rPr>
            </w:pPr>
            <w:r>
              <w:rPr>
                <w:rFonts w:ascii="Arial" w:cs="Arial" w:eastAsia="Arial" w:hAnsi="Arial"/>
                <w:sz w:val="14"/>
                <w:szCs w:val="14"/>
                <w:color w:val="auto"/>
              </w:rPr>
              <w:t>Product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7,932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8,896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15,240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16,088</w:t>
            </w:r>
          </w:p>
        </w:tc>
      </w:tr>
      <w:tr>
        <w:trPr>
          <w:trHeight w:val="203"/>
        </w:trPr>
        <w:tc>
          <w:tcPr>
            <w:tcW w:w="5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Service</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2,731</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1,970</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5,209</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4,391</w:t>
            </w:r>
          </w:p>
        </w:tc>
      </w:tr>
      <w:tr>
        <w:trPr>
          <w:trHeight w:val="196"/>
        </w:trPr>
        <w:tc>
          <w:tcPr>
            <w:tcW w:w="5660" w:type="dxa"/>
            <w:vAlign w:val="bottom"/>
          </w:tcPr>
          <w:p>
            <w:pPr>
              <w:ind w:left="200"/>
              <w:spacing w:after="0"/>
              <w:rPr>
                <w:sz w:val="20"/>
                <w:szCs w:val="20"/>
                <w:color w:val="auto"/>
              </w:rPr>
            </w:pPr>
            <w:r>
              <w:rPr>
                <w:rFonts w:ascii="Arial" w:cs="Arial" w:eastAsia="Arial" w:hAnsi="Arial"/>
                <w:sz w:val="14"/>
                <w:szCs w:val="14"/>
                <w:color w:val="auto"/>
              </w:rPr>
              <w:t>Total cost of sales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10,663</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10,866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20,449</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20,479</w:t>
            </w:r>
          </w:p>
        </w:tc>
      </w:tr>
      <w:tr>
        <w:trPr>
          <w:trHeight w:val="202"/>
        </w:trPr>
        <w:tc>
          <w:tcPr>
            <w:tcW w:w="5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19,745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8,270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34,231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16,645</w:t>
            </w:r>
          </w:p>
        </w:tc>
      </w:tr>
      <w:tr>
        <w:trPr>
          <w:trHeight w:val="196"/>
        </w:trPr>
        <w:tc>
          <w:tcPr>
            <w:tcW w:w="56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5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6,194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2,916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5,932</w:t>
            </w:r>
          </w:p>
        </w:tc>
      </w:tr>
      <w:tr>
        <w:trPr>
          <w:trHeight w:val="196"/>
        </w:trPr>
        <w:tc>
          <w:tcPr>
            <w:tcW w:w="566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5,576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3,059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9,853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6,590</w:t>
            </w:r>
          </w:p>
        </w:tc>
      </w:tr>
      <w:tr>
        <w:trPr>
          <w:trHeight w:val="203"/>
        </w:trPr>
        <w:tc>
          <w:tcPr>
            <w:tcW w:w="5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4,164</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2,513</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8,147</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5,051</w:t>
            </w:r>
          </w:p>
        </w:tc>
      </w:tr>
      <w:tr>
        <w:trPr>
          <w:trHeight w:val="196"/>
        </w:trPr>
        <w:tc>
          <w:tcPr>
            <w:tcW w:w="5660" w:type="dxa"/>
            <w:vAlign w:val="bottom"/>
          </w:tcPr>
          <w:p>
            <w:pPr>
              <w:ind w:left="200"/>
              <w:spacing w:after="0"/>
              <w:rPr>
                <w:sz w:val="20"/>
                <w:szCs w:val="20"/>
                <w:color w:val="auto"/>
              </w:rPr>
            </w:pPr>
            <w:r>
              <w:rPr>
                <w:rFonts w:ascii="Arial" w:cs="Arial" w:eastAsia="Arial" w:hAnsi="Arial"/>
                <w:sz w:val="14"/>
                <w:szCs w:val="14"/>
                <w:color w:val="auto"/>
              </w:rPr>
              <w:t>Total operating expenses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15,934</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8,488</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29,288</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17,573</w:t>
            </w:r>
          </w:p>
        </w:tc>
      </w:tr>
      <w:tr>
        <w:trPr>
          <w:trHeight w:val="202"/>
        </w:trPr>
        <w:tc>
          <w:tcPr>
            <w:tcW w:w="5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3,811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(928 )</w:t>
            </w:r>
          </w:p>
        </w:tc>
      </w:tr>
      <w:tr>
        <w:trPr>
          <w:trHeight w:val="196"/>
        </w:trPr>
        <w:tc>
          <w:tcPr>
            <w:tcW w:w="56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5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(808 )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r>
      <w:tr>
        <w:trPr>
          <w:trHeight w:val="196"/>
        </w:trPr>
        <w:tc>
          <w:tcPr>
            <w:tcW w:w="5660" w:type="dxa"/>
            <w:vAlign w:val="bottom"/>
          </w:tcPr>
          <w:p>
            <w:pPr>
              <w:ind w:left="200"/>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102</w:t>
            </w:r>
          </w:p>
        </w:tc>
      </w:tr>
      <w:tr>
        <w:trPr>
          <w:trHeight w:val="203"/>
        </w:trPr>
        <w:tc>
          <w:tcPr>
            <w:tcW w:w="5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income (expense), net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(735 )</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358</w:t>
            </w:r>
          </w:p>
        </w:tc>
      </w:tr>
      <w:tr>
        <w:trPr>
          <w:trHeight w:val="20"/>
        </w:trPr>
        <w:tc>
          <w:tcPr>
            <w:tcW w:w="5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96"/>
        </w:trPr>
        <w:tc>
          <w:tcPr>
            <w:tcW w:w="5660" w:type="dxa"/>
            <w:vAlign w:val="bottom"/>
          </w:tcPr>
          <w:p>
            <w:pPr>
              <w:ind w:left="20"/>
              <w:spacing w:after="0"/>
              <w:rPr>
                <w:sz w:val="20"/>
                <w:szCs w:val="20"/>
                <w:color w:val="auto"/>
              </w:rPr>
            </w:pPr>
            <w:r>
              <w:rPr>
                <w:rFonts w:ascii="Arial" w:cs="Arial" w:eastAsia="Arial" w:hAnsi="Arial"/>
                <w:sz w:val="14"/>
                <w:szCs w:val="14"/>
                <w:color w:val="auto"/>
              </w:rPr>
              <w:t>Total other income (expense), net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(544 )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(1,524 )</w:t>
            </w:r>
          </w:p>
        </w:tc>
        <w:tc>
          <w:tcPr>
            <w:tcW w:w="20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459</w:t>
            </w:r>
          </w:p>
        </w:tc>
      </w:tr>
      <w:tr>
        <w:trPr>
          <w:trHeight w:val="202"/>
        </w:trPr>
        <w:tc>
          <w:tcPr>
            <w:tcW w:w="5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3,267</w:t>
            </w: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3,419</w:t>
            </w: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(469 )</w:t>
            </w:r>
          </w:p>
        </w:tc>
      </w:tr>
      <w:tr>
        <w:trPr>
          <w:trHeight w:val="197"/>
        </w:trPr>
        <w:tc>
          <w:tcPr>
            <w:tcW w:w="566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597</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(7,919 )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(7,741 )</w:t>
            </w:r>
          </w:p>
        </w:tc>
      </w:tr>
      <w:tr>
        <w:trPr>
          <w:trHeight w:val="222"/>
        </w:trPr>
        <w:tc>
          <w:tcPr>
            <w:tcW w:w="5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2,670</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8,111</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7,272</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r>
        <w:trPr>
          <w:trHeight w:val="177"/>
        </w:trPr>
        <w:tc>
          <w:tcPr>
            <w:tcW w:w="5660" w:type="dxa"/>
            <w:vAlign w:val="bottom"/>
          </w:tcPr>
          <w:p>
            <w:pPr>
              <w:ind w:left="20"/>
              <w:spacing w:after="0"/>
              <w:rPr>
                <w:sz w:val="20"/>
                <w:szCs w:val="20"/>
                <w:color w:val="auto"/>
              </w:rPr>
            </w:pPr>
            <w:r>
              <w:rPr>
                <w:rFonts w:ascii="Arial" w:cs="Arial" w:eastAsia="Arial" w:hAnsi="Arial"/>
                <w:sz w:val="14"/>
                <w:szCs w:val="14"/>
                <w:color w:val="auto"/>
              </w:rPr>
              <w:t>Less: net income allocated to participating securities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(2,670 )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(6,211 )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(2,772 )</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(6,075 )</w:t>
            </w: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22"/>
        </w:trPr>
        <w:tc>
          <w:tcPr>
            <w:tcW w:w="5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common stockholders, basic and diluted</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1,900</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1,197</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 per share, basic</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0.07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0.04</w:t>
            </w: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common stockholders per share diluted</w:t>
            </w:r>
          </w:p>
        </w:tc>
        <w:tc>
          <w:tcPr>
            <w:tcW w:w="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0.06</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0.04</w:t>
            </w:r>
          </w:p>
        </w:tc>
      </w:tr>
      <w:tr>
        <w:trPr>
          <w:trHeight w:val="183"/>
        </w:trPr>
        <w:tc>
          <w:tcPr>
            <w:tcW w:w="566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Weighted-average shares used in calculating net income per share, basic</w:t>
            </w: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31,878,762</w:t>
            </w:r>
          </w:p>
        </w:tc>
        <w:tc>
          <w:tcPr>
            <w:tcW w:w="14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28,497,247</w:t>
            </w: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31,719,005</w:t>
            </w: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28,475,868</w:t>
            </w: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Weighted-average shares used in calculating net income per share, diluted</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36,173,036</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31,133,913</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35,908,554</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31,070,177</w:t>
            </w:r>
          </w:p>
        </w:tc>
      </w:tr>
      <w:tr>
        <w:trPr>
          <w:trHeight w:val="177"/>
        </w:trPr>
        <w:tc>
          <w:tcPr>
            <w:tcW w:w="56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8"/>
        </w:trPr>
        <w:tc>
          <w:tcPr>
            <w:tcW w:w="5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2,670</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8,111</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7,272</w:t>
            </w:r>
          </w:p>
        </w:tc>
      </w:tr>
      <w:tr>
        <w:trPr>
          <w:trHeight w:val="197"/>
        </w:trPr>
        <w:tc>
          <w:tcPr>
            <w:tcW w:w="56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 net of tax</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(96 )</w:t>
            </w:r>
          </w:p>
        </w:tc>
      </w:tr>
      <w:tr>
        <w:trPr>
          <w:trHeight w:val="222"/>
        </w:trPr>
        <w:tc>
          <w:tcPr>
            <w:tcW w:w="5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comprehensive income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2,939</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8,092</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7,176</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-4128135</wp:posOffset>
            </wp:positionV>
            <wp:extent cx="7747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-4128135</wp:posOffset>
            </wp:positionV>
            <wp:extent cx="7683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-4128135</wp:posOffset>
            </wp:positionV>
            <wp:extent cx="8572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-3596640</wp:posOffset>
            </wp:positionV>
            <wp:extent cx="774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-3596640</wp:posOffset>
            </wp:positionV>
            <wp:extent cx="768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-3596640</wp:posOffset>
            </wp:positionV>
            <wp:extent cx="8572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-2807970</wp:posOffset>
            </wp:positionV>
            <wp:extent cx="7747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-2807970</wp:posOffset>
            </wp:positionV>
            <wp:extent cx="768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-2807970</wp:posOffset>
            </wp:positionV>
            <wp:extent cx="8572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-2019300</wp:posOffset>
            </wp:positionV>
            <wp:extent cx="7747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-2019300</wp:posOffset>
            </wp:positionV>
            <wp:extent cx="768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-2019300</wp:posOffset>
            </wp:positionV>
            <wp:extent cx="8572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-1482090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-1464945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-1482090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-1464945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-1482090</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-1464945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-1190625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-1174115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-1190625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-1174115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-1190625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-1174115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-882015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-864870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-882015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-864870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-882015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-864870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-574040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-556895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-574040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-556895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-574040</wp:posOffset>
            </wp:positionV>
            <wp:extent cx="85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-556895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-24765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-24765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-24765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-7620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68580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60"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Cytek Biosciences,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Redeemable Convertible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Stock and Stockholders’ Deficit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72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w w:val="88"/>
              </w:rPr>
              <w:t>Redeemable convertible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66"/>
              <w:spacing w:after="0"/>
              <w:rPr>
                <w:sz w:val="20"/>
                <w:szCs w:val="20"/>
                <w:color w:val="auto"/>
              </w:rPr>
            </w:pPr>
            <w:r>
              <w:rPr>
                <w:rFonts w:ascii="Arial" w:cs="Arial" w:eastAsia="Arial" w:hAnsi="Arial"/>
                <w:sz w:val="11"/>
                <w:szCs w:val="11"/>
                <w:b w:val="1"/>
                <w:bCs w:val="1"/>
                <w:color w:val="auto"/>
                <w:w w:val="88"/>
              </w:rPr>
              <w:t>Accumulated other</w:t>
            </w:r>
          </w:p>
        </w:tc>
        <w:tc>
          <w:tcPr>
            <w:tcW w:w="220" w:type="dxa"/>
            <w:vAlign w:val="bottom"/>
          </w:tcPr>
          <w:p>
            <w:pPr>
              <w:spacing w:after="0"/>
              <w:rPr>
                <w:sz w:val="14"/>
                <w:szCs w:val="14"/>
                <w:color w:val="auto"/>
              </w:rPr>
            </w:pPr>
          </w:p>
        </w:tc>
        <w:tc>
          <w:tcPr>
            <w:tcW w:w="1360" w:type="dxa"/>
            <w:vAlign w:val="bottom"/>
          </w:tcPr>
          <w:p>
            <w:pPr>
              <w:jc w:val="center"/>
              <w:ind w:right="146"/>
              <w:spacing w:after="0"/>
              <w:rPr>
                <w:sz w:val="20"/>
                <w:szCs w:val="20"/>
                <w:color w:val="auto"/>
              </w:rPr>
            </w:pPr>
            <w:r>
              <w:rPr>
                <w:rFonts w:ascii="Arial" w:cs="Arial" w:eastAsia="Arial" w:hAnsi="Arial"/>
                <w:sz w:val="11"/>
                <w:szCs w:val="11"/>
                <w:b w:val="1"/>
                <w:bCs w:val="1"/>
                <w:color w:val="auto"/>
                <w:w w:val="86"/>
              </w:rPr>
              <w:t>Noncontrolling</w:t>
            </w:r>
          </w:p>
        </w:tc>
        <w:tc>
          <w:tcPr>
            <w:tcW w:w="200" w:type="dxa"/>
            <w:vAlign w:val="bottom"/>
          </w:tcPr>
          <w:p>
            <w:pPr>
              <w:spacing w:after="0"/>
              <w:rPr>
                <w:sz w:val="14"/>
                <w:szCs w:val="14"/>
                <w:color w:val="auto"/>
              </w:rPr>
            </w:pPr>
          </w:p>
        </w:tc>
        <w:tc>
          <w:tcPr>
            <w:tcW w:w="860" w:type="dxa"/>
            <w:vAlign w:val="bottom"/>
          </w:tcPr>
          <w:p>
            <w:pPr>
              <w:jc w:val="center"/>
              <w:ind w:right="166"/>
              <w:spacing w:after="0"/>
              <w:rPr>
                <w:sz w:val="20"/>
                <w:szCs w:val="20"/>
                <w:color w:val="auto"/>
              </w:rPr>
            </w:pPr>
            <w:r>
              <w:rPr>
                <w:rFonts w:ascii="Arial" w:cs="Arial" w:eastAsia="Arial" w:hAnsi="Arial"/>
                <w:sz w:val="11"/>
                <w:szCs w:val="11"/>
                <w:b w:val="1"/>
                <w:bCs w:val="1"/>
                <w:color w:val="auto"/>
                <w:w w:val="91"/>
              </w:rPr>
              <w:t>Total</w:t>
            </w:r>
          </w:p>
        </w:tc>
      </w:tr>
      <w:tr>
        <w:trPr>
          <w:trHeight w:val="156"/>
        </w:trPr>
        <w:tc>
          <w:tcPr>
            <w:tcW w:w="2120" w:type="dxa"/>
            <w:vAlign w:val="bottom"/>
          </w:tcPr>
          <w:p>
            <w:pPr>
              <w:spacing w:after="0"/>
              <w:rPr>
                <w:sz w:val="13"/>
                <w:szCs w:val="13"/>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7"/>
              </w:rPr>
              <w:t>preferred stock</w:t>
            </w:r>
          </w:p>
        </w:tc>
        <w:tc>
          <w:tcPr>
            <w:tcW w:w="1480" w:type="dxa"/>
            <w:vAlign w:val="bottom"/>
            <w:gridSpan w:val="3"/>
          </w:tcPr>
          <w:p>
            <w:pPr>
              <w:jc w:val="right"/>
              <w:ind w:right="406"/>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3"/>
                <w:szCs w:val="13"/>
                <w:color w:val="auto"/>
              </w:rPr>
            </w:pPr>
          </w:p>
        </w:tc>
        <w:tc>
          <w:tcPr>
            <w:tcW w:w="620" w:type="dxa"/>
            <w:vAlign w:val="bottom"/>
          </w:tcPr>
          <w:p>
            <w:pPr>
              <w:jc w:val="center"/>
              <w:ind w:right="166"/>
              <w:spacing w:after="0"/>
              <w:rPr>
                <w:sz w:val="20"/>
                <w:szCs w:val="20"/>
                <w:color w:val="auto"/>
              </w:rPr>
            </w:pPr>
            <w:r>
              <w:rPr>
                <w:rFonts w:ascii="Arial" w:cs="Arial" w:eastAsia="Arial" w:hAnsi="Arial"/>
                <w:sz w:val="11"/>
                <w:szCs w:val="11"/>
                <w:b w:val="1"/>
                <w:bCs w:val="1"/>
                <w:color w:val="auto"/>
                <w:w w:val="88"/>
              </w:rPr>
              <w:t>paid-in</w:t>
            </w:r>
          </w:p>
        </w:tc>
        <w:tc>
          <w:tcPr>
            <w:tcW w:w="180" w:type="dxa"/>
            <w:vAlign w:val="bottom"/>
          </w:tcPr>
          <w:p>
            <w:pPr>
              <w:spacing w:after="0"/>
              <w:rPr>
                <w:sz w:val="13"/>
                <w:szCs w:val="13"/>
                <w:color w:val="auto"/>
              </w:rPr>
            </w:pPr>
          </w:p>
        </w:tc>
        <w:tc>
          <w:tcPr>
            <w:tcW w:w="900" w:type="dxa"/>
            <w:vAlign w:val="bottom"/>
          </w:tcPr>
          <w:p>
            <w:pPr>
              <w:jc w:val="right"/>
              <w:ind w:right="206"/>
              <w:spacing w:after="0"/>
              <w:rPr>
                <w:sz w:val="20"/>
                <w:szCs w:val="20"/>
                <w:color w:val="auto"/>
              </w:rPr>
            </w:pPr>
            <w:r>
              <w:rPr>
                <w:rFonts w:ascii="Arial" w:cs="Arial" w:eastAsia="Arial" w:hAnsi="Arial"/>
                <w:sz w:val="11"/>
                <w:szCs w:val="11"/>
                <w:b w:val="1"/>
                <w:bCs w:val="1"/>
                <w:color w:val="auto"/>
                <w:w w:val="89"/>
              </w:rPr>
              <w:t>Accumulated</w:t>
            </w:r>
          </w:p>
        </w:tc>
        <w:tc>
          <w:tcPr>
            <w:tcW w:w="200" w:type="dxa"/>
            <w:vAlign w:val="bottom"/>
          </w:tcPr>
          <w:p>
            <w:pPr>
              <w:spacing w:after="0"/>
              <w:rPr>
                <w:sz w:val="13"/>
                <w:szCs w:val="13"/>
                <w:color w:val="auto"/>
              </w:rPr>
            </w:pPr>
          </w:p>
        </w:tc>
        <w:tc>
          <w:tcPr>
            <w:tcW w:w="1180" w:type="dxa"/>
            <w:vAlign w:val="bottom"/>
          </w:tcPr>
          <w:p>
            <w:pPr>
              <w:jc w:val="center"/>
              <w:ind w:right="166"/>
              <w:spacing w:after="0"/>
              <w:rPr>
                <w:sz w:val="20"/>
                <w:szCs w:val="20"/>
                <w:color w:val="auto"/>
              </w:rPr>
            </w:pPr>
            <w:r>
              <w:rPr>
                <w:rFonts w:ascii="Arial" w:cs="Arial" w:eastAsia="Arial" w:hAnsi="Arial"/>
                <w:sz w:val="11"/>
                <w:szCs w:val="11"/>
                <w:b w:val="1"/>
                <w:bCs w:val="1"/>
                <w:color w:val="auto"/>
                <w:w w:val="84"/>
              </w:rPr>
              <w:t>comprehensive</w:t>
            </w:r>
          </w:p>
        </w:tc>
        <w:tc>
          <w:tcPr>
            <w:tcW w:w="220" w:type="dxa"/>
            <w:vAlign w:val="bottom"/>
          </w:tcPr>
          <w:p>
            <w:pPr>
              <w:spacing w:after="0"/>
              <w:rPr>
                <w:sz w:val="13"/>
                <w:szCs w:val="13"/>
                <w:color w:val="auto"/>
              </w:rPr>
            </w:pPr>
          </w:p>
        </w:tc>
        <w:tc>
          <w:tcPr>
            <w:tcW w:w="1360" w:type="dxa"/>
            <w:vAlign w:val="bottom"/>
          </w:tcPr>
          <w:p>
            <w:pPr>
              <w:jc w:val="center"/>
              <w:ind w:right="146"/>
              <w:spacing w:after="0"/>
              <w:rPr>
                <w:sz w:val="20"/>
                <w:szCs w:val="20"/>
                <w:color w:val="auto"/>
              </w:rPr>
            </w:pPr>
            <w:r>
              <w:rPr>
                <w:rFonts w:ascii="Arial" w:cs="Arial" w:eastAsia="Arial" w:hAnsi="Arial"/>
                <w:sz w:val="11"/>
                <w:szCs w:val="11"/>
                <w:b w:val="1"/>
                <w:bCs w:val="1"/>
                <w:color w:val="auto"/>
                <w:w w:val="87"/>
              </w:rPr>
              <w:t>interest in consolidated</w:t>
            </w:r>
          </w:p>
        </w:tc>
        <w:tc>
          <w:tcPr>
            <w:tcW w:w="200" w:type="dxa"/>
            <w:vAlign w:val="bottom"/>
          </w:tcPr>
          <w:p>
            <w:pPr>
              <w:spacing w:after="0"/>
              <w:rPr>
                <w:sz w:val="13"/>
                <w:szCs w:val="13"/>
                <w:color w:val="auto"/>
              </w:rPr>
            </w:pP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86"/>
              </w:rPr>
              <w:t>stockholders’</w:t>
            </w:r>
          </w:p>
        </w:tc>
      </w:tr>
      <w:tr>
        <w:trPr>
          <w:trHeight w:val="140"/>
        </w:trPr>
        <w:tc>
          <w:tcPr>
            <w:tcW w:w="212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share data)</w:t>
            </w:r>
          </w:p>
        </w:tc>
        <w:tc>
          <w:tcPr>
            <w:tcW w:w="800" w:type="dxa"/>
            <w:vAlign w:val="bottom"/>
            <w:tcBorders>
              <w:top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right w:val="single" w:sz="8" w:color="auto"/>
            </w:tcBorders>
          </w:tcPr>
          <w:p>
            <w:pPr>
              <w:spacing w:after="0"/>
              <w:rPr>
                <w:sz w:val="12"/>
                <w:szCs w:val="12"/>
                <w:color w:val="auto"/>
              </w:rPr>
            </w:pPr>
          </w:p>
        </w:tc>
        <w:tc>
          <w:tcPr>
            <w:tcW w:w="800" w:type="dxa"/>
            <w:vAlign w:val="bottom"/>
            <w:tcBorders>
              <w:top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86"/>
              </w:rPr>
              <w:t>Amount</w:t>
            </w:r>
          </w:p>
        </w:tc>
        <w:tc>
          <w:tcPr>
            <w:tcW w:w="200" w:type="dxa"/>
            <w:vAlign w:val="bottom"/>
          </w:tcPr>
          <w:p>
            <w:pPr>
              <w:spacing w:after="0"/>
              <w:rPr>
                <w:sz w:val="12"/>
                <w:szCs w:val="12"/>
                <w:color w:val="auto"/>
              </w:rPr>
            </w:pPr>
          </w:p>
        </w:tc>
        <w:tc>
          <w:tcPr>
            <w:tcW w:w="620" w:type="dxa"/>
            <w:vAlign w:val="bottom"/>
          </w:tcPr>
          <w:p>
            <w:pPr>
              <w:jc w:val="center"/>
              <w:ind w:right="166"/>
              <w:spacing w:after="0"/>
              <w:rPr>
                <w:sz w:val="20"/>
                <w:szCs w:val="20"/>
                <w:color w:val="auto"/>
              </w:rPr>
            </w:pPr>
            <w:r>
              <w:rPr>
                <w:rFonts w:ascii="Arial" w:cs="Arial" w:eastAsia="Arial" w:hAnsi="Arial"/>
                <w:sz w:val="11"/>
                <w:szCs w:val="11"/>
                <w:b w:val="1"/>
                <w:bCs w:val="1"/>
                <w:color w:val="auto"/>
                <w:w w:val="91"/>
              </w:rPr>
              <w:t>capital</w:t>
            </w:r>
          </w:p>
        </w:tc>
        <w:tc>
          <w:tcPr>
            <w:tcW w:w="180" w:type="dxa"/>
            <w:vAlign w:val="bottom"/>
          </w:tcPr>
          <w:p>
            <w:pPr>
              <w:spacing w:after="0"/>
              <w:rPr>
                <w:sz w:val="12"/>
                <w:szCs w:val="12"/>
                <w:color w:val="auto"/>
              </w:rPr>
            </w:pPr>
          </w:p>
        </w:tc>
        <w:tc>
          <w:tcPr>
            <w:tcW w:w="900" w:type="dxa"/>
            <w:vAlign w:val="bottom"/>
          </w:tcPr>
          <w:p>
            <w:pPr>
              <w:jc w:val="right"/>
              <w:ind w:right="366"/>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18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income</w:t>
            </w:r>
          </w:p>
        </w:tc>
        <w:tc>
          <w:tcPr>
            <w:tcW w:w="220" w:type="dxa"/>
            <w:vAlign w:val="bottom"/>
          </w:tcPr>
          <w:p>
            <w:pPr>
              <w:spacing w:after="0"/>
              <w:rPr>
                <w:sz w:val="12"/>
                <w:szCs w:val="12"/>
                <w:color w:val="auto"/>
              </w:rPr>
            </w:pPr>
          </w:p>
        </w:tc>
        <w:tc>
          <w:tcPr>
            <w:tcW w:w="1360" w:type="dxa"/>
            <w:vAlign w:val="bottom"/>
          </w:tcPr>
          <w:p>
            <w:pPr>
              <w:jc w:val="center"/>
              <w:ind w:right="146"/>
              <w:spacing w:after="0"/>
              <w:rPr>
                <w:sz w:val="20"/>
                <w:szCs w:val="20"/>
                <w:color w:val="auto"/>
              </w:rPr>
            </w:pPr>
            <w:r>
              <w:rPr>
                <w:rFonts w:ascii="Arial" w:cs="Arial" w:eastAsia="Arial" w:hAnsi="Arial"/>
                <w:sz w:val="11"/>
                <w:szCs w:val="11"/>
                <w:b w:val="1"/>
                <w:bCs w:val="1"/>
                <w:color w:val="auto"/>
                <w:w w:val="87"/>
              </w:rPr>
              <w:t>subsidiary</w:t>
            </w:r>
          </w:p>
        </w:tc>
        <w:tc>
          <w:tcPr>
            <w:tcW w:w="200" w:type="dxa"/>
            <w:vAlign w:val="bottom"/>
          </w:tcPr>
          <w:p>
            <w:pPr>
              <w:spacing w:after="0"/>
              <w:rPr>
                <w:sz w:val="12"/>
                <w:szCs w:val="12"/>
                <w:color w:val="auto"/>
              </w:rPr>
            </w:pP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92"/>
              </w:rPr>
              <w:t>deficit</w:t>
            </w:r>
          </w:p>
        </w:tc>
      </w:tr>
      <w:tr>
        <w:trPr>
          <w:trHeight w:val="22"/>
        </w:trPr>
        <w:tc>
          <w:tcPr>
            <w:tcW w:w="2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36"/>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December 31, 2020</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87,268,694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194,319</w:t>
            </w:r>
          </w:p>
        </w:tc>
        <w:tc>
          <w:tcPr>
            <w:tcW w:w="100" w:type="dxa"/>
            <w:vAlign w:val="bottom"/>
            <w:tcBorders>
              <w:bottom w:val="single" w:sz="8" w:color="CFF0FC"/>
              <w:right w:val="single" w:sz="8" w:color="auto"/>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31,241,916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23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6,491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(22,607 )</w:t>
            </w:r>
          </w:p>
        </w:tc>
        <w:tc>
          <w:tcPr>
            <w:tcW w:w="2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65</w:t>
            </w:r>
          </w:p>
        </w:tc>
        <w:tc>
          <w:tcPr>
            <w:tcW w:w="22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(16,028 )</w:t>
            </w:r>
          </w:p>
        </w:tc>
      </w:tr>
      <w:tr>
        <w:trPr>
          <w:trHeight w:val="140"/>
        </w:trPr>
        <w:tc>
          <w:tcPr>
            <w:tcW w:w="212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533,540</w:t>
            </w:r>
          </w:p>
        </w:tc>
        <w:tc>
          <w:tcPr>
            <w:tcW w:w="10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195</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196</w:t>
            </w:r>
          </w:p>
        </w:tc>
      </w:tr>
      <w:tr>
        <w:trPr>
          <w:trHeight w:val="22"/>
        </w:trPr>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456</w:t>
            </w: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456</w:t>
            </w:r>
          </w:p>
        </w:tc>
      </w:tr>
      <w:tr>
        <w:trPr>
          <w:trHeight w:val="139"/>
        </w:trPr>
        <w:tc>
          <w:tcPr>
            <w:tcW w:w="2120" w:type="dxa"/>
            <w:vAlign w:val="bottom"/>
          </w:tcPr>
          <w:p>
            <w:pPr>
              <w:ind w:left="20"/>
              <w:spacing w:after="0"/>
              <w:rPr>
                <w:sz w:val="20"/>
                <w:szCs w:val="20"/>
                <w:color w:val="auto"/>
              </w:rPr>
            </w:pPr>
            <w:r>
              <w:rPr>
                <w:rFonts w:ascii="Arial" w:cs="Arial" w:eastAsia="Arial" w:hAnsi="Arial"/>
                <w:sz w:val="11"/>
                <w:szCs w:val="11"/>
                <w:color w:val="auto"/>
                <w:w w:val="91"/>
              </w:rPr>
              <w:t>Foreign currency translation adjustment, net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6"/>
        </w:trPr>
        <w:tc>
          <w:tcPr>
            <w:tcW w:w="2120" w:type="dxa"/>
            <w:vAlign w:val="bottom"/>
          </w:tcPr>
          <w:p>
            <w:pPr>
              <w:ind w:left="20"/>
              <w:spacing w:after="0"/>
              <w:rPr>
                <w:sz w:val="20"/>
                <w:szCs w:val="20"/>
                <w:color w:val="auto"/>
              </w:rPr>
            </w:pPr>
            <w:r>
              <w:rPr>
                <w:rFonts w:ascii="Arial" w:cs="Arial" w:eastAsia="Arial" w:hAnsi="Arial"/>
                <w:sz w:val="11"/>
                <w:szCs w:val="11"/>
                <w:color w:val="auto"/>
              </w:rPr>
              <w:t>tax</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ind w:right="46"/>
              <w:spacing w:after="0"/>
              <w:rPr>
                <w:sz w:val="20"/>
                <w:szCs w:val="20"/>
                <w:color w:val="auto"/>
              </w:rPr>
            </w:pPr>
            <w:r>
              <w:rPr>
                <w:rFonts w:ascii="Arial" w:cs="Arial" w:eastAsia="Arial" w:hAnsi="Arial"/>
                <w:sz w:val="11"/>
                <w:szCs w:val="11"/>
                <w:color w:val="auto"/>
              </w:rPr>
              <w:t>202</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202</w:t>
            </w:r>
          </w:p>
        </w:tc>
      </w:tr>
      <w:tr>
        <w:trPr>
          <w:trHeight w:val="22"/>
        </w:trPr>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102</w:t>
            </w:r>
          </w:p>
        </w:tc>
        <w:tc>
          <w:tcPr>
            <w:tcW w:w="20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102</w:t>
            </w:r>
          </w:p>
        </w:tc>
      </w:tr>
      <w:tr>
        <w:trPr>
          <w:trHeight w:val="140"/>
        </w:trPr>
        <w:tc>
          <w:tcPr>
            <w:tcW w:w="2120" w:type="dxa"/>
            <w:vAlign w:val="bottom"/>
          </w:tcPr>
          <w:p>
            <w:pPr>
              <w:ind w:left="20"/>
              <w:spacing w:after="0"/>
              <w:rPr>
                <w:sz w:val="20"/>
                <w:szCs w:val="20"/>
                <w:color w:val="auto"/>
              </w:rPr>
            </w:pPr>
            <w:r>
              <w:rPr>
                <w:rFonts w:ascii="Arial" w:cs="Arial" w:eastAsia="Arial" w:hAnsi="Arial"/>
                <w:sz w:val="11"/>
                <w:szCs w:val="11"/>
                <w:color w:val="auto"/>
              </w:rPr>
              <w:t>Noncontrolling interest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46"/>
              <w:spacing w:after="0"/>
              <w:rPr>
                <w:sz w:val="20"/>
                <w:szCs w:val="20"/>
                <w:color w:val="auto"/>
              </w:rPr>
            </w:pPr>
            <w:r>
              <w:rPr>
                <w:rFonts w:ascii="Arial" w:cs="Arial" w:eastAsia="Arial" w:hAnsi="Arial"/>
                <w:sz w:val="11"/>
                <w:szCs w:val="11"/>
                <w:color w:val="auto"/>
              </w:rPr>
              <w:t>315</w:t>
            </w:r>
          </w:p>
        </w:tc>
        <w:tc>
          <w:tcPr>
            <w:tcW w:w="20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315</w:t>
            </w:r>
          </w:p>
        </w:tc>
      </w:tr>
      <w:tr>
        <w:trPr>
          <w:trHeight w:val="22"/>
        </w:trPr>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1"/>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March 31, 2021</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87,268,694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194,319</w:t>
            </w:r>
          </w:p>
        </w:tc>
        <w:tc>
          <w:tcPr>
            <w:tcW w:w="100" w:type="dxa"/>
            <w:vAlign w:val="bottom"/>
            <w:tcBorders>
              <w:bottom w:val="single" w:sz="8" w:color="auto"/>
              <w:right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31,775,456</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24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7,142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(22,505 )</w:t>
            </w:r>
          </w:p>
        </w:tc>
        <w:tc>
          <w:tcPr>
            <w:tcW w:w="20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267</w:t>
            </w:r>
          </w:p>
        </w:tc>
        <w:tc>
          <w:tcPr>
            <w:tcW w:w="22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315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(14,757 )</w:t>
            </w:r>
          </w:p>
        </w:tc>
      </w:tr>
      <w:tr>
        <w:trPr>
          <w:trHeight w:val="105"/>
        </w:trPr>
        <w:tc>
          <w:tcPr>
            <w:tcW w:w="2120" w:type="dxa"/>
            <w:vAlign w:val="bottom"/>
          </w:tcPr>
          <w:p>
            <w:pPr>
              <w:ind w:left="20"/>
              <w:spacing w:after="0" w:line="105" w:lineRule="exact"/>
              <w:rPr>
                <w:sz w:val="20"/>
                <w:szCs w:val="20"/>
                <w:color w:val="auto"/>
              </w:rPr>
            </w:pPr>
            <w:r>
              <w:rPr>
                <w:rFonts w:ascii="Arial" w:cs="Arial" w:eastAsia="Arial" w:hAnsi="Arial"/>
                <w:sz w:val="11"/>
                <w:szCs w:val="11"/>
                <w:color w:val="auto"/>
              </w:rPr>
              <w:t>Exercise of stock options</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0" w:type="dxa"/>
            <w:vAlign w:val="bottom"/>
          </w:tcPr>
          <w:p>
            <w:pPr>
              <w:jc w:val="right"/>
              <w:spacing w:after="0" w:line="105" w:lineRule="exact"/>
              <w:rPr>
                <w:sz w:val="20"/>
                <w:szCs w:val="20"/>
                <w:color w:val="auto"/>
              </w:rPr>
            </w:pPr>
            <w:r>
              <w:rPr>
                <w:rFonts w:ascii="Arial" w:cs="Arial" w:eastAsia="Arial" w:hAnsi="Arial"/>
                <w:sz w:val="11"/>
                <w:szCs w:val="11"/>
                <w:color w:val="auto"/>
              </w:rPr>
              <w:t>321,130</w:t>
            </w:r>
          </w:p>
        </w:tc>
        <w:tc>
          <w:tcPr>
            <w:tcW w:w="100" w:type="dxa"/>
            <w:vAlign w:val="bottom"/>
          </w:tcPr>
          <w:p>
            <w:pPr>
              <w:spacing w:after="0"/>
              <w:rPr>
                <w:sz w:val="9"/>
                <w:szCs w:val="9"/>
                <w:color w:val="auto"/>
              </w:rPr>
            </w:pPr>
          </w:p>
        </w:tc>
        <w:tc>
          <w:tcPr>
            <w:tcW w:w="580" w:type="dxa"/>
            <w:vAlign w:val="bottom"/>
          </w:tcPr>
          <w:p>
            <w:pPr>
              <w:jc w:val="right"/>
              <w:ind w:right="86"/>
              <w:spacing w:after="0" w:line="10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620" w:type="dxa"/>
            <w:vAlign w:val="bottom"/>
          </w:tcPr>
          <w:p>
            <w:pPr>
              <w:jc w:val="right"/>
              <w:ind w:right="66"/>
              <w:spacing w:after="0" w:line="105" w:lineRule="exact"/>
              <w:rPr>
                <w:sz w:val="20"/>
                <w:szCs w:val="20"/>
                <w:color w:val="auto"/>
              </w:rPr>
            </w:pPr>
            <w:r>
              <w:rPr>
                <w:rFonts w:ascii="Arial" w:cs="Arial" w:eastAsia="Arial" w:hAnsi="Arial"/>
                <w:sz w:val="11"/>
                <w:szCs w:val="11"/>
                <w:color w:val="auto"/>
              </w:rPr>
              <w:t>166</w:t>
            </w: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jc w:val="right"/>
              <w:ind w:right="66"/>
              <w:spacing w:after="0" w:line="105" w:lineRule="exact"/>
              <w:rPr>
                <w:sz w:val="20"/>
                <w:szCs w:val="20"/>
                <w:color w:val="auto"/>
              </w:rPr>
            </w:pPr>
            <w:r>
              <w:rPr>
                <w:rFonts w:ascii="Arial" w:cs="Arial" w:eastAsia="Arial" w:hAnsi="Arial"/>
                <w:sz w:val="11"/>
                <w:szCs w:val="11"/>
                <w:color w:val="auto"/>
              </w:rPr>
              <w:t>166</w:t>
            </w:r>
          </w:p>
        </w:tc>
      </w:tr>
      <w:tr>
        <w:trPr>
          <w:trHeight w:val="22"/>
        </w:trPr>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667</w:t>
            </w: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667</w:t>
            </w:r>
          </w:p>
        </w:tc>
      </w:tr>
      <w:tr>
        <w:trPr>
          <w:trHeight w:val="139"/>
        </w:trPr>
        <w:tc>
          <w:tcPr>
            <w:tcW w:w="2120" w:type="dxa"/>
            <w:vAlign w:val="bottom"/>
          </w:tcPr>
          <w:p>
            <w:pPr>
              <w:ind w:left="20"/>
              <w:spacing w:after="0"/>
              <w:rPr>
                <w:sz w:val="20"/>
                <w:szCs w:val="20"/>
                <w:color w:val="auto"/>
              </w:rPr>
            </w:pPr>
            <w:r>
              <w:rPr>
                <w:rFonts w:ascii="Arial" w:cs="Arial" w:eastAsia="Arial" w:hAnsi="Arial"/>
                <w:sz w:val="11"/>
                <w:szCs w:val="11"/>
                <w:color w:val="auto"/>
                <w:w w:val="91"/>
              </w:rPr>
              <w:t>Foreign currency translation adjustment, net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6"/>
        </w:trPr>
        <w:tc>
          <w:tcPr>
            <w:tcW w:w="2120" w:type="dxa"/>
            <w:vAlign w:val="bottom"/>
          </w:tcPr>
          <w:p>
            <w:pPr>
              <w:ind w:left="20"/>
              <w:spacing w:after="0"/>
              <w:rPr>
                <w:sz w:val="20"/>
                <w:szCs w:val="20"/>
                <w:color w:val="auto"/>
              </w:rPr>
            </w:pPr>
            <w:r>
              <w:rPr>
                <w:rFonts w:ascii="Arial" w:cs="Arial" w:eastAsia="Arial" w:hAnsi="Arial"/>
                <w:sz w:val="11"/>
                <w:szCs w:val="11"/>
                <w:color w:val="auto"/>
              </w:rPr>
              <w:t>tax</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right"/>
              <w:ind w:right="46"/>
              <w:spacing w:after="0"/>
              <w:rPr>
                <w:sz w:val="20"/>
                <w:szCs w:val="20"/>
                <w:color w:val="auto"/>
              </w:rPr>
            </w:pPr>
            <w:r>
              <w:rPr>
                <w:rFonts w:ascii="Arial" w:cs="Arial" w:eastAsia="Arial" w:hAnsi="Arial"/>
                <w:sz w:val="11"/>
                <w:szCs w:val="11"/>
                <w:color w:val="auto"/>
              </w:rPr>
              <w:t>269</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269</w:t>
            </w:r>
          </w:p>
        </w:tc>
      </w:tr>
      <w:tr>
        <w:trPr>
          <w:trHeight w:val="22"/>
        </w:trPr>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8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2,670</w:t>
            </w:r>
          </w:p>
        </w:tc>
        <w:tc>
          <w:tcPr>
            <w:tcW w:w="20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2,670</w:t>
            </w:r>
          </w:p>
        </w:tc>
      </w:tr>
      <w:tr>
        <w:trPr>
          <w:trHeight w:val="140"/>
        </w:trPr>
        <w:tc>
          <w:tcPr>
            <w:tcW w:w="2120" w:type="dxa"/>
            <w:vAlign w:val="bottom"/>
          </w:tcPr>
          <w:p>
            <w:pPr>
              <w:ind w:left="20"/>
              <w:spacing w:after="0"/>
              <w:rPr>
                <w:sz w:val="20"/>
                <w:szCs w:val="20"/>
                <w:color w:val="auto"/>
              </w:rPr>
            </w:pPr>
            <w:r>
              <w:rPr>
                <w:rFonts w:ascii="Arial" w:cs="Arial" w:eastAsia="Arial" w:hAnsi="Arial"/>
                <w:sz w:val="11"/>
                <w:szCs w:val="11"/>
                <w:color w:val="auto"/>
              </w:rPr>
              <w:t>Noncontrolling interest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2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1"/>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June 30, 2021</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87,268,694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194,319</w:t>
            </w:r>
          </w:p>
        </w:tc>
        <w:tc>
          <w:tcPr>
            <w:tcW w:w="100" w:type="dxa"/>
            <w:vAlign w:val="bottom"/>
            <w:tcBorders>
              <w:bottom w:val="single" w:sz="8" w:color="auto"/>
              <w:right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32,096,586</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24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7,975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(19,835 )</w:t>
            </w:r>
          </w:p>
        </w:tc>
        <w:tc>
          <w:tcPr>
            <w:tcW w:w="20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536</w:t>
            </w:r>
          </w:p>
        </w:tc>
        <w:tc>
          <w:tcPr>
            <w:tcW w:w="22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315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(10,985 )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-1812290</wp:posOffset>
            </wp:positionV>
            <wp:extent cx="3429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96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1"/>
                <w:szCs w:val="11"/>
                <w:b w:val="1"/>
                <w:bCs w:val="1"/>
                <w:color w:val="auto"/>
                <w:w w:val="86"/>
              </w:rPr>
              <w:t>Redeemable convertible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146"/>
              <w:spacing w:after="0"/>
              <w:rPr>
                <w:sz w:val="20"/>
                <w:szCs w:val="20"/>
                <w:color w:val="auto"/>
              </w:rPr>
            </w:pPr>
            <w:r>
              <w:rPr>
                <w:rFonts w:ascii="Arial" w:cs="Arial" w:eastAsia="Arial" w:hAnsi="Arial"/>
                <w:sz w:val="11"/>
                <w:szCs w:val="11"/>
                <w:b w:val="1"/>
                <w:bCs w:val="1"/>
                <w:color w:val="auto"/>
                <w:w w:val="89"/>
              </w:rPr>
              <w:t>Additional</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226"/>
              <w:spacing w:after="0"/>
              <w:rPr>
                <w:sz w:val="20"/>
                <w:szCs w:val="20"/>
                <w:color w:val="auto"/>
              </w:rPr>
            </w:pPr>
            <w:r>
              <w:rPr>
                <w:rFonts w:ascii="Arial" w:cs="Arial" w:eastAsia="Arial" w:hAnsi="Arial"/>
                <w:sz w:val="11"/>
                <w:szCs w:val="11"/>
                <w:b w:val="1"/>
                <w:bCs w:val="1"/>
                <w:color w:val="auto"/>
                <w:w w:val="88"/>
              </w:rPr>
              <w:t>Accumulated other</w:t>
            </w:r>
          </w:p>
        </w:tc>
        <w:tc>
          <w:tcPr>
            <w:tcW w:w="340" w:type="dxa"/>
            <w:vAlign w:val="bottom"/>
          </w:tcPr>
          <w:p>
            <w:pPr>
              <w:spacing w:after="0"/>
              <w:rPr>
                <w:sz w:val="14"/>
                <w:szCs w:val="14"/>
                <w:color w:val="auto"/>
              </w:rPr>
            </w:pPr>
          </w:p>
        </w:tc>
        <w:tc>
          <w:tcPr>
            <w:tcW w:w="1400" w:type="dxa"/>
            <w:vAlign w:val="bottom"/>
          </w:tcPr>
          <w:p>
            <w:pPr>
              <w:jc w:val="center"/>
              <w:ind w:right="306"/>
              <w:spacing w:after="0"/>
              <w:rPr>
                <w:sz w:val="20"/>
                <w:szCs w:val="20"/>
                <w:color w:val="auto"/>
              </w:rPr>
            </w:pPr>
            <w:r>
              <w:rPr>
                <w:rFonts w:ascii="Arial" w:cs="Arial" w:eastAsia="Arial" w:hAnsi="Arial"/>
                <w:sz w:val="11"/>
                <w:szCs w:val="11"/>
                <w:b w:val="1"/>
                <w:bCs w:val="1"/>
                <w:color w:val="auto"/>
                <w:w w:val="91"/>
              </w:rPr>
              <w:t>Total</w:t>
            </w:r>
          </w:p>
        </w:tc>
      </w:tr>
      <w:tr>
        <w:trPr>
          <w:trHeight w:val="156"/>
        </w:trPr>
        <w:tc>
          <w:tcPr>
            <w:tcW w:w="2320" w:type="dxa"/>
            <w:vAlign w:val="bottom"/>
          </w:tcPr>
          <w:p>
            <w:pPr>
              <w:spacing w:after="0"/>
              <w:rPr>
                <w:sz w:val="13"/>
                <w:szCs w:val="13"/>
                <w:color w:val="auto"/>
              </w:rPr>
            </w:pPr>
          </w:p>
        </w:tc>
        <w:tc>
          <w:tcPr>
            <w:tcW w:w="196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89"/>
              </w:rPr>
              <w:t>preferred stock</w:t>
            </w:r>
          </w:p>
        </w:tc>
        <w:tc>
          <w:tcPr>
            <w:tcW w:w="156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3"/>
                <w:szCs w:val="13"/>
                <w:color w:val="auto"/>
              </w:rPr>
            </w:pPr>
          </w:p>
        </w:tc>
        <w:tc>
          <w:tcPr>
            <w:tcW w:w="72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paid-in</w:t>
            </w:r>
          </w:p>
        </w:tc>
        <w:tc>
          <w:tcPr>
            <w:tcW w:w="220" w:type="dxa"/>
            <w:vAlign w:val="bottom"/>
          </w:tcPr>
          <w:p>
            <w:pPr>
              <w:spacing w:after="0"/>
              <w:rPr>
                <w:sz w:val="13"/>
                <w:szCs w:val="13"/>
                <w:color w:val="auto"/>
              </w:rPr>
            </w:pPr>
          </w:p>
        </w:tc>
        <w:tc>
          <w:tcPr>
            <w:tcW w:w="1000" w:type="dxa"/>
            <w:vAlign w:val="bottom"/>
          </w:tcPr>
          <w:p>
            <w:pPr>
              <w:jc w:val="right"/>
              <w:ind w:right="266"/>
              <w:spacing w:after="0"/>
              <w:rPr>
                <w:sz w:val="20"/>
                <w:szCs w:val="20"/>
                <w:color w:val="auto"/>
              </w:rPr>
            </w:pPr>
            <w:r>
              <w:rPr>
                <w:rFonts w:ascii="Arial" w:cs="Arial" w:eastAsia="Arial" w:hAnsi="Arial"/>
                <w:sz w:val="11"/>
                <w:szCs w:val="11"/>
                <w:b w:val="1"/>
                <w:bCs w:val="1"/>
                <w:color w:val="auto"/>
                <w:w w:val="95"/>
              </w:rPr>
              <w:t>Accumulated</w:t>
            </w:r>
          </w:p>
        </w:tc>
        <w:tc>
          <w:tcPr>
            <w:tcW w:w="220" w:type="dxa"/>
            <w:vAlign w:val="bottom"/>
          </w:tcPr>
          <w:p>
            <w:pPr>
              <w:spacing w:after="0"/>
              <w:rPr>
                <w:sz w:val="13"/>
                <w:szCs w:val="13"/>
                <w:color w:val="auto"/>
              </w:rPr>
            </w:pPr>
          </w:p>
        </w:tc>
        <w:tc>
          <w:tcPr>
            <w:tcW w:w="1320" w:type="dxa"/>
            <w:vAlign w:val="bottom"/>
          </w:tcPr>
          <w:p>
            <w:pPr>
              <w:jc w:val="center"/>
              <w:ind w:right="226"/>
              <w:spacing w:after="0"/>
              <w:rPr>
                <w:sz w:val="20"/>
                <w:szCs w:val="20"/>
                <w:color w:val="auto"/>
              </w:rPr>
            </w:pPr>
            <w:r>
              <w:rPr>
                <w:rFonts w:ascii="Arial" w:cs="Arial" w:eastAsia="Arial" w:hAnsi="Arial"/>
                <w:sz w:val="11"/>
                <w:szCs w:val="11"/>
                <w:b w:val="1"/>
                <w:bCs w:val="1"/>
                <w:color w:val="auto"/>
                <w:w w:val="84"/>
              </w:rPr>
              <w:t>comprehensive</w:t>
            </w:r>
          </w:p>
        </w:tc>
        <w:tc>
          <w:tcPr>
            <w:tcW w:w="340" w:type="dxa"/>
            <w:vAlign w:val="bottom"/>
          </w:tcPr>
          <w:p>
            <w:pPr>
              <w:spacing w:after="0"/>
              <w:rPr>
                <w:sz w:val="13"/>
                <w:szCs w:val="13"/>
                <w:color w:val="auto"/>
              </w:rPr>
            </w:pPr>
          </w:p>
        </w:tc>
        <w:tc>
          <w:tcPr>
            <w:tcW w:w="1400" w:type="dxa"/>
            <w:vAlign w:val="bottom"/>
          </w:tcPr>
          <w:p>
            <w:pPr>
              <w:jc w:val="center"/>
              <w:ind w:right="326"/>
              <w:spacing w:after="0"/>
              <w:rPr>
                <w:sz w:val="20"/>
                <w:szCs w:val="20"/>
                <w:color w:val="auto"/>
              </w:rPr>
            </w:pPr>
            <w:r>
              <w:rPr>
                <w:rFonts w:ascii="Arial" w:cs="Arial" w:eastAsia="Arial" w:hAnsi="Arial"/>
                <w:sz w:val="11"/>
                <w:szCs w:val="11"/>
                <w:b w:val="1"/>
                <w:bCs w:val="1"/>
                <w:color w:val="auto"/>
                <w:w w:val="86"/>
              </w:rPr>
              <w:t>stockholders’</w:t>
            </w:r>
          </w:p>
        </w:tc>
      </w:tr>
      <w:tr>
        <w:trPr>
          <w:trHeight w:val="140"/>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share data)</w:t>
            </w:r>
          </w:p>
        </w:tc>
        <w:tc>
          <w:tcPr>
            <w:tcW w:w="900" w:type="dxa"/>
            <w:vAlign w:val="bottom"/>
            <w:tcBorders>
              <w:top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right w:val="single" w:sz="8" w:color="auto"/>
            </w:tcBorders>
          </w:tcPr>
          <w:p>
            <w:pPr>
              <w:spacing w:after="0"/>
              <w:rPr>
                <w:sz w:val="12"/>
                <w:szCs w:val="12"/>
                <w:color w:val="auto"/>
              </w:rPr>
            </w:pPr>
          </w:p>
        </w:tc>
        <w:tc>
          <w:tcPr>
            <w:tcW w:w="860" w:type="dxa"/>
            <w:vAlign w:val="bottom"/>
            <w:tcBorders>
              <w:top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2"/>
                <w:szCs w:val="12"/>
                <w:color w:val="auto"/>
              </w:rPr>
            </w:pPr>
          </w:p>
        </w:tc>
        <w:tc>
          <w:tcPr>
            <w:tcW w:w="720" w:type="dxa"/>
            <w:vAlign w:val="bottom"/>
          </w:tcPr>
          <w:p>
            <w:pPr>
              <w:jc w:val="center"/>
              <w:ind w:right="146"/>
              <w:spacing w:after="0"/>
              <w:rPr>
                <w:sz w:val="20"/>
                <w:szCs w:val="20"/>
                <w:color w:val="auto"/>
              </w:rPr>
            </w:pPr>
            <w:r>
              <w:rPr>
                <w:rFonts w:ascii="Arial" w:cs="Arial" w:eastAsia="Arial" w:hAnsi="Arial"/>
                <w:sz w:val="11"/>
                <w:szCs w:val="11"/>
                <w:b w:val="1"/>
                <w:bCs w:val="1"/>
                <w:color w:val="auto"/>
                <w:w w:val="91"/>
              </w:rPr>
              <w:t>capital</w:t>
            </w:r>
          </w:p>
        </w:tc>
        <w:tc>
          <w:tcPr>
            <w:tcW w:w="220" w:type="dxa"/>
            <w:vAlign w:val="bottom"/>
          </w:tcPr>
          <w:p>
            <w:pPr>
              <w:spacing w:after="0"/>
              <w:rPr>
                <w:sz w:val="12"/>
                <w:szCs w:val="12"/>
                <w:color w:val="auto"/>
              </w:rPr>
            </w:pPr>
          </w:p>
        </w:tc>
        <w:tc>
          <w:tcPr>
            <w:tcW w:w="1000" w:type="dxa"/>
            <w:vAlign w:val="bottom"/>
          </w:tcPr>
          <w:p>
            <w:pPr>
              <w:jc w:val="right"/>
              <w:ind w:right="446"/>
              <w:spacing w:after="0"/>
              <w:rPr>
                <w:sz w:val="20"/>
                <w:szCs w:val="20"/>
                <w:color w:val="auto"/>
              </w:rPr>
            </w:pPr>
            <w:r>
              <w:rPr>
                <w:rFonts w:ascii="Arial" w:cs="Arial" w:eastAsia="Arial" w:hAnsi="Arial"/>
                <w:sz w:val="11"/>
                <w:szCs w:val="11"/>
                <w:b w:val="1"/>
                <w:bCs w:val="1"/>
                <w:color w:val="auto"/>
              </w:rPr>
              <w:t>deficit</w:t>
            </w:r>
          </w:p>
        </w:tc>
        <w:tc>
          <w:tcPr>
            <w:tcW w:w="220" w:type="dxa"/>
            <w:vAlign w:val="bottom"/>
          </w:tcPr>
          <w:p>
            <w:pPr>
              <w:spacing w:after="0"/>
              <w:rPr>
                <w:sz w:val="12"/>
                <w:szCs w:val="12"/>
                <w:color w:val="auto"/>
              </w:rPr>
            </w:pPr>
          </w:p>
        </w:tc>
        <w:tc>
          <w:tcPr>
            <w:tcW w:w="1320" w:type="dxa"/>
            <w:vAlign w:val="bottom"/>
          </w:tcPr>
          <w:p>
            <w:pPr>
              <w:jc w:val="center"/>
              <w:ind w:right="226"/>
              <w:spacing w:after="0"/>
              <w:rPr>
                <w:sz w:val="20"/>
                <w:szCs w:val="20"/>
                <w:color w:val="auto"/>
              </w:rPr>
            </w:pPr>
            <w:r>
              <w:rPr>
                <w:rFonts w:ascii="Arial" w:cs="Arial" w:eastAsia="Arial" w:hAnsi="Arial"/>
                <w:sz w:val="11"/>
                <w:szCs w:val="11"/>
                <w:b w:val="1"/>
                <w:bCs w:val="1"/>
                <w:color w:val="auto"/>
                <w:w w:val="84"/>
              </w:rPr>
              <w:t>income (loss)</w:t>
            </w:r>
          </w:p>
        </w:tc>
        <w:tc>
          <w:tcPr>
            <w:tcW w:w="340" w:type="dxa"/>
            <w:vAlign w:val="bottom"/>
          </w:tcPr>
          <w:p>
            <w:pPr>
              <w:spacing w:after="0"/>
              <w:rPr>
                <w:sz w:val="12"/>
                <w:szCs w:val="12"/>
                <w:color w:val="auto"/>
              </w:rPr>
            </w:pPr>
          </w:p>
        </w:tc>
        <w:tc>
          <w:tcPr>
            <w:tcW w:w="1400" w:type="dxa"/>
            <w:vAlign w:val="bottom"/>
          </w:tcPr>
          <w:p>
            <w:pPr>
              <w:jc w:val="center"/>
              <w:ind w:right="306"/>
              <w:spacing w:after="0"/>
              <w:rPr>
                <w:sz w:val="20"/>
                <w:szCs w:val="20"/>
                <w:color w:val="auto"/>
              </w:rPr>
            </w:pPr>
            <w:r>
              <w:rPr>
                <w:rFonts w:ascii="Arial" w:cs="Arial" w:eastAsia="Arial" w:hAnsi="Arial"/>
                <w:sz w:val="11"/>
                <w:szCs w:val="11"/>
                <w:b w:val="1"/>
                <w:bCs w:val="1"/>
                <w:color w:val="auto"/>
                <w:w w:val="86"/>
              </w:rPr>
              <w:t>deficit</w:t>
            </w: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1"/>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December 31, 2019</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69,516,626</w:t>
            </w: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74,653</w:t>
            </w:r>
          </w:p>
        </w:tc>
        <w:tc>
          <w:tcPr>
            <w:tcW w:w="120" w:type="dxa"/>
            <w:vAlign w:val="bottom"/>
            <w:tcBorders>
              <w:bottom w:val="single" w:sz="8" w:color="auto"/>
              <w:right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28,397,955</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21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443</w:t>
            </w:r>
          </w:p>
        </w:tc>
        <w:tc>
          <w:tcPr>
            <w:tcW w:w="22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(42,018 )</w:t>
            </w:r>
          </w:p>
        </w:tc>
        <w:tc>
          <w:tcPr>
            <w:tcW w:w="22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(147 )</w:t>
            </w:r>
          </w:p>
        </w:tc>
        <w:tc>
          <w:tcPr>
            <w:tcW w:w="340" w:type="dxa"/>
            <w:vAlign w:val="bottom"/>
            <w:tcBorders>
              <w:bottom w:val="single" w:sz="8" w:color="auto"/>
            </w:tcBorders>
            <w:shd w:val="clear" w:color="auto" w:fill="CFF0FC"/>
          </w:tcPr>
          <w:p>
            <w:pPr>
              <w:jc w:val="right"/>
              <w:ind w:right="146"/>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(41,701 )</w:t>
            </w:r>
          </w:p>
        </w:tc>
      </w:tr>
      <w:tr>
        <w:trPr>
          <w:trHeight w:val="105"/>
        </w:trPr>
        <w:tc>
          <w:tcPr>
            <w:tcW w:w="2320" w:type="dxa"/>
            <w:vAlign w:val="bottom"/>
          </w:tcPr>
          <w:p>
            <w:pPr>
              <w:ind w:left="20"/>
              <w:spacing w:after="0" w:line="105" w:lineRule="exact"/>
              <w:rPr>
                <w:sz w:val="20"/>
                <w:szCs w:val="20"/>
                <w:color w:val="auto"/>
              </w:rPr>
            </w:pPr>
            <w:r>
              <w:rPr>
                <w:rFonts w:ascii="Arial" w:cs="Arial" w:eastAsia="Arial" w:hAnsi="Arial"/>
                <w:sz w:val="11"/>
                <w:szCs w:val="11"/>
                <w:color w:val="auto"/>
              </w:rPr>
              <w:t>Exercise of stock options</w:t>
            </w: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60" w:type="dxa"/>
            <w:vAlign w:val="bottom"/>
          </w:tcPr>
          <w:p>
            <w:pPr>
              <w:jc w:val="right"/>
              <w:spacing w:after="0" w:line="105" w:lineRule="exact"/>
              <w:rPr>
                <w:sz w:val="20"/>
                <w:szCs w:val="20"/>
                <w:color w:val="auto"/>
              </w:rPr>
            </w:pPr>
            <w:r>
              <w:rPr>
                <w:rFonts w:ascii="Arial" w:cs="Arial" w:eastAsia="Arial" w:hAnsi="Arial"/>
                <w:sz w:val="11"/>
                <w:szCs w:val="11"/>
                <w:color w:val="auto"/>
              </w:rPr>
              <w:t>97,801</w:t>
            </w:r>
          </w:p>
        </w:tc>
        <w:tc>
          <w:tcPr>
            <w:tcW w:w="100" w:type="dxa"/>
            <w:vAlign w:val="bottom"/>
          </w:tcPr>
          <w:p>
            <w:pPr>
              <w:spacing w:after="0"/>
              <w:rPr>
                <w:sz w:val="9"/>
                <w:szCs w:val="9"/>
                <w:color w:val="auto"/>
              </w:rPr>
            </w:pPr>
          </w:p>
        </w:tc>
        <w:tc>
          <w:tcPr>
            <w:tcW w:w="6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9"/>
                <w:szCs w:val="9"/>
                <w:color w:val="auto"/>
              </w:rPr>
            </w:pPr>
          </w:p>
        </w:tc>
        <w:tc>
          <w:tcPr>
            <w:tcW w:w="720" w:type="dxa"/>
            <w:vAlign w:val="bottom"/>
          </w:tcPr>
          <w:p>
            <w:pPr>
              <w:jc w:val="right"/>
              <w:ind w:right="86"/>
              <w:spacing w:after="0" w:line="105" w:lineRule="exact"/>
              <w:rPr>
                <w:sz w:val="20"/>
                <w:szCs w:val="20"/>
                <w:color w:val="auto"/>
              </w:rPr>
            </w:pPr>
            <w:r>
              <w:rPr>
                <w:rFonts w:ascii="Arial" w:cs="Arial" w:eastAsia="Arial" w:hAnsi="Arial"/>
                <w:sz w:val="11"/>
                <w:szCs w:val="11"/>
                <w:color w:val="auto"/>
              </w:rPr>
              <w:t>12</w:t>
            </w: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13</w:t>
            </w:r>
          </w:p>
        </w:tc>
      </w:tr>
      <w:tr>
        <w:trPr>
          <w:trHeight w:val="22"/>
        </w:trPr>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2"/>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ind w:right="86"/>
              <w:spacing w:after="0"/>
              <w:rPr>
                <w:sz w:val="20"/>
                <w:szCs w:val="20"/>
                <w:color w:val="auto"/>
              </w:rPr>
            </w:pPr>
            <w:r>
              <w:rPr>
                <w:rFonts w:ascii="Arial" w:cs="Arial" w:eastAsia="Arial" w:hAnsi="Arial"/>
                <w:sz w:val="11"/>
                <w:szCs w:val="11"/>
                <w:color w:val="auto"/>
              </w:rPr>
              <w:t>105</w:t>
            </w: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spacing w:after="0"/>
              <w:rPr>
                <w:sz w:val="12"/>
                <w:szCs w:val="12"/>
                <w:color w:val="auto"/>
              </w:rPr>
            </w:pPr>
          </w:p>
        </w:tc>
        <w:tc>
          <w:tcPr>
            <w:tcW w:w="14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105</w:t>
            </w:r>
          </w:p>
        </w:tc>
      </w:tr>
      <w:tr>
        <w:trPr>
          <w:trHeight w:val="140"/>
        </w:trPr>
        <w:tc>
          <w:tcPr>
            <w:tcW w:w="2320" w:type="dxa"/>
            <w:vAlign w:val="bottom"/>
          </w:tcPr>
          <w:p>
            <w:pPr>
              <w:ind w:left="20"/>
              <w:spacing w:after="0"/>
              <w:rPr>
                <w:sz w:val="20"/>
                <w:szCs w:val="20"/>
                <w:color w:val="auto"/>
              </w:rPr>
            </w:pPr>
            <w:r>
              <w:rPr>
                <w:rFonts w:ascii="Arial" w:cs="Arial" w:eastAsia="Arial" w:hAnsi="Arial"/>
                <w:sz w:val="11"/>
                <w:szCs w:val="11"/>
                <w:color w:val="auto"/>
                <w:w w:val="93"/>
              </w:rPr>
              <w:t>Foreign currency translation adjustment, net of tax</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26"/>
              <w:spacing w:after="0"/>
              <w:rPr>
                <w:sz w:val="20"/>
                <w:szCs w:val="20"/>
                <w:color w:val="auto"/>
              </w:rPr>
            </w:pPr>
            <w:r>
              <w:rPr>
                <w:rFonts w:ascii="Arial" w:cs="Arial" w:eastAsia="Arial" w:hAnsi="Arial"/>
                <w:sz w:val="11"/>
                <w:szCs w:val="11"/>
                <w:color w:val="auto"/>
              </w:rPr>
              <w:t>(77 )</w:t>
            </w:r>
          </w:p>
        </w:tc>
        <w:tc>
          <w:tcPr>
            <w:tcW w:w="34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(77 )</w:t>
            </w:r>
          </w:p>
        </w:tc>
      </w:tr>
      <w:tr>
        <w:trPr>
          <w:trHeight w:val="22"/>
        </w:trPr>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67"/>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9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right w:val="single" w:sz="8" w:color="auto"/>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(839 )</w:t>
            </w:r>
          </w:p>
        </w:tc>
        <w:tc>
          <w:tcPr>
            <w:tcW w:w="22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(839 )</w:t>
            </w:r>
          </w:p>
        </w:tc>
      </w:tr>
      <w:tr>
        <w:trPr>
          <w:trHeight w:val="151"/>
        </w:trPr>
        <w:tc>
          <w:tcPr>
            <w:tcW w:w="232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Balances at March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69,516,626</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74,653</w:t>
            </w:r>
          </w:p>
        </w:tc>
        <w:tc>
          <w:tcPr>
            <w:tcW w:w="120" w:type="dxa"/>
            <w:vAlign w:val="bottom"/>
            <w:tcBorders>
              <w:top w:val="single" w:sz="8" w:color="auto"/>
              <w:bottom w:val="single" w:sz="8" w:color="auto"/>
              <w:right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28,495,756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560</w:t>
            </w:r>
          </w:p>
        </w:tc>
        <w:tc>
          <w:tcPr>
            <w:tcW w:w="2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(42,857 )</w:t>
            </w: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3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(224 )</w:t>
            </w:r>
          </w:p>
        </w:tc>
        <w:tc>
          <w:tcPr>
            <w:tcW w:w="34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14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(42,499 )</w:t>
            </w:r>
          </w:p>
        </w:tc>
      </w:tr>
      <w:tr>
        <w:trPr>
          <w:trHeight w:val="20"/>
        </w:trPr>
        <w:tc>
          <w:tcPr>
            <w:tcW w:w="2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27"/>
        </w:trPr>
        <w:tc>
          <w:tcPr>
            <w:tcW w:w="2320" w:type="dxa"/>
            <w:vAlign w:val="bottom"/>
            <w:tcBorders>
              <w:bottom w:val="single" w:sz="8" w:color="CFF0FC"/>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Exercise of stock options</w:t>
            </w:r>
          </w:p>
        </w:tc>
        <w:tc>
          <w:tcPr>
            <w:tcW w:w="9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right w:val="single" w:sz="8" w:color="auto"/>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2,511</w:t>
            </w:r>
          </w:p>
        </w:tc>
        <w:tc>
          <w:tcPr>
            <w:tcW w:w="10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shd w:val="clear" w:color="auto" w:fill="CFF0FC"/>
          </w:tcPr>
          <w:p>
            <w:pPr>
              <w:jc w:val="right"/>
              <w:ind w:right="86"/>
              <w:spacing w:after="0" w:line="125" w:lineRule="exact"/>
              <w:rPr>
                <w:sz w:val="20"/>
                <w:szCs w:val="20"/>
                <w:color w:val="auto"/>
              </w:rPr>
            </w:pPr>
            <w:r>
              <w:rPr>
                <w:rFonts w:ascii="Arial" w:cs="Arial" w:eastAsia="Arial" w:hAnsi="Arial"/>
                <w:sz w:val="11"/>
                <w:szCs w:val="11"/>
                <w:color w:val="auto"/>
              </w:rPr>
              <w:t>1</w:t>
            </w:r>
          </w:p>
        </w:tc>
        <w:tc>
          <w:tcPr>
            <w:tcW w:w="2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3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1400" w:type="dxa"/>
            <w:vAlign w:val="bottom"/>
            <w:tcBorders>
              <w:bottom w:val="single" w:sz="8" w:color="CFF0FC"/>
            </w:tcBorders>
            <w:shd w:val="clear" w:color="auto" w:fill="CFF0FC"/>
          </w:tcPr>
          <w:p>
            <w:pPr>
              <w:jc w:val="right"/>
              <w:ind w:right="66"/>
              <w:spacing w:after="0" w:line="125" w:lineRule="exact"/>
              <w:rPr>
                <w:sz w:val="20"/>
                <w:szCs w:val="20"/>
                <w:color w:val="auto"/>
              </w:rPr>
            </w:pPr>
            <w:r>
              <w:rPr>
                <w:rFonts w:ascii="Arial" w:cs="Arial" w:eastAsia="Arial" w:hAnsi="Arial"/>
                <w:sz w:val="11"/>
                <w:szCs w:val="11"/>
                <w:color w:val="auto"/>
              </w:rPr>
              <w:t>1</w:t>
            </w:r>
          </w:p>
        </w:tc>
      </w:tr>
      <w:tr>
        <w:trPr>
          <w:trHeight w:val="140"/>
        </w:trPr>
        <w:tc>
          <w:tcPr>
            <w:tcW w:w="232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109</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109</w:t>
            </w:r>
          </w:p>
        </w:tc>
      </w:tr>
      <w:tr>
        <w:trPr>
          <w:trHeight w:val="22"/>
        </w:trPr>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2"/>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3"/>
              </w:rPr>
              <w:t>Foreign currency translation adjustment, net of tax</w:t>
            </w: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(19 )</w:t>
            </w:r>
          </w:p>
        </w:tc>
        <w:tc>
          <w:tcPr>
            <w:tcW w:w="340" w:type="dxa"/>
            <w:vAlign w:val="bottom"/>
            <w:tcBorders>
              <w:bottom w:val="single" w:sz="8" w:color="CFF0FC"/>
            </w:tcBorders>
            <w:shd w:val="clear" w:color="auto" w:fill="CFF0FC"/>
          </w:tcPr>
          <w:p>
            <w:pPr>
              <w:spacing w:after="0"/>
              <w:rPr>
                <w:sz w:val="12"/>
                <w:szCs w:val="12"/>
                <w:color w:val="auto"/>
              </w:rPr>
            </w:pPr>
          </w:p>
        </w:tc>
        <w:tc>
          <w:tcPr>
            <w:tcW w:w="14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(19 )</w:t>
            </w:r>
          </w:p>
        </w:tc>
      </w:tr>
      <w:tr>
        <w:trPr>
          <w:trHeight w:val="140"/>
        </w:trPr>
        <w:tc>
          <w:tcPr>
            <w:tcW w:w="23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06"/>
              <w:spacing w:after="0"/>
              <w:rPr>
                <w:sz w:val="20"/>
                <w:szCs w:val="20"/>
                <w:color w:val="auto"/>
              </w:rPr>
            </w:pPr>
            <w:r>
              <w:rPr>
                <w:rFonts w:ascii="Arial" w:cs="Arial" w:eastAsia="Arial" w:hAnsi="Arial"/>
                <w:sz w:val="11"/>
                <w:szCs w:val="11"/>
                <w:color w:val="auto"/>
              </w:rPr>
              <w:t>8,111</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8,111</w:t>
            </w:r>
          </w:p>
        </w:tc>
      </w:tr>
      <w:tr>
        <w:trPr>
          <w:trHeight w:val="22"/>
        </w:trPr>
        <w:tc>
          <w:tcPr>
            <w:tcW w:w="2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1"/>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June 30, 2020</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69,516,626</w:t>
            </w: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74,653</w:t>
            </w:r>
          </w:p>
        </w:tc>
        <w:tc>
          <w:tcPr>
            <w:tcW w:w="120" w:type="dxa"/>
            <w:vAlign w:val="bottom"/>
            <w:tcBorders>
              <w:bottom w:val="single" w:sz="8" w:color="auto"/>
              <w:right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28,498,267</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22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670</w:t>
            </w:r>
          </w:p>
        </w:tc>
        <w:tc>
          <w:tcPr>
            <w:tcW w:w="22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(34,746 )</w:t>
            </w:r>
          </w:p>
        </w:tc>
        <w:tc>
          <w:tcPr>
            <w:tcW w:w="22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(243 )</w:t>
            </w:r>
          </w:p>
        </w:tc>
        <w:tc>
          <w:tcPr>
            <w:tcW w:w="340" w:type="dxa"/>
            <w:vAlign w:val="bottom"/>
            <w:tcBorders>
              <w:bottom w:val="single" w:sz="8" w:color="auto"/>
            </w:tcBorders>
            <w:shd w:val="clear" w:color="auto" w:fill="CFF0FC"/>
          </w:tcPr>
          <w:p>
            <w:pPr>
              <w:jc w:val="right"/>
              <w:ind w:right="146"/>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(34,297 )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-1460500</wp:posOffset>
            </wp:positionV>
            <wp:extent cx="3429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Cytek Biosciences,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202"/>
        </w:trPr>
        <w:tc>
          <w:tcPr>
            <w:tcW w:w="8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2,772</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7,272</w:t>
            </w:r>
          </w:p>
        </w:tc>
      </w:tr>
      <w:tr>
        <w:trPr>
          <w:trHeight w:val="209"/>
        </w:trPr>
        <w:tc>
          <w:tcPr>
            <w:tcW w:w="8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196"/>
        </w:trPr>
        <w:tc>
          <w:tcPr>
            <w:tcW w:w="83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368</w:t>
            </w:r>
          </w:p>
        </w:tc>
        <w:tc>
          <w:tcPr>
            <w:tcW w:w="30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266</w:t>
            </w:r>
          </w:p>
        </w:tc>
      </w:tr>
      <w:tr>
        <w:trPr>
          <w:trHeight w:val="209"/>
        </w:trPr>
        <w:tc>
          <w:tcPr>
            <w:tcW w:w="8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1,123</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214</w:t>
            </w:r>
          </w:p>
        </w:tc>
      </w:tr>
      <w:tr>
        <w:trPr>
          <w:trHeight w:val="196"/>
        </w:trPr>
        <w:tc>
          <w:tcPr>
            <w:tcW w:w="8360" w:type="dxa"/>
            <w:vAlign w:val="bottom"/>
          </w:tcPr>
          <w:p>
            <w:pPr>
              <w:ind w:left="200"/>
              <w:spacing w:after="0"/>
              <w:rPr>
                <w:sz w:val="20"/>
                <w:szCs w:val="20"/>
                <w:color w:val="auto"/>
              </w:rPr>
            </w:pPr>
            <w:r>
              <w:rPr>
                <w:rFonts w:ascii="Arial" w:cs="Arial" w:eastAsia="Arial" w:hAnsi="Arial"/>
                <w:sz w:val="14"/>
                <w:szCs w:val="14"/>
                <w:color w:val="auto"/>
              </w:rPr>
              <w:t>Gain on equity method investment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(40 )</w:t>
            </w:r>
          </w:p>
        </w:tc>
        <w:tc>
          <w:tcPr>
            <w:tcW w:w="30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9"/>
        </w:trPr>
        <w:tc>
          <w:tcPr>
            <w:tcW w:w="8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Provision for excess and obsolete inventory</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263</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797</w:t>
            </w:r>
          </w:p>
        </w:tc>
      </w:tr>
      <w:tr>
        <w:trPr>
          <w:trHeight w:val="196"/>
        </w:trPr>
        <w:tc>
          <w:tcPr>
            <w:tcW w:w="8360" w:type="dxa"/>
            <w:vAlign w:val="bottom"/>
          </w:tcPr>
          <w:p>
            <w:pPr>
              <w:ind w:left="200"/>
              <w:spacing w:after="0"/>
              <w:rPr>
                <w:sz w:val="20"/>
                <w:szCs w:val="20"/>
                <w:color w:val="auto"/>
              </w:rPr>
            </w:pPr>
            <w:r>
              <w:rPr>
                <w:rFonts w:ascii="Arial" w:cs="Arial" w:eastAsia="Arial" w:hAnsi="Arial"/>
                <w:sz w:val="14"/>
                <w:szCs w:val="14"/>
                <w:color w:val="auto"/>
              </w:rPr>
              <w:t>Interest expenses for accretion of the legal settlement liabilities</w:t>
            </w:r>
          </w:p>
        </w:tc>
        <w:tc>
          <w:tcPr>
            <w:tcW w:w="3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776</w:t>
            </w:r>
          </w:p>
        </w:tc>
        <w:tc>
          <w:tcPr>
            <w:tcW w:w="30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9"/>
        </w:trPr>
        <w:tc>
          <w:tcPr>
            <w:tcW w:w="8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operating assets and liabilities: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196"/>
        </w:trPr>
        <w:tc>
          <w:tcPr>
            <w:tcW w:w="8360" w:type="dxa"/>
            <w:vAlign w:val="bottom"/>
          </w:tcPr>
          <w:p>
            <w:pPr>
              <w:ind w:left="380"/>
              <w:spacing w:after="0"/>
              <w:rPr>
                <w:sz w:val="20"/>
                <w:szCs w:val="20"/>
                <w:color w:val="auto"/>
              </w:rPr>
            </w:pPr>
            <w:r>
              <w:rPr>
                <w:rFonts w:ascii="Arial" w:cs="Arial" w:eastAsia="Arial" w:hAnsi="Arial"/>
                <w:sz w:val="14"/>
                <w:szCs w:val="14"/>
                <w:color w:val="auto"/>
              </w:rPr>
              <w:t>Trade accounts receivable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(6,054 )</w:t>
            </w:r>
          </w:p>
        </w:tc>
        <w:tc>
          <w:tcPr>
            <w:tcW w:w="30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4,092</w:t>
            </w:r>
          </w:p>
        </w:tc>
      </w:tr>
      <w:tr>
        <w:trPr>
          <w:trHeight w:val="209"/>
        </w:trPr>
        <w:tc>
          <w:tcPr>
            <w:tcW w:w="8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(3,874 )</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(4,486 )</w:t>
            </w:r>
          </w:p>
        </w:tc>
      </w:tr>
      <w:tr>
        <w:trPr>
          <w:trHeight w:val="196"/>
        </w:trPr>
        <w:tc>
          <w:tcPr>
            <w:tcW w:w="836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(2,557 )</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(8,380 )</w:t>
            </w:r>
          </w:p>
        </w:tc>
      </w:tr>
      <w:tr>
        <w:trPr>
          <w:trHeight w:val="209"/>
        </w:trPr>
        <w:tc>
          <w:tcPr>
            <w:tcW w:w="8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Trade accounts payable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(149 )</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(50 )</w:t>
            </w:r>
          </w:p>
        </w:tc>
      </w:tr>
      <w:tr>
        <w:trPr>
          <w:trHeight w:val="196"/>
        </w:trPr>
        <w:tc>
          <w:tcPr>
            <w:tcW w:w="8360" w:type="dxa"/>
            <w:vAlign w:val="bottom"/>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505</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(190 )</w:t>
            </w:r>
          </w:p>
        </w:tc>
      </w:tr>
      <w:tr>
        <w:trPr>
          <w:trHeight w:val="209"/>
        </w:trPr>
        <w:tc>
          <w:tcPr>
            <w:tcW w:w="83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Legal settlement liabilities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965</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971</w:t>
            </w:r>
          </w:p>
        </w:tc>
      </w:tr>
      <w:tr>
        <w:trPr>
          <w:trHeight w:val="196"/>
        </w:trPr>
        <w:tc>
          <w:tcPr>
            <w:tcW w:w="836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3,923</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818</w:t>
            </w:r>
          </w:p>
        </w:tc>
      </w:tr>
      <w:tr>
        <w:trPr>
          <w:trHeight w:val="196"/>
        </w:trPr>
        <w:tc>
          <w:tcPr>
            <w:tcW w:w="836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14"/>
                <w:szCs w:val="14"/>
                <w:color w:val="auto"/>
              </w:rPr>
              <w:t>Net cash (used in) provided by operating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(1,979 )</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1,324</w:t>
            </w: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3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Purchase of property and equipment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(1,760 )</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(870 )</w:t>
            </w:r>
          </w:p>
        </w:tc>
      </w:tr>
      <w:tr>
        <w:trPr>
          <w:trHeight w:val="196"/>
        </w:trPr>
        <w:tc>
          <w:tcPr>
            <w:tcW w:w="8360" w:type="dxa"/>
            <w:vAlign w:val="bottom"/>
          </w:tcPr>
          <w:p>
            <w:pPr>
              <w:ind w:left="240"/>
              <w:spacing w:after="0"/>
              <w:rPr>
                <w:sz w:val="20"/>
                <w:szCs w:val="20"/>
                <w:color w:val="auto"/>
              </w:rPr>
            </w:pPr>
            <w:r>
              <w:rPr>
                <w:rFonts w:ascii="Arial" w:cs="Arial" w:eastAsia="Arial" w:hAnsi="Arial"/>
                <w:sz w:val="14"/>
                <w:szCs w:val="14"/>
                <w:color w:val="auto"/>
              </w:rPr>
              <w:t>Payment for additional investment in Cytek Japan, net of cash acquired</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371</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96"/>
        </w:trPr>
        <w:tc>
          <w:tcPr>
            <w:tcW w:w="83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(1,389 )</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(870 )</w:t>
            </w: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8"/>
        </w:trPr>
        <w:tc>
          <w:tcPr>
            <w:tcW w:w="83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Paycheck Protection Program loan</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4,082</w:t>
            </w:r>
          </w:p>
        </w:tc>
      </w:tr>
      <w:tr>
        <w:trPr>
          <w:trHeight w:val="197"/>
        </w:trPr>
        <w:tc>
          <w:tcPr>
            <w:tcW w:w="8360" w:type="dxa"/>
            <w:vAlign w:val="bottom"/>
          </w:tcPr>
          <w:p>
            <w:pPr>
              <w:ind w:left="240"/>
              <w:spacing w:after="0"/>
              <w:rPr>
                <w:sz w:val="20"/>
                <w:szCs w:val="20"/>
                <w:color w:val="auto"/>
              </w:rPr>
            </w:pPr>
            <w:r>
              <w:rPr>
                <w:rFonts w:ascii="Arial" w:cs="Arial" w:eastAsia="Arial" w:hAnsi="Arial"/>
                <w:sz w:val="14"/>
                <w:szCs w:val="14"/>
                <w:color w:val="auto"/>
              </w:rPr>
              <w:t>Repayment of Paycheck Protection Program loan</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(2,772 )</w:t>
            </w:r>
          </w:p>
        </w:tc>
        <w:tc>
          <w:tcPr>
            <w:tcW w:w="30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9"/>
        </w:trPr>
        <w:tc>
          <w:tcPr>
            <w:tcW w:w="83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Payment of deferred offering costs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(1,081 )</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96"/>
        </w:trPr>
        <w:tc>
          <w:tcPr>
            <w:tcW w:w="8360" w:type="dxa"/>
            <w:vAlign w:val="bottom"/>
          </w:tcPr>
          <w:p>
            <w:pPr>
              <w:ind w:left="24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r>
      <w:tr>
        <w:trPr>
          <w:trHeight w:val="196"/>
        </w:trPr>
        <w:tc>
          <w:tcPr>
            <w:tcW w:w="83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(used in)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(3,536 )</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4,095</w:t>
            </w:r>
          </w:p>
        </w:tc>
      </w:tr>
      <w:tr>
        <w:trPr>
          <w:trHeight w:val="196"/>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Effect of exchange rate changes on cash, cash equivalents and restricted cash</w:t>
            </w:r>
          </w:p>
        </w:tc>
        <w:tc>
          <w:tcPr>
            <w:tcW w:w="3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631</w:t>
            </w:r>
          </w:p>
        </w:tc>
        <w:tc>
          <w:tcPr>
            <w:tcW w:w="30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283</w:t>
            </w:r>
          </w:p>
        </w:tc>
      </w:tr>
      <w:tr>
        <w:trPr>
          <w:trHeight w:val="208"/>
        </w:trPr>
        <w:tc>
          <w:tcPr>
            <w:tcW w:w="8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197"/>
        </w:trPr>
        <w:tc>
          <w:tcPr>
            <w:tcW w:w="836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(6,273 )</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4,832</w:t>
            </w:r>
          </w:p>
        </w:tc>
      </w:tr>
      <w:tr>
        <w:trPr>
          <w:trHeight w:val="196"/>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166,119</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30,490</w:t>
            </w:r>
          </w:p>
        </w:tc>
      </w:tr>
      <w:tr>
        <w:trPr>
          <w:trHeight w:val="202"/>
        </w:trPr>
        <w:tc>
          <w:tcPr>
            <w:tcW w:w="83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159,846</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35,322</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Cash paid for taxes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2,007</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7"/>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spacing w:after="0"/>
              <w:rPr>
                <w:sz w:val="15"/>
                <w:szCs w:val="15"/>
                <w:color w:val="auto"/>
              </w:rPr>
            </w:pPr>
          </w:p>
        </w:tc>
      </w:tr>
      <w:tr>
        <w:trPr>
          <w:trHeight w:val="202"/>
        </w:trPr>
        <w:tc>
          <w:tcPr>
            <w:tcW w:w="8360" w:type="dxa"/>
            <w:vAlign w:val="bottom"/>
          </w:tcPr>
          <w:p>
            <w:pPr>
              <w:ind w:left="200"/>
              <w:spacing w:after="0"/>
              <w:rPr>
                <w:sz w:val="20"/>
                <w:szCs w:val="20"/>
                <w:color w:val="auto"/>
              </w:rPr>
            </w:pPr>
            <w:r>
              <w:rPr>
                <w:rFonts w:ascii="Arial" w:cs="Arial" w:eastAsia="Arial" w:hAnsi="Arial"/>
                <w:sz w:val="14"/>
                <w:szCs w:val="14"/>
                <w:color w:val="auto"/>
              </w:rPr>
              <w:t>Fixed asset purchases in accounts payable at period end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Deferred offering costs in accrued expenses at period end</w:t>
            </w: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1,691</w:t>
            </w: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3"/>
        </w:trPr>
        <w:tc>
          <w:tcPr>
            <w:tcW w:w="8360" w:type="dxa"/>
            <w:vAlign w:val="bottom"/>
          </w:tcPr>
          <w:p>
            <w:pPr>
              <w:ind w:left="200"/>
              <w:spacing w:after="0"/>
              <w:rPr>
                <w:sz w:val="20"/>
                <w:szCs w:val="20"/>
                <w:color w:val="auto"/>
              </w:rPr>
            </w:pPr>
            <w:r>
              <w:rPr>
                <w:rFonts w:ascii="Arial" w:cs="Arial" w:eastAsia="Arial" w:hAnsi="Arial"/>
                <w:sz w:val="14"/>
                <w:szCs w:val="14"/>
                <w:color w:val="auto"/>
              </w:rPr>
              <w:t>Stock option exercise in accounts receivable at period end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4"/>
          <w:szCs w:val="14"/>
          <w:b w:val="1"/>
          <w:bCs w:val="1"/>
          <w:color w:val="auto"/>
        </w:rPr>
        <w:t>Cytek Biosciences, Inc.</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Notes to interim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Cytek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The Company has successfully developed and manufactured its full spectrum flow cytometry platform (“instrument(s)” or “product(s)”). The Company believes its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The Company’s FSP platform includes instruments, accessories, reagents, software, and services to provide a comprehensive and integrated suite of solutions for its customers.</w:t>
      </w:r>
    </w:p>
    <w:p>
      <w:pPr>
        <w:spacing w:after="0" w:line="188"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The Company was incorporated in the state of Delaware in December 2014 and is headquartered in Fremont, California with offices, manufacturing facilities and distribution channels across the globe.</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 Public Offering</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July 2021, the Company priced its initial public offering (“IPO”) of 13,949,401 shares of common stock, which included the full exercise by the underwriters of their option to purchase an additional 2,184,695 shares from the Company, at an initial public offering price of $17.00 per share for gross proceeds of $237.1 million, which resulted in net proceeds to the Company of approximately $215.2 million, after deducting underwriting discounts and commissions of approximately $17.3 million and offering-related transaction costs of approximately $5.3 million. In addition, certain selling stockholders offered and sold an additional 2,799,929 shares or common stock in the IPO. The Company did not receive any proceeds from the sale of such shares by the selling stockholders.</w:t>
      </w:r>
    </w:p>
    <w:p>
      <w:pPr>
        <w:spacing w:after="0" w:line="259" w:lineRule="exact"/>
        <w:rPr>
          <w:sz w:val="20"/>
          <w:szCs w:val="20"/>
          <w:color w:val="auto"/>
        </w:rPr>
      </w:pPr>
    </w:p>
    <w:p>
      <w:pPr>
        <w:jc w:val="both"/>
        <w:ind w:right="20" w:firstLine="515"/>
        <w:spacing w:after="0" w:line="292" w:lineRule="auto"/>
        <w:rPr>
          <w:sz w:val="20"/>
          <w:szCs w:val="20"/>
          <w:color w:val="auto"/>
        </w:rPr>
      </w:pPr>
      <w:r>
        <w:rPr>
          <w:rFonts w:ascii="Arial" w:cs="Arial" w:eastAsia="Arial" w:hAnsi="Arial"/>
          <w:sz w:val="14"/>
          <w:szCs w:val="14"/>
          <w:color w:val="auto"/>
        </w:rPr>
        <w:t>In addition, in connection with the completion of the IPO on July 27, 2021, all outstanding shares of convertible preferred stock (see Note 10) were automatically converted into 87,268,694 shares of the Company’s common stock and were reclassified as permanent equity. Further, immediately following the closing of the IPO, the Company amended and restated its certificate of incorporation such that the total number of shares of common stock authorized to be issued was 1,000,000,000 and the total number of shares of preferred stock authorized to be issued was 10,000,000. Following the IPO, there are no shares of convertible preferred stock outstanding.</w:t>
      </w:r>
    </w:p>
    <w:p>
      <w:pPr>
        <w:spacing w:after="0" w:line="144"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 and summary of significant accounting policies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 has prepared the accompanying unaudited interim consolidated financial statements in accordance with accounting principles generally accepted in the United States of America (“U.S. GAAP”). Any reference in these notes to applicable guidance is meant to refer to the authoritative U.S. GAAP as found in the Accounting Standards Codification (“ASC”) and Accounting Standards Updates (“ASUs”) of the Financial Accounting Standards Board (“FASB”).</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2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The unaudited interim consolidated financial statements include the accounts of Cytek Biosciences, Inc., its wholly-owned subsidiaries, Cytek Limited (HK), Cytek Biosciences B.V. (Europe), Cytek (Shanghai) Biosciences Co., Ltd., Cytek Biosciences (Wuxi) Co., Ltd., Cytoville Biosciences Shanghai Co., Ltd. and Cytek (Shanghai) Software Development Technology Co., Ltd. and its majority-owned subsidiary, Cytek Japan Kabushiki Kaisha (“Cytek Japan”). The noncontrolling interest is presented in stockholders’ deficit in the consolidated balance sheets and consolidated statements of redeemable convertible preferred stock and stockholders’ deficit. All intercompany accounts and transactions have been eliminated in consolidation.</w:t>
      </w:r>
    </w:p>
    <w:p>
      <w:pPr>
        <w:spacing w:after="0" w:line="17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July 16, 2021, the Company effected a 1.3333-for-1 stock split of its common stock and redeemable convertible preferred stock (the “Stock Split”). All share and per share information has been retroactively adjusted to reflect the Stock Split for all periods presented.</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Variable interest entities and voting interest entities</w:t>
      </w:r>
    </w:p>
    <w:p>
      <w:pPr>
        <w:spacing w:after="0" w:line="190" w:lineRule="exact"/>
        <w:rPr>
          <w:sz w:val="20"/>
          <w:szCs w:val="20"/>
          <w:color w:val="auto"/>
        </w:rPr>
      </w:pPr>
    </w:p>
    <w:p>
      <w:pPr>
        <w:jc w:val="both"/>
        <w:ind w:firstLine="491"/>
        <w:spacing w:after="0" w:line="289" w:lineRule="auto"/>
        <w:rPr>
          <w:sz w:val="20"/>
          <w:szCs w:val="20"/>
          <w:color w:val="auto"/>
        </w:rPr>
      </w:pPr>
      <w:r>
        <w:rPr>
          <w:rFonts w:ascii="Arial" w:cs="Arial" w:eastAsia="Arial" w:hAnsi="Arial"/>
          <w:sz w:val="13"/>
          <w:szCs w:val="13"/>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that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preparation of the unaudited interim consolidated financial statements in conformity with U.S.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auto"/>
        </w:rPr>
        <w:t>Unaudited interim consolidated financial statements</w:t>
      </w:r>
    </w:p>
    <w:p>
      <w:pPr>
        <w:spacing w:after="0" w:line="123"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The unaudited interim consolidated financial statements have been prepared on the same basis as the annual financial statements and, in the opinion of management, reflect all adjustments, which include only normal recurring adjustments, necessary to present fairly the Company’s financial position as of June 30, 2021, and its results of operations and comprehensive income for the three and six months ended June 30, 2021 and 2020, cash flows for the six months ended June 30, 2021 and 2020, and the consolidated statements of redeemable convertible preferred stock and stockholders’ deficit for the three and six months ended June 30, 2021 and 2020. The financial data and the other financial information contained in these notes to the unaudited interim consolidated financial statements related to the three and six-month periods are also unaudited. The results of operations and comprehensive income for the three and six months ended June 30, 2021 are not necessarily indicative of the results to be expected for the year ending December 31, 2021 or for any other future annual or interim period. These unaudited interim consolidated financial statements should be read in conjunction with the Company’s audited financial statements and notes thereto for the year ended December 31, 2020 included in the Company’s final prospectus dated July 22, 2021, filed with the SEC on July 23, 2021 pursuant to Rule 424(b) under the Securities Act of 1933, as amended .</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pandemic</w:t>
      </w:r>
    </w:p>
    <w:p>
      <w:pPr>
        <w:spacing w:after="0" w:line="12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Company is subject to risks and uncertainties as a result of the COVID-19 pandemic. The future impact of the COVID-19 pandemic remains uncertain as the response to the pandemic is in its incipient stages and information is rapidly evolving. 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manufacturing facilities (in Fremont, California and Wuxi, China) and its third-party manufacturers and suppliers, which could disrupt its supply chain or the availability or cost of materials. The effects of the public health directives and the Company’s work-from-home policies may negatively impact productivity, disrupt its business and delay Company’s operations,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For the three and six months ended June 30, 2021 and 2020, the Company has not incurred impairment losses in the carrying values of its assets as a result of the pandemic and is not aware of any specific related event or circumstances that would require the Company to revise its estimates reflected in these unaudited interim consolidated financial statements.</w:t>
      </w:r>
    </w:p>
    <w:p>
      <w:pPr>
        <w:spacing w:after="0" w:line="153" w:lineRule="exact"/>
        <w:rPr>
          <w:sz w:val="20"/>
          <w:szCs w:val="20"/>
          <w:color w:val="auto"/>
        </w:rPr>
      </w:pPr>
    </w:p>
    <w:p>
      <w:pPr>
        <w:jc w:val="both"/>
        <w:ind w:firstLine="549"/>
        <w:spacing w:after="0" w:line="267" w:lineRule="auto"/>
        <w:rPr>
          <w:sz w:val="20"/>
          <w:szCs w:val="20"/>
          <w:color w:val="auto"/>
        </w:rPr>
      </w:pPr>
      <w:r>
        <w:rPr>
          <w:rFonts w:ascii="Arial" w:cs="Arial" w:eastAsia="Arial" w:hAnsi="Arial"/>
          <w:sz w:val="14"/>
          <w:szCs w:val="14"/>
          <w:color w:val="auto"/>
        </w:rPr>
        <w:t>The Company cannot be certain what the overall impact of the COVID-19 pandemic will be on its business and prospects. The extent to which the COVID-19 pandemic will further directly or indirectly impact its business, results of operations, financial condition, liquidity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adversely impacted for an extended period, the Company’s business, financial condition, results of operations and prospects may be adversely affected.</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segments</w:t>
      </w:r>
    </w:p>
    <w:p>
      <w:pPr>
        <w:spacing w:after="0" w:line="12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 and transactions</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interim consolidated statements of operations and comprehensive income have been translated at the average exchange rate for the year or the reporting period. Translation gains and losses are recorded in accumulated other comprehensive income as a component of stockholders’ deficit. Gains or losses arising from currency exchange rate fluctuations on transactions denominated in a currency other than the local functional currency are included in the interim consolidated statements of operations and comprehensive income.</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cash equivalents and restricted cash</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 considers all highly liquid investments with a maturity of three months or less when purchased to be cash equivalents. Cash equivalents are carried at cost, which approximates fair value.</w:t>
      </w:r>
    </w:p>
    <w:p>
      <w:pPr>
        <w:spacing w:after="0" w:line="17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Company’s cash and cash equivalents consist of money held in demand depositary accounts and money market funds. The carrying amount of cash and cash equivalents was $159.8 million and $165.2 million as of June 30, 2021 and December 31, 2020,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June 30, 2021 and December 31, 2020.</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classifies restricted cash as current and noncurrent on the accompanying consolidated balance sheets based upon the term of the remaining restrictions.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4"/>
          <w:szCs w:val="14"/>
          <w:color w:val="auto"/>
        </w:rPr>
        <w:t>The following is a summary of cash, cash equivalents and restricted cash on the consolidated balance sheets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ind w:right="548"/>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2020</w:t>
            </w:r>
          </w:p>
        </w:tc>
      </w:tr>
      <w:tr>
        <w:trPr>
          <w:trHeight w:val="196"/>
        </w:trPr>
        <w:tc>
          <w:tcPr>
            <w:tcW w:w="6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(unaudited)</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02"/>
        </w:trPr>
        <w:tc>
          <w:tcPr>
            <w:tcW w:w="71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Cash</w:t>
            </w:r>
          </w:p>
        </w:tc>
        <w:tc>
          <w:tcPr>
            <w:tcW w:w="1340" w:type="dxa"/>
            <w:vAlign w:val="bottom"/>
            <w:shd w:val="clear" w:color="auto" w:fill="CFF0FC"/>
          </w:tcPr>
          <w:p>
            <w:pPr>
              <w:jc w:val="right"/>
              <w:ind w:right="11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9,460</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10,651</w:t>
            </w:r>
          </w:p>
        </w:tc>
      </w:tr>
      <w:tr>
        <w:trPr>
          <w:trHeight w:val="196"/>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134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150,386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154,580</w:t>
            </w:r>
          </w:p>
        </w:tc>
      </w:tr>
      <w:tr>
        <w:trPr>
          <w:trHeight w:val="203"/>
        </w:trPr>
        <w:tc>
          <w:tcPr>
            <w:tcW w:w="7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Restricted cash</w:t>
            </w:r>
          </w:p>
        </w:tc>
        <w:tc>
          <w:tcPr>
            <w:tcW w:w="13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888</w:t>
            </w:r>
          </w:p>
        </w:tc>
      </w:tr>
      <w:tr>
        <w:trPr>
          <w:trHeight w:val="202"/>
        </w:trPr>
        <w:tc>
          <w:tcPr>
            <w:tcW w:w="7120" w:type="dxa"/>
            <w:vAlign w:val="bottom"/>
            <w:gridSpan w:val="2"/>
          </w:tcPr>
          <w:p>
            <w:pPr>
              <w:ind w:left="20"/>
              <w:spacing w:after="0"/>
              <w:rPr>
                <w:sz w:val="20"/>
                <w:szCs w:val="20"/>
                <w:color w:val="auto"/>
              </w:rPr>
            </w:pPr>
            <w:r>
              <w:rPr>
                <w:rFonts w:ascii="Arial" w:cs="Arial" w:eastAsia="Arial" w:hAnsi="Arial"/>
                <w:sz w:val="14"/>
                <w:szCs w:val="14"/>
                <w:color w:val="auto"/>
              </w:rPr>
              <w:t>Total cash, cash equivalents and restricted cash as presented on the consolidated statements of cash flows</w:t>
            </w:r>
          </w:p>
        </w:tc>
        <w:tc>
          <w:tcPr>
            <w:tcW w:w="1340" w:type="dxa"/>
            <w:vAlign w:val="bottom"/>
          </w:tcPr>
          <w:p>
            <w:pPr>
              <w:jc w:val="right"/>
              <w:ind w:right="11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159,846</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166,119</w:t>
            </w:r>
          </w:p>
        </w:tc>
      </w:tr>
      <w:tr>
        <w:trPr>
          <w:trHeight w:val="20"/>
        </w:trPr>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-159385</wp:posOffset>
            </wp:positionV>
            <wp:extent cx="1200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accounts receivable, net</w:t>
      </w:r>
    </w:p>
    <w:p>
      <w:pPr>
        <w:spacing w:after="0" w:line="12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Trade accounts receivable are recorded at the invoiced amount and do not bear interest. The Company maintains an allowance for doubtful accounts for estimated losses inherent in its accounts receivable portfolio. In establishing the required allowance, management considers historical losses adjusted to take into account current market conditions and the Company’s customers’ respective financial conditions, the amounts of receivables in dispute and the current receivables aging and current payment patterns. To the extent identified, account balances are charged off against the allowance after all means of collection have been exhausted and the potential for recovery is considered remote. To date, the Company’s customers have primarily been large pharmaceutical companies, biopharmaceutical companies, leading academic research centers and clinical research organizations and therefore, the Company has not had any material write-offs or allowance for doubtful accounts for the presented periods. The following is a summary of the accounts receivables allowance for doubtful accounts for the six months ended June 30, 2021 and year ended December 31, 2020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9"/>
        </w:trPr>
        <w:tc>
          <w:tcPr>
            <w:tcW w:w="8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1080" w:type="dxa"/>
            <w:vAlign w:val="bottom"/>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Pr>
          <w:p>
            <w:pPr>
              <w:ind w:left="120"/>
              <w:spacing w:after="0"/>
              <w:rPr>
                <w:sz w:val="20"/>
                <w:szCs w:val="20"/>
                <w:color w:val="auto"/>
              </w:rPr>
            </w:pPr>
            <w:r>
              <w:rPr>
                <w:rFonts w:ascii="Arial" w:cs="Arial" w:eastAsia="Arial" w:hAnsi="Arial"/>
                <w:sz w:val="14"/>
                <w:szCs w:val="14"/>
                <w:color w:val="auto"/>
              </w:rPr>
              <w:t>Addition during the period</w:t>
            </w:r>
          </w:p>
        </w:tc>
        <w:tc>
          <w:tcPr>
            <w:tcW w:w="108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175</w:t>
            </w:r>
          </w:p>
        </w:tc>
      </w:tr>
      <w:tr>
        <w:trPr>
          <w:trHeight w:val="203"/>
        </w:trPr>
        <w:tc>
          <w:tcPr>
            <w:tcW w:w="87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Utilization of allowance for doubtful accounts</w:t>
            </w:r>
          </w:p>
        </w:tc>
        <w:tc>
          <w:tcPr>
            <w:tcW w:w="10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175</w:t>
            </w:r>
          </w:p>
        </w:tc>
      </w:tr>
      <w:tr>
        <w:trPr>
          <w:trHeight w:val="208"/>
        </w:trPr>
        <w:tc>
          <w:tcPr>
            <w:tcW w:w="87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Addition during the period</w:t>
            </w:r>
          </w:p>
        </w:tc>
        <w:tc>
          <w:tcPr>
            <w:tcW w:w="10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r>
      <w:tr>
        <w:trPr>
          <w:trHeight w:val="197"/>
        </w:trPr>
        <w:tc>
          <w:tcPr>
            <w:tcW w:w="8760" w:type="dxa"/>
            <w:vAlign w:val="bottom"/>
          </w:tcPr>
          <w:p>
            <w:pPr>
              <w:ind w:left="120"/>
              <w:spacing w:after="0"/>
              <w:rPr>
                <w:sz w:val="20"/>
                <w:szCs w:val="20"/>
                <w:color w:val="auto"/>
              </w:rPr>
            </w:pPr>
            <w:r>
              <w:rPr>
                <w:rFonts w:ascii="Arial" w:cs="Arial" w:eastAsia="Arial" w:hAnsi="Arial"/>
                <w:sz w:val="14"/>
                <w:szCs w:val="14"/>
                <w:color w:val="auto"/>
              </w:rPr>
              <w:t>Utilization of allowance for doubtful accounts</w:t>
            </w:r>
          </w:p>
        </w:tc>
        <w:tc>
          <w:tcPr>
            <w:tcW w:w="10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(172 )</w:t>
            </w:r>
          </w:p>
        </w:tc>
      </w:tr>
      <w:tr>
        <w:trPr>
          <w:trHeight w:val="242"/>
        </w:trPr>
        <w:tc>
          <w:tcPr>
            <w:tcW w:w="8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2021</w:t>
            </w: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Inventories</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Inventories are stated at the lower of cost and net realizable value. Cost is computed using standard cost, which approximates actual cost on a first-in, first-out basis. Inventory that is obsolete or in excess of forecasted usage is written down to its estimated net realizable value based on assumptions about future demand and market conditions. Inventory write-downs are charged to cost of sales and establish a new cost basis for the inventory. Inventories include raw materials, work-in-process and finished goods.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23"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4"/>
          <w:szCs w:val="14"/>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22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2"/>
              </w:rPr>
              <w:t>Estimated Useful Lives</w:t>
            </w:r>
          </w:p>
        </w:tc>
      </w:tr>
      <w:tr>
        <w:trPr>
          <w:trHeight w:val="21"/>
        </w:trPr>
        <w:tc>
          <w:tcPr>
            <w:tcW w:w="4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02"/>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Furniture and fixtures</w:t>
            </w:r>
          </w:p>
        </w:tc>
        <w:tc>
          <w:tcPr>
            <w:tcW w:w="3500" w:type="dxa"/>
            <w:vAlign w:val="bottom"/>
            <w:shd w:val="clear" w:color="auto" w:fill="CFF0FC"/>
          </w:tcPr>
          <w:p>
            <w:pPr>
              <w:spacing w:after="0"/>
              <w:rPr>
                <w:sz w:val="17"/>
                <w:szCs w:val="17"/>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1"/>
              </w:rPr>
              <w:t>7 years</w:t>
            </w: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3500" w:type="dxa"/>
            <w:vAlign w:val="bottom"/>
          </w:tcPr>
          <w:p>
            <w:pPr>
              <w:spacing w:after="0"/>
              <w:rPr>
                <w:sz w:val="17"/>
                <w:szCs w:val="17"/>
                <w:color w:val="auto"/>
              </w:rPr>
            </w:pPr>
          </w:p>
        </w:tc>
        <w:tc>
          <w:tcPr>
            <w:tcW w:w="3220" w:type="dxa"/>
            <w:vAlign w:val="bottom"/>
            <w:gridSpan w:val="2"/>
          </w:tcPr>
          <w:p>
            <w:pPr>
              <w:jc w:val="center"/>
              <w:ind w:right="1800"/>
              <w:spacing w:after="0"/>
              <w:rPr>
                <w:sz w:val="20"/>
                <w:szCs w:val="20"/>
                <w:color w:val="auto"/>
              </w:rPr>
            </w:pPr>
            <w:r>
              <w:rPr>
                <w:rFonts w:ascii="Arial" w:cs="Arial" w:eastAsia="Arial" w:hAnsi="Arial"/>
                <w:sz w:val="14"/>
                <w:szCs w:val="14"/>
                <w:color w:val="auto"/>
                <w:w w:val="91"/>
              </w:rPr>
              <w:t>5 years</w:t>
            </w:r>
          </w:p>
        </w:tc>
      </w:tr>
      <w:tr>
        <w:trPr>
          <w:trHeight w:val="208"/>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Office and computer equipment</w:t>
            </w:r>
          </w:p>
        </w:tc>
        <w:tc>
          <w:tcPr>
            <w:tcW w:w="350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1"/>
              </w:rPr>
              <w:t>3 years</w:t>
            </w:r>
          </w:p>
        </w:tc>
      </w:tr>
      <w:tr>
        <w:trPr>
          <w:trHeight w:val="191"/>
        </w:trPr>
        <w:tc>
          <w:tcPr>
            <w:tcW w:w="45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6720" w:type="dxa"/>
            <w:vAlign w:val="bottom"/>
            <w:gridSpan w:val="3"/>
          </w:tcPr>
          <w:p>
            <w:pPr>
              <w:jc w:val="center"/>
              <w:ind w:left="1628"/>
              <w:spacing w:after="0"/>
              <w:rPr>
                <w:sz w:val="20"/>
                <w:szCs w:val="20"/>
                <w:color w:val="auto"/>
              </w:rPr>
            </w:pPr>
            <w:r>
              <w:rPr>
                <w:rFonts w:ascii="Arial" w:cs="Arial" w:eastAsia="Arial" w:hAnsi="Arial"/>
                <w:sz w:val="14"/>
                <w:szCs w:val="14"/>
                <w:color w:val="auto"/>
                <w:w w:val="92"/>
              </w:rPr>
              <w:t>Shorter of expected lease term or estimated useful life</w:t>
            </w:r>
          </w:p>
        </w:tc>
      </w:tr>
    </w:tbl>
    <w:p>
      <w:pPr>
        <w:spacing w:after="0" w:line="26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Upon sale or retirement of the assets, the cost and related accumulated depreciation are removed from the accounts and the resulting gain or loss is recognized in the consolidated statement of operations and comprehensive income. Expenditures for general maintenance and repairs are expensed as incurred.</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intangible assets, net</w:t>
      </w:r>
    </w:p>
    <w:p>
      <w:pPr>
        <w:spacing w:after="0" w:line="190" w:lineRule="exact"/>
        <w:rPr>
          <w:sz w:val="20"/>
          <w:szCs w:val="20"/>
          <w:color w:val="auto"/>
        </w:rPr>
      </w:pPr>
    </w:p>
    <w:p>
      <w:pPr>
        <w:jc w:val="both"/>
        <w:ind w:firstLine="330"/>
        <w:spacing w:after="0" w:line="277" w:lineRule="auto"/>
        <w:rPr>
          <w:sz w:val="20"/>
          <w:szCs w:val="20"/>
          <w:color w:val="auto"/>
        </w:rPr>
      </w:pPr>
      <w:r>
        <w:rPr>
          <w:rFonts w:ascii="Arial" w:cs="Arial" w:eastAsia="Arial" w:hAnsi="Arial"/>
          <w:sz w:val="14"/>
          <w:szCs w:val="14"/>
          <w:color w:val="auto"/>
        </w:rPr>
        <w:t>In July 2015, the Company entered into a purchase agreement with Cytek Development Technology (“Cytek Tech”) involving the acquisition of substantially all assets of Cytek Tech for the aggregate purchase amount of $900,000 in cash and the assumption of Cytek Tech liabilities. The Company recorded goodwill of $476,000 and intangible assets of $476,000 at the transaction date.</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22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2"/>
              </w:rPr>
              <w:t>Estimated Useful Lives</w:t>
            </w:r>
          </w:p>
        </w:tc>
      </w:tr>
      <w:tr>
        <w:trPr>
          <w:trHeight w:val="20"/>
        </w:trPr>
        <w:tc>
          <w:tcPr>
            <w:tcW w:w="3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03"/>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Patent</w:t>
            </w:r>
          </w:p>
        </w:tc>
        <w:tc>
          <w:tcPr>
            <w:tcW w:w="4880" w:type="dxa"/>
            <w:vAlign w:val="bottom"/>
            <w:shd w:val="clear" w:color="auto" w:fill="CFF0FC"/>
          </w:tcPr>
          <w:p>
            <w:pPr>
              <w:spacing w:after="0"/>
              <w:rPr>
                <w:sz w:val="17"/>
                <w:szCs w:val="17"/>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3"/>
              </w:rPr>
              <w:t>20 years</w:t>
            </w:r>
          </w:p>
        </w:tc>
      </w:tr>
      <w:tr>
        <w:trPr>
          <w:trHeight w:val="196"/>
        </w:trPr>
        <w:tc>
          <w:tcPr>
            <w:tcW w:w="3140" w:type="dxa"/>
            <w:vAlign w:val="bottom"/>
          </w:tcPr>
          <w:p>
            <w:pPr>
              <w:ind w:left="20"/>
              <w:spacing w:after="0"/>
              <w:rPr>
                <w:sz w:val="20"/>
                <w:szCs w:val="20"/>
                <w:color w:val="auto"/>
              </w:rPr>
            </w:pPr>
            <w:r>
              <w:rPr>
                <w:rFonts w:ascii="Arial" w:cs="Arial" w:eastAsia="Arial" w:hAnsi="Arial"/>
                <w:sz w:val="14"/>
                <w:szCs w:val="14"/>
                <w:color w:val="auto"/>
              </w:rPr>
              <w:t>Trademarks</w:t>
            </w:r>
          </w:p>
        </w:tc>
        <w:tc>
          <w:tcPr>
            <w:tcW w:w="4880" w:type="dxa"/>
            <w:vAlign w:val="bottom"/>
          </w:tcPr>
          <w:p>
            <w:pPr>
              <w:spacing w:after="0"/>
              <w:rPr>
                <w:sz w:val="17"/>
                <w:szCs w:val="17"/>
                <w:color w:val="auto"/>
              </w:rPr>
            </w:pPr>
          </w:p>
        </w:tc>
        <w:tc>
          <w:tcPr>
            <w:tcW w:w="3220" w:type="dxa"/>
            <w:vAlign w:val="bottom"/>
            <w:gridSpan w:val="2"/>
          </w:tcPr>
          <w:p>
            <w:pPr>
              <w:jc w:val="center"/>
              <w:ind w:right="1800"/>
              <w:spacing w:after="0"/>
              <w:rPr>
                <w:sz w:val="20"/>
                <w:szCs w:val="20"/>
                <w:color w:val="auto"/>
              </w:rPr>
            </w:pPr>
            <w:r>
              <w:rPr>
                <w:rFonts w:ascii="Arial" w:cs="Arial" w:eastAsia="Arial" w:hAnsi="Arial"/>
                <w:sz w:val="14"/>
                <w:szCs w:val="14"/>
                <w:color w:val="auto"/>
                <w:w w:val="93"/>
              </w:rPr>
              <w:t>10 years</w:t>
            </w:r>
          </w:p>
        </w:tc>
      </w:tr>
      <w:tr>
        <w:trPr>
          <w:trHeight w:val="209"/>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IP license</w:t>
            </w:r>
          </w:p>
        </w:tc>
        <w:tc>
          <w:tcPr>
            <w:tcW w:w="488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1"/>
              </w:rPr>
              <w:t>5 years</w:t>
            </w:r>
          </w:p>
        </w:tc>
      </w:tr>
      <w:tr>
        <w:trPr>
          <w:trHeight w:val="541"/>
        </w:trPr>
        <w:tc>
          <w:tcPr>
            <w:tcW w:w="3140" w:type="dxa"/>
            <w:vAlign w:val="bottom"/>
          </w:tcPr>
          <w:p>
            <w:pPr>
              <w:spacing w:after="0"/>
              <w:rPr>
                <w:sz w:val="24"/>
                <w:szCs w:val="24"/>
                <w:color w:val="auto"/>
              </w:rPr>
            </w:pPr>
          </w:p>
        </w:tc>
        <w:tc>
          <w:tcPr>
            <w:tcW w:w="4880" w:type="dxa"/>
            <w:vAlign w:val="bottom"/>
          </w:tcPr>
          <w:p>
            <w:pPr>
              <w:jc w:val="right"/>
              <w:ind w:right="2288"/>
              <w:spacing w:after="0"/>
              <w:rPr>
                <w:sz w:val="20"/>
                <w:szCs w:val="20"/>
                <w:color w:val="auto"/>
              </w:rPr>
            </w:pPr>
            <w:r>
              <w:rPr>
                <w:rFonts w:ascii="Arial" w:cs="Arial" w:eastAsia="Arial" w:hAnsi="Arial"/>
                <w:sz w:val="14"/>
                <w:szCs w:val="14"/>
                <w:color w:val="auto"/>
              </w:rPr>
              <w:t>7</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4"/>
        </w:trPr>
        <w:tc>
          <w:tcPr>
            <w:tcW w:w="31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left="4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1—Quoted prices in active markets for identical assets or liabilities.</w:t>
      </w:r>
    </w:p>
    <w:p>
      <w:pPr>
        <w:spacing w:after="0" w:line="23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carrying amounts reflected in the interim consolidated balance sheets for cash and cash equivalents, restricted cash, trade accounts receivable, net, trade accounts payable and accrued expenses approximate their fair values.</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The Company’s product revenue consists of sales of its instrument systems and accessories. The Company recognizes product revenue at the point in time when control of the instrument is transferred to the customer.</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4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18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18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revenue</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Company’s arrangements with its distributors include a purchase order. The purchase order is governed by terms and conditions set forth in the applicable distribution agreement.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Revenue is recognized upon transfer of control of the products to the distributor, which occurs at a point in time depending on the shipping terms.</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 revenue</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liabilities</w:t>
      </w:r>
    </w:p>
    <w:p>
      <w:pPr>
        <w:spacing w:after="0" w:line="12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Assurance-type product warranties</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9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4"/>
          <w:szCs w:val="14"/>
          <w:color w:val="auto"/>
        </w:rPr>
        <w:t>Deferred offering costs, which consist of direct incremental legal, consulting, banking and accounting fees relating to the Company’s planned initial public offering, are capitalized, and will be offset against proceeds from the IPO upon the effectiveness of the offering. In the event an anticipated offering is terminated, deferred offering costs will be expensed. On July 27, 2021, the Company completed the IPO; accordingly, the Company recognized the initial public offering costs of approximately $5.3 million as a reduction from gross proceeds associated with the IPO through additional paid-in capital in the accompanying condensed consolidated balance sheet. Accordingly, there was $2.8 million in deferred offering costs as of June 30, 2021. As of December 31, 2020 there were no capitalized deferred offering costs.</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Advertising costs</w:t>
      </w:r>
    </w:p>
    <w:p>
      <w:pPr>
        <w:spacing w:after="0" w:line="123"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The cost of advertising, marketing and media is expensed as incurred. For the three and six months ended June 30, 2021, advertising, marketing and media expenses totaled $449,000 and $646,000, respectively. For the three and six months ended June 30, 2020, the advertising, marketing, and media expenses totaled $177,000 and $489,000, respectively.</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The Company maintains an equity incentive compensation plan under which incentive stock options and nonqualified stock options to purchase common stock are granted to employees and non-employee consultants. Stock-based compensation cost is measured at the grant date, based on the fair value of the award, and is recognized as expense over the requisite service period. The fair value of stock-based awards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18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Expected Volatility—Expected volatility is estimated by studying the volatility of selected industry peers deemed to be comparable to our business corresponding to the expected term of the awards.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Expected Term—Expected term represents the period that our stock-based awards are expected to be outstanding and is determined using the simplified method.</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Dividend Yield— The expected dividend yield is zero as we have never declared or paid cash dividends and have no current plans to do so in the foreseeable future.</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Risk-Free Interest Rate—The risk-free interest rate is based on the U.S. Treasury zero-coupon issued in effect at the time of grant for periods corresponding with the expected term of the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option.</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2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167"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1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93" w:lineRule="auto"/>
        <w:rPr>
          <w:sz w:val="20"/>
          <w:szCs w:val="20"/>
          <w:color w:val="auto"/>
        </w:rPr>
      </w:pPr>
      <w:r>
        <w:rPr>
          <w:rFonts w:ascii="Arial" w:cs="Arial" w:eastAsia="Arial" w:hAnsi="Arial"/>
          <w:sz w:val="14"/>
          <w:szCs w:val="14"/>
          <w:color w:val="auto"/>
        </w:rPr>
        <w:t>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attributable to common stockholders per share</w:t>
      </w:r>
    </w:p>
    <w:p>
      <w:pPr>
        <w:spacing w:after="0" w:line="123"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Basic net income attributable to common stockholders per share and diluted net income attributable to common stockholders per share are computed using the weighted-average number of shares of common stock outstanding for the period. Net income per share attributable to common stockholders is calculated using the two-class method, which is an earnings allocation formula that determines net income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income per share in the periods in which net income is recorded.</w:t>
      </w:r>
    </w:p>
    <w:p>
      <w:pPr>
        <w:spacing w:after="0" w:line="17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Diluted net income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income attributable to common stockholders per share gives effect to all potentially dilutive common stock equivalents, including outstanding options and redeemable convertible preferred stock.</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Common stock equivalents are excluded from the computation of diluted net income attributable to common stockholders per share if their effect is antidilutive.</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23"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3"/>
          <w:szCs w:val="13"/>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w:t>
      </w:r>
    </w:p>
    <w:p>
      <w:pPr>
        <w:spacing w:after="0" w:line="1" w:lineRule="exact"/>
        <w:rPr>
          <w:sz w:val="20"/>
          <w:szCs w:val="20"/>
          <w:color w:val="auto"/>
        </w:rPr>
      </w:pPr>
    </w:p>
    <w:p>
      <w:pPr>
        <w:jc w:val="both"/>
        <w:ind w:firstLine="8"/>
        <w:spacing w:after="0" w:line="323" w:lineRule="auto"/>
        <w:tabs>
          <w:tab w:leader="none" w:pos="182" w:val="left"/>
        </w:tabs>
        <w:numPr>
          <w:ilvl w:val="0"/>
          <w:numId w:val="5"/>
        </w:numPr>
        <w:rPr>
          <w:rFonts w:ascii="Arial" w:cs="Arial" w:eastAsia="Arial" w:hAnsi="Arial"/>
          <w:sz w:val="13"/>
          <w:szCs w:val="13"/>
          <w:color w:val="auto"/>
        </w:rPr>
      </w:pPr>
      <w:r>
        <w:rPr>
          <w:rFonts w:ascii="Arial" w:cs="Arial" w:eastAsia="Arial" w:hAnsi="Arial"/>
          <w:sz w:val="13"/>
          <w:szCs w:val="13"/>
          <w:color w:val="auto"/>
        </w:rPr>
        <w:t>is no longer an emerging growth company or (ii) affirmatively and irrevocably opts out of the extended transition period provided in the JOBS Act. The Company has, however, elected to early- adopt as permitted certain new or revised accounting standards as of dates that may or may not coincide with the effective dates of public companies. These standards include the following:</w:t>
      </w:r>
    </w:p>
    <w:p>
      <w:pPr>
        <w:spacing w:after="0" w:line="15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 xml:space="preserve">In May 2014, the FASB issued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(“Topic 606”). Topic 606 and its related amendments supersede Revenue Recognition (Topic 605), issued in June 2010, and provides principles for recognizing revenue for goods and services in a manner consistent with the transfer of control of those goods and services to the customer. The Company adopted the requirements of Topic 606 using the modified retrospective method on January 1, 2018 with such adoption not having a material impact to the Company’s unaudited interim consolidated financial statements. Under the modified retrospective method, this guidance is applied to those contracts that were not completed as of January 1, 2019, with no restatement of contracts that were commenced and completed within fiscal years prior to January 1, 2019, and the prior period comparable financial information continues to be presented under the guidance of ASC 605, Revenue Recognition (“ASC 605”).</w:t>
      </w:r>
    </w:p>
    <w:p>
      <w:pPr>
        <w:spacing w:after="0" w:line="194"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 xml:space="preserve">In August 2018, the FASB issued ASU 2018-13, </w:t>
      </w:r>
      <w:r>
        <w:rPr>
          <w:rFonts w:ascii="Arial" w:cs="Arial" w:eastAsia="Arial" w:hAnsi="Arial"/>
          <w:sz w:val="13"/>
          <w:szCs w:val="13"/>
          <w:i w:val="1"/>
          <w:iCs w:val="1"/>
          <w:color w:val="auto"/>
        </w:rPr>
        <w:t>Fair Value Measurement (Topic 820): Disclosure Framework—Changes to the Disclosure Requirements for Fair Value Measurement</w:t>
      </w:r>
      <w:r>
        <w:rPr>
          <w:rFonts w:ascii="Arial" w:cs="Arial" w:eastAsia="Arial" w:hAnsi="Arial"/>
          <w:sz w:val="13"/>
          <w:szCs w:val="13"/>
          <w:color w:val="auto"/>
        </w:rPr>
        <w:t xml:space="preserve"> ("Topic 820"), which amends the disclosure requirements for fair value measurements by removing, modifying, and adding certain disclosures. This new standard was effective for the Company January 1, 2020. This will require application of the new accounting guidance at the beginning of the earliest comparative period presented in the year of adoption. The Company adopted the requirements of Topic 820 on January 1, 2020 with such adoption not having a material impact to the Company’s unaudited interim consolidated financial statements.</w:t>
      </w:r>
    </w:p>
    <w:p>
      <w:pPr>
        <w:spacing w:after="0" w:line="17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In December 2019, the FASB issued ASU 2019-12, Income Taxes (Topic 740): Simplifying the Accounting for Income Taxes ("Topic 740").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with early adoption permitted. The Company early adopted this guidance on January 1, 2021, and the adoption did not have a material impact to the Company’s unaudited interim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 not yet adopted</w:t>
      </w:r>
    </w:p>
    <w:p>
      <w:pPr>
        <w:spacing w:after="0" w:line="123"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 xml:space="preserve">In February 2016, the FASB issued ASU 2016-02, </w:t>
      </w:r>
      <w:r>
        <w:rPr>
          <w:rFonts w:ascii="Arial" w:cs="Arial" w:eastAsia="Arial" w:hAnsi="Arial"/>
          <w:sz w:val="13"/>
          <w:szCs w:val="13"/>
          <w:i w:val="1"/>
          <w:iCs w:val="1"/>
          <w:color w:val="auto"/>
        </w:rPr>
        <w:t>Leases (Topic 842)</w:t>
      </w:r>
      <w:r>
        <w:rPr>
          <w:rFonts w:ascii="Arial" w:cs="Arial" w:eastAsia="Arial" w:hAnsi="Arial"/>
          <w:sz w:val="13"/>
          <w:szCs w:val="13"/>
          <w:color w:val="auto"/>
        </w:rPr>
        <w:t>, as subsequently amended (“Topic 842”), to improve financial reporting and disclosures about leasing transactions. This ASU requires companies that lease assets to recognize on the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balance sheet. This ASU also requires disclosures to help financial statement users to better understand the amount, timing and uncertainty of cash flows arising from leases. On June 3, 2020, the FASB issued ASU 2020-05, which amended the effective dates of Topic 842 to give immediate relief from business disruptions caused by the COVID-19 pandemic and provides a one-year deferral of the effective date for nonpublic companies. Therefore, for public companies, the effective date is still December 15, 2018, while the effective date for private companies will now be fiscal years beginning after December 15, 2021, and interim periods within fiscal years beginning after December 15, 2022. The Company is currently evaluating the impact of this standard on its unaudited interim consolidated financial statements.</w:t>
      </w:r>
    </w:p>
    <w:p>
      <w:pPr>
        <w:spacing w:after="0" w:line="18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Instruments—Credit Losses (Topic 326): Measurement of Credit Losses on Financial Instruments</w:t>
      </w:r>
      <w:r>
        <w:rPr>
          <w:rFonts w:ascii="Arial" w:cs="Arial" w:eastAsia="Arial" w:hAnsi="Arial"/>
          <w:sz w:val="14"/>
          <w:szCs w:val="14"/>
          <w:color w:val="auto"/>
        </w:rPr>
        <w:t>, which replaces the existing incurred loss impairment model with an expected credit loss model and requires a financial asset measured at amortized cost to be presented at the net amount expected to be collected. This new standard is effective for the Company in the fiscal year beginning January 1, 2023 and must be adopted using a modified retrospective approach, with certain exceptions. The Company is currently evaluating the impact of this standard on its unaudited interim consolidated financial statements.</w:t>
      </w:r>
    </w:p>
    <w:p>
      <w:pPr>
        <w:spacing w:after="0" w:line="144"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Concentrations of credit risk and other risks and uncertainties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left="440" w:hanging="432"/>
        <w:spacing w:after="0"/>
        <w:tabs>
          <w:tab w:leader="none" w:pos="44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Revenue from contracts with customers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Disaggregation of revenue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depicts the disaggregation of revenue by sales channel mix and customer mix as defined by the nature of workflows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5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6"/>
        </w:trPr>
        <w:tc>
          <w:tcPr>
            <w:tcW w:w="57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202"/>
        </w:trPr>
        <w:tc>
          <w:tcPr>
            <w:tcW w:w="5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Sales channel mix</w:t>
            </w:r>
          </w:p>
        </w:tc>
        <w:tc>
          <w:tcPr>
            <w:tcW w:w="7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197"/>
        </w:trPr>
        <w:tc>
          <w:tcPr>
            <w:tcW w:w="5740" w:type="dxa"/>
            <w:vAlign w:val="bottom"/>
          </w:tcPr>
          <w:p>
            <w:pPr>
              <w:ind w:left="120"/>
              <w:spacing w:after="0"/>
              <w:rPr>
                <w:sz w:val="20"/>
                <w:szCs w:val="20"/>
                <w:color w:val="auto"/>
              </w:rPr>
            </w:pPr>
            <w:r>
              <w:rPr>
                <w:rFonts w:ascii="Arial" w:cs="Arial" w:eastAsia="Arial" w:hAnsi="Arial"/>
                <w:sz w:val="14"/>
                <w:szCs w:val="14"/>
                <w:color w:val="auto"/>
              </w:rPr>
              <w:t>Direct sales channel</w:t>
            </w:r>
          </w:p>
        </w:tc>
        <w:tc>
          <w:tcPr>
            <w:tcW w:w="700" w:type="dxa"/>
            <w:vAlign w:val="bottom"/>
          </w:tcPr>
          <w:p>
            <w:pPr>
              <w:jc w:val="right"/>
              <w:ind w:right="5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25,703</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16,007</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45,565</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32,037</w:t>
            </w:r>
          </w:p>
        </w:tc>
      </w:tr>
      <w:tr>
        <w:trPr>
          <w:trHeight w:val="203"/>
        </w:trPr>
        <w:tc>
          <w:tcPr>
            <w:tcW w:w="5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Distributor channel</w:t>
            </w:r>
          </w:p>
        </w:tc>
        <w:tc>
          <w:tcPr>
            <w:tcW w:w="7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4,705</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3,129</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9,115</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5,087</w:t>
            </w:r>
          </w:p>
        </w:tc>
      </w:tr>
      <w:tr>
        <w:trPr>
          <w:trHeight w:val="202"/>
        </w:trPr>
        <w:tc>
          <w:tcPr>
            <w:tcW w:w="5740" w:type="dxa"/>
            <w:vAlign w:val="bottom"/>
          </w:tcPr>
          <w:p>
            <w:pPr>
              <w:ind w:left="20"/>
              <w:spacing w:after="0"/>
              <w:rPr>
                <w:sz w:val="20"/>
                <w:szCs w:val="20"/>
                <w:color w:val="auto"/>
              </w:rPr>
            </w:pPr>
            <w:r>
              <w:rPr>
                <w:rFonts w:ascii="Arial" w:cs="Arial" w:eastAsia="Arial" w:hAnsi="Arial"/>
                <w:sz w:val="14"/>
                <w:szCs w:val="14"/>
                <w:color w:val="auto"/>
              </w:rPr>
              <w:t>Total revenue, net</w:t>
            </w:r>
          </w:p>
        </w:tc>
        <w:tc>
          <w:tcPr>
            <w:tcW w:w="700" w:type="dxa"/>
            <w:vAlign w:val="bottom"/>
          </w:tcPr>
          <w:p>
            <w:pPr>
              <w:jc w:val="right"/>
              <w:ind w:right="5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30,408</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19,136</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54,680</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37,124</w:t>
            </w:r>
          </w:p>
        </w:tc>
      </w:tr>
      <w:tr>
        <w:trPr>
          <w:trHeight w:val="20"/>
        </w:trPr>
        <w:tc>
          <w:tcPr>
            <w:tcW w:w="5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7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197"/>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Customer mix</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8"/>
        </w:trPr>
        <w:tc>
          <w:tcPr>
            <w:tcW w:w="5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Academia and government</w:t>
            </w:r>
          </w:p>
        </w:tc>
        <w:tc>
          <w:tcPr>
            <w:tcW w:w="700" w:type="dxa"/>
            <w:vAlign w:val="bottom"/>
            <w:shd w:val="clear" w:color="auto" w:fill="CFF0FC"/>
          </w:tcPr>
          <w:p>
            <w:pPr>
              <w:jc w:val="right"/>
              <w:ind w:right="5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13,754</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9,363</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23,870</w:t>
            </w:r>
          </w:p>
        </w:tc>
        <w:tc>
          <w:tcPr>
            <w:tcW w:w="3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20,912</w:t>
            </w:r>
          </w:p>
        </w:tc>
      </w:tr>
      <w:tr>
        <w:trPr>
          <w:trHeight w:val="197"/>
        </w:trPr>
        <w:tc>
          <w:tcPr>
            <w:tcW w:w="5740" w:type="dxa"/>
            <w:vAlign w:val="bottom"/>
          </w:tcPr>
          <w:p>
            <w:pPr>
              <w:ind w:left="120"/>
              <w:spacing w:after="0"/>
              <w:rPr>
                <w:sz w:val="20"/>
                <w:szCs w:val="20"/>
                <w:color w:val="auto"/>
              </w:rPr>
            </w:pPr>
            <w:r>
              <w:rPr>
                <w:rFonts w:ascii="Arial" w:cs="Arial" w:eastAsia="Arial" w:hAnsi="Arial"/>
                <w:sz w:val="14"/>
                <w:szCs w:val="14"/>
                <w:color w:val="auto"/>
              </w:rPr>
              <w:t>Biotechnology, pharmaceutical, distributor and contract research organizations</w:t>
            </w:r>
          </w:p>
        </w:tc>
        <w:tc>
          <w:tcPr>
            <w:tcW w:w="7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16,654</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9,773</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30,810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16,212</w:t>
            </w:r>
          </w:p>
        </w:tc>
      </w:tr>
      <w:tr>
        <w:trPr>
          <w:trHeight w:val="242"/>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 net</w:t>
            </w:r>
          </w:p>
        </w:tc>
        <w:tc>
          <w:tcPr>
            <w:tcW w:w="700" w:type="dxa"/>
            <w:vAlign w:val="bottom"/>
            <w:tcBorders>
              <w:bottom w:val="single" w:sz="8" w:color="auto"/>
            </w:tcBorders>
            <w:shd w:val="clear" w:color="auto" w:fill="CFF0FC"/>
          </w:tcPr>
          <w:p>
            <w:pPr>
              <w:jc w:val="right"/>
              <w:ind w:right="54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3"/>
              </w:rPr>
              <w:t>30,408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19,136</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54,680</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37,124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-870585</wp:posOffset>
            </wp:positionV>
            <wp:extent cx="939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-870585</wp:posOffset>
            </wp:positionV>
            <wp:extent cx="939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-870585</wp:posOffset>
            </wp:positionV>
            <wp:extent cx="857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93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93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93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93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3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Revenue by geographical markets is presented in Note 20 Geographic areas.</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Remaining performance obligations</w:t>
      </w:r>
    </w:p>
    <w:p>
      <w:pPr>
        <w:spacing w:after="0" w:line="123" w:lineRule="exact"/>
        <w:rPr>
          <w:sz w:val="20"/>
          <w:szCs w:val="20"/>
          <w:color w:val="auto"/>
        </w:rPr>
      </w:pPr>
    </w:p>
    <w:p>
      <w:pPr>
        <w:ind w:firstLine="509"/>
        <w:spacing w:after="0" w:line="293" w:lineRule="auto"/>
        <w:rPr>
          <w:sz w:val="20"/>
          <w:szCs w:val="20"/>
          <w:color w:val="auto"/>
        </w:rPr>
      </w:pPr>
      <w:r>
        <w:rPr>
          <w:rFonts w:ascii="Arial" w:cs="Arial" w:eastAsia="Arial" w:hAnsi="Arial"/>
          <w:sz w:val="14"/>
          <w:szCs w:val="14"/>
          <w:color w:val="auto"/>
        </w:rPr>
        <w:t>The following table includes estimated revenues expected to be recognized in the future related to performance obligations that are unsatisfied (or partially satisfied) as of June 30, 2021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Less than 1 year</w:t>
            </w:r>
          </w:p>
        </w:tc>
        <w:tc>
          <w:tcPr>
            <w:tcW w:w="16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Greater than 1 year</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w:t>
            </w:r>
          </w:p>
        </w:tc>
      </w:tr>
      <w:tr>
        <w:trPr>
          <w:trHeight w:val="202"/>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Product revenue</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246</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246</w:t>
            </w:r>
          </w:p>
        </w:tc>
      </w:tr>
      <w:tr>
        <w:trPr>
          <w:trHeight w:val="203"/>
        </w:trPr>
        <w:tc>
          <w:tcPr>
            <w:tcW w:w="6600" w:type="dxa"/>
            <w:vAlign w:val="bottom"/>
          </w:tcPr>
          <w:p>
            <w:pPr>
              <w:ind w:left="20"/>
              <w:spacing w:after="0"/>
              <w:rPr>
                <w:sz w:val="20"/>
                <w:szCs w:val="20"/>
                <w:color w:val="auto"/>
              </w:rPr>
            </w:pPr>
            <w:r>
              <w:rPr>
                <w:rFonts w:ascii="Arial" w:cs="Arial" w:eastAsia="Arial" w:hAnsi="Arial"/>
                <w:sz w:val="14"/>
                <w:szCs w:val="14"/>
                <w:color w:val="auto"/>
              </w:rPr>
              <w:t>Service revenue</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4,422</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6,317</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10,739</w:t>
            </w:r>
          </w:p>
        </w:tc>
      </w:tr>
      <w:tr>
        <w:trPr>
          <w:trHeight w:val="236"/>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4,668</w:t>
            </w:r>
          </w:p>
        </w:tc>
        <w:tc>
          <w:tcPr>
            <w:tcW w:w="1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6,317</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10,985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111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02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balances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provides information about receivables, deferred revenue from contracts with customers, and customer deposits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280" w:type="dxa"/>
            <w:vAlign w:val="bottom"/>
          </w:tcPr>
          <w:p>
            <w:pPr>
              <w:spacing w:after="0"/>
              <w:rPr>
                <w:sz w:val="17"/>
                <w:szCs w:val="17"/>
                <w:color w:val="auto"/>
              </w:rPr>
            </w:pPr>
          </w:p>
        </w:tc>
        <w:tc>
          <w:tcPr>
            <w:tcW w:w="35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668"/>
              <w:spacing w:after="0"/>
              <w:rPr>
                <w:sz w:val="20"/>
                <w:szCs w:val="20"/>
                <w:color w:val="auto"/>
              </w:rPr>
            </w:pPr>
            <w:r>
              <w:rPr>
                <w:rFonts w:ascii="Arial" w:cs="Arial" w:eastAsia="Arial" w:hAnsi="Arial"/>
                <w:sz w:val="14"/>
                <w:szCs w:val="14"/>
                <w:b w:val="1"/>
                <w:bCs w:val="1"/>
                <w:color w:val="auto"/>
              </w:rPr>
              <w:t>2020</w:t>
            </w:r>
          </w:p>
        </w:tc>
      </w:tr>
      <w:tr>
        <w:trPr>
          <w:trHeight w:val="196"/>
        </w:trPr>
        <w:tc>
          <w:tcPr>
            <w:tcW w:w="5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(unaudited)</w:t>
            </w: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8"/>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 accounts receivable</w:t>
            </w:r>
          </w:p>
        </w:tc>
        <w:tc>
          <w:tcPr>
            <w:tcW w:w="3580" w:type="dxa"/>
            <w:vAlign w:val="bottom"/>
            <w:gridSpan w:val="2"/>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8"/>
              </w:rPr>
              <w:t>24,029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16,990</w:t>
            </w:r>
          </w:p>
        </w:tc>
      </w:tr>
      <w:tr>
        <w:trPr>
          <w:trHeight w:val="197"/>
        </w:trPr>
        <w:tc>
          <w:tcPr>
            <w:tcW w:w="5280" w:type="dxa"/>
            <w:vAlign w:val="bottom"/>
          </w:tcPr>
          <w:p>
            <w:pPr>
              <w:ind w:left="20"/>
              <w:spacing w:after="0"/>
              <w:rPr>
                <w:sz w:val="20"/>
                <w:szCs w:val="20"/>
                <w:color w:val="auto"/>
              </w:rPr>
            </w:pPr>
            <w:r>
              <w:rPr>
                <w:rFonts w:ascii="Arial" w:cs="Arial" w:eastAsia="Arial" w:hAnsi="Arial"/>
                <w:sz w:val="14"/>
                <w:szCs w:val="14"/>
                <w:color w:val="auto"/>
              </w:rPr>
              <w:t>Contract liabilities:</w:t>
            </w:r>
          </w:p>
        </w:tc>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8"/>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w:t>
            </w:r>
          </w:p>
        </w:tc>
        <w:tc>
          <w:tcPr>
            <w:tcW w:w="3580" w:type="dxa"/>
            <w:vAlign w:val="bottom"/>
            <w:gridSpan w:val="2"/>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8"/>
              </w:rPr>
              <w:t>10,985</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7,121</w:t>
            </w:r>
          </w:p>
        </w:tc>
      </w:tr>
      <w:tr>
        <w:trPr>
          <w:trHeight w:val="197"/>
        </w:trPr>
        <w:tc>
          <w:tcPr>
            <w:tcW w:w="5280" w:type="dxa"/>
            <w:vAlign w:val="bottom"/>
          </w:tcPr>
          <w:p>
            <w:pPr>
              <w:ind w:left="200"/>
              <w:spacing w:after="0"/>
              <w:rPr>
                <w:sz w:val="20"/>
                <w:szCs w:val="20"/>
                <w:color w:val="auto"/>
              </w:rPr>
            </w:pPr>
            <w:r>
              <w:rPr>
                <w:rFonts w:ascii="Arial" w:cs="Arial" w:eastAsia="Arial" w:hAnsi="Arial"/>
                <w:sz w:val="14"/>
                <w:szCs w:val="14"/>
                <w:color w:val="auto"/>
              </w:rPr>
              <w:t>Customer deposits, which are included in 'Other current liabilities'</w:t>
            </w:r>
          </w:p>
        </w:tc>
        <w:tc>
          <w:tcPr>
            <w:tcW w:w="24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w:t>
            </w:r>
          </w:p>
        </w:tc>
      </w:tr>
      <w:tr>
        <w:trPr>
          <w:trHeight w:val="242"/>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contract liabilities</w:t>
            </w:r>
          </w:p>
        </w:tc>
        <w:tc>
          <w:tcPr>
            <w:tcW w:w="3580" w:type="dxa"/>
            <w:vAlign w:val="bottom"/>
            <w:gridSpan w:val="2"/>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8"/>
              </w:rPr>
              <w:t>11,016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7,745</w:t>
            </w:r>
          </w:p>
        </w:tc>
      </w:tr>
      <w:tr>
        <w:trPr>
          <w:trHeight w:val="549"/>
        </w:trPr>
        <w:tc>
          <w:tcPr>
            <w:tcW w:w="5280" w:type="dxa"/>
            <w:vAlign w:val="bottom"/>
            <w:tcBorders>
              <w:top w:val="single" w:sz="8" w:color="CFF0FC"/>
            </w:tcBorders>
          </w:tcPr>
          <w:p>
            <w:pPr>
              <w:ind w:left="520"/>
              <w:spacing w:after="0"/>
              <w:rPr>
                <w:sz w:val="20"/>
                <w:szCs w:val="20"/>
                <w:color w:val="auto"/>
              </w:rPr>
            </w:pPr>
            <w:r>
              <w:rPr>
                <w:rFonts w:ascii="Arial" w:cs="Arial" w:eastAsia="Arial" w:hAnsi="Arial"/>
                <w:sz w:val="14"/>
                <w:szCs w:val="14"/>
                <w:color w:val="auto"/>
              </w:rPr>
              <w:t>The following provides a rollforward of the contract liabilities (in thousands):</w:t>
            </w:r>
          </w:p>
        </w:tc>
        <w:tc>
          <w:tcPr>
            <w:tcW w:w="244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5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Contract liabilities</w:t>
            </w:r>
          </w:p>
        </w:tc>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2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5,253</w:t>
            </w:r>
          </w:p>
        </w:tc>
      </w:tr>
      <w:tr>
        <w:trPr>
          <w:trHeight w:val="196"/>
        </w:trPr>
        <w:tc>
          <w:tcPr>
            <w:tcW w:w="5280" w:type="dxa"/>
            <w:vAlign w:val="bottom"/>
          </w:tcPr>
          <w:p>
            <w:pPr>
              <w:ind w:left="200"/>
              <w:spacing w:after="0"/>
              <w:rPr>
                <w:sz w:val="20"/>
                <w:szCs w:val="20"/>
                <w:color w:val="auto"/>
              </w:rPr>
            </w:pPr>
            <w:r>
              <w:rPr>
                <w:rFonts w:ascii="Arial" w:cs="Arial" w:eastAsia="Arial" w:hAnsi="Arial"/>
                <w:sz w:val="14"/>
                <w:szCs w:val="14"/>
                <w:color w:val="auto"/>
              </w:rPr>
              <w:t>Revenue recognized</w:t>
            </w:r>
          </w:p>
        </w:tc>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(10,678 )</w:t>
            </w:r>
          </w:p>
        </w:tc>
      </w:tr>
      <w:tr>
        <w:trPr>
          <w:trHeight w:val="203"/>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Revenue deferred</w:t>
            </w:r>
          </w:p>
        </w:tc>
        <w:tc>
          <w:tcPr>
            <w:tcW w:w="24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13,170</w:t>
            </w:r>
          </w:p>
        </w:tc>
      </w:tr>
      <w:tr>
        <w:trPr>
          <w:trHeight w:val="196"/>
        </w:trPr>
        <w:tc>
          <w:tcPr>
            <w:tcW w:w="5280" w:type="dxa"/>
            <w:vAlign w:val="bottom"/>
          </w:tcPr>
          <w:p>
            <w:pPr>
              <w:ind w:left="120"/>
              <w:spacing w:after="0"/>
              <w:rPr>
                <w:sz w:val="20"/>
                <w:szCs w:val="20"/>
                <w:color w:val="auto"/>
              </w:rPr>
            </w:pPr>
            <w:r>
              <w:rPr>
                <w:rFonts w:ascii="Arial" w:cs="Arial" w:eastAsia="Arial" w:hAnsi="Arial"/>
                <w:sz w:val="14"/>
                <w:szCs w:val="14"/>
                <w:color w:val="auto"/>
              </w:rPr>
              <w:t>Balance at December 31, 2020</w:t>
            </w:r>
          </w:p>
        </w:tc>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7,745</w:t>
            </w:r>
          </w:p>
        </w:tc>
      </w:tr>
      <w:tr>
        <w:trPr>
          <w:trHeight w:val="208"/>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Revenue recognized</w:t>
            </w:r>
          </w:p>
        </w:tc>
        <w:tc>
          <w:tcPr>
            <w:tcW w:w="2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(7,590 )</w:t>
            </w:r>
          </w:p>
        </w:tc>
      </w:tr>
      <w:tr>
        <w:trPr>
          <w:trHeight w:val="197"/>
        </w:trPr>
        <w:tc>
          <w:tcPr>
            <w:tcW w:w="5280" w:type="dxa"/>
            <w:vAlign w:val="bottom"/>
          </w:tcPr>
          <w:p>
            <w:pPr>
              <w:ind w:left="200"/>
              <w:spacing w:after="0"/>
              <w:rPr>
                <w:sz w:val="20"/>
                <w:szCs w:val="20"/>
                <w:color w:val="auto"/>
              </w:rPr>
            </w:pPr>
            <w:r>
              <w:rPr>
                <w:rFonts w:ascii="Arial" w:cs="Arial" w:eastAsia="Arial" w:hAnsi="Arial"/>
                <w:sz w:val="14"/>
                <w:szCs w:val="14"/>
                <w:color w:val="auto"/>
              </w:rPr>
              <w:t>Revenue deferred</w:t>
            </w:r>
          </w:p>
        </w:tc>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10,861</w:t>
            </w:r>
          </w:p>
        </w:tc>
      </w:tr>
      <w:tr>
        <w:trPr>
          <w:trHeight w:val="242"/>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Balance at June 30, 2021</w:t>
            </w:r>
          </w:p>
        </w:tc>
        <w:tc>
          <w:tcPr>
            <w:tcW w:w="24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11,016</w:t>
            </w:r>
          </w:p>
        </w:tc>
      </w:tr>
      <w:tr>
        <w:trPr>
          <w:trHeight w:val="535"/>
        </w:trPr>
        <w:tc>
          <w:tcPr>
            <w:tcW w:w="5280" w:type="dxa"/>
            <w:vAlign w:val="bottom"/>
            <w:tcBorders>
              <w:top w:val="single" w:sz="8" w:color="CFF0FC"/>
            </w:tcBorders>
          </w:tcPr>
          <w:p>
            <w:pPr>
              <w:spacing w:after="0"/>
              <w:rPr>
                <w:sz w:val="24"/>
                <w:szCs w:val="24"/>
                <w:color w:val="auto"/>
              </w:rPr>
            </w:pPr>
          </w:p>
        </w:tc>
        <w:tc>
          <w:tcPr>
            <w:tcW w:w="2440" w:type="dxa"/>
            <w:vAlign w:val="bottom"/>
            <w:tcBorders>
              <w:top w:val="single" w:sz="8" w:color="CFF0FC"/>
            </w:tcBorders>
          </w:tcPr>
          <w:p>
            <w:pPr>
              <w:jc w:val="right"/>
              <w:ind w:right="1948"/>
              <w:spacing w:after="0"/>
              <w:rPr>
                <w:sz w:val="20"/>
                <w:szCs w:val="20"/>
                <w:color w:val="auto"/>
              </w:rPr>
            </w:pPr>
            <w:r>
              <w:rPr>
                <w:rFonts w:ascii="Arial" w:cs="Arial" w:eastAsia="Arial" w:hAnsi="Arial"/>
                <w:sz w:val="14"/>
                <w:szCs w:val="14"/>
                <w:color w:val="auto"/>
              </w:rPr>
              <w:t>11</w:t>
            </w:r>
          </w:p>
        </w:tc>
        <w:tc>
          <w:tcPr>
            <w:tcW w:w="114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114"/>
        </w:trPr>
        <w:tc>
          <w:tcPr>
            <w:tcW w:w="52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-2142490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-2125345</wp:posOffset>
            </wp:positionV>
            <wp:extent cx="1200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20"/>
                <w:szCs w:val="20"/>
                <w:color w:val="auto"/>
              </w:rPr>
            </w:pPr>
            <w:r>
              <w:rPr>
                <w:rFonts w:ascii="Arial" w:cs="Arial" w:eastAsia="Arial" w:hAnsi="Arial"/>
                <w:sz w:val="14"/>
                <w:szCs w:val="14"/>
                <w:b w:val="1"/>
                <w:bCs w:val="1"/>
                <w:color w:val="auto"/>
                <w:w w:val="85"/>
              </w:rPr>
              <w:t>5.</w:t>
            </w:r>
          </w:p>
        </w:tc>
        <w:tc>
          <w:tcPr>
            <w:tcW w:w="6560" w:type="dxa"/>
            <w:vAlign w:val="bottom"/>
          </w:tcPr>
          <w:p>
            <w:pPr>
              <w:ind w:left="320"/>
              <w:spacing w:after="0"/>
              <w:rPr>
                <w:sz w:val="20"/>
                <w:szCs w:val="20"/>
                <w:color w:val="auto"/>
              </w:rPr>
            </w:pPr>
            <w:r>
              <w:rPr>
                <w:rFonts w:ascii="Arial" w:cs="Arial" w:eastAsia="Arial" w:hAnsi="Arial"/>
                <w:sz w:val="14"/>
                <w:szCs w:val="14"/>
                <w:b w:val="1"/>
                <w:bCs w:val="1"/>
                <w:color w:val="auto"/>
              </w:rPr>
              <w:t>Balance sheet details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Inventories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6560" w:type="dxa"/>
            <w:vAlign w:val="bottom"/>
          </w:tcPr>
          <w:p>
            <w:pPr>
              <w:ind w:left="400"/>
              <w:spacing w:after="0"/>
              <w:rPr>
                <w:sz w:val="20"/>
                <w:szCs w:val="20"/>
                <w:color w:val="auto"/>
              </w:rPr>
            </w:pPr>
            <w:r>
              <w:rPr>
                <w:rFonts w:ascii="Arial" w:cs="Arial" w:eastAsia="Arial" w:hAnsi="Arial"/>
                <w:sz w:val="14"/>
                <w:szCs w:val="14"/>
                <w:color w:val="auto"/>
              </w:rPr>
              <w:t>The following table shows the components of inventory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540" w:type="dxa"/>
            <w:vAlign w:val="bottom"/>
            <w:tcBorders>
              <w:bottom w:val="single" w:sz="8" w:color="auto"/>
            </w:tcBorders>
            <w:gridSpan w:val="4"/>
          </w:tcPr>
          <w:p>
            <w:pPr>
              <w:jc w:val="center"/>
              <w:ind w:left="348"/>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Raw materials</w:t>
            </w: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3"/>
              </w:rPr>
              <w:t>15,486</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12,882</w:t>
            </w:r>
          </w:p>
        </w:tc>
        <w:tc>
          <w:tcPr>
            <w:tcW w:w="0" w:type="dxa"/>
            <w:vAlign w:val="bottom"/>
          </w:tcPr>
          <w:p>
            <w:pPr>
              <w:spacing w:after="0"/>
              <w:rPr>
                <w:sz w:val="1"/>
                <w:szCs w:val="1"/>
                <w:color w:val="auto"/>
              </w:rPr>
            </w:pPr>
          </w:p>
        </w:tc>
      </w:tr>
      <w:tr>
        <w:trPr>
          <w:trHeight w:val="196"/>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Work in progress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3,135</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Finished goods</w:t>
            </w: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9,147</w:t>
            </w:r>
          </w:p>
        </w:tc>
        <w:tc>
          <w:tcPr>
            <w:tcW w:w="2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7,001</w:t>
            </w:r>
          </w:p>
        </w:tc>
        <w:tc>
          <w:tcPr>
            <w:tcW w:w="0" w:type="dxa"/>
            <w:vAlign w:val="bottom"/>
          </w:tcPr>
          <w:p>
            <w:pPr>
              <w:spacing w:after="0"/>
              <w:rPr>
                <w:sz w:val="1"/>
                <w:szCs w:val="1"/>
                <w:color w:val="auto"/>
              </w:rPr>
            </w:pPr>
          </w:p>
        </w:tc>
      </w:tr>
      <w:tr>
        <w:trPr>
          <w:trHeight w:val="202"/>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Total inventories</w:t>
            </w: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3"/>
              </w:rPr>
              <w:t>26,655</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23,018</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Prepaid expenses and other current assets</w:t>
            </w: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6560" w:type="dxa"/>
            <w:vAlign w:val="bottom"/>
          </w:tcPr>
          <w:p>
            <w:pPr>
              <w:ind w:left="400"/>
              <w:spacing w:after="0"/>
              <w:rPr>
                <w:sz w:val="20"/>
                <w:szCs w:val="20"/>
                <w:color w:val="auto"/>
              </w:rPr>
            </w:pPr>
            <w:r>
              <w:rPr>
                <w:rFonts w:ascii="Arial" w:cs="Arial" w:eastAsia="Arial" w:hAnsi="Arial"/>
                <w:sz w:val="14"/>
                <w:szCs w:val="14"/>
                <w:color w:val="auto"/>
                <w:w w:val="95"/>
              </w:rPr>
              <w:t>The following table shows the components of prepaid expenses and other current assets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54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center"/>
              <w:ind w:right="38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Prepaid expenses: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Prepaid inventory</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353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3"/>
          </w:tcPr>
          <w:p>
            <w:pPr>
              <w:jc w:val="right"/>
              <w:ind w:right="140"/>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7"/>
                <w:szCs w:val="17"/>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Prepaid rent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220</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7"/>
        </w:trPr>
        <w:tc>
          <w:tcPr>
            <w:tcW w:w="6680" w:type="dxa"/>
            <w:vAlign w:val="bottom"/>
            <w:gridSpan w:val="2"/>
          </w:tcPr>
          <w:p>
            <w:pPr>
              <w:ind w:left="100"/>
              <w:spacing w:after="0"/>
              <w:rPr>
                <w:sz w:val="20"/>
                <w:szCs w:val="20"/>
                <w:color w:val="auto"/>
              </w:rPr>
            </w:pPr>
            <w:r>
              <w:rPr>
                <w:rFonts w:ascii="Arial" w:cs="Arial" w:eastAsia="Arial" w:hAnsi="Arial"/>
                <w:sz w:val="14"/>
                <w:szCs w:val="14"/>
                <w:color w:val="auto"/>
              </w:rPr>
              <w:t>Prepaid insurance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830</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7"/>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Deferred offering costs</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2,772</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Tax refund receivable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1,447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203"/>
        </w:trPr>
        <w:tc>
          <w:tcPr>
            <w:tcW w:w="120" w:type="dxa"/>
            <w:vAlign w:val="bottom"/>
            <w:tcBorders>
              <w:bottom w:val="single" w:sz="8" w:color="CFF0FC"/>
            </w:tcBorders>
            <w:shd w:val="clear" w:color="auto" w:fill="CFF0FC"/>
          </w:tcPr>
          <w:p>
            <w:pPr>
              <w:spacing w:after="0"/>
              <w:rPr>
                <w:sz w:val="17"/>
                <w:szCs w:val="17"/>
                <w:color w:val="auto"/>
              </w:rPr>
            </w:pPr>
          </w:p>
        </w:tc>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w:t>
            </w: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362</w:t>
            </w:r>
          </w:p>
        </w:tc>
        <w:tc>
          <w:tcPr>
            <w:tcW w:w="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02"/>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Total prepaid expenses and other current assets</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6,408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3"/>
          </w:tcPr>
          <w:p>
            <w:pPr>
              <w:jc w:val="right"/>
              <w:ind w:right="140"/>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7"/>
                <w:szCs w:val="17"/>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2,495</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Accrued expenses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6560" w:type="dxa"/>
            <w:vAlign w:val="bottom"/>
          </w:tcPr>
          <w:p>
            <w:pPr>
              <w:ind w:left="400"/>
              <w:spacing w:after="0"/>
              <w:rPr>
                <w:sz w:val="20"/>
                <w:szCs w:val="20"/>
                <w:color w:val="auto"/>
              </w:rPr>
            </w:pPr>
            <w:r>
              <w:rPr>
                <w:rFonts w:ascii="Arial" w:cs="Arial" w:eastAsia="Arial" w:hAnsi="Arial"/>
                <w:sz w:val="14"/>
                <w:szCs w:val="14"/>
                <w:color w:val="auto"/>
              </w:rPr>
              <w:t>The following table shows the components of accrued expenses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5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7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Accrued expenses: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Accrued compensation and related benefits</w:t>
            </w: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7"/>
                <w:szCs w:val="17"/>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4"/>
                <w:szCs w:val="14"/>
                <w:color w:val="auto"/>
              </w:rPr>
              <w:t>5,578</w:t>
            </w:r>
          </w:p>
        </w:tc>
        <w:tc>
          <w:tcPr>
            <w:tcW w:w="4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Professional service fees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120"/>
              <w:spacing w:after="0"/>
              <w:rPr>
                <w:sz w:val="20"/>
                <w:szCs w:val="20"/>
                <w:color w:val="auto"/>
              </w:rPr>
            </w:pPr>
            <w:r>
              <w:rPr>
                <w:rFonts w:ascii="Arial" w:cs="Arial" w:eastAsia="Arial" w:hAnsi="Arial"/>
                <w:sz w:val="14"/>
                <w:szCs w:val="14"/>
                <w:color w:val="auto"/>
              </w:rPr>
              <w:t>2,446</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Purchases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4"/>
                <w:szCs w:val="14"/>
                <w:color w:val="auto"/>
              </w:rPr>
              <w:t>1,507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Product warranty</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120"/>
              <w:spacing w:after="0"/>
              <w:rPr>
                <w:sz w:val="20"/>
                <w:szCs w:val="20"/>
                <w:color w:val="auto"/>
              </w:rPr>
            </w:pPr>
            <w:r>
              <w:rPr>
                <w:rFonts w:ascii="Arial" w:cs="Arial" w:eastAsia="Arial" w:hAnsi="Arial"/>
                <w:sz w:val="14"/>
                <w:szCs w:val="14"/>
                <w:color w:val="auto"/>
              </w:rPr>
              <w:t>1,423</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639</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42"/>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accrued expenses</w:t>
            </w: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spacing w:after="0"/>
              <w:rPr>
                <w:sz w:val="21"/>
                <w:szCs w:val="21"/>
                <w:color w:val="auto"/>
              </w:rPr>
            </w:pPr>
          </w:p>
        </w:tc>
        <w:tc>
          <w:tcPr>
            <w:tcW w:w="720" w:type="dxa"/>
            <w:vAlign w:val="bottom"/>
            <w:gridSpan w:val="4"/>
            <w:shd w:val="clear" w:color="auto" w:fill="CFF0FC"/>
          </w:tcPr>
          <w:p>
            <w:pPr>
              <w:jc w:val="right"/>
              <w:ind w:right="120"/>
              <w:spacing w:after="0"/>
              <w:rPr>
                <w:sz w:val="20"/>
                <w:szCs w:val="20"/>
                <w:color w:val="auto"/>
              </w:rPr>
            </w:pPr>
            <w:r>
              <w:rPr>
                <w:rFonts w:ascii="Arial" w:cs="Arial" w:eastAsia="Arial" w:hAnsi="Arial"/>
                <w:sz w:val="14"/>
                <w:szCs w:val="14"/>
                <w:color w:val="auto"/>
              </w:rPr>
              <w:t>11,593</w:t>
            </w:r>
          </w:p>
        </w:tc>
        <w:tc>
          <w:tcPr>
            <w:tcW w:w="460" w:type="dxa"/>
            <w:vAlign w:val="bottom"/>
            <w:gridSpan w:val="4"/>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9,048</w:t>
            </w:r>
          </w:p>
        </w:tc>
        <w:tc>
          <w:tcPr>
            <w:tcW w:w="0" w:type="dxa"/>
            <w:vAlign w:val="bottom"/>
          </w:tcPr>
          <w:p>
            <w:pPr>
              <w:spacing w:after="0"/>
              <w:rPr>
                <w:sz w:val="1"/>
                <w:szCs w:val="1"/>
                <w:color w:val="auto"/>
              </w:rPr>
            </w:pPr>
          </w:p>
        </w:tc>
      </w:tr>
      <w:tr>
        <w:trPr>
          <w:trHeight w:val="535"/>
        </w:trPr>
        <w:tc>
          <w:tcPr>
            <w:tcW w:w="120" w:type="dxa"/>
            <w:vAlign w:val="bottom"/>
            <w:tcBorders>
              <w:top w:val="single" w:sz="8" w:color="CFF0FC"/>
            </w:tcBorders>
          </w:tcPr>
          <w:p>
            <w:pPr>
              <w:spacing w:after="0"/>
              <w:rPr>
                <w:sz w:val="24"/>
                <w:szCs w:val="24"/>
                <w:color w:val="auto"/>
              </w:rPr>
            </w:pPr>
          </w:p>
        </w:tc>
        <w:tc>
          <w:tcPr>
            <w:tcW w:w="6560" w:type="dxa"/>
            <w:vAlign w:val="bottom"/>
            <w:tcBorders>
              <w:top w:val="single" w:sz="8" w:color="CFF0FC"/>
            </w:tcBorders>
          </w:tcPr>
          <w:p>
            <w:pPr>
              <w:ind w:left="180"/>
              <w:spacing w:after="0"/>
              <w:rPr>
                <w:sz w:val="20"/>
                <w:szCs w:val="20"/>
                <w:color w:val="auto"/>
              </w:rPr>
            </w:pPr>
            <w:r>
              <w:rPr>
                <w:rFonts w:ascii="Arial" w:cs="Arial" w:eastAsia="Arial" w:hAnsi="Arial"/>
                <w:sz w:val="14"/>
                <w:szCs w:val="14"/>
                <w:color w:val="auto"/>
              </w:rPr>
              <w:t>For the product warranty analysis refer to Note 18.</w:t>
            </w: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Other current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6560" w:type="dxa"/>
            <w:vAlign w:val="bottom"/>
          </w:tcPr>
          <w:p>
            <w:pPr>
              <w:ind w:left="400"/>
              <w:spacing w:after="0"/>
              <w:rPr>
                <w:sz w:val="20"/>
                <w:szCs w:val="20"/>
                <w:color w:val="auto"/>
              </w:rPr>
            </w:pPr>
            <w:r>
              <w:rPr>
                <w:rFonts w:ascii="Arial" w:cs="Arial" w:eastAsia="Arial" w:hAnsi="Arial"/>
                <w:sz w:val="14"/>
                <w:szCs w:val="14"/>
                <w:color w:val="auto"/>
              </w:rPr>
              <w:t>The following table shows the components of other current liabilities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540" w:type="dxa"/>
            <w:vAlign w:val="bottom"/>
            <w:gridSpan w:val="4"/>
          </w:tcPr>
          <w:p>
            <w:pPr>
              <w:jc w:val="center"/>
              <w:ind w:left="628"/>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9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Other current liabilities: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Customer deposits</w:t>
            </w:r>
          </w:p>
        </w:tc>
        <w:tc>
          <w:tcPr>
            <w:tcW w:w="1540" w:type="dxa"/>
            <w:vAlign w:val="bottom"/>
            <w:gridSpan w:val="4"/>
          </w:tcPr>
          <w:p>
            <w:pPr>
              <w:jc w:val="right"/>
              <w:ind w:right="11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 w:type="dxa"/>
            <w:vAlign w:val="bottom"/>
            <w:shd w:val="clear" w:color="auto" w:fill="CFF0FC"/>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Paycheck Protection Program loan (Note 15)</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Income tax payable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 w:type="dxa"/>
            <w:vAlign w:val="bottom"/>
            <w:shd w:val="clear" w:color="auto" w:fill="CFF0FC"/>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Sales and use tax payable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795</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367</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other current liabilities</w:t>
            </w:r>
          </w:p>
        </w:tc>
        <w:tc>
          <w:tcPr>
            <w:tcW w:w="1540" w:type="dxa"/>
            <w:vAlign w:val="bottom"/>
            <w:gridSpan w:val="4"/>
            <w:shd w:val="clear" w:color="auto" w:fill="CFF0FC"/>
          </w:tcPr>
          <w:p>
            <w:pPr>
              <w:jc w:val="right"/>
              <w:ind w:right="11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1,351</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9"/>
        </w:trPr>
        <w:tc>
          <w:tcPr>
            <w:tcW w:w="120" w:type="dxa"/>
            <w:vAlign w:val="bottom"/>
            <w:tcBorders>
              <w:top w:val="single" w:sz="8" w:color="CFF0FC"/>
            </w:tcBorders>
          </w:tcPr>
          <w:p>
            <w:pPr>
              <w:spacing w:after="0"/>
              <w:rPr>
                <w:sz w:val="24"/>
                <w:szCs w:val="24"/>
                <w:color w:val="auto"/>
              </w:rPr>
            </w:pPr>
          </w:p>
        </w:tc>
        <w:tc>
          <w:tcPr>
            <w:tcW w:w="6560" w:type="dxa"/>
            <w:vAlign w:val="bottom"/>
            <w:tcBorders>
              <w:top w:val="single" w:sz="8" w:color="CFF0FC"/>
            </w:tcBorders>
          </w:tcPr>
          <w:p>
            <w:pPr>
              <w:ind w:left="5440"/>
              <w:spacing w:after="0"/>
              <w:rPr>
                <w:sz w:val="20"/>
                <w:szCs w:val="20"/>
                <w:color w:val="auto"/>
              </w:rPr>
            </w:pPr>
            <w:r>
              <w:rPr>
                <w:rFonts w:ascii="Arial" w:cs="Arial" w:eastAsia="Arial" w:hAnsi="Arial"/>
                <w:sz w:val="14"/>
                <w:szCs w:val="14"/>
                <w:color w:val="auto"/>
              </w:rPr>
              <w:t>12</w:t>
            </w: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0" w:type="dxa"/>
            <w:vAlign w:val="bottom"/>
            <w:tcBorders>
              <w:bottom w:val="single" w:sz="8" w:color="9A9A9A"/>
            </w:tcBorders>
          </w:tcPr>
          <w:p>
            <w:pPr>
              <w:spacing w:after="0"/>
              <w:rPr>
                <w:sz w:val="9"/>
                <w:szCs w:val="9"/>
                <w:color w:val="auto"/>
              </w:rPr>
            </w:pPr>
          </w:p>
        </w:tc>
        <w:tc>
          <w:tcPr>
            <w:tcW w:w="65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-7145655</wp:posOffset>
            </wp:positionV>
            <wp:extent cx="11112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-4711065</wp:posOffset>
            </wp:positionV>
            <wp:extent cx="1200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-2579370</wp:posOffset>
            </wp:positionV>
            <wp:extent cx="1289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-2562225</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-471170</wp:posOffset>
            </wp:positionV>
            <wp:extent cx="1289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-453390</wp:posOffset>
            </wp:positionV>
            <wp:extent cx="1289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 w:name="page15"/>
    <w:bookmarkEnd w:id="14"/>
    <w:p>
      <w:pPr>
        <w:ind w:left="440" w:hanging="432"/>
        <w:spacing w:after="0"/>
        <w:tabs>
          <w:tab w:leader="none" w:pos="4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center"/>
              <w:ind w:right="248"/>
              <w:spacing w:after="0"/>
              <w:rPr>
                <w:sz w:val="20"/>
                <w:szCs w:val="20"/>
                <w:color w:val="auto"/>
              </w:rPr>
            </w:pPr>
            <w:r>
              <w:rPr>
                <w:rFonts w:ascii="Arial" w:cs="Arial" w:eastAsia="Arial" w:hAnsi="Arial"/>
                <w:sz w:val="14"/>
                <w:szCs w:val="14"/>
                <w:b w:val="1"/>
                <w:bCs w:val="1"/>
                <w:color w:val="auto"/>
                <w:w w:val="89"/>
              </w:rPr>
              <w:t>Quoted prices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48"/>
              <w:spacing w:after="0"/>
              <w:rPr>
                <w:sz w:val="20"/>
                <w:szCs w:val="20"/>
                <w:color w:val="auto"/>
              </w:rPr>
            </w:pPr>
            <w:r>
              <w:rPr>
                <w:rFonts w:ascii="Arial" w:cs="Arial" w:eastAsia="Arial" w:hAnsi="Arial"/>
                <w:sz w:val="14"/>
                <w:szCs w:val="14"/>
                <w:b w:val="1"/>
                <w:bCs w:val="1"/>
                <w:color w:val="auto"/>
                <w:w w:val="94"/>
              </w:rPr>
              <w:t>markets for</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center"/>
              <w:ind w:right="288"/>
              <w:spacing w:after="0"/>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right="308"/>
              <w:spacing w:after="0"/>
              <w:rPr>
                <w:sz w:val="20"/>
                <w:szCs w:val="20"/>
                <w:color w:val="auto"/>
              </w:rPr>
            </w:pPr>
            <w:r>
              <w:rPr>
                <w:rFonts w:ascii="Arial" w:cs="Arial" w:eastAsia="Arial" w:hAnsi="Arial"/>
                <w:sz w:val="14"/>
                <w:szCs w:val="14"/>
                <w:b w:val="1"/>
                <w:bCs w:val="1"/>
                <w:color w:val="auto"/>
                <w:w w:val="92"/>
              </w:rPr>
              <w:t>Significant</w:t>
            </w: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48"/>
              <w:spacing w:after="0"/>
              <w:rPr>
                <w:sz w:val="20"/>
                <w:szCs w:val="20"/>
                <w:color w:val="auto"/>
              </w:rPr>
            </w:pPr>
            <w:r>
              <w:rPr>
                <w:rFonts w:ascii="Arial" w:cs="Arial" w:eastAsia="Arial" w:hAnsi="Arial"/>
                <w:sz w:val="14"/>
                <w:szCs w:val="14"/>
                <w:b w:val="1"/>
                <w:bCs w:val="1"/>
                <w:color w:val="auto"/>
                <w:w w:val="91"/>
              </w:rPr>
              <w:t>identical</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center"/>
              <w:ind w:right="268"/>
              <w:spacing w:after="0"/>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right="308"/>
              <w:spacing w:after="0"/>
              <w:rPr>
                <w:sz w:val="20"/>
                <w:szCs w:val="20"/>
                <w:color w:val="auto"/>
              </w:rPr>
            </w:pPr>
            <w:r>
              <w:rPr>
                <w:rFonts w:ascii="Arial" w:cs="Arial" w:eastAsia="Arial" w:hAnsi="Arial"/>
                <w:sz w:val="14"/>
                <w:szCs w:val="14"/>
                <w:b w:val="1"/>
                <w:bCs w:val="1"/>
                <w:color w:val="auto"/>
                <w:w w:val="90"/>
              </w:rPr>
              <w:t>unobservable</w:t>
            </w: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center"/>
              <w:ind w:right="248"/>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48"/>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center"/>
              <w:ind w:right="268"/>
              <w:spacing w:after="0"/>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right="308"/>
              <w:spacing w:after="0"/>
              <w:rPr>
                <w:sz w:val="20"/>
                <w:szCs w:val="20"/>
                <w:color w:val="auto"/>
              </w:rPr>
            </w:pPr>
            <w:r>
              <w:rPr>
                <w:rFonts w:ascii="Arial" w:cs="Arial" w:eastAsia="Arial" w:hAnsi="Arial"/>
                <w:sz w:val="14"/>
                <w:szCs w:val="14"/>
                <w:b w:val="1"/>
                <w:bCs w:val="1"/>
                <w:color w:val="auto"/>
                <w:w w:val="90"/>
              </w:rPr>
              <w:t>inputs</w:t>
            </w:r>
          </w:p>
        </w:tc>
      </w:tr>
      <w:tr>
        <w:trPr>
          <w:trHeight w:val="209"/>
        </w:trPr>
        <w:tc>
          <w:tcPr>
            <w:tcW w:w="3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1"/>
              </w:rPr>
              <w:t>(level 3)</w:t>
            </w:r>
          </w:p>
        </w:tc>
      </w:tr>
      <w:tr>
        <w:trPr>
          <w:trHeight w:val="202"/>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154,580</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154,580</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155"/>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42"/>
        </w:trPr>
        <w:tc>
          <w:tcPr>
            <w:tcW w:w="35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154,580</w:t>
            </w:r>
          </w:p>
        </w:tc>
        <w:tc>
          <w:tcPr>
            <w:tcW w:w="4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154,580</w:t>
            </w:r>
          </w:p>
        </w:tc>
        <w:tc>
          <w:tcPr>
            <w:tcW w:w="460" w:type="dxa"/>
            <w:vAlign w:val="bottom"/>
            <w:gridSpan w:val="2"/>
            <w:shd w:val="clear" w:color="auto" w:fill="CFF0FC"/>
          </w:tcPr>
          <w:p>
            <w:pPr>
              <w:jc w:val="right"/>
              <w:ind w:right="155"/>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549"/>
        </w:trPr>
        <w:tc>
          <w:tcPr>
            <w:tcW w:w="35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1"/>
              </w:rPr>
              <w:t>Quoted prices</w:t>
            </w:r>
          </w:p>
        </w:tc>
        <w:tc>
          <w:tcPr>
            <w:tcW w:w="1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48"/>
              <w:spacing w:after="0"/>
              <w:rPr>
                <w:sz w:val="20"/>
                <w:szCs w:val="20"/>
                <w:color w:val="auto"/>
              </w:rPr>
            </w:pPr>
            <w:r>
              <w:rPr>
                <w:rFonts w:ascii="Arial" w:cs="Arial" w:eastAsia="Arial" w:hAnsi="Arial"/>
                <w:sz w:val="14"/>
                <w:szCs w:val="14"/>
                <w:b w:val="1"/>
                <w:bCs w:val="1"/>
                <w:color w:val="auto"/>
                <w:w w:val="94"/>
              </w:rPr>
              <w:t>markets for</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center"/>
              <w:ind w:right="248"/>
              <w:spacing w:after="0"/>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Significant</w:t>
            </w: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28"/>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center"/>
              <w:ind w:right="268"/>
              <w:spacing w:after="0"/>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right="228"/>
              <w:spacing w:after="0"/>
              <w:rPr>
                <w:sz w:val="20"/>
                <w:szCs w:val="20"/>
                <w:color w:val="auto"/>
              </w:rPr>
            </w:pPr>
            <w:r>
              <w:rPr>
                <w:rFonts w:ascii="Arial" w:cs="Arial" w:eastAsia="Arial" w:hAnsi="Arial"/>
                <w:sz w:val="14"/>
                <w:szCs w:val="14"/>
                <w:b w:val="1"/>
                <w:bCs w:val="1"/>
                <w:color w:val="auto"/>
                <w:w w:val="90"/>
              </w:rPr>
              <w:t>unobservable</w:t>
            </w:r>
          </w:p>
        </w:tc>
      </w:tr>
      <w:tr>
        <w:trPr>
          <w:trHeight w:val="203"/>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28"/>
              <w:spacing w:after="0"/>
              <w:rPr>
                <w:sz w:val="20"/>
                <w:szCs w:val="20"/>
                <w:color w:val="auto"/>
              </w:rPr>
            </w:pPr>
            <w:r>
              <w:rPr>
                <w:rFonts w:ascii="Arial" w:cs="Arial" w:eastAsia="Arial" w:hAnsi="Arial"/>
                <w:sz w:val="14"/>
                <w:szCs w:val="14"/>
                <w:b w:val="1"/>
                <w:bCs w:val="1"/>
                <w:color w:val="auto"/>
                <w:w w:val="77"/>
              </w:rPr>
              <w:t>assets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center"/>
              <w:ind w:right="268"/>
              <w:spacing w:after="0"/>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right="228"/>
              <w:spacing w:after="0"/>
              <w:rPr>
                <w:sz w:val="20"/>
                <w:szCs w:val="20"/>
                <w:color w:val="auto"/>
              </w:rPr>
            </w:pPr>
            <w:r>
              <w:rPr>
                <w:rFonts w:ascii="Arial" w:cs="Arial" w:eastAsia="Arial" w:hAnsi="Arial"/>
                <w:sz w:val="14"/>
                <w:szCs w:val="14"/>
                <w:b w:val="1"/>
                <w:bCs w:val="1"/>
                <w:color w:val="auto"/>
                <w:w w:val="90"/>
              </w:rPr>
              <w:t>inputs</w:t>
            </w:r>
          </w:p>
        </w:tc>
      </w:tr>
      <w:tr>
        <w:trPr>
          <w:trHeight w:val="208"/>
        </w:trPr>
        <w:tc>
          <w:tcPr>
            <w:tcW w:w="3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1"/>
              </w:rPr>
              <w:t>(level 3)</w:t>
            </w:r>
          </w:p>
        </w:tc>
      </w:tr>
      <w:tr>
        <w:trPr>
          <w:trHeight w:val="202"/>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150,386</w:t>
            </w:r>
          </w:p>
        </w:tc>
        <w:tc>
          <w:tcPr>
            <w:tcW w:w="1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150,386</w:t>
            </w:r>
          </w:p>
        </w:tc>
        <w:tc>
          <w:tcPr>
            <w:tcW w:w="180" w:type="dxa"/>
            <w:vAlign w:val="bottom"/>
          </w:tcPr>
          <w:p>
            <w:pPr>
              <w:spacing w:after="0"/>
              <w:rPr>
                <w:sz w:val="17"/>
                <w:szCs w:val="17"/>
                <w:color w:val="auto"/>
              </w:rPr>
            </w:pPr>
          </w:p>
        </w:tc>
        <w:tc>
          <w:tcPr>
            <w:tcW w:w="280" w:type="dxa"/>
            <w:vAlign w:val="bottom"/>
          </w:tcPr>
          <w:p>
            <w:pPr>
              <w:jc w:val="right"/>
              <w:ind w:right="135"/>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22"/>
        </w:trPr>
        <w:tc>
          <w:tcPr>
            <w:tcW w:w="35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150,386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150,386</w:t>
            </w:r>
          </w:p>
        </w:tc>
        <w:tc>
          <w:tcPr>
            <w:tcW w:w="1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-1464945</wp:posOffset>
            </wp:positionV>
            <wp:extent cx="1117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-1447800</wp:posOffset>
            </wp:positionV>
            <wp:extent cx="1117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-1464945</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-1447800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-1464945</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-1447800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1117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1117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did not have any transfers of financial assets measured at fair value on a recurring basis to or from Level 1, Level 2 or Level 3 for any of the periods presented.</w:t>
      </w:r>
    </w:p>
    <w:p>
      <w:pPr>
        <w:spacing w:after="0" w:line="211"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 net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components of property and equipment, net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68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900" w:type="dxa"/>
            <w:vAlign w:val="bottom"/>
          </w:tcPr>
          <w:p>
            <w:pPr>
              <w:spacing w:after="0"/>
              <w:rPr>
                <w:sz w:val="17"/>
                <w:szCs w:val="17"/>
                <w:color w:val="auto"/>
              </w:rPr>
            </w:pPr>
          </w:p>
        </w:tc>
        <w:tc>
          <w:tcPr>
            <w:tcW w:w="168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w w:val="96"/>
              </w:rPr>
              <w:t>2021</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2020</w:t>
            </w:r>
          </w:p>
        </w:tc>
      </w:tr>
      <w:tr>
        <w:trPr>
          <w:trHeight w:val="196"/>
        </w:trPr>
        <w:tc>
          <w:tcPr>
            <w:tcW w:w="5900" w:type="dxa"/>
            <w:vAlign w:val="bottom"/>
          </w:tcPr>
          <w:p>
            <w:pPr>
              <w:spacing w:after="0"/>
              <w:rPr>
                <w:sz w:val="17"/>
                <w:szCs w:val="17"/>
                <w:color w:val="auto"/>
              </w:rPr>
            </w:pPr>
          </w:p>
        </w:tc>
        <w:tc>
          <w:tcPr>
            <w:tcW w:w="1680" w:type="dxa"/>
            <w:vAlign w:val="bottom"/>
          </w:tcPr>
          <w:p>
            <w:pPr>
              <w:jc w:val="center"/>
              <w:ind w:left="488"/>
              <w:spacing w:after="0"/>
              <w:rPr>
                <w:sz w:val="20"/>
                <w:szCs w:val="20"/>
                <w:color w:val="auto"/>
              </w:rPr>
            </w:pPr>
            <w:r>
              <w:rPr>
                <w:rFonts w:ascii="Arial" w:cs="Arial" w:eastAsia="Arial" w:hAnsi="Arial"/>
                <w:sz w:val="14"/>
                <w:szCs w:val="14"/>
                <w:b w:val="1"/>
                <w:bCs w:val="1"/>
                <w:color w:val="auto"/>
                <w:w w:val="94"/>
              </w:rPr>
              <w:t>(unaudited)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8"/>
        </w:trPr>
        <w:tc>
          <w:tcPr>
            <w:tcW w:w="5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Laboratory equipment</w:t>
            </w:r>
          </w:p>
        </w:tc>
        <w:tc>
          <w:tcPr>
            <w:tcW w:w="1680" w:type="dxa"/>
            <w:vAlign w:val="bottom"/>
            <w:shd w:val="clear" w:color="auto" w:fill="CFF0FC"/>
          </w:tcPr>
          <w:p>
            <w:pPr>
              <w:jc w:val="right"/>
              <w:ind w:right="15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1,957</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1,396</w:t>
            </w:r>
          </w:p>
        </w:tc>
      </w:tr>
      <w:tr>
        <w:trPr>
          <w:trHeight w:val="197"/>
        </w:trPr>
        <w:tc>
          <w:tcPr>
            <w:tcW w:w="59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6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1,430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jc w:val="right"/>
              <w:ind w:right="48"/>
              <w:spacing w:after="0"/>
              <w:rPr>
                <w:sz w:val="20"/>
                <w:szCs w:val="20"/>
                <w:color w:val="auto"/>
              </w:rPr>
            </w:pPr>
            <w:r>
              <w:rPr>
                <w:rFonts w:ascii="Arial" w:cs="Arial" w:eastAsia="Arial" w:hAnsi="Arial"/>
                <w:sz w:val="14"/>
                <w:szCs w:val="14"/>
                <w:color w:val="auto"/>
              </w:rPr>
              <w:t>1,108</w:t>
            </w:r>
          </w:p>
        </w:tc>
      </w:tr>
      <w:tr>
        <w:trPr>
          <w:trHeight w:val="208"/>
        </w:trPr>
        <w:tc>
          <w:tcPr>
            <w:tcW w:w="5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Construction in progress</w:t>
            </w:r>
          </w:p>
        </w:tc>
        <w:tc>
          <w:tcPr>
            <w:tcW w:w="16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1,099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96"/>
        </w:trPr>
        <w:tc>
          <w:tcPr>
            <w:tcW w:w="5900" w:type="dxa"/>
            <w:vAlign w:val="bottom"/>
          </w:tcPr>
          <w:p>
            <w:pPr>
              <w:ind w:left="20"/>
              <w:spacing w:after="0"/>
              <w:rPr>
                <w:sz w:val="20"/>
                <w:szCs w:val="20"/>
                <w:color w:val="auto"/>
              </w:rPr>
            </w:pPr>
            <w:r>
              <w:rPr>
                <w:rFonts w:ascii="Arial" w:cs="Arial" w:eastAsia="Arial" w:hAnsi="Arial"/>
                <w:sz w:val="14"/>
                <w:szCs w:val="14"/>
                <w:color w:val="auto"/>
              </w:rPr>
              <w:t>Office and computer equipment</w:t>
            </w:r>
          </w:p>
        </w:tc>
        <w:tc>
          <w:tcPr>
            <w:tcW w:w="16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jc w:val="right"/>
              <w:ind w:right="48"/>
              <w:spacing w:after="0"/>
              <w:rPr>
                <w:sz w:val="20"/>
                <w:szCs w:val="20"/>
                <w:color w:val="auto"/>
              </w:rPr>
            </w:pPr>
            <w:r>
              <w:rPr>
                <w:rFonts w:ascii="Arial" w:cs="Arial" w:eastAsia="Arial" w:hAnsi="Arial"/>
                <w:sz w:val="14"/>
                <w:szCs w:val="14"/>
                <w:color w:val="auto"/>
              </w:rPr>
              <w:t>372</w:t>
            </w:r>
          </w:p>
        </w:tc>
      </w:tr>
      <w:tr>
        <w:trPr>
          <w:trHeight w:val="20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Furniture and fixtures</w:t>
            </w:r>
          </w:p>
        </w:tc>
        <w:tc>
          <w:tcPr>
            <w:tcW w:w="16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266</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198</w:t>
            </w:r>
          </w:p>
        </w:tc>
      </w:tr>
      <w:tr>
        <w:trPr>
          <w:trHeight w:val="196"/>
        </w:trPr>
        <w:tc>
          <w:tcPr>
            <w:tcW w:w="5900" w:type="dxa"/>
            <w:vAlign w:val="bottom"/>
          </w:tcPr>
          <w:p>
            <w:pPr>
              <w:ind w:left="120"/>
              <w:spacing w:after="0"/>
              <w:rPr>
                <w:sz w:val="20"/>
                <w:szCs w:val="20"/>
                <w:color w:val="auto"/>
              </w:rPr>
            </w:pPr>
            <w:r>
              <w:rPr>
                <w:rFonts w:ascii="Arial" w:cs="Arial" w:eastAsia="Arial" w:hAnsi="Arial"/>
                <w:sz w:val="14"/>
                <w:szCs w:val="14"/>
                <w:color w:val="auto"/>
              </w:rPr>
              <w:t>Total property and equipment</w:t>
            </w:r>
          </w:p>
        </w:tc>
        <w:tc>
          <w:tcPr>
            <w:tcW w:w="168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5,195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jc w:val="right"/>
              <w:ind w:right="48"/>
              <w:spacing w:after="0"/>
              <w:rPr>
                <w:sz w:val="20"/>
                <w:szCs w:val="20"/>
                <w:color w:val="auto"/>
              </w:rPr>
            </w:pPr>
            <w:r>
              <w:rPr>
                <w:rFonts w:ascii="Arial" w:cs="Arial" w:eastAsia="Arial" w:hAnsi="Arial"/>
                <w:sz w:val="14"/>
                <w:szCs w:val="14"/>
                <w:color w:val="auto"/>
              </w:rPr>
              <w:t>3,074</w:t>
            </w:r>
          </w:p>
        </w:tc>
      </w:tr>
      <w:tr>
        <w:trPr>
          <w:trHeight w:val="20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Less: accumulated depreciation</w:t>
            </w:r>
          </w:p>
        </w:tc>
        <w:tc>
          <w:tcPr>
            <w:tcW w:w="16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(1,300 )</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(934 )</w:t>
            </w:r>
          </w:p>
        </w:tc>
      </w:tr>
      <w:tr>
        <w:trPr>
          <w:trHeight w:val="202"/>
        </w:trPr>
        <w:tc>
          <w:tcPr>
            <w:tcW w:w="5900" w:type="dxa"/>
            <w:vAlign w:val="bottom"/>
          </w:tcPr>
          <w:p>
            <w:pPr>
              <w:ind w:left="120"/>
              <w:spacing w:after="0"/>
              <w:rPr>
                <w:sz w:val="20"/>
                <w:szCs w:val="20"/>
                <w:color w:val="auto"/>
              </w:rPr>
            </w:pPr>
            <w:r>
              <w:rPr>
                <w:rFonts w:ascii="Arial" w:cs="Arial" w:eastAsia="Arial" w:hAnsi="Arial"/>
                <w:sz w:val="14"/>
                <w:szCs w:val="14"/>
                <w:color w:val="auto"/>
              </w:rPr>
              <w:t>Property and equipment, net</w:t>
            </w:r>
          </w:p>
        </w:tc>
        <w:tc>
          <w:tcPr>
            <w:tcW w:w="1680" w:type="dxa"/>
            <w:vAlign w:val="bottom"/>
          </w:tcPr>
          <w:p>
            <w:pPr>
              <w:jc w:val="right"/>
              <w:ind w:right="15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3,895</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48"/>
              <w:spacing w:after="0"/>
              <w:rPr>
                <w:sz w:val="20"/>
                <w:szCs w:val="20"/>
                <w:color w:val="auto"/>
              </w:rPr>
            </w:pPr>
            <w:r>
              <w:rPr>
                <w:rFonts w:ascii="Arial" w:cs="Arial" w:eastAsia="Arial" w:hAnsi="Arial"/>
                <w:sz w:val="14"/>
                <w:szCs w:val="14"/>
                <w:color w:val="auto"/>
              </w:rPr>
              <w:t>2,140</w:t>
            </w:r>
          </w:p>
        </w:tc>
      </w:tr>
      <w:tr>
        <w:trPr>
          <w:trHeight w:val="20"/>
        </w:trPr>
        <w:tc>
          <w:tcPr>
            <w:tcW w:w="59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-424815</wp:posOffset>
            </wp:positionV>
            <wp:extent cx="128905" cy="133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3398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-159385</wp:posOffset>
            </wp:positionV>
            <wp:extent cx="128905" cy="160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60020"/>
                    </a:xfrm>
                    <a:prstGeom prst="rect">
                      <a:avLst/>
                    </a:prstGeom>
                    <a:noFill/>
                  </pic:spPr>
                </pic:pic>
              </a:graphicData>
            </a:graphic>
          </wp:anchor>
        </w:drawing>
      </w:r>
    </w:p>
    <w:p>
      <w:pPr>
        <w:spacing w:after="0" w:line="177" w:lineRule="exact"/>
        <w:rPr>
          <w:sz w:val="20"/>
          <w:szCs w:val="20"/>
          <w:color w:val="auto"/>
        </w:rPr>
      </w:pPr>
    </w:p>
    <w:p>
      <w:pPr>
        <w:ind w:firstLine="509"/>
        <w:spacing w:after="0" w:line="293" w:lineRule="auto"/>
        <w:rPr>
          <w:sz w:val="20"/>
          <w:szCs w:val="20"/>
          <w:color w:val="auto"/>
        </w:rPr>
      </w:pPr>
      <w:r>
        <w:rPr>
          <w:rFonts w:ascii="Arial" w:cs="Arial" w:eastAsia="Arial" w:hAnsi="Arial"/>
          <w:sz w:val="14"/>
          <w:szCs w:val="14"/>
          <w:color w:val="auto"/>
        </w:rPr>
        <w:t>Total depreciation expense for the three and six months ended June 30, 2021 was $199,000 and $366,000, respectively. The total depreciation expense for the three and six months ended June 30, 2020 was $153,000 and $218,000, respectively.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20"/>
                <w:szCs w:val="20"/>
                <w:color w:val="auto"/>
              </w:rPr>
            </w:pPr>
            <w:r>
              <w:rPr>
                <w:rFonts w:ascii="Arial" w:cs="Arial" w:eastAsia="Arial" w:hAnsi="Arial"/>
                <w:sz w:val="14"/>
                <w:szCs w:val="14"/>
                <w:b w:val="1"/>
                <w:bCs w:val="1"/>
                <w:color w:val="auto"/>
                <w:w w:val="85"/>
              </w:rPr>
              <w:t>8.</w:t>
            </w:r>
          </w:p>
        </w:tc>
        <w:tc>
          <w:tcPr>
            <w:tcW w:w="7540" w:type="dxa"/>
            <w:vAlign w:val="bottom"/>
          </w:tcPr>
          <w:p>
            <w:pPr>
              <w:ind w:left="320"/>
              <w:spacing w:after="0"/>
              <w:rPr>
                <w:sz w:val="20"/>
                <w:szCs w:val="20"/>
                <w:color w:val="auto"/>
              </w:rPr>
            </w:pPr>
            <w:r>
              <w:rPr>
                <w:rFonts w:ascii="Arial" w:cs="Arial" w:eastAsia="Arial" w:hAnsi="Arial"/>
                <w:sz w:val="14"/>
                <w:szCs w:val="14"/>
                <w:b w:val="1"/>
                <w:bCs w:val="1"/>
                <w:color w:val="auto"/>
              </w:rPr>
              <w:t>Goodwill and intangible assets, net</w:t>
            </w: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83"/>
        </w:trPr>
        <w:tc>
          <w:tcPr>
            <w:tcW w:w="120" w:type="dxa"/>
            <w:vAlign w:val="bottom"/>
          </w:tcPr>
          <w:p>
            <w:pPr>
              <w:spacing w:after="0"/>
              <w:rPr>
                <w:sz w:val="24"/>
                <w:szCs w:val="24"/>
                <w:color w:val="auto"/>
              </w:rPr>
            </w:pPr>
          </w:p>
        </w:tc>
        <w:tc>
          <w:tcPr>
            <w:tcW w:w="7540" w:type="dxa"/>
            <w:vAlign w:val="bottom"/>
          </w:tcPr>
          <w:p>
            <w:pPr>
              <w:ind w:left="400"/>
              <w:spacing w:after="0"/>
              <w:rPr>
                <w:sz w:val="20"/>
                <w:szCs w:val="20"/>
                <w:color w:val="auto"/>
              </w:rPr>
            </w:pPr>
            <w:r>
              <w:rPr>
                <w:rFonts w:ascii="Arial" w:cs="Arial" w:eastAsia="Arial" w:hAnsi="Arial"/>
                <w:sz w:val="14"/>
                <w:szCs w:val="14"/>
                <w:color w:val="auto"/>
                <w:w w:val="94"/>
              </w:rPr>
              <w:t>There were no changes in goodwill for the six months ended June 30, 2021 and the fiscal year ended December 31, 2020.</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84"/>
        </w:trPr>
        <w:tc>
          <w:tcPr>
            <w:tcW w:w="120" w:type="dxa"/>
            <w:vAlign w:val="bottom"/>
          </w:tcPr>
          <w:p>
            <w:pPr>
              <w:spacing w:after="0"/>
              <w:rPr>
                <w:sz w:val="24"/>
                <w:szCs w:val="24"/>
                <w:color w:val="auto"/>
              </w:rPr>
            </w:pPr>
          </w:p>
        </w:tc>
        <w:tc>
          <w:tcPr>
            <w:tcW w:w="7540" w:type="dxa"/>
            <w:vAlign w:val="bottom"/>
          </w:tcPr>
          <w:p>
            <w:pPr>
              <w:ind w:left="400"/>
              <w:spacing w:after="0"/>
              <w:rPr>
                <w:sz w:val="20"/>
                <w:szCs w:val="20"/>
                <w:color w:val="auto"/>
              </w:rPr>
            </w:pPr>
            <w:r>
              <w:rPr>
                <w:rFonts w:ascii="Arial" w:cs="Arial" w:eastAsia="Arial" w:hAnsi="Arial"/>
                <w:sz w:val="14"/>
                <w:szCs w:val="14"/>
                <w:color w:val="auto"/>
              </w:rPr>
              <w:t>The following table shows the components of intangible assets, net (in thousands):</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78"/>
        </w:trPr>
        <w:tc>
          <w:tcPr>
            <w:tcW w:w="1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2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12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9"/>
              </w:rPr>
              <w:t>2021</w:t>
            </w: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r>
      <w:tr>
        <w:trPr>
          <w:trHeight w:val="196"/>
        </w:trPr>
        <w:tc>
          <w:tcPr>
            <w:tcW w:w="1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124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9"/>
        </w:trPr>
        <w:tc>
          <w:tcPr>
            <w:tcW w:w="76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Patents and trademarks</w:t>
            </w: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349</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288</w:t>
            </w:r>
          </w:p>
        </w:tc>
      </w:tr>
      <w:tr>
        <w:trPr>
          <w:trHeight w:val="203"/>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IP license</w:t>
            </w:r>
          </w:p>
        </w:tc>
        <w:tc>
          <w:tcPr>
            <w:tcW w:w="1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w:t>
            </w:r>
          </w:p>
        </w:tc>
      </w:tr>
      <w:tr>
        <w:trPr>
          <w:trHeight w:val="196"/>
        </w:trPr>
        <w:tc>
          <w:tcPr>
            <w:tcW w:w="120" w:type="dxa"/>
            <w:vAlign w:val="bottom"/>
            <w:shd w:val="clear" w:color="auto" w:fill="CFF0FC"/>
          </w:tcPr>
          <w:p>
            <w:pPr>
              <w:spacing w:after="0"/>
              <w:rPr>
                <w:sz w:val="17"/>
                <w:szCs w:val="17"/>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4"/>
                <w:szCs w:val="14"/>
                <w:color w:val="auto"/>
              </w:rPr>
              <w:t>Total intangible assets</w:t>
            </w: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825</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764</w:t>
            </w:r>
          </w:p>
        </w:tc>
      </w:tr>
      <w:tr>
        <w:trPr>
          <w:trHeight w:val="197"/>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Less: accumulated amortization</w:t>
            </w:r>
          </w:p>
        </w:tc>
        <w:tc>
          <w:tcPr>
            <w:tcW w:w="1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(492 )</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(490 )</w:t>
            </w:r>
          </w:p>
        </w:tc>
      </w:tr>
      <w:tr>
        <w:trPr>
          <w:trHeight w:val="242"/>
        </w:trPr>
        <w:tc>
          <w:tcPr>
            <w:tcW w:w="120" w:type="dxa"/>
            <w:vAlign w:val="bottom"/>
            <w:tcBorders>
              <w:bottom w:val="single" w:sz="8" w:color="CFF0FC"/>
            </w:tcBorders>
            <w:shd w:val="clear" w:color="auto" w:fill="CFF0FC"/>
          </w:tcPr>
          <w:p>
            <w:pPr>
              <w:spacing w:after="0"/>
              <w:rPr>
                <w:sz w:val="21"/>
                <w:szCs w:val="21"/>
                <w:color w:val="auto"/>
              </w:rPr>
            </w:pPr>
          </w:p>
        </w:tc>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Intangible assets, net</w:t>
            </w:r>
          </w:p>
        </w:tc>
        <w:tc>
          <w:tcPr>
            <w:tcW w:w="1240" w:type="dxa"/>
            <w:vAlign w:val="bottom"/>
            <w:tcBorders>
              <w:bottom w:val="single" w:sz="8" w:color="auto"/>
            </w:tcBorders>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333</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1200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18" w:lineRule="exact"/>
        <w:rPr>
          <w:sz w:val="20"/>
          <w:szCs w:val="20"/>
          <w:color w:val="auto"/>
        </w:rPr>
      </w:pPr>
    </w:p>
    <w:p>
      <w:pPr>
        <w:jc w:val="both"/>
        <w:ind w:firstLine="288"/>
        <w:spacing w:after="0" w:line="293" w:lineRule="auto"/>
        <w:rPr>
          <w:sz w:val="20"/>
          <w:szCs w:val="20"/>
          <w:color w:val="auto"/>
        </w:rPr>
      </w:pPr>
      <w:r>
        <w:rPr>
          <w:rFonts w:ascii="Arial" w:cs="Arial" w:eastAsia="Arial" w:hAnsi="Arial"/>
          <w:sz w:val="14"/>
          <w:szCs w:val="14"/>
          <w:color w:val="auto"/>
        </w:rPr>
        <w:t>Total amortization expense for the three and six months ended June 30, 2021 was less than $1,000 and $2,000, respectively. Total amortization expense for the three and six months ended June 30, 2020 was $8,000 and $48,000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ind w:left="440" w:hanging="432"/>
        <w:spacing w:after="0"/>
        <w:tabs>
          <w:tab w:leader="none" w:pos="4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Legal settlement liability</w:t>
      </w:r>
    </w:p>
    <w:p>
      <w:pPr>
        <w:spacing w:after="0" w:line="23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As of June 30, 2021, it was probable that the specified sales milestone would be achieved within 6 months.</w:t>
      </w:r>
    </w:p>
    <w:p>
      <w:pPr>
        <w:spacing w:after="0" w:line="18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19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recorded $746,000 and $1.4 million product cost of sales related to royalty expense for the three and six months ended June 30, 2021, respectively, and $506,000 and $971,000 product cost of sales for the three and six months ended June 30, 2020, respectively. The Company recorded $433,000 and $808,000 of interest expense for the three and six months ended June 30, 2021, respectively, and $1,000 of interest expense for the three and six months ended June 30, 2020,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$18.9 million and $17.2 million as of June 30, 2021 and December 31, 2020, respectively, and will record licensing expense in future periods.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table shows the components of the legal settlement liability (in thousands):</w:t>
      </w:r>
    </w:p>
    <w:p>
      <w:pPr>
        <w:sectPr>
          <w:pgSz w:w="11900" w:h="16838" w:orient="portrait"/>
          <w:cols w:equalWidth="0" w:num="1">
            <w:col w:w="11240"/>
          </w:cols>
          <w:pgMar w:left="320" w:top="535" w:right="339" w:bottom="1440" w:gutter="0" w:footer="0" w:header="0"/>
        </w:sectPr>
      </w:pPr>
    </w:p>
    <w:p>
      <w:pPr>
        <w:spacing w:after="0" w:line="200"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11747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35"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11747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35" w:lineRule="exact"/>
        <w:rPr>
          <w:sz w:val="20"/>
          <w:szCs w:val="20"/>
          <w:color w:val="auto"/>
        </w:rPr>
      </w:pPr>
    </w:p>
    <w:p>
      <w:pPr>
        <w:jc w:val="center"/>
        <w:ind w:left="6680"/>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38100</wp:posOffset>
            </wp:positionV>
            <wp:extent cx="12515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23495</wp:posOffset>
            </wp:positionV>
            <wp:extent cx="12515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8600" w:space="720"/>
            <w:col w:w="1920"/>
          </w:cols>
          <w:pgMar w:left="320" w:top="535"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Current:</w:t>
            </w:r>
          </w:p>
        </w:tc>
        <w:tc>
          <w:tcPr>
            <w:tcW w:w="7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r>
      <w:tr>
        <w:trPr>
          <w:trHeight w:val="197"/>
        </w:trPr>
        <w:tc>
          <w:tcPr>
            <w:tcW w:w="6780" w:type="dxa"/>
            <w:vAlign w:val="bottom"/>
          </w:tcPr>
          <w:p>
            <w:pPr>
              <w:ind w:left="120"/>
              <w:spacing w:after="0"/>
              <w:rPr>
                <w:sz w:val="20"/>
                <w:szCs w:val="20"/>
                <w:color w:val="auto"/>
              </w:rPr>
            </w:pPr>
            <w:r>
              <w:rPr>
                <w:rFonts w:ascii="Arial" w:cs="Arial" w:eastAsia="Arial" w:hAnsi="Arial"/>
                <w:sz w:val="14"/>
                <w:szCs w:val="14"/>
                <w:color w:val="auto"/>
              </w:rPr>
              <w:t>Legal settlement liability</w:t>
            </w:r>
          </w:p>
        </w:tc>
        <w:tc>
          <w:tcPr>
            <w:tcW w:w="700" w:type="dxa"/>
            <w:vAlign w:val="bottom"/>
          </w:tcPr>
          <w:p>
            <w:pPr>
              <w:jc w:val="right"/>
              <w:ind w:right="5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7,229</w:t>
            </w:r>
          </w:p>
        </w:tc>
        <w:tc>
          <w:tcPr>
            <w:tcW w:w="96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6,253</w:t>
            </w:r>
          </w:p>
        </w:tc>
      </w:tr>
      <w:tr>
        <w:trPr>
          <w:trHeight w:val="208"/>
        </w:trPr>
        <w:tc>
          <w:tcPr>
            <w:tcW w:w="6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Noncurrent:</w:t>
            </w:r>
          </w:p>
        </w:tc>
        <w:tc>
          <w:tcPr>
            <w:tcW w:w="7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196"/>
        </w:trPr>
        <w:tc>
          <w:tcPr>
            <w:tcW w:w="6780" w:type="dxa"/>
            <w:vAlign w:val="bottom"/>
          </w:tcPr>
          <w:p>
            <w:pPr>
              <w:ind w:left="120"/>
              <w:spacing w:after="0"/>
              <w:rPr>
                <w:sz w:val="20"/>
                <w:szCs w:val="20"/>
                <w:color w:val="auto"/>
              </w:rPr>
            </w:pPr>
            <w:r>
              <w:rPr>
                <w:rFonts w:ascii="Arial" w:cs="Arial" w:eastAsia="Arial" w:hAnsi="Arial"/>
                <w:sz w:val="14"/>
                <w:szCs w:val="14"/>
                <w:color w:val="auto"/>
              </w:rPr>
              <w:t>Legal settlement liability</w:t>
            </w: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11,724</w:t>
            </w:r>
          </w:p>
        </w:tc>
        <w:tc>
          <w:tcPr>
            <w:tcW w:w="1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10,959</w:t>
            </w:r>
          </w:p>
        </w:tc>
      </w:tr>
      <w:tr>
        <w:trPr>
          <w:trHeight w:val="242"/>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legal settlement liability</w:t>
            </w:r>
          </w:p>
        </w:tc>
        <w:tc>
          <w:tcPr>
            <w:tcW w:w="700" w:type="dxa"/>
            <w:vAlign w:val="bottom"/>
            <w:tcBorders>
              <w:bottom w:val="single" w:sz="8" w:color="auto"/>
            </w:tcBorders>
            <w:shd w:val="clear" w:color="auto" w:fill="CFF0FC"/>
          </w:tcPr>
          <w:p>
            <w:pPr>
              <w:jc w:val="right"/>
              <w:ind w:right="5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18,953</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17,212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-25400</wp:posOffset>
            </wp:positionV>
            <wp:extent cx="1200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convertible preferred stock</w:t>
      </w:r>
    </w:p>
    <w:p>
      <w:pPr>
        <w:spacing w:after="0" w:line="12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March 2015, the Company entered into a Series A Preferred Stock Purchase Agreement (“Series A Agreement”) with certain investors pursuant to which it sold and issued 9,799,755 shares of Series A redeemable convertible preferred stock (“Series A shares”) at a purchase price of $0.38 per share in the initial closing. In July 2015, the Company sold and issued an additional 8,166,462 Series A shares at a purchase price of $0.38 per share pursuant to a subsequent closing under the Series A Agreement. In October 2015, the Company sold and issued an additional 14,699,632 Series A shares at a purchase price of $0.38 per share pursuant to a milestone closing under the Series A Agreement. A total of 32,665,849 Series A shares were issued for $12.2 million, net of issuance costs of $89,000.</w:t>
      </w:r>
    </w:p>
    <w:p>
      <w:pPr>
        <w:spacing w:after="0" w:line="19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December 2016, the Company entered into a Series B Preferred Stock Purchase Agreement (“Series B Agreement”) with certain investors pursuant to which it sold and issued 9,888,639 shares of Series B convertible redeemable preferred stock (“Series B shares”) at a purchase price of $0.75 per share in the initial closing. In January 2018, the Company sold and issued an additional 6,110,957 Series B shares at a purchase price of $0.75 per share pursuant to a milestone closing under the Series B Agreement.</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September 2018, the Company entered into a Series C Preferred Stock Purchase Agreement (“Series C Agreement”) with certain investors pursuant to which it sold and issued 18,717,804 shares of Series C convertible redeemable preferred stock (“Series C shares” and together with Series A shares, Series B shares and Series C shares, the “2018 Preferred Stock”) at a purchase price of $2.40 per share in the initial closing. In November and December 2018, the Company sold and issued an additional 2,501,265 and 2,084,387 Series C shares, respectively, at a purchase price of $2.40 per share pursuant to subsequent closings under the Series C Agreement.</w:t>
      </w:r>
    </w:p>
    <w:p>
      <w:pPr>
        <w:spacing w:after="0" w:line="1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October 2018, the Company repurchased 2,452,270 Series A shares at a price per share of $2.04 (“Series A Repurchase”), for an aggregate purchase price of $5.0 million. In connection with the Series A Repurchase, the Company filed a Certificate of Retirement with the Secretary of State in the State of Delaware to (i) cancel and retire the repurchased shares as required by the Company’s Amended and Restated Certificate of Incorporation, (ii) reduce the number of 2018 Preferred Stock authorized under the Company’s Amended and Restated Certificate of Incorporation to 70,212,570 from 72,664,850 and (iii) reduce the number of Series A shares authorized under the Company’s Amended and Restated Certificate of Incorporation 30,213,574 from 32,665,849.</w:t>
      </w:r>
    </w:p>
    <w:p>
      <w:pPr>
        <w:spacing w:after="0" w:line="19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October 2020, under the amended and restated certificate of incorporation dated October 22, 2020 (“October COI”), the Company issued 17,752,068 shares of Series D redeemable convertible preferred stock (“Series D shares” and together with Series A shares, Series B shares, Series C shares, the “Preferred Stock”) at a purchase price of $6.76 per share for net proceeds of $119.7 million and authorized the reduction of the Series C to 23,303,456.</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July 2021, all of the then-outstanding shares of Preferred Stock automatically converted into 87,268,694 shares of common stock immediately upon the closing of Company’s IPO.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6" w:name="page17"/>
    <w:bookmarkEnd w:id="16"/>
    <w:p>
      <w:pPr>
        <w:ind w:left="520"/>
        <w:spacing w:after="0"/>
        <w:rPr>
          <w:sz w:val="20"/>
          <w:szCs w:val="20"/>
          <w:color w:val="auto"/>
        </w:rPr>
      </w:pPr>
      <w:r>
        <w:rPr>
          <w:rFonts w:ascii="Arial" w:cs="Arial" w:eastAsia="Arial" w:hAnsi="Arial"/>
          <w:sz w:val="14"/>
          <w:szCs w:val="14"/>
          <w:color w:val="auto"/>
        </w:rPr>
        <w:t>The Preferred Stock at June 30, 2021 consists of the following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Aggregate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4480" w:type="dxa"/>
            <w:vAlign w:val="bottom"/>
          </w:tcPr>
          <w:p>
            <w:pPr>
              <w:spacing w:after="0"/>
              <w:rPr>
                <w:sz w:val="17"/>
                <w:szCs w:val="17"/>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w w:val="87"/>
              </w:rPr>
              <w:t>issued and</w:t>
            </w:r>
          </w:p>
        </w:tc>
        <w:tc>
          <w:tcPr>
            <w:tcW w:w="320" w:type="dxa"/>
            <w:vAlign w:val="bottom"/>
          </w:tcPr>
          <w:p>
            <w:pPr>
              <w:spacing w:after="0"/>
              <w:rPr>
                <w:sz w:val="17"/>
                <w:szCs w:val="17"/>
                <w:color w:val="auto"/>
              </w:rPr>
            </w:pPr>
          </w:p>
        </w:tc>
        <w:tc>
          <w:tcPr>
            <w:tcW w:w="1220" w:type="dxa"/>
            <w:vAlign w:val="bottom"/>
          </w:tcPr>
          <w:p>
            <w:pPr>
              <w:jc w:val="right"/>
              <w:ind w:right="488"/>
              <w:spacing w:after="0"/>
              <w:rPr>
                <w:sz w:val="20"/>
                <w:szCs w:val="20"/>
                <w:color w:val="auto"/>
              </w:rPr>
            </w:pPr>
            <w:r>
              <w:rPr>
                <w:rFonts w:ascii="Arial" w:cs="Arial" w:eastAsia="Arial" w:hAnsi="Arial"/>
                <w:sz w:val="14"/>
                <w:szCs w:val="14"/>
                <w:b w:val="1"/>
                <w:bCs w:val="1"/>
                <w:color w:val="auto"/>
              </w:rPr>
              <w:t>Original</w:t>
            </w:r>
          </w:p>
        </w:tc>
        <w:tc>
          <w:tcPr>
            <w:tcW w:w="140" w:type="dxa"/>
            <w:vAlign w:val="bottom"/>
          </w:tcPr>
          <w:p>
            <w:pPr>
              <w:spacing w:after="0"/>
              <w:rPr>
                <w:sz w:val="17"/>
                <w:szCs w:val="17"/>
                <w:color w:val="auto"/>
              </w:rPr>
            </w:pPr>
          </w:p>
        </w:tc>
        <w:tc>
          <w:tcPr>
            <w:tcW w:w="108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Carrying</w:t>
            </w:r>
          </w:p>
        </w:tc>
      </w:tr>
      <w:tr>
        <w:trPr>
          <w:trHeight w:val="208"/>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Series</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authorized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outstanding</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5"/>
              </w:rPr>
              <w:t>issue price</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preference</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value</w:t>
            </w:r>
          </w:p>
        </w:tc>
      </w:tr>
      <w:tr>
        <w:trPr>
          <w:trHeight w:val="202"/>
        </w:trPr>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A</w:t>
            </w:r>
          </w:p>
        </w:tc>
        <w:tc>
          <w:tcPr>
            <w:tcW w:w="1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30,213,574</w:t>
            </w:r>
          </w:p>
        </w:tc>
        <w:tc>
          <w:tcPr>
            <w:tcW w:w="13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30,213,574</w:t>
            </w:r>
          </w:p>
        </w:tc>
        <w:tc>
          <w:tcPr>
            <w:tcW w:w="3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0.38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11,330</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7,161</w:t>
            </w: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color w:val="auto"/>
              </w:rPr>
              <w:t>Series B</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15,999,596</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15,999,596</w:t>
            </w:r>
          </w:p>
        </w:tc>
        <w:tc>
          <w:tcPr>
            <w:tcW w:w="320" w:type="dxa"/>
            <w:vAlign w:val="bottom"/>
          </w:tcPr>
          <w:p>
            <w:pPr>
              <w:spacing w:after="0"/>
              <w:rPr>
                <w:sz w:val="17"/>
                <w:szCs w:val="17"/>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0.75</w:t>
            </w:r>
          </w:p>
        </w:tc>
        <w:tc>
          <w:tcPr>
            <w:tcW w:w="14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11,944</w:t>
            </w:r>
          </w:p>
        </w:tc>
      </w:tr>
      <w:tr>
        <w:trPr>
          <w:trHeight w:val="208"/>
        </w:trPr>
        <w:tc>
          <w:tcPr>
            <w:tcW w:w="4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C</w:t>
            </w:r>
          </w:p>
        </w:tc>
        <w:tc>
          <w:tcPr>
            <w:tcW w:w="1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23,303,456</w:t>
            </w:r>
          </w:p>
        </w:tc>
        <w:tc>
          <w:tcPr>
            <w:tcW w:w="13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23,303,456</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2.40</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55,900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55,548</w:t>
            </w:r>
          </w:p>
        </w:tc>
      </w:tr>
      <w:tr>
        <w:trPr>
          <w:trHeight w:val="203"/>
        </w:trPr>
        <w:tc>
          <w:tcPr>
            <w:tcW w:w="4480" w:type="dxa"/>
            <w:vAlign w:val="bottom"/>
          </w:tcPr>
          <w:p>
            <w:pPr>
              <w:ind w:left="20"/>
              <w:spacing w:after="0"/>
              <w:rPr>
                <w:sz w:val="20"/>
                <w:szCs w:val="20"/>
                <w:color w:val="auto"/>
              </w:rPr>
            </w:pPr>
            <w:r>
              <w:rPr>
                <w:rFonts w:ascii="Arial" w:cs="Arial" w:eastAsia="Arial" w:hAnsi="Arial"/>
                <w:sz w:val="14"/>
                <w:szCs w:val="14"/>
                <w:color w:val="auto"/>
              </w:rPr>
              <w:t>Series D</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17,752,068</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17,752,068</w:t>
            </w:r>
          </w:p>
        </w:tc>
        <w:tc>
          <w:tcPr>
            <w:tcW w:w="320" w:type="dxa"/>
            <w:vAlign w:val="bottom"/>
          </w:tcPr>
          <w:p>
            <w:pPr>
              <w:spacing w:after="0"/>
              <w:rPr>
                <w:sz w:val="17"/>
                <w:szCs w:val="17"/>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6.76</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120,000</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119,666</w:t>
            </w:r>
          </w:p>
        </w:tc>
      </w:tr>
      <w:tr>
        <w:trPr>
          <w:trHeight w:val="236"/>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redeemable convertible preferred stock</w:t>
            </w:r>
          </w:p>
        </w:tc>
        <w:tc>
          <w:tcPr>
            <w:tcW w:w="1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87,268,694</w:t>
            </w:r>
          </w:p>
        </w:tc>
        <w:tc>
          <w:tcPr>
            <w:tcW w:w="1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87,268,694</w:t>
            </w:r>
          </w:p>
        </w:tc>
        <w:tc>
          <w:tcPr>
            <w:tcW w:w="3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199,230</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194,319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-25400</wp:posOffset>
            </wp:positionV>
            <wp:extent cx="102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946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946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946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94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Company has classified its Preferred Stock as temporary equity in the accompanying interim consolidated balance sheets due to terms that allow for redemption of the shares upon</w:t>
      </w:r>
    </w:p>
    <w:p>
      <w:pPr>
        <w:spacing w:after="0" w:line="53"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certain change in control events that are outside of the Company’s control, including sale or transfer of control of the Company, as holders of the Preferred Stock could cause redemption of the shares in these situations.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rights, preferences and privileges of the holders of Preferred Stock as of June 30, 2021:</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12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Holders of Series D shares, in preference to the holders of Series C shares, Series B shares, Series A shares and common stock, shall be entitled to receive, when, as and if declared by the Board of Directors of the Corporation (the “Board”) cash or stock dividends at the rate of 8% of the Series D Original Issue Price (as defined below) per annum on each outstanding Series D shares. Holders of Series C shares, in preference to the holders of Series B shares, Series A shares and common stock, shall be entitled to receive, when, as and if declared by the Board, cash or stock dividends at the rate of 8% of the Series C Original Issue Price (as defined below) per annum on each outstanding Series C shares. Holders of Series B shares, in preference to the holders of Series A shares and common stock, shall be entitled to receive, when, as and if declared by the Board, cash or stock dividends at the rate of 8% of the Series B Original Issue Price (as defined below) per annum on each outstanding Series B shares. Holders of Series A shares, in preference to the holders of common stock, shall be entitled to receive, when, as and if declared by the Board, cash or stock dividends at the rate of 8% of the Series A Original Issue Price (as defined below) per annum on each outstanding Series A shares. The dividends are non-cumulative. Through June 30, 2021, no cash dividends have been declared by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Each share of Preferred Stock is convertible, at the option of the holder, at any time, into shares of common stock. The number of shares is determined by dividing the original issuance price by the conversion price, which is also equal to the original issuance price.</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conversion price of the Preferred Stock is subject to adjustment to prevent dilution in the event that the Company issues additional shares of common stock at a price per share less than the applicable conversion price.</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Each share of Preferred Stock will automatically convert into shares of common stock at the then effective conversion price for each such share immediately upon the earlier of (i) the Company’s sale of its common stock in an underwritten public offering pursuant to a registration statement under the Securities Act 1933, as amended, resulting in aggregate gross proceeds to the Company of at least $50.0 million, or (ii) the date specified by the written consent of the holders of a majority of the then outstanding shares of Preferred Stock, consenting or voting together as a single class on an as-converted basis.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w:t>
      </w:r>
    </w:p>
    <w:p>
      <w:pPr>
        <w:spacing w:after="0" w:line="1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Upon liquidation, dissolution, or winding up of the Company, or upon a change of control or a sale of substantially all of the Company’s assets, the holders of the outstanding Series D shares shall be entitled to receive, prior and in preference to any distribution to the holders of the Series C shares, Series B shares, Series A shares and common stock, an amount per share equal to the greater of (i) one times the original issue price plus any dividends accrued but unpaid thereon, or (ii) an amount that would have been paid had such shares been converted into common stock immediately prior to such liquidation.</w:t>
      </w:r>
    </w:p>
    <w:p>
      <w:pPr>
        <w:spacing w:after="0" w:line="188"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After distribution to the Series D holders, holders of the Series C shares shall be entitled to receive, prior and in preference to any distribution to the holders of Series B shares, Series A shares and common stock, an amount per share equal to the greater of (i) the original issue price plus any dividends accrued but unpaid thereon, whether declared, together with any other dividends declared but unpaid, or (ii) an amount that would have been paid had such share been converted into common stock immediately prior to such liquidation.</w:t>
      </w:r>
    </w:p>
    <w:p>
      <w:pPr>
        <w:spacing w:after="0" w:line="16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After distribution to the Series C holders, holders of the Series B shares shall be entitled to receive, prior and in preference to any distribution to the holders of shares of Series A shares and common stock, an amount per share equal to the greater of (i) the original issue price plus any dividends declared but unpaid, or (ii) an amount that would have been paid had such share been converted into common stock immediately prior to such liquidation.</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After distribution to the Series B holders, holders of the Series A shares shall be entitled to receive, prior and in preference to any distribution to the holders of common stock, an amount per share equal to the greater of (i) the original issue price plus any dividends declared but unpaid thereon, or (ii) an amount that would have been payable had such share been converted into common stock immediately prior to such liquidation.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remaining assets will be distributed to holders of the Company’s common stock.</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Each holder of outstanding shares of Preferred Stock shall be entitled to cast the number of votes equal to the number of whole shares of common stock into which such holder’s shares of Preferred Stock are convertible as of the record date.</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At any time when at least 1,666,625 Series D shares (subject to appropriate adjustment in the event of any stock dividend, stock split, combination, or other similar recapitalization with respect to the Series D) are outstanding, the holders of record of Series D shares, voting exclusively and as a separate class, shall be entitled to elect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both"/>
        <w:spacing w:after="0" w:line="294" w:lineRule="auto"/>
        <w:rPr>
          <w:sz w:val="20"/>
          <w:szCs w:val="20"/>
          <w:color w:val="auto"/>
        </w:rPr>
      </w:pPr>
      <w:r>
        <w:rPr>
          <w:rFonts w:ascii="Arial" w:cs="Arial" w:eastAsia="Arial" w:hAnsi="Arial"/>
          <w:sz w:val="13"/>
          <w:szCs w:val="13"/>
          <w:color w:val="auto"/>
        </w:rPr>
        <w:t>one director of the Company (the “Series D Director”). The holders of record of Series A shares and Series B shares, voting together as a single class (on an as-converted to common stock basis in accordance with the terms of the October COI), are entitled to elect two directors of the Company. The holders of record of Series C shares, voting exclusively as a separate class, are entitled to elect two directors of the Company. The holders of record of the shares of common stock, voting exclusively and as a separate class, are entitled to elect four directors of the Company. The holders of record of the shares of common stock and of any other class or series of voting stock (including the Preferred Stock), exclusively and voting together as a single class (on an as-converted to common stock basis in accordance with the terms of the October COI), are entitled to elect the balance of the total number of directors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Redemption</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Preferred Stock is redeemable by the Company at a price equal to the applicable original issue price per share, plus any dividends declared but unpaid, commencing on or after the seventh anniversary of the original issue date.</w:t>
      </w:r>
    </w:p>
    <w:p>
      <w:pPr>
        <w:spacing w:after="0" w:line="129"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2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As of June 30, 2021, the Company has authorized 153,329,500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25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March 2015, the Board approved the 2015 Equity Incentive Plan (“2015 Plan”). The maximum number of shares of common stock reserved for issuance under the 2015 Plan is 15,157,681. As of June 30, 2021 the total number of shares of common stock available for issuance under the 2015 Plan was 5,768,810 shares. Upon the effectiveness of the Company’s 2021 Equity Incentive Plan in connection with the IPO, no additional equity awards will be granted pursuant to the 2015 Plan.</w:t>
      </w:r>
    </w:p>
    <w:p>
      <w:pPr>
        <w:spacing w:after="0" w:line="145" w:lineRule="exact"/>
        <w:rPr>
          <w:sz w:val="20"/>
          <w:szCs w:val="20"/>
          <w:color w:val="auto"/>
        </w:rPr>
      </w:pPr>
    </w:p>
    <w:p>
      <w:pPr>
        <w:jc w:val="both"/>
        <w:ind w:left="20" w:right="20" w:firstLine="499"/>
        <w:spacing w:after="0" w:line="293" w:lineRule="auto"/>
        <w:rPr>
          <w:sz w:val="20"/>
          <w:szCs w:val="20"/>
          <w:color w:val="auto"/>
        </w:rPr>
      </w:pPr>
      <w:r>
        <w:rPr>
          <w:rFonts w:ascii="Arial" w:cs="Arial" w:eastAsia="Arial" w:hAnsi="Arial"/>
          <w:sz w:val="14"/>
          <w:szCs w:val="14"/>
          <w:color w:val="auto"/>
        </w:rPr>
        <w:t>On July 16, 2021, the Board and the Company’s stockholders approved an amendment and restatement of the Company’s certificate of incorporation to effect the Stock Split, which became effective upon filing with the Secretary of State of the State of Delaware on July 16, 2021.</w:t>
      </w:r>
    </w:p>
    <w:p>
      <w:pPr>
        <w:spacing w:after="0" w:line="187" w:lineRule="exact"/>
        <w:rPr>
          <w:sz w:val="20"/>
          <w:szCs w:val="20"/>
          <w:color w:val="auto"/>
        </w:rPr>
      </w:pPr>
    </w:p>
    <w:p>
      <w:pPr>
        <w:jc w:val="both"/>
        <w:ind w:left="20" w:right="20" w:firstLine="499"/>
        <w:spacing w:after="0" w:line="293" w:lineRule="auto"/>
        <w:rPr>
          <w:sz w:val="20"/>
          <w:szCs w:val="20"/>
          <w:color w:val="auto"/>
        </w:rPr>
      </w:pPr>
      <w:r>
        <w:rPr>
          <w:rFonts w:ascii="Arial" w:cs="Arial" w:eastAsia="Arial" w:hAnsi="Arial"/>
          <w:sz w:val="14"/>
          <w:szCs w:val="14"/>
          <w:color w:val="auto"/>
        </w:rPr>
        <w:t>On July 16, 2021, the Board and the Company’s stockholders approved an amendment and restatement of the Company’s certificate of incorporation, which became effective immediately following the closing of the IPO on July 27, 2021 and filing with the Secretary of State of the State of Delaware.</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common stock</w:t>
      </w:r>
    </w:p>
    <w:p>
      <w:pPr>
        <w:spacing w:after="0" w:line="12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 fair value of the shares of common stock underlying the stock options has historically been determined by the Board. Because there has been no public market for the Company’s common stock, the Board has determined fair value of the common stock at the time of the option grant by considering a number of objective and subjective factors including valuation of comparable companies, sales of redeemable convertible preferred stock to unrelated third parties, operating and financial performance, the lack of liquidity of capital stock and general and industry specific economic outlook, amongst others. In determining the fair value of the common stock, the methodologies used to estimate the enterprise value were performed using methodologies, approaches and assumptions consistent with the American Institute of Certified Public Accountants Accounting Practice Aid, Valuation of Privately-Held-Company Equity Securities Issued as Compensation. The fair value of the underlying common stock will be determined by the Board, after consideration of a third-party valuation report, until the Company’s common stock is listed on an established stock exchange or national market system.</w:t>
      </w:r>
    </w:p>
    <w:p>
      <w:pPr>
        <w:spacing w:after="0" w:line="164"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stock option activity during the periods indicated (in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980" w:type="dxa"/>
            <w:vAlign w:val="bottom"/>
          </w:tcPr>
          <w:p>
            <w:pPr>
              <w:spacing w:after="0"/>
              <w:rPr>
                <w:sz w:val="15"/>
                <w:szCs w:val="15"/>
                <w:color w:val="auto"/>
              </w:rPr>
            </w:pPr>
          </w:p>
        </w:tc>
        <w:tc>
          <w:tcPr>
            <w:tcW w:w="16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Weighted-average</w:t>
            </w:r>
          </w:p>
        </w:tc>
        <w:tc>
          <w:tcPr>
            <w:tcW w:w="5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contractual</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Aggregate intrinsic</w:t>
            </w:r>
          </w:p>
        </w:tc>
        <w:tc>
          <w:tcPr>
            <w:tcW w:w="100" w:type="dxa"/>
            <w:vAlign w:val="bottom"/>
          </w:tcPr>
          <w:p>
            <w:pPr>
              <w:spacing w:after="0"/>
              <w:rPr>
                <w:sz w:val="15"/>
                <w:szCs w:val="15"/>
                <w:color w:val="auto"/>
              </w:rPr>
            </w:pPr>
          </w:p>
        </w:tc>
      </w:tr>
      <w:tr>
        <w:trPr>
          <w:trHeight w:val="192"/>
        </w:trPr>
        <w:tc>
          <w:tcPr>
            <w:tcW w:w="3980" w:type="dxa"/>
            <w:vAlign w:val="bottom"/>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outstanding</w:t>
            </w:r>
          </w:p>
        </w:tc>
        <w:tc>
          <w:tcPr>
            <w:tcW w:w="6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exercise price</w:t>
            </w:r>
          </w:p>
        </w:tc>
        <w:tc>
          <w:tcPr>
            <w:tcW w:w="5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02"/>
        </w:trPr>
        <w:tc>
          <w:tcPr>
            <w:tcW w:w="3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December 31, 2020</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6,174,778</w:t>
            </w: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0.67</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7.79</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11,405</w:t>
            </w:r>
          </w:p>
        </w:tc>
        <w:tc>
          <w:tcPr>
            <w:tcW w:w="100" w:type="dxa"/>
            <w:vAlign w:val="bottom"/>
            <w:shd w:val="clear" w:color="auto" w:fill="CFF0FC"/>
          </w:tcPr>
          <w:p>
            <w:pPr>
              <w:spacing w:after="0"/>
              <w:rPr>
                <w:sz w:val="17"/>
                <w:szCs w:val="17"/>
                <w:color w:val="auto"/>
              </w:rPr>
            </w:pPr>
          </w:p>
        </w:tc>
      </w:tr>
      <w:tr>
        <w:trPr>
          <w:trHeight w:val="197"/>
        </w:trPr>
        <w:tc>
          <w:tcPr>
            <w:tcW w:w="3980" w:type="dxa"/>
            <w:vAlign w:val="bottom"/>
          </w:tcPr>
          <w:p>
            <w:pPr>
              <w:ind w:left="200"/>
              <w:spacing w:after="0"/>
              <w:rPr>
                <w:sz w:val="20"/>
                <w:szCs w:val="20"/>
                <w:color w:val="auto"/>
              </w:rPr>
            </w:pPr>
            <w:r>
              <w:rPr>
                <w:rFonts w:ascii="Arial" w:cs="Arial" w:eastAsia="Arial" w:hAnsi="Arial"/>
                <w:sz w:val="14"/>
                <w:szCs w:val="14"/>
                <w:color w:val="auto"/>
              </w:rPr>
              <w:t>Options granted</w:t>
            </w:r>
          </w:p>
        </w:tc>
        <w:tc>
          <w:tcPr>
            <w:tcW w:w="1080" w:type="dxa"/>
            <w:vAlign w:val="bottom"/>
          </w:tcPr>
          <w:p>
            <w:pPr>
              <w:jc w:val="right"/>
              <w:spacing w:after="0"/>
              <w:rPr>
                <w:sz w:val="20"/>
                <w:szCs w:val="20"/>
                <w:color w:val="auto"/>
              </w:rPr>
            </w:pPr>
            <w:r>
              <w:rPr>
                <w:rFonts w:ascii="Arial" w:cs="Arial" w:eastAsia="Arial" w:hAnsi="Arial"/>
                <w:sz w:val="14"/>
                <w:szCs w:val="14"/>
                <w:color w:val="auto"/>
              </w:rPr>
              <w:t>1,457,927</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5.06</w:t>
            </w:r>
          </w:p>
        </w:tc>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Options exercised</w:t>
            </w:r>
          </w:p>
        </w:tc>
        <w:tc>
          <w:tcPr>
            <w:tcW w:w="1680" w:type="dxa"/>
            <w:vAlign w:val="bottom"/>
            <w:gridSpan w:val="2"/>
            <w:shd w:val="clear" w:color="auto" w:fill="CFF0FC"/>
          </w:tcPr>
          <w:p>
            <w:pPr>
              <w:jc w:val="right"/>
              <w:ind w:right="540"/>
              <w:spacing w:after="0"/>
              <w:rPr>
                <w:sz w:val="20"/>
                <w:szCs w:val="20"/>
                <w:color w:val="auto"/>
              </w:rPr>
            </w:pPr>
            <w:r>
              <w:rPr>
                <w:rFonts w:ascii="Arial" w:cs="Arial" w:eastAsia="Arial" w:hAnsi="Arial"/>
                <w:sz w:val="14"/>
                <w:szCs w:val="14"/>
                <w:color w:val="auto"/>
              </w:rPr>
              <w:t>(854,670 )</w:t>
            </w: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0.43</w:t>
            </w:r>
          </w:p>
        </w:tc>
        <w:tc>
          <w:tcPr>
            <w:tcW w:w="5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3980" w:type="dxa"/>
            <w:vAlign w:val="bottom"/>
          </w:tcPr>
          <w:p>
            <w:pPr>
              <w:ind w:left="200"/>
              <w:spacing w:after="0"/>
              <w:rPr>
                <w:sz w:val="20"/>
                <w:szCs w:val="20"/>
                <w:color w:val="auto"/>
              </w:rPr>
            </w:pPr>
            <w:r>
              <w:rPr>
                <w:rFonts w:ascii="Arial" w:cs="Arial" w:eastAsia="Arial" w:hAnsi="Arial"/>
                <w:sz w:val="14"/>
                <w:szCs w:val="14"/>
                <w:color w:val="auto"/>
              </w:rPr>
              <w:t>Options forfeited</w:t>
            </w:r>
          </w:p>
        </w:tc>
        <w:tc>
          <w:tcPr>
            <w:tcW w:w="1680" w:type="dxa"/>
            <w:vAlign w:val="bottom"/>
            <w:gridSpan w:val="2"/>
          </w:tcPr>
          <w:p>
            <w:pPr>
              <w:jc w:val="right"/>
              <w:ind w:right="540"/>
              <w:spacing w:after="0"/>
              <w:rPr>
                <w:sz w:val="20"/>
                <w:szCs w:val="20"/>
                <w:color w:val="auto"/>
              </w:rPr>
            </w:pPr>
            <w:r>
              <w:rPr>
                <w:rFonts w:ascii="Arial" w:cs="Arial" w:eastAsia="Arial" w:hAnsi="Arial"/>
                <w:sz w:val="14"/>
                <w:szCs w:val="14"/>
                <w:color w:val="auto"/>
              </w:rPr>
              <w:t>(247,052 )</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1.03</w:t>
            </w:r>
          </w:p>
        </w:tc>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Options expired</w:t>
            </w:r>
          </w:p>
        </w:tc>
        <w:tc>
          <w:tcPr>
            <w:tcW w:w="1680" w:type="dxa"/>
            <w:vAlign w:val="bottom"/>
            <w:gridSpan w:val="2"/>
            <w:shd w:val="clear" w:color="auto" w:fill="CFF0FC"/>
          </w:tcPr>
          <w:p>
            <w:pPr>
              <w:jc w:val="right"/>
              <w:ind w:right="540"/>
              <w:spacing w:after="0"/>
              <w:rPr>
                <w:sz w:val="20"/>
                <w:szCs w:val="20"/>
                <w:color w:val="auto"/>
              </w:rPr>
            </w:pPr>
            <w:r>
              <w:rPr>
                <w:rFonts w:ascii="Arial" w:cs="Arial" w:eastAsia="Arial" w:hAnsi="Arial"/>
                <w:sz w:val="14"/>
                <w:szCs w:val="14"/>
                <w:color w:val="auto"/>
              </w:rPr>
              <w:t>(4,024 )</w:t>
            </w:r>
          </w:p>
        </w:tc>
        <w:tc>
          <w:tcPr>
            <w:tcW w:w="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0.92</w:t>
            </w:r>
          </w:p>
        </w:tc>
        <w:tc>
          <w:tcPr>
            <w:tcW w:w="5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39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Balance as of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6,526,959</w:t>
            </w:r>
          </w:p>
        </w:tc>
        <w:tc>
          <w:tcPr>
            <w:tcW w:w="600" w:type="dxa"/>
            <w:vAlign w:val="bottom"/>
            <w:tcBorders>
              <w:top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580" w:type="dxa"/>
            <w:vAlign w:val="bottom"/>
            <w:tcBorders>
              <w:top w:val="single" w:sz="8" w:color="CFF0FC"/>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56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79,242</w:t>
            </w:r>
          </w:p>
        </w:tc>
        <w:tc>
          <w:tcPr>
            <w:tcW w:w="100" w:type="dxa"/>
            <w:vAlign w:val="bottom"/>
            <w:tcBorders>
              <w:top w:val="single" w:sz="8" w:color="CFF0FC"/>
            </w:tcBorders>
          </w:tcPr>
          <w:p>
            <w:pPr>
              <w:spacing w:after="0"/>
              <w:rPr>
                <w:sz w:val="17"/>
                <w:szCs w:val="17"/>
                <w:color w:val="auto"/>
              </w:rPr>
            </w:pPr>
          </w:p>
        </w:tc>
      </w:tr>
      <w:tr>
        <w:trPr>
          <w:trHeight w:val="20"/>
        </w:trPr>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Options unvested as of June 30, 2021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3,609,774</w:t>
            </w: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5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9.06</w:t>
            </w:r>
          </w:p>
        </w:tc>
        <w:tc>
          <w:tcPr>
            <w:tcW w:w="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3980" w:type="dxa"/>
            <w:vAlign w:val="bottom"/>
          </w:tcPr>
          <w:p>
            <w:pPr>
              <w:ind w:left="20"/>
              <w:spacing w:after="0"/>
              <w:rPr>
                <w:sz w:val="20"/>
                <w:szCs w:val="20"/>
                <w:color w:val="auto"/>
              </w:rPr>
            </w:pPr>
            <w:r>
              <w:rPr>
                <w:rFonts w:ascii="Arial" w:cs="Arial" w:eastAsia="Arial" w:hAnsi="Arial"/>
                <w:sz w:val="14"/>
                <w:szCs w:val="14"/>
                <w:color w:val="auto"/>
              </w:rPr>
              <w:t>Options exercisable as of June 30, 2021</w:t>
            </w:r>
          </w:p>
        </w:tc>
        <w:tc>
          <w:tcPr>
            <w:tcW w:w="1080" w:type="dxa"/>
            <w:vAlign w:val="bottom"/>
          </w:tcPr>
          <w:p>
            <w:pPr>
              <w:jc w:val="right"/>
              <w:spacing w:after="0"/>
              <w:rPr>
                <w:sz w:val="20"/>
                <w:szCs w:val="20"/>
                <w:color w:val="auto"/>
              </w:rPr>
            </w:pPr>
            <w:r>
              <w:rPr>
                <w:rFonts w:ascii="Arial" w:cs="Arial" w:eastAsia="Arial" w:hAnsi="Arial"/>
                <w:sz w:val="14"/>
                <w:szCs w:val="14"/>
                <w:color w:val="auto"/>
              </w:rPr>
              <w:t>2,917,185</w:t>
            </w:r>
          </w:p>
        </w:tc>
        <w:tc>
          <w:tcPr>
            <w:tcW w:w="6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0.41</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6.30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39,099</w:t>
            </w:r>
          </w:p>
        </w:tc>
        <w:tc>
          <w:tcPr>
            <w:tcW w:w="100" w:type="dxa"/>
            <w:vAlign w:val="bottom"/>
          </w:tcPr>
          <w:p>
            <w:pPr>
              <w:spacing w:after="0"/>
              <w:rPr>
                <w:sz w:val="15"/>
                <w:szCs w:val="15"/>
                <w:color w:val="auto"/>
              </w:rPr>
            </w:pPr>
          </w:p>
        </w:tc>
      </w:tr>
      <w:tr>
        <w:trPr>
          <w:trHeight w:val="20"/>
        </w:trPr>
        <w:tc>
          <w:tcPr>
            <w:tcW w:w="3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-467995</wp:posOffset>
            </wp:positionV>
            <wp:extent cx="3771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719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-467995</wp:posOffset>
            </wp:positionV>
            <wp:extent cx="3683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830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-467995</wp:posOffset>
            </wp:positionV>
            <wp:extent cx="36004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004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-179070</wp:posOffset>
            </wp:positionV>
            <wp:extent cx="3771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-162560</wp:posOffset>
            </wp:positionV>
            <wp:extent cx="3771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-179070</wp:posOffset>
            </wp:positionV>
            <wp:extent cx="368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-162560</wp:posOffset>
            </wp:positionV>
            <wp:extent cx="3683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-179070</wp:posOffset>
            </wp:positionV>
            <wp:extent cx="3600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-162560</wp:posOffset>
            </wp:positionV>
            <wp:extent cx="3600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8" w:lineRule="exact"/>
        <w:rPr>
          <w:sz w:val="20"/>
          <w:szCs w:val="20"/>
          <w:color w:val="auto"/>
        </w:rPr>
      </w:pPr>
    </w:p>
    <w:p>
      <w:pPr>
        <w:jc w:val="both"/>
        <w:ind w:firstLine="808"/>
        <w:spacing w:after="0" w:line="313" w:lineRule="auto"/>
        <w:rPr>
          <w:sz w:val="20"/>
          <w:szCs w:val="20"/>
          <w:color w:val="auto"/>
        </w:rPr>
      </w:pPr>
      <w:r>
        <w:rPr>
          <w:rFonts w:ascii="Arial" w:cs="Arial" w:eastAsia="Arial" w:hAnsi="Arial"/>
          <w:sz w:val="14"/>
          <w:szCs w:val="14"/>
          <w:color w:val="auto"/>
        </w:rPr>
        <w:t>The weighted-average grant date fair value of options granted during the three months ended June 30, 2021 and 2020 was $4.27 and $0.64 per share, respectively. The weighted-average grant date fair value of options granted during the six months ended June 30, 2021 and 2020 was $3.74 and $0.61 per share, respectively.</w:t>
      </w:r>
    </w:p>
    <w:p>
      <w:pPr>
        <w:spacing w:after="0" w:line="134" w:lineRule="exact"/>
        <w:rPr>
          <w:sz w:val="20"/>
          <w:szCs w:val="20"/>
          <w:color w:val="auto"/>
        </w:rPr>
      </w:pPr>
    </w:p>
    <w:p>
      <w:pPr>
        <w:jc w:val="both"/>
        <w:ind w:firstLine="259"/>
        <w:spacing w:after="0" w:line="313" w:lineRule="auto"/>
        <w:rPr>
          <w:sz w:val="20"/>
          <w:szCs w:val="20"/>
          <w:color w:val="auto"/>
        </w:rPr>
      </w:pPr>
      <w:r>
        <w:rPr>
          <w:rFonts w:ascii="Arial" w:cs="Arial" w:eastAsia="Arial" w:hAnsi="Arial"/>
          <w:sz w:val="14"/>
          <w:szCs w:val="14"/>
          <w:color w:val="auto"/>
        </w:rPr>
        <w:t>The total fair value of options vested during each of the three months ended June 30, 2021 and 2020 was $111,000 and $52,000, respectively. The total fair value of options vested during each of the six months ended June 30, 2021 and 2020 was $304,000 and $108,000, respectively.</w:t>
      </w:r>
    </w:p>
    <w:p>
      <w:pPr>
        <w:spacing w:after="0" w:line="147" w:lineRule="exact"/>
        <w:rPr>
          <w:sz w:val="20"/>
          <w:szCs w:val="20"/>
          <w:color w:val="auto"/>
        </w:rPr>
      </w:pPr>
    </w:p>
    <w:p>
      <w:pPr>
        <w:jc w:val="both"/>
        <w:ind w:firstLine="246"/>
        <w:spacing w:after="0" w:line="313" w:lineRule="auto"/>
        <w:rPr>
          <w:sz w:val="20"/>
          <w:szCs w:val="20"/>
          <w:color w:val="auto"/>
        </w:rPr>
      </w:pPr>
      <w:r>
        <w:rPr>
          <w:rFonts w:ascii="Arial" w:cs="Arial" w:eastAsia="Arial" w:hAnsi="Arial"/>
          <w:sz w:val="14"/>
          <w:szCs w:val="14"/>
          <w:color w:val="auto"/>
        </w:rPr>
        <w:t>There was $9.7 million and $1.0 million of unrecognized stock-based compensation expense related to unvested stock options as of June 30, 2021 and 2020, respectively. The unrecognized stock-based compensation expense is estimated to be recognized over a period of 2.89 years and 2.60 years as of June 30, 2021 and 2020, respectively.</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Company currently uses authorized and unissued shares to satisfy option exercises.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left="220"/>
        <w:spacing w:after="0"/>
        <w:rPr>
          <w:sz w:val="20"/>
          <w:szCs w:val="20"/>
          <w:color w:val="auto"/>
        </w:rPr>
      </w:pPr>
      <w:r>
        <w:rPr>
          <w:rFonts w:ascii="Arial" w:cs="Arial" w:eastAsia="Arial" w:hAnsi="Arial"/>
          <w:sz w:val="14"/>
          <w:szCs w:val="14"/>
          <w:color w:val="auto"/>
        </w:rPr>
        <w:t>The aggregate intrinsic value is calculated as the difference between the exercise price and the estimated fair value of the Company’s common stock as of June 30, 2021.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 expense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allocation of stock-based compensation expense related to the Company’s stock-based awards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980" w:type="dxa"/>
            <w:vAlign w:val="bottom"/>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3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sales</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480" w:type="dxa"/>
            <w:vAlign w:val="bottom"/>
            <w:gridSpan w:val="2"/>
            <w:shd w:val="clear" w:color="auto" w:fill="CFF0FC"/>
          </w:tcPr>
          <w:p>
            <w:pPr>
              <w:jc w:val="right"/>
              <w:ind w:right="7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9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w:t>
            </w:r>
          </w:p>
        </w:tc>
        <w:tc>
          <w:tcPr>
            <w:tcW w:w="1020" w:type="dxa"/>
            <w:vAlign w:val="bottom"/>
            <w:gridSpan w:val="2"/>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FF0FC"/>
          </w:tcPr>
          <w:p>
            <w:pPr>
              <w:spacing w:after="0"/>
              <w:rPr>
                <w:sz w:val="17"/>
                <w:szCs w:val="17"/>
                <w:color w:val="auto"/>
              </w:rPr>
            </w:pPr>
          </w:p>
        </w:tc>
      </w:tr>
      <w:tr>
        <w:trPr>
          <w:trHeight w:val="197"/>
        </w:trPr>
        <w:tc>
          <w:tcPr>
            <w:tcW w:w="39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8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185</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304</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r>
      <w:tr>
        <w:trPr>
          <w:trHeight w:val="208"/>
        </w:trPr>
        <w:tc>
          <w:tcPr>
            <w:tcW w:w="3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FF0FC"/>
          </w:tcPr>
          <w:p>
            <w:pPr>
              <w:spacing w:after="0"/>
              <w:rPr>
                <w:sz w:val="18"/>
                <w:szCs w:val="18"/>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5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5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r>
      <w:tr>
        <w:trPr>
          <w:trHeight w:val="236"/>
        </w:trPr>
        <w:tc>
          <w:tcPr>
            <w:tcW w:w="3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stock-based compensation</w:t>
            </w: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667</w:t>
            </w:r>
          </w:p>
        </w:tc>
        <w:tc>
          <w:tcPr>
            <w:tcW w:w="5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6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1,123</w:t>
            </w:r>
          </w:p>
        </w:tc>
        <w:tc>
          <w:tcPr>
            <w:tcW w:w="5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-25400</wp:posOffset>
            </wp:positionV>
            <wp:extent cx="3429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3429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3771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3771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3257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3257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The Company uses the Black-Scholes option pricing model to determine the fair value of stock options. The valuation model for stock compensation expense requires the Company to make assumptions and judgments about the variables used in the calculation including the expected term (weighted-average period of time that the options granted are expected to be outstanding), volatility of the Company’s common stock and an assumed-risk free interest rate. The following table shows the weighted-average valuation assumptions used in determining the fair value of employee stock options: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w w:val="93"/>
              </w:rPr>
              <w:t>Six months ended June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3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r>
      <w:tr>
        <w:trPr>
          <w:trHeight w:val="202"/>
        </w:trPr>
        <w:tc>
          <w:tcPr>
            <w:tcW w:w="46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Expected term (in years)</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w:t>
            </w:r>
          </w:p>
        </w:tc>
        <w:tc>
          <w:tcPr>
            <w:tcW w:w="7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w:t>
            </w:r>
          </w:p>
        </w:tc>
        <w:tc>
          <w:tcPr>
            <w:tcW w:w="6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w:t>
            </w:r>
          </w:p>
        </w:tc>
        <w:tc>
          <w:tcPr>
            <w:tcW w:w="200" w:type="dxa"/>
            <w:vAlign w:val="bottom"/>
            <w:shd w:val="clear" w:color="auto" w:fill="CFF0FC"/>
          </w:tcPr>
          <w:p>
            <w:pPr>
              <w:spacing w:after="0"/>
              <w:rPr>
                <w:sz w:val="17"/>
                <w:szCs w:val="17"/>
                <w:color w:val="auto"/>
              </w:rPr>
            </w:pPr>
          </w:p>
        </w:tc>
      </w:tr>
      <w:tr>
        <w:trPr>
          <w:trHeight w:val="196"/>
        </w:trPr>
        <w:tc>
          <w:tcPr>
            <w:tcW w:w="4640" w:type="dxa"/>
            <w:vAlign w:val="bottom"/>
            <w:gridSpan w:val="3"/>
          </w:tcPr>
          <w:p>
            <w:pPr>
              <w:ind w:left="20"/>
              <w:spacing w:after="0"/>
              <w:rPr>
                <w:sz w:val="20"/>
                <w:szCs w:val="20"/>
                <w:color w:val="auto"/>
              </w:rPr>
            </w:pPr>
            <w:r>
              <w:rPr>
                <w:rFonts w:ascii="Arial" w:cs="Arial" w:eastAsia="Arial" w:hAnsi="Arial"/>
                <w:sz w:val="14"/>
                <w:szCs w:val="14"/>
                <w:color w:val="auto"/>
              </w:rPr>
              <w:t>Expected volatility</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w w:val="89"/>
              </w:rPr>
              <w:t>90.22 %</w:t>
            </w:r>
          </w:p>
        </w:tc>
        <w:tc>
          <w:tcPr>
            <w:tcW w:w="8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83.37 %</w:t>
            </w:r>
          </w:p>
        </w:tc>
        <w:tc>
          <w:tcPr>
            <w:tcW w:w="2620" w:type="dxa"/>
            <w:vAlign w:val="bottom"/>
            <w:gridSpan w:val="2"/>
          </w:tcPr>
          <w:p>
            <w:pPr>
              <w:jc w:val="right"/>
              <w:ind w:right="520"/>
              <w:spacing w:after="0"/>
              <w:rPr>
                <w:sz w:val="20"/>
                <w:szCs w:val="20"/>
                <w:color w:val="auto"/>
              </w:rPr>
            </w:pPr>
            <w:r>
              <w:rPr>
                <w:rFonts w:ascii="Arial" w:cs="Arial" w:eastAsia="Arial" w:hAnsi="Arial"/>
                <w:sz w:val="14"/>
                <w:szCs w:val="14"/>
                <w:color w:val="auto"/>
              </w:rPr>
              <w:t>90.54 %</w:t>
            </w:r>
          </w:p>
        </w:tc>
        <w:tc>
          <w:tcPr>
            <w:tcW w:w="4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77.12 %</w:t>
            </w:r>
          </w:p>
        </w:tc>
      </w:tr>
      <w:tr>
        <w:trPr>
          <w:trHeight w:val="209"/>
        </w:trPr>
        <w:tc>
          <w:tcPr>
            <w:tcW w:w="46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Risk-free interest rate</w:t>
            </w:r>
          </w:p>
        </w:tc>
        <w:tc>
          <w:tcPr>
            <w:tcW w:w="1040" w:type="dxa"/>
            <w:vAlign w:val="bottom"/>
            <w:gridSpan w:val="2"/>
            <w:shd w:val="clear" w:color="auto" w:fill="CFF0FC"/>
          </w:tcPr>
          <w:p>
            <w:pPr>
              <w:jc w:val="right"/>
              <w:ind w:right="560"/>
              <w:spacing w:after="0"/>
              <w:rPr>
                <w:sz w:val="20"/>
                <w:szCs w:val="20"/>
                <w:color w:val="auto"/>
              </w:rPr>
            </w:pPr>
            <w:r>
              <w:rPr>
                <w:rFonts w:ascii="Arial" w:cs="Arial" w:eastAsia="Arial" w:hAnsi="Arial"/>
                <w:sz w:val="14"/>
                <w:szCs w:val="14"/>
                <w:color w:val="auto"/>
              </w:rPr>
              <w:t>1.06 %</w:t>
            </w:r>
          </w:p>
        </w:tc>
        <w:tc>
          <w:tcPr>
            <w:tcW w:w="8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0.43 %</w:t>
            </w:r>
          </w:p>
        </w:tc>
        <w:tc>
          <w:tcPr>
            <w:tcW w:w="262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1.09 %</w:t>
            </w:r>
          </w:p>
        </w:tc>
        <w:tc>
          <w:tcPr>
            <w:tcW w:w="4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1.04 %</w:t>
            </w:r>
          </w:p>
        </w:tc>
      </w:tr>
      <w:tr>
        <w:trPr>
          <w:trHeight w:val="190"/>
        </w:trPr>
        <w:tc>
          <w:tcPr>
            <w:tcW w:w="4640" w:type="dxa"/>
            <w:vAlign w:val="bottom"/>
            <w:gridSpan w:val="3"/>
          </w:tcPr>
          <w:p>
            <w:pPr>
              <w:ind w:left="20"/>
              <w:spacing w:after="0"/>
              <w:rPr>
                <w:sz w:val="20"/>
                <w:szCs w:val="20"/>
                <w:color w:val="auto"/>
              </w:rPr>
            </w:pPr>
            <w:r>
              <w:rPr>
                <w:rFonts w:ascii="Arial" w:cs="Arial" w:eastAsia="Arial" w:hAnsi="Arial"/>
                <w:sz w:val="14"/>
                <w:szCs w:val="14"/>
                <w:color w:val="auto"/>
              </w:rPr>
              <w:t>Dividend yield</w:t>
            </w:r>
          </w:p>
        </w:tc>
        <w:tc>
          <w:tcPr>
            <w:tcW w:w="1840" w:type="dxa"/>
            <w:vAlign w:val="bottom"/>
            <w:gridSpan w:val="3"/>
          </w:tcPr>
          <w:p>
            <w:pPr>
              <w:jc w:val="right"/>
              <w:ind w:right="150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80" w:type="dxa"/>
            <w:vAlign w:val="bottom"/>
            <w:gridSpan w:val="3"/>
          </w:tcPr>
          <w:p>
            <w:pPr>
              <w:ind w:left="17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473"/>
        </w:trPr>
        <w:tc>
          <w:tcPr>
            <w:tcW w:w="320" w:type="dxa"/>
            <w:vAlign w:val="bottom"/>
          </w:tcPr>
          <w:p>
            <w:pPr>
              <w:spacing w:after="0"/>
              <w:rPr>
                <w:sz w:val="20"/>
                <w:szCs w:val="20"/>
                <w:color w:val="auto"/>
              </w:rPr>
            </w:pPr>
            <w:r>
              <w:rPr>
                <w:rFonts w:ascii="Arial" w:cs="Arial" w:eastAsia="Arial" w:hAnsi="Arial"/>
                <w:sz w:val="14"/>
                <w:szCs w:val="14"/>
                <w:b w:val="1"/>
                <w:bCs w:val="1"/>
                <w:color w:val="auto"/>
              </w:rPr>
              <w:t>13.</w:t>
            </w:r>
          </w:p>
        </w:tc>
        <w:tc>
          <w:tcPr>
            <w:tcW w:w="4320" w:type="dxa"/>
            <w:vAlign w:val="bottom"/>
            <w:gridSpan w:val="2"/>
          </w:tcPr>
          <w:p>
            <w:pPr>
              <w:jc w:val="right"/>
              <w:ind w:right="2748"/>
              <w:spacing w:after="0"/>
              <w:rPr>
                <w:sz w:val="20"/>
                <w:szCs w:val="20"/>
                <w:color w:val="auto"/>
              </w:rPr>
            </w:pPr>
            <w:r>
              <w:rPr>
                <w:rFonts w:ascii="Arial" w:cs="Arial" w:eastAsia="Arial" w:hAnsi="Arial"/>
                <w:sz w:val="14"/>
                <w:szCs w:val="14"/>
                <w:b w:val="1"/>
                <w:bCs w:val="1"/>
                <w:color w:val="auto"/>
                <w:w w:val="99"/>
              </w:rPr>
              <w:t>Employee benefit plan</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3"/>
        </w:trPr>
        <w:tc>
          <w:tcPr>
            <w:tcW w:w="4640" w:type="dxa"/>
            <w:vAlign w:val="bottom"/>
            <w:gridSpan w:val="3"/>
          </w:tcPr>
          <w:p>
            <w:pPr>
              <w:spacing w:after="0"/>
              <w:rPr>
                <w:sz w:val="20"/>
                <w:szCs w:val="20"/>
                <w:color w:val="auto"/>
              </w:rPr>
            </w:pPr>
            <w:r>
              <w:rPr>
                <w:rFonts w:ascii="Arial" w:cs="Arial" w:eastAsia="Arial" w:hAnsi="Arial"/>
                <w:sz w:val="14"/>
                <w:szCs w:val="14"/>
                <w:i w:val="1"/>
                <w:iCs w:val="1"/>
                <w:color w:val="auto"/>
              </w:rPr>
              <w:t>401(k) retirement savings plan</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$197,000 and $367,000 for the three and six months ended June 30, 2021, respectively, and $142,000 and $274,000 for the three and six months ended June 30, 2020, respectively.</w:t>
      </w:r>
    </w:p>
    <w:p>
      <w:pPr>
        <w:spacing w:after="0" w:line="141"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Company's effective tax rate from continuing operations was 18.3% and 18.9% for the three and six months ended June 30, 2021, respectively, and (4,124.5)% and 1,650.5% for the three and six months ended June 30, 2020, respectively. The Company's mix of earnings between various taxing jurisdictions caused the quarterly and year-to-date effective tax rate to be different from the U.S. federal statutory tax rate.</w:t>
      </w:r>
    </w:p>
    <w:p>
      <w:pPr>
        <w:spacing w:after="0" w:line="141"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agreements</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 leases office facilities under various non-cancelable leases that expire at various dates. Under certain leases, the Company is responsible for expenses related to operations, maintenance, repairs, and management fees that are accounted for as operating leases.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ind w:left="520"/>
              <w:spacing w:after="0"/>
              <w:rPr>
                <w:sz w:val="20"/>
                <w:szCs w:val="20"/>
                <w:color w:val="auto"/>
              </w:rPr>
            </w:pPr>
            <w:r>
              <w:rPr>
                <w:rFonts w:ascii="Arial" w:cs="Arial" w:eastAsia="Arial" w:hAnsi="Arial"/>
                <w:sz w:val="14"/>
                <w:szCs w:val="14"/>
                <w:color w:val="auto"/>
              </w:rPr>
              <w:t>The following table shows the future minimum lease payments for the operating leases as of June 30, 2021 (in thousands):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5"/>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jc w:val="right"/>
              <w:ind w:right="548"/>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24"/>
                <w:szCs w:val="24"/>
                <w:color w:val="auto"/>
              </w:rPr>
            </w:pPr>
          </w:p>
        </w:tc>
      </w:tr>
      <w:tr>
        <w:trPr>
          <w:trHeight w:val="208"/>
        </w:trPr>
        <w:tc>
          <w:tcPr>
            <w:tcW w:w="8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8"/>
                <w:szCs w:val="18"/>
                <w:color w:val="auto"/>
              </w:rPr>
            </w:pPr>
          </w:p>
        </w:tc>
      </w:tr>
      <w:tr>
        <w:trPr>
          <w:trHeight w:val="202"/>
        </w:trPr>
        <w:tc>
          <w:tcPr>
            <w:tcW w:w="8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Remainder of 2021</w:t>
            </w:r>
          </w:p>
        </w:tc>
        <w:tc>
          <w:tcPr>
            <w:tcW w:w="5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FF0FC"/>
          </w:tcPr>
          <w:p>
            <w:pPr>
              <w:spacing w:after="0"/>
              <w:rPr>
                <w:sz w:val="17"/>
                <w:szCs w:val="17"/>
                <w:color w:val="auto"/>
              </w:rPr>
            </w:pPr>
          </w:p>
        </w:tc>
      </w:tr>
      <w:tr>
        <w:trPr>
          <w:trHeight w:val="196"/>
        </w:trPr>
        <w:tc>
          <w:tcPr>
            <w:tcW w:w="868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2,146</w:t>
            </w:r>
          </w:p>
        </w:tc>
        <w:tc>
          <w:tcPr>
            <w:tcW w:w="100" w:type="dxa"/>
            <w:vAlign w:val="bottom"/>
          </w:tcPr>
          <w:p>
            <w:pPr>
              <w:spacing w:after="0"/>
              <w:rPr>
                <w:sz w:val="17"/>
                <w:szCs w:val="17"/>
                <w:color w:val="auto"/>
              </w:rPr>
            </w:pPr>
          </w:p>
        </w:tc>
      </w:tr>
      <w:tr>
        <w:trPr>
          <w:trHeight w:val="209"/>
        </w:trPr>
        <w:tc>
          <w:tcPr>
            <w:tcW w:w="8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2,455</w:t>
            </w:r>
          </w:p>
        </w:tc>
        <w:tc>
          <w:tcPr>
            <w:tcW w:w="100" w:type="dxa"/>
            <w:vAlign w:val="bottom"/>
            <w:shd w:val="clear" w:color="auto" w:fill="CFF0FC"/>
          </w:tcPr>
          <w:p>
            <w:pPr>
              <w:spacing w:after="0"/>
              <w:rPr>
                <w:sz w:val="18"/>
                <w:szCs w:val="18"/>
                <w:color w:val="auto"/>
              </w:rPr>
            </w:pPr>
          </w:p>
        </w:tc>
      </w:tr>
      <w:tr>
        <w:trPr>
          <w:trHeight w:val="196"/>
        </w:trPr>
        <w:tc>
          <w:tcPr>
            <w:tcW w:w="868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17"/>
                <w:szCs w:val="17"/>
                <w:color w:val="auto"/>
              </w:rPr>
            </w:pPr>
          </w:p>
        </w:tc>
      </w:tr>
      <w:tr>
        <w:trPr>
          <w:trHeight w:val="209"/>
        </w:trPr>
        <w:tc>
          <w:tcPr>
            <w:tcW w:w="8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2,144</w:t>
            </w:r>
          </w:p>
        </w:tc>
        <w:tc>
          <w:tcPr>
            <w:tcW w:w="100" w:type="dxa"/>
            <w:vAlign w:val="bottom"/>
            <w:shd w:val="clear" w:color="auto" w:fill="CFF0FC"/>
          </w:tcPr>
          <w:p>
            <w:pPr>
              <w:spacing w:after="0"/>
              <w:rPr>
                <w:sz w:val="18"/>
                <w:szCs w:val="18"/>
                <w:color w:val="auto"/>
              </w:rPr>
            </w:pPr>
          </w:p>
        </w:tc>
      </w:tr>
      <w:tr>
        <w:trPr>
          <w:trHeight w:val="203"/>
        </w:trPr>
        <w:tc>
          <w:tcPr>
            <w:tcW w:w="8680" w:type="dxa"/>
            <w:vAlign w:val="bottom"/>
          </w:tcPr>
          <w:p>
            <w:pPr>
              <w:ind w:left="60"/>
              <w:spacing w:after="0"/>
              <w:rPr>
                <w:sz w:val="20"/>
                <w:szCs w:val="20"/>
                <w:color w:val="auto"/>
              </w:rPr>
            </w:pPr>
            <w:r>
              <w:rPr>
                <w:rFonts w:ascii="Arial" w:cs="Arial" w:eastAsia="Arial" w:hAnsi="Arial"/>
                <w:sz w:val="14"/>
                <w:szCs w:val="14"/>
                <w:color w:val="auto"/>
              </w:rPr>
              <w:t>Thereafter</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6,554</w:t>
            </w:r>
          </w:p>
        </w:tc>
        <w:tc>
          <w:tcPr>
            <w:tcW w:w="100" w:type="dxa"/>
            <w:vAlign w:val="bottom"/>
          </w:tcPr>
          <w:p>
            <w:pPr>
              <w:spacing w:after="0"/>
              <w:rPr>
                <w:sz w:val="17"/>
                <w:szCs w:val="17"/>
                <w:color w:val="auto"/>
              </w:rPr>
            </w:pPr>
          </w:p>
        </w:tc>
      </w:tr>
      <w:tr>
        <w:trPr>
          <w:trHeight w:val="236"/>
        </w:trPr>
        <w:tc>
          <w:tcPr>
            <w:tcW w:w="8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future minimum lease payments</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16,582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Rent expense totaled $424,000 and $839,000 for the three and six months ended June 30, 2021, respectively, and $275,000 and $577,000 for the three and six months ended June 30, 2020,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Paycheck Protection Program Loan</w:t>
      </w:r>
    </w:p>
    <w:p>
      <w:pPr>
        <w:spacing w:after="0" w:line="1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On March 27, 2020, the Coronavirus Aid, Relief, and Economic Security Act (the “CARES Act”) was enacted to, amongst other provisions, provide emergency assistance for individuals, families and businesses affected by the COVID-19 pandemic. The CARES Act includes a Paycheck Protection Program (“PPP”) administered through the Small Business Association (“SBA”). Under the PPP, beginning April 3, 2020, small businesses and other entities and individuals could apply for loans from existing SBA lenders and other approved regulated lenders that enroll in the program, subject to numerous limitations and eligibility criteria.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both"/>
        <w:ind w:right="20" w:firstLine="509"/>
        <w:spacing w:after="0" w:line="334" w:lineRule="auto"/>
        <w:rPr>
          <w:sz w:val="20"/>
          <w:szCs w:val="20"/>
          <w:color w:val="auto"/>
        </w:rPr>
      </w:pPr>
      <w:r>
        <w:rPr>
          <w:rFonts w:ascii="Arial" w:cs="Arial" w:eastAsia="Arial" w:hAnsi="Arial"/>
          <w:sz w:val="13"/>
          <w:szCs w:val="13"/>
          <w:color w:val="auto"/>
        </w:rPr>
        <w:t>On May 7, 2020, the Company received gross proceeds in the amount of approximately $4.1 million under the PPP. The PPP, established as part of the CARES Act, provides for loans to qualifying businesses for amounts up to 2.5 times the average monthly payroll expenses of the qualifying business. On May 4, 2021, the Company fully repaid the PPP loan.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Legal proceedings</w:t>
      </w:r>
    </w:p>
    <w:p>
      <w:pPr>
        <w:spacing w:after="0" w:line="1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18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129"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in Cytek Japan</w:t>
      </w:r>
    </w:p>
    <w:p>
      <w:pPr>
        <w:spacing w:after="0" w:line="23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income for the six months ended June 30, 2021.</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p>
    <w:p>
      <w:pPr>
        <w:spacing w:after="0" w:line="18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 recognized net assets of $1.1 million, consisting primarily of $1.0 million cash. The Company recorded noncontrolling interest of $315,000 on the unaudited interim consolidated financial statements. The net income attributable to noncontrolling interest was de minimis.</w:t>
      </w:r>
    </w:p>
    <w:p>
      <w:pPr>
        <w:spacing w:after="0" w:line="143"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23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February 2017, the Company entered into an agreement with a third-party manufacturing company whereby an executive officer of the Company was also a member of the third-party manufacturer’s board of directors. The executive officer of the Company resigned from the third-party manufacturer’s board of directors in February 2020. During the six months ended June 30, 2020, the Company paid the third-party manufacturing company $105,000 for the purchase of inventory. As of December 31, 2020 the Company’s open balance was $41,000 and is reflected in trade accounts payable and accrued expenses. As of June 30, 2021, there are no open balances to the third-party manufacturing company.</w:t>
      </w:r>
    </w:p>
    <w:p>
      <w:pPr>
        <w:spacing w:after="0" w:line="144"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Product warranty</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activity in the product warranty accrual included in accrued expenses on the consolidated balance sheets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36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40" w:type="dxa"/>
            <w:vAlign w:val="bottom"/>
          </w:tcPr>
          <w:p>
            <w:pPr>
              <w:jc w:val="right"/>
              <w:ind w:right="12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(unaudited)</w:t>
            </w: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beginning of the period</w:t>
            </w:r>
          </w:p>
        </w:tc>
        <w:tc>
          <w:tcPr>
            <w:tcW w:w="3640" w:type="dxa"/>
            <w:vAlign w:val="bottom"/>
            <w:gridSpan w:val="2"/>
            <w:shd w:val="clear" w:color="auto" w:fill="CFF0FC"/>
          </w:tcPr>
          <w:p>
            <w:pPr>
              <w:jc w:val="right"/>
              <w:ind w:right="148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969</w:t>
            </w:r>
          </w:p>
        </w:tc>
        <w:tc>
          <w:tcPr>
            <w:tcW w:w="72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2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96"/>
        </w:trPr>
        <w:tc>
          <w:tcPr>
            <w:tcW w:w="3840" w:type="dxa"/>
            <w:vAlign w:val="bottom"/>
          </w:tcPr>
          <w:p>
            <w:pPr>
              <w:ind w:left="120"/>
              <w:spacing w:after="0"/>
              <w:rPr>
                <w:sz w:val="20"/>
                <w:szCs w:val="20"/>
                <w:color w:val="auto"/>
              </w:rPr>
            </w:pPr>
            <w:r>
              <w:rPr>
                <w:rFonts w:ascii="Arial" w:cs="Arial" w:eastAsia="Arial" w:hAnsi="Arial"/>
                <w:sz w:val="14"/>
                <w:szCs w:val="14"/>
                <w:color w:val="auto"/>
              </w:rPr>
              <w:t>Accrual for current year warranties</w:t>
            </w: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1,869</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40" w:type="dxa"/>
            <w:vAlign w:val="bottom"/>
          </w:tcPr>
          <w:p>
            <w:pPr>
              <w:jc w:val="right"/>
              <w:ind w:right="48"/>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Warranty cost incurred</w:t>
            </w:r>
          </w:p>
        </w:tc>
        <w:tc>
          <w:tcPr>
            <w:tcW w:w="200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(1,415 )</w:t>
            </w:r>
          </w:p>
        </w:tc>
        <w:tc>
          <w:tcPr>
            <w:tcW w:w="2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(1,271 )</w:t>
            </w:r>
          </w:p>
        </w:tc>
        <w:tc>
          <w:tcPr>
            <w:tcW w:w="0" w:type="dxa"/>
            <w:vAlign w:val="bottom"/>
          </w:tcPr>
          <w:p>
            <w:pPr>
              <w:spacing w:after="0"/>
              <w:rPr>
                <w:sz w:val="1"/>
                <w:szCs w:val="1"/>
                <w:color w:val="auto"/>
              </w:rPr>
            </w:pPr>
          </w:p>
        </w:tc>
      </w:tr>
      <w:tr>
        <w:trPr>
          <w:trHeight w:val="202"/>
        </w:trPr>
        <w:tc>
          <w:tcPr>
            <w:tcW w:w="384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3640" w:type="dxa"/>
            <w:vAlign w:val="bottom"/>
            <w:gridSpan w:val="2"/>
          </w:tcPr>
          <w:p>
            <w:pPr>
              <w:jc w:val="right"/>
              <w:ind w:right="14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1,423</w:t>
            </w:r>
          </w:p>
        </w:tc>
        <w:tc>
          <w:tcPr>
            <w:tcW w:w="7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340" w:type="dxa"/>
            <w:vAlign w:val="bottom"/>
          </w:tcPr>
          <w:p>
            <w:pPr>
              <w:jc w:val="right"/>
              <w:ind w:right="48"/>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0" w:type="dxa"/>
            <w:vAlign w:val="bottom"/>
            <w:vMerge w:val="restart"/>
          </w:tcPr>
          <w:p>
            <w:pPr>
              <w:jc w:val="right"/>
              <w:ind w:right="68"/>
              <w:spacing w:after="0"/>
              <w:rPr>
                <w:sz w:val="20"/>
                <w:szCs w:val="20"/>
                <w:color w:val="auto"/>
              </w:rPr>
            </w:pPr>
            <w:r>
              <w:rPr>
                <w:rFonts w:ascii="Arial" w:cs="Arial" w:eastAsia="Arial" w:hAnsi="Arial"/>
                <w:sz w:val="14"/>
                <w:szCs w:val="14"/>
                <w:color w:val="auto"/>
              </w:rPr>
              <w:t>18</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38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84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-733425</wp:posOffset>
            </wp:positionV>
            <wp:extent cx="1371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ind w:left="440" w:hanging="432"/>
        <w:spacing w:after="0"/>
        <w:tabs>
          <w:tab w:leader="none" w:pos="44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Net income attributable to common stockholders per share</w:t>
      </w:r>
    </w:p>
    <w:p>
      <w:pPr>
        <w:spacing w:after="0" w:line="235" w:lineRule="exact"/>
        <w:rPr>
          <w:sz w:val="20"/>
          <w:szCs w:val="20"/>
          <w:color w:val="auto"/>
        </w:rPr>
      </w:pPr>
    </w:p>
    <w:p>
      <w:pPr>
        <w:ind w:firstLine="509"/>
        <w:spacing w:after="0" w:line="278" w:lineRule="auto"/>
        <w:rPr>
          <w:sz w:val="20"/>
          <w:szCs w:val="20"/>
          <w:color w:val="auto"/>
        </w:rPr>
      </w:pPr>
      <w:r>
        <w:rPr>
          <w:rFonts w:ascii="Arial" w:cs="Arial" w:eastAsia="Arial" w:hAnsi="Arial"/>
          <w:sz w:val="14"/>
          <w:szCs w:val="14"/>
          <w:color w:val="auto"/>
        </w:rPr>
        <w:t>The following table sets forth the computation of the Company’s basic and diluted net income attributable to common stockholders per share for the three and six months ended June 30, 2021 and 2020 (in thousands except share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Arial" w:cs="Arial" w:eastAsia="Arial" w:hAnsi="Arial"/>
                <w:sz w:val="14"/>
                <w:szCs w:val="14"/>
                <w:i w:val="1"/>
                <w:iCs w:val="1"/>
                <w:color w:val="auto"/>
              </w:rPr>
              <w:t>Numerator</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8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2,670</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8,111</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2,772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7,272</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5840" w:type="dxa"/>
            <w:vAlign w:val="bottom"/>
            <w:gridSpan w:val="2"/>
          </w:tcPr>
          <w:p>
            <w:pPr>
              <w:ind w:left="100"/>
              <w:spacing w:after="0"/>
              <w:rPr>
                <w:sz w:val="20"/>
                <w:szCs w:val="20"/>
                <w:color w:val="auto"/>
              </w:rPr>
            </w:pPr>
            <w:r>
              <w:rPr>
                <w:rFonts w:ascii="Arial" w:cs="Arial" w:eastAsia="Arial" w:hAnsi="Arial"/>
                <w:sz w:val="14"/>
                <w:szCs w:val="14"/>
                <w:color w:val="auto"/>
              </w:rPr>
              <w:t>Less: net income allocated to participating securities</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(2,670 )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(6,211 )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(2,772 )</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(6,075 )</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Pr>
          <w:p>
            <w:pPr>
              <w:ind w:left="40"/>
              <w:spacing w:after="0"/>
              <w:rPr>
                <w:sz w:val="20"/>
                <w:szCs w:val="20"/>
                <w:color w:val="auto"/>
              </w:rPr>
            </w:pPr>
            <w:r>
              <w:rPr>
                <w:rFonts w:ascii="Arial" w:cs="Arial" w:eastAsia="Arial" w:hAnsi="Arial"/>
                <w:sz w:val="14"/>
                <w:szCs w:val="14"/>
                <w:color w:val="auto"/>
              </w:rPr>
              <w:t>Net income attributable to common stockholders, basic and diluted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1,900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5840" w:type="dxa"/>
            <w:vAlign w:val="bottom"/>
            <w:gridSpan w:val="2"/>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Arial" w:cs="Arial" w:eastAsia="Arial" w:hAnsi="Arial"/>
                <w:sz w:val="14"/>
                <w:szCs w:val="14"/>
                <w:i w:val="1"/>
                <w:iCs w:val="1"/>
                <w:color w:val="auto"/>
              </w:rPr>
              <w:t>Denominator</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8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Weighted-average common shares outstanding, attributable to common stockholders, basic</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31,878,762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28,497,247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31,719,005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28,475,868</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840" w:type="dxa"/>
            <w:vAlign w:val="bottom"/>
            <w:gridSpan w:val="2"/>
          </w:tcPr>
          <w:p>
            <w:pPr>
              <w:ind w:left="100"/>
              <w:spacing w:after="0"/>
              <w:rPr>
                <w:sz w:val="20"/>
                <w:szCs w:val="20"/>
                <w:color w:val="auto"/>
              </w:rPr>
            </w:pPr>
            <w:r>
              <w:rPr>
                <w:rFonts w:ascii="Arial" w:cs="Arial" w:eastAsia="Arial" w:hAnsi="Arial"/>
                <w:sz w:val="14"/>
                <w:szCs w:val="14"/>
                <w:color w:val="auto"/>
              </w:rPr>
              <w:t>Effect of stock options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4,294,274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2,636,666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4,189,549</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2,594,309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8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color w:val="auto"/>
                <w:w w:val="99"/>
              </w:rPr>
              <w:t>Weighted-average common shares outstanding, attributable to common stockholders, diluted</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36,173,036</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31,133,913</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35,908,554</w:t>
            </w: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31,070,177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8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 per share attributable to common stockholders, basic</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0.066672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0.042044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5840" w:type="dxa"/>
            <w:vAlign w:val="bottom"/>
            <w:gridSpan w:val="2"/>
          </w:tcPr>
          <w:p>
            <w:pPr>
              <w:spacing w:after="0"/>
              <w:rPr>
                <w:sz w:val="20"/>
                <w:szCs w:val="20"/>
                <w:color w:val="auto"/>
              </w:rPr>
            </w:pPr>
            <w:r>
              <w:rPr>
                <w:rFonts w:ascii="Arial" w:cs="Arial" w:eastAsia="Arial" w:hAnsi="Arial"/>
                <w:sz w:val="14"/>
                <w:szCs w:val="14"/>
                <w:color w:val="auto"/>
              </w:rPr>
              <w:t>Net income per share attributable to common stockholders, diluted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0.061025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0.038534</w:t>
            </w:r>
          </w:p>
        </w:tc>
        <w:tc>
          <w:tcPr>
            <w:tcW w:w="0" w:type="dxa"/>
            <w:vAlign w:val="bottom"/>
          </w:tcPr>
          <w:p>
            <w:pPr>
              <w:spacing w:after="0"/>
              <w:rPr>
                <w:sz w:val="1"/>
                <w:szCs w:val="1"/>
                <w:color w:val="auto"/>
              </w:rPr>
            </w:pPr>
          </w:p>
        </w:tc>
      </w:tr>
      <w:tr>
        <w:trPr>
          <w:trHeight w:val="20"/>
        </w:trPr>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1"/>
              </w:rPr>
              <w:t>20.</w:t>
            </w:r>
          </w:p>
        </w:tc>
        <w:tc>
          <w:tcPr>
            <w:tcW w:w="57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Geographic areas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20" w:type="dxa"/>
            <w:vAlign w:val="bottom"/>
            <w:gridSpan w:val="2"/>
            <w:vMerge w:val="continue"/>
          </w:tcPr>
          <w:p>
            <w:pPr>
              <w:spacing w:after="0"/>
              <w:rPr>
                <w:sz w:val="24"/>
                <w:szCs w:val="24"/>
                <w:color w:val="auto"/>
              </w:rPr>
            </w:pPr>
          </w:p>
        </w:tc>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-1574800</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-1574800</wp:posOffset>
            </wp:positionV>
            <wp:extent cx="6032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-1574800</wp:posOffset>
            </wp:positionV>
            <wp:extent cx="514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-760095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-760095</wp:posOffset>
            </wp:positionV>
            <wp:extent cx="603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-760095</wp:posOffset>
            </wp:positionV>
            <wp:extent cx="514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-497205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-480060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-497205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-480060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-497205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-480060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9" w:lineRule="exact"/>
        <w:rPr>
          <w:sz w:val="20"/>
          <w:szCs w:val="20"/>
          <w:color w:val="auto"/>
        </w:rPr>
      </w:pPr>
    </w:p>
    <w:p>
      <w:pPr>
        <w:ind w:firstLine="509"/>
        <w:spacing w:after="0" w:line="293" w:lineRule="auto"/>
        <w:rPr>
          <w:sz w:val="20"/>
          <w:szCs w:val="20"/>
          <w:color w:val="auto"/>
        </w:rPr>
      </w:pPr>
      <w:r>
        <w:rPr>
          <w:rFonts w:ascii="Arial" w:cs="Arial" w:eastAsia="Arial" w:hAnsi="Arial"/>
          <w:sz w:val="14"/>
          <w:szCs w:val="14"/>
          <w:color w:val="auto"/>
        </w:rPr>
        <w:t>The Company sells its products worldwide and attributes revenue to the geography where the product is delivered. The geographical distribution of revenue for the three and six months ended June 30, 2021 and 2020 was as follows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7"/>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202"/>
        </w:trPr>
        <w:tc>
          <w:tcPr>
            <w:tcW w:w="6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United States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17,251</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13,348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30,599</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26,661</w:t>
            </w:r>
          </w:p>
        </w:tc>
      </w:tr>
      <w:tr>
        <w:trPr>
          <w:trHeight w:val="197"/>
        </w:trPr>
        <w:tc>
          <w:tcPr>
            <w:tcW w:w="6280" w:type="dxa"/>
            <w:vAlign w:val="bottom"/>
          </w:tcPr>
          <w:p>
            <w:pPr>
              <w:ind w:left="20"/>
              <w:spacing w:after="0"/>
              <w:rPr>
                <w:sz w:val="20"/>
                <w:szCs w:val="20"/>
                <w:color w:val="auto"/>
              </w:rPr>
            </w:pPr>
            <w:r>
              <w:rPr>
                <w:rFonts w:ascii="Arial" w:cs="Arial" w:eastAsia="Arial" w:hAnsi="Arial"/>
                <w:sz w:val="14"/>
                <w:szCs w:val="14"/>
                <w:color w:val="auto"/>
              </w:rPr>
              <w:t>EMEA</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9,656</w:t>
            </w:r>
          </w:p>
        </w:tc>
        <w:tc>
          <w:tcPr>
            <w:tcW w:w="28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17,303</w:t>
            </w:r>
          </w:p>
        </w:tc>
        <w:tc>
          <w:tcPr>
            <w:tcW w:w="26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5,944</w:t>
            </w:r>
          </w:p>
        </w:tc>
      </w:tr>
      <w:tr>
        <w:trPr>
          <w:trHeight w:val="208"/>
        </w:trPr>
        <w:tc>
          <w:tcPr>
            <w:tcW w:w="6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APAC</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3,390</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3,075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6,646</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4,162</w:t>
            </w:r>
          </w:p>
        </w:tc>
      </w:tr>
      <w:tr>
        <w:trPr>
          <w:trHeight w:val="197"/>
        </w:trPr>
        <w:tc>
          <w:tcPr>
            <w:tcW w:w="6280" w:type="dxa"/>
            <w:vAlign w:val="bottom"/>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357</w:t>
            </w:r>
          </w:p>
        </w:tc>
      </w:tr>
      <w:tr>
        <w:trPr>
          <w:trHeight w:val="242"/>
        </w:trPr>
        <w:tc>
          <w:tcPr>
            <w:tcW w:w="6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 net</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30,408</w:t>
            </w:r>
          </w:p>
        </w:tc>
        <w:tc>
          <w:tcPr>
            <w:tcW w:w="2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19,136</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54,680</w:t>
            </w:r>
          </w:p>
        </w:tc>
        <w:tc>
          <w:tcPr>
            <w:tcW w:w="2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37,124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-25400</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EMEA includes Europe, the Middle East and Africa; APAC includes Asia and the Pacific countries; Other includes Canada and South America.</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three and six months ended June 30, 2021 and 2020, the Company had no major customers.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June 30, 2021 and December 31, 2020, the Company’s long-lived assets by geographic area were as follows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4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40" w:type="dxa"/>
            <w:vAlign w:val="bottom"/>
          </w:tcPr>
          <w:p>
            <w:pPr>
              <w:spacing w:after="0"/>
              <w:rPr>
                <w:sz w:val="17"/>
                <w:szCs w:val="17"/>
                <w:color w:val="auto"/>
              </w:rPr>
            </w:pPr>
          </w:p>
        </w:tc>
        <w:tc>
          <w:tcPr>
            <w:tcW w:w="14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2021</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2020</w:t>
            </w:r>
          </w:p>
        </w:tc>
      </w:tr>
      <w:tr>
        <w:trPr>
          <w:trHeight w:val="196"/>
        </w:trPr>
        <w:tc>
          <w:tcPr>
            <w:tcW w:w="7040" w:type="dxa"/>
            <w:vAlign w:val="bottom"/>
          </w:tcPr>
          <w:p>
            <w:pPr>
              <w:spacing w:after="0"/>
              <w:rPr>
                <w:sz w:val="17"/>
                <w:szCs w:val="17"/>
                <w:color w:val="auto"/>
              </w:rPr>
            </w:pPr>
          </w:p>
        </w:tc>
        <w:tc>
          <w:tcPr>
            <w:tcW w:w="146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8"/>
        </w:trPr>
        <w:tc>
          <w:tcPr>
            <w:tcW w:w="7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United States</w:t>
            </w:r>
          </w:p>
        </w:tc>
        <w:tc>
          <w:tcPr>
            <w:tcW w:w="1460" w:type="dxa"/>
            <w:vAlign w:val="bottom"/>
            <w:shd w:val="clear" w:color="auto" w:fill="CFF0FC"/>
          </w:tcPr>
          <w:p>
            <w:pPr>
              <w:jc w:val="right"/>
              <w:ind w:right="130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1,977</w:t>
            </w: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568</w:t>
            </w:r>
          </w:p>
        </w:tc>
      </w:tr>
      <w:tr>
        <w:trPr>
          <w:trHeight w:val="197"/>
        </w:trPr>
        <w:tc>
          <w:tcPr>
            <w:tcW w:w="7040" w:type="dxa"/>
            <w:vAlign w:val="bottom"/>
          </w:tcPr>
          <w:p>
            <w:pPr>
              <w:ind w:left="20"/>
              <w:spacing w:after="0"/>
              <w:rPr>
                <w:sz w:val="20"/>
                <w:szCs w:val="20"/>
                <w:color w:val="auto"/>
              </w:rPr>
            </w:pPr>
            <w:r>
              <w:rPr>
                <w:rFonts w:ascii="Arial" w:cs="Arial" w:eastAsia="Arial" w:hAnsi="Arial"/>
                <w:sz w:val="14"/>
                <w:szCs w:val="14"/>
                <w:color w:val="auto"/>
              </w:rPr>
              <w:t>APAC</w:t>
            </w:r>
          </w:p>
        </w:tc>
        <w:tc>
          <w:tcPr>
            <w:tcW w:w="1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1,918</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1,572</w:t>
            </w:r>
          </w:p>
        </w:tc>
      </w:tr>
      <w:tr>
        <w:trPr>
          <w:trHeight w:val="242"/>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shd w:val="clear" w:color="auto" w:fill="CFF0FC"/>
          </w:tcPr>
          <w:p>
            <w:pPr>
              <w:jc w:val="right"/>
              <w:ind w:right="13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3,895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June 30, 2021 and December 31, 2020, substantially all of the Company’s long-lived assets were located in the United States and in Wuxi, China.</w:t>
      </w:r>
    </w:p>
    <w:p>
      <w:pPr>
        <w:spacing w:after="0" w:line="200"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Stock split</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July 16, 2021, the Company effected a 1.3333-for-1 Stock Split of its common stock and Preferred Stock. All share and per share information has been retroactively adjusted to reflect the Stock Split for all periods presented.</w:t>
      </w:r>
    </w:p>
    <w:p>
      <w:pPr>
        <w:spacing w:after="0" w:line="349"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Initial public offering</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Subsequent to June 30, 2021, the Company completed its initial public offering (“IPO”) with the sale of 13,949,401 shares of common stock, which included the full exercise by the underwriters of their option to purchase an additional 2,184,695 shares from the Company, at an initial public offering price of $17.00 per share for gross proceeds of $237.1 million, which resulted in net proceeds to the Company of approximately $215.2 million, after deducting underwriting discounts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both"/>
        <w:spacing w:after="0" w:line="293" w:lineRule="auto"/>
        <w:rPr>
          <w:sz w:val="20"/>
          <w:szCs w:val="20"/>
          <w:color w:val="auto"/>
        </w:rPr>
      </w:pPr>
      <w:r>
        <w:rPr>
          <w:rFonts w:ascii="Arial" w:cs="Arial" w:eastAsia="Arial" w:hAnsi="Arial"/>
          <w:sz w:val="14"/>
          <w:szCs w:val="14"/>
          <w:color w:val="auto"/>
        </w:rPr>
        <w:t>commissions of approximately $17.3 million and offering-related transaction costs of approximately $5.3 million. In addition, certain selling stockholders offered and sold an additional 2,799,929 shares or common stock in the IPO. The Company did not receive any proceeds from the sale of such shares by the selling stockholders.</w:t>
      </w:r>
    </w:p>
    <w:p>
      <w:pPr>
        <w:spacing w:after="0" w:line="322" w:lineRule="exact"/>
        <w:rPr>
          <w:sz w:val="20"/>
          <w:szCs w:val="20"/>
          <w:color w:val="auto"/>
        </w:rPr>
      </w:pPr>
    </w:p>
    <w:p>
      <w:pPr>
        <w:jc w:val="both"/>
        <w:ind w:right="20" w:firstLine="515"/>
        <w:spacing w:after="0" w:line="313" w:lineRule="auto"/>
        <w:rPr>
          <w:sz w:val="20"/>
          <w:szCs w:val="20"/>
          <w:color w:val="auto"/>
        </w:rPr>
      </w:pPr>
      <w:r>
        <w:rPr>
          <w:rFonts w:ascii="Arial" w:cs="Arial" w:eastAsia="Arial" w:hAnsi="Arial"/>
          <w:sz w:val="14"/>
          <w:szCs w:val="14"/>
          <w:color w:val="auto"/>
        </w:rPr>
        <w:t>In addition, in connection with the completion of the Company’s IPO on July 27, 2021, all outstanding shares of Preferred Stock (see Note 10) were automatically converted into 87,268,694 shares of the Company’s common stock and were reclassified as permanent equity. Following the IPO, there are no shares of Preferred Stock outstanding.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Amended and restated certificate of incorporation</w:t>
      </w:r>
    </w:p>
    <w:p>
      <w:pPr>
        <w:spacing w:after="0" w:line="20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Immediately following the closing of the IPO, the Company amended and restated its certificate of incorporation such that the total number of shares of common stock authorized to be issued was 1,000,000,000 and the total number of shares of preferred stock authorized to be issued was 10,000,000.</w:t>
      </w:r>
    </w:p>
    <w:p>
      <w:pPr>
        <w:spacing w:after="0" w:line="33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2021 Equity Plan</w:t>
      </w:r>
    </w:p>
    <w:p>
      <w:pPr>
        <w:spacing w:after="0" w:line="20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July 2021, the Company’s board of directors and stockholders adopted and approved the 2021 Equity Incentive Plan (the “2021 Plan”), which became effective upon the execution of the underwriting agreement for the IPO. The Company’s 2015 Plan was terminated in connection with the IPO and no further grants will be made under the 2015 Plan from the date that the 2021 Plan became effective. The Company reserved 18,000,000 shares of common stock for future issuance under the 2021 Plan, from which options for 2,857,663 shares of common stock were granted upon the pricing of the IPO.</w:t>
      </w:r>
    </w:p>
    <w:p>
      <w:pPr>
        <w:spacing w:after="0" w:line="35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2021 Employee Stock Purchase Plan</w:t>
      </w:r>
    </w:p>
    <w:p>
      <w:pPr>
        <w:spacing w:after="0" w:line="20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In July 2021, the board of directors and stockholders also adopted and approved the 2021 Employee Stock Purchase Plan (the “ESPP”) which became effective upon the execution of the underwriting agreement for the IPO. The Company reserved 2,000,000 shares of common stock for future issuance under the ESPP.</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Supply agreement</w:t>
      </w:r>
    </w:p>
    <w:p>
      <w:pPr>
        <w:spacing w:after="0" w:line="2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On August 25, 2021, the Company and Cytek Biosciences (Wuxi) Co., Ltd. entered into a supply agreement ("Supply Agreement") to purchase laser products manufactured and sold by a third party. The Supply Agreement has an initial term of three years and will automatically renew for a subsequent one-year period unless terminated by either party. There is no minimum purchase obligation pursuant to the Supply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21" w:lineRule="exact"/>
        <w:rPr>
          <w:sz w:val="20"/>
          <w:szCs w:val="20"/>
          <w:color w:val="auto"/>
        </w:rPr>
      </w:pPr>
    </w:p>
    <w:p>
      <w:pPr>
        <w:jc w:val="both"/>
        <w:ind w:left="20" w:firstLine="509"/>
        <w:spacing w:after="0" w:line="289"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2020 and the related Management’s Discussion and Analysis of Financial Condition and Results of Operations, both of which are contained in our final prospectus filed with the Securities and Exchange Commission (the “SEC”) on July 23, 2021 pursuant to Rule 424(b)(4) under the Securities Act of 1933, as amended (the Securities Act), for our initial public offering(IPO). Unless the context requires otherwise, references in this Quarterly Report on Form 10-Q to “we,” “us” and “our” refer to Cytek Biosciences, Inc.</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jc w:val="both"/>
        <w:ind w:left="20" w:firstLine="509"/>
        <w:spacing w:after="0" w:line="309" w:lineRule="auto"/>
        <w:rPr>
          <w:sz w:val="20"/>
          <w:szCs w:val="20"/>
          <w:color w:val="auto"/>
        </w:rPr>
      </w:pPr>
      <w:r>
        <w:rPr>
          <w:rFonts w:ascii="Arial" w:cs="Arial" w:eastAsia="Arial" w:hAnsi="Arial"/>
          <w:sz w:val="13"/>
          <w:szCs w:val="13"/>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850 instruments—primarily comprised of our Aurora and Northern Lights systems—to over 620 customers around the world, including the largest pharmaceutical companies, over 125 biopharma companies, leading academic research centers, and clinical research organizations (“CROs”). In June 2021, we began shipping the Aurora cell sorter (“Aurora CS”), which uses our FSP technology to further broaden our potential applications across cell analysis.</w:t>
      </w:r>
    </w:p>
    <w:p>
      <w:pPr>
        <w:spacing w:after="0" w:line="19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manufacture our instruments in our facilities in Fremont, California and in Wuxi, China. We have designed our operating model to be capital efficient and to scale efficiently as our product volumes grow.</w:t>
      </w:r>
    </w:p>
    <w:p>
      <w:pPr>
        <w:spacing w:after="0" w:line="120"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Our total revenue increased by 59% to $30.4 million and by 47% to $54.7 million in the three and six months ended June 30, 2021, respectively, as compared to $19.1 million and $37.1 million in the three and six months ended June 30, 2020, respectively, primarily due to sales of our Aurora and Northern Lights systems.</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To date, we have adopted a direct sales model in North America, Europe and China, and sell our products through third-party distributors in Asia (ex-China), certain regions of Europe, South America, the Middle East, and Africa. Revenue from direct sales represented 85% and 83% of total revenue for the three and six months ended June 30, 2021, respectively, and revenue from distributors represented 15% and 17% of total revenue for the three and six months ended June 30, 2021, respectively.</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$6.2 million and $11.3 million for the three and six months ended June 30, 2021, respectively, and $2.9 million and $5.9 million for the three and six months ended June 30, 2020, respectively. We intend to continue to make significant investments in research and development in the future.</w:t>
      </w:r>
    </w:p>
    <w:p>
      <w:pPr>
        <w:spacing w:after="0" w:line="188"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We expect to continue to invest in our commercial infrastructure through hiring additional employees with strong scientific and technical backgrounds to support growth in sales of our Aurora and Northern Lights instruments and our Aurora CS cell sorter, as well as our planned expansion of reagents offerings and panel design capabilities. We also plan to continue to invest in sales, marketing and business development across the globe to drive commercialization of our products. We incurred sales and marketing expenses of $5.6 million and $9.9 million for the three and six months ended June 30, 2021, respectively, and $3.1 million and $6.6 million for the three and six months ended June 30, 2020, respectively.</w:t>
      </w:r>
    </w:p>
    <w:p>
      <w:pPr>
        <w:spacing w:after="0" w:line="17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Since our inception in 2014, we have financed our operations primarily through sales of our securities, revenue from the sale of our products and services and proceeds from a loan under the Paycheck Protection Program (“PPP”).</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have incurred net losses in each year except for the year ended December 31, 2020 and for the three and six months ended June 30, 2021 when we are in a net income position. Our net income was $2.7 million and $2.8 million for the three and six months ended June 30, 2021, respectively, and our net income was $8.1 million and $7.3 million for the three and six months ended June 30, 2020, respectively. The change for the three and six months ended June 30, 2021 compared to the three and six months ended June 30, 2020 resulted primarily from expenses driven by an increase in headcount and salaries and efforts in research and development and marketing initiatives.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4"/>
          <w:szCs w:val="14"/>
          <w:color w:val="auto"/>
        </w:rPr>
        <w:t>We expect our expenses will increase substantially in connection with our on-going activities, as we:</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attract, hire and retain qualified personnel;</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invest in processes, commercial infrastructure and supporting functions to scale our business and introduce new products and services;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support our research and development efforts;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continue to expand geographically;</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protect and defend our intellectual property;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make strategic investments in complementary businesses, services, products or technologies.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results of operations and future performance</w:t>
      </w:r>
    </w:p>
    <w:p>
      <w:pPr>
        <w:spacing w:after="0" w:line="12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Global customer adoption</w:t>
      </w:r>
    </w:p>
    <w:p>
      <w:pPr>
        <w:spacing w:after="0" w:line="12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we increased our direct sales force by 45% and 40% in the three and six months ended June 30, 2021, respectively, compared to the three and six months ended June 30, 2020. We intend to continue increasing our workforce in line with our growth.</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Recurring revenues</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Revenue mix and gross margin</w:t>
      </w:r>
    </w:p>
    <w:p>
      <w:pPr>
        <w:spacing w:after="0" w:line="12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Our revenue is primarily derived from sales of our instruments and services with our core instruments recognizing higher gross margins than our services. While there have been fluctuations in the mix between sales of our instruments and services, revenue generated from sales of our core instruments, the Aurora and Northern Lights systems, accounted for 85% and 84% of our total revenue for the three months ended June 30, 2021 and 2020, respectively, and for 83% and 86% of our total revenue for the six months ended June 30, 2021 and 2020, respectively. Instrument sales as a percentage of total revenue have increased sequentially in each of the three and six months ended June 30, 2021 and 2020.</w:t>
      </w:r>
    </w:p>
    <w:p>
      <w:pPr>
        <w:spacing w:after="0" w:line="17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Although we expect sales of our core instruments to continue to represent the largest percentage of our revenue in the future, we expect reagent sales to increase as a percentage of our total revenue and our gross margins to experience a corresponding improvement as we grow our installed base and increase our focus on commercializing reagents. We also expect a higher gross margin on our core instruments as we increase manufacturing efficiency, instrument reliability and training for personnel using our instruments, which we expect to lead to a reduction in warranty claims.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19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Expansion into new markets</w:t>
      </w:r>
    </w:p>
    <w:p>
      <w:pPr>
        <w:spacing w:after="0" w:line="12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We focus our research and development efforts on the greatest value-additive FSP products to meet the growing and unmet needs of the research and clinical markets. We work closely with researchers and clinicians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173"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Our Northern Lights system obtained clinical certification in China in 2019 and received CE Marking under the European Union In Vitro Diagnostic Medical Devices Directive in September 2020. With these achievements, our Northern Lights system is available for clinical diagnostic use in hospitals, laboratories, and clinics in China and the European Union.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Key business metrics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2"/>
              </w:rPr>
              <w:t>Three months ended June 30,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Dollar Change</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Dollar Change</w:t>
            </w:r>
          </w:p>
        </w:tc>
      </w:tr>
      <w:tr>
        <w:trPr>
          <w:trHeight w:val="202"/>
        </w:trPr>
        <w:tc>
          <w:tcPr>
            <w:tcW w:w="474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Sales channel mix</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197"/>
        </w:trPr>
        <w:tc>
          <w:tcPr>
            <w:tcW w:w="4740" w:type="dxa"/>
            <w:vAlign w:val="bottom"/>
            <w:gridSpan w:val="2"/>
          </w:tcPr>
          <w:p>
            <w:pPr>
              <w:ind w:left="120"/>
              <w:spacing w:after="0"/>
              <w:rPr>
                <w:sz w:val="20"/>
                <w:szCs w:val="20"/>
                <w:color w:val="auto"/>
              </w:rPr>
            </w:pPr>
            <w:r>
              <w:rPr>
                <w:rFonts w:ascii="Arial" w:cs="Arial" w:eastAsia="Arial" w:hAnsi="Arial"/>
                <w:sz w:val="14"/>
                <w:szCs w:val="14"/>
                <w:color w:val="auto"/>
              </w:rPr>
              <w:t>Direct sales channel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25,703</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16,007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(9,696 )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45,565</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32,037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(13,528 )</w:t>
            </w:r>
          </w:p>
        </w:tc>
      </w:tr>
      <w:tr>
        <w:trPr>
          <w:trHeight w:val="203"/>
        </w:trPr>
        <w:tc>
          <w:tcPr>
            <w:tcW w:w="47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4"/>
                <w:szCs w:val="14"/>
                <w:color w:val="auto"/>
              </w:rPr>
              <w:t>Distributor channel</w:t>
            </w: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4,705</w:t>
            </w: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3,129</w:t>
            </w: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(1,576 )</w:t>
            </w:r>
          </w:p>
        </w:tc>
        <w:tc>
          <w:tcPr>
            <w:tcW w:w="3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9,115</w:t>
            </w:r>
          </w:p>
        </w:tc>
        <w:tc>
          <w:tcPr>
            <w:tcW w:w="3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5,087</w:t>
            </w: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(4,028 )</w:t>
            </w:r>
          </w:p>
        </w:tc>
      </w:tr>
      <w:tr>
        <w:trPr>
          <w:trHeight w:val="202"/>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Total revenue,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30,408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19,136</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(11,272 )</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54,680</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(17,556 )</w:t>
            </w:r>
          </w:p>
        </w:tc>
      </w:tr>
      <w:tr>
        <w:trPr>
          <w:trHeight w:val="20"/>
        </w:trPr>
        <w:tc>
          <w:tcPr>
            <w:tcW w:w="47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Customer mix</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96"/>
        </w:trPr>
        <w:tc>
          <w:tcPr>
            <w:tcW w:w="4740" w:type="dxa"/>
            <w:vAlign w:val="bottom"/>
            <w:gridSpan w:val="2"/>
          </w:tcPr>
          <w:p>
            <w:pPr>
              <w:ind w:left="120"/>
              <w:spacing w:after="0"/>
              <w:rPr>
                <w:sz w:val="20"/>
                <w:szCs w:val="20"/>
                <w:color w:val="auto"/>
              </w:rPr>
            </w:pPr>
            <w:r>
              <w:rPr>
                <w:rFonts w:ascii="Arial" w:cs="Arial" w:eastAsia="Arial" w:hAnsi="Arial"/>
                <w:sz w:val="14"/>
                <w:szCs w:val="14"/>
                <w:color w:val="auto"/>
              </w:rPr>
              <w:t>Academia and government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13,754</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9,363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(4,391 )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23,870</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20,912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(2,958 )</w:t>
            </w:r>
          </w:p>
        </w:tc>
      </w:tr>
      <w:tr>
        <w:trPr>
          <w:trHeight w:val="203"/>
        </w:trPr>
        <w:tc>
          <w:tcPr>
            <w:tcW w:w="474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4"/>
                <w:szCs w:val="14"/>
                <w:color w:val="auto"/>
              </w:rPr>
              <w:t>Biotechnology, pharmaceutical, distributor and CRO</w:t>
            </w: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16,654</w:t>
            </w: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9,773</w:t>
            </w: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(6,881 )</w:t>
            </w:r>
          </w:p>
        </w:tc>
        <w:tc>
          <w:tcPr>
            <w:tcW w:w="3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30,810</w:t>
            </w:r>
          </w:p>
        </w:tc>
        <w:tc>
          <w:tcPr>
            <w:tcW w:w="3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16,212</w:t>
            </w: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(14,598 )</w:t>
            </w:r>
          </w:p>
        </w:tc>
      </w:tr>
      <w:tr>
        <w:trPr>
          <w:trHeight w:val="202"/>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Total revenue,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30,408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19,136</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(11,272 )</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54,680</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(17,556 )</w:t>
            </w:r>
          </w:p>
        </w:tc>
      </w:tr>
      <w:tr>
        <w:trPr>
          <w:trHeight w:val="20"/>
        </w:trPr>
        <w:tc>
          <w:tcPr>
            <w:tcW w:w="47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2"/>
        </w:trPr>
        <w:tc>
          <w:tcPr>
            <w:tcW w:w="5780" w:type="dxa"/>
            <w:vAlign w:val="bottom"/>
            <w:gridSpan w:val="4"/>
          </w:tcPr>
          <w:p>
            <w:pPr>
              <w:ind w:left="520"/>
              <w:spacing w:after="0"/>
              <w:rPr>
                <w:sz w:val="20"/>
                <w:szCs w:val="20"/>
                <w:color w:val="auto"/>
              </w:rPr>
            </w:pPr>
            <w:r>
              <w:rPr>
                <w:rFonts w:ascii="Arial" w:cs="Arial" w:eastAsia="Arial" w:hAnsi="Arial"/>
                <w:sz w:val="14"/>
                <w:szCs w:val="14"/>
                <w:color w:val="auto"/>
              </w:rPr>
              <w:t>Distributors typically sell to end customers identified in other customer categories.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5780" w:type="dxa"/>
            <w:vAlign w:val="bottom"/>
            <w:gridSpan w:val="4"/>
          </w:tcPr>
          <w:p>
            <w:pPr>
              <w:ind w:left="520"/>
              <w:spacing w:after="0"/>
              <w:rPr>
                <w:sz w:val="20"/>
                <w:szCs w:val="20"/>
                <w:color w:val="auto"/>
              </w:rPr>
            </w:pPr>
            <w:r>
              <w:rPr>
                <w:rFonts w:ascii="Arial" w:cs="Arial" w:eastAsia="Arial" w:hAnsi="Arial"/>
                <w:sz w:val="14"/>
                <w:szCs w:val="14"/>
                <w:color w:val="auto"/>
                <w:w w:val="95"/>
              </w:rPr>
              <w:t>The table below sets forth our cumulative instruments shipped as of the dates presented: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67"/>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w w:val="89"/>
              </w:rPr>
              <w:t>June 30,</w:t>
            </w:r>
          </w:p>
        </w:tc>
      </w:tr>
      <w:tr>
        <w:trPr>
          <w:trHeight w:val="209"/>
        </w:trPr>
        <w:tc>
          <w:tcPr>
            <w:tcW w:w="4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2021</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202"/>
        </w:trPr>
        <w:tc>
          <w:tcPr>
            <w:tcW w:w="47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Instruments shipped</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751</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rPr>
              <w:t>855</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update</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global COVID-19 pandemic continues to evolve rapidly and we intend to continue to monitor it closely. In response to the COVID-19 pandemic and various resulting government directives, we took proactive measures to protect the health and safety of our employees, contractors, customers and visiting vendors and suppliers. We continue to monitor the implications of the COVID-19 pandemic on our business, as well as our customers’ and suppliers’ business. Some of the measures we have taken are as follows:</w:t>
      </w:r>
    </w:p>
    <w:p>
      <w:pPr>
        <w:spacing w:after="0" w:line="77" w:lineRule="exact"/>
        <w:rPr>
          <w:sz w:val="20"/>
          <w:szCs w:val="20"/>
          <w:color w:val="auto"/>
        </w:rPr>
      </w:pPr>
    </w:p>
    <w:p>
      <w:pPr>
        <w:jc w:val="both"/>
        <w:ind w:left="960"/>
        <w:spacing w:after="0" w:line="289" w:lineRule="auto"/>
        <w:rPr>
          <w:sz w:val="20"/>
          <w:szCs w:val="20"/>
          <w:color w:val="auto"/>
        </w:rPr>
      </w:pPr>
      <w:r>
        <w:rPr>
          <w:rFonts w:ascii="Arial" w:cs="Arial" w:eastAsia="Arial" w:hAnsi="Arial"/>
          <w:sz w:val="13"/>
          <w:szCs w:val="13"/>
          <w:color w:val="auto"/>
        </w:rPr>
        <w:t>As an “essential business” under the criteria set forth in executive orders issued by the State of California, we have continued operations during the COVID-19 pandemic within the applicable safety guidelines. In early March 2020, we promptly instituted protocols to have most of our personnel work remotely. Certain employees engaged in research and development and manufacturing operations have continued to work on-site at our facility in Fremont, California. Our employees in Wuxi and Shanghai, China returned to normal activities in March 2020 to undertake research and development and manufacturing operations due to the lifting of local restrictions in the country. In the United States, we have implemented social distancing and other protective measures in an effort to protect the health and safety of our personnel working on-site. We have also restricted business travel and have limited access to our facilities to vendors, suppliers and partners who are critical to our business operations. While these arrangements have not to date materially affected our ability to maintain our business operations, including the operation of financial reporting systems, internal control over financial reporting and disclosure controls and procedures, given the considerable uncertainty around the duration and extent of the pandemic, the related financial and operational impact cannot be reasonably estimated.</w:t>
      </w:r>
    </w:p>
    <w:p>
      <w:pPr>
        <w:spacing w:after="0" w:line="72" w:lineRule="exact"/>
        <w:rPr>
          <w:sz w:val="20"/>
          <w:szCs w:val="20"/>
          <w:color w:val="auto"/>
        </w:rPr>
      </w:pPr>
    </w:p>
    <w:p>
      <w:pPr>
        <w:jc w:val="both"/>
        <w:ind w:left="960"/>
        <w:spacing w:after="0" w:line="308" w:lineRule="auto"/>
        <w:rPr>
          <w:sz w:val="20"/>
          <w:szCs w:val="20"/>
          <w:color w:val="auto"/>
        </w:rPr>
      </w:pPr>
      <w:r>
        <w:rPr>
          <w:rFonts w:ascii="Arial" w:cs="Arial" w:eastAsia="Arial" w:hAnsi="Arial"/>
          <w:sz w:val="13"/>
          <w:szCs w:val="13"/>
          <w:color w:val="auto"/>
        </w:rPr>
        <w:t>Our production, shipping and customer service functions remain operational to maintain a continuous supply of products and services to our customers and for our internal research and development activities. We are communicating regularly with our suppliers so that our supply chain remains intact, and we have not yet experienced any material supply issues. Our customer service teams around the world are operating remotely and remain available to assist our customers and partners as needed.</w:t>
      </w:r>
    </w:p>
    <w:p>
      <w:pPr>
        <w:spacing w:after="0" w:line="59" w:lineRule="exact"/>
        <w:rPr>
          <w:sz w:val="20"/>
          <w:szCs w:val="20"/>
          <w:color w:val="auto"/>
        </w:rPr>
      </w:pPr>
    </w:p>
    <w:p>
      <w:pPr>
        <w:jc w:val="both"/>
        <w:ind w:left="960"/>
        <w:spacing w:after="0" w:line="272" w:lineRule="auto"/>
        <w:rPr>
          <w:sz w:val="20"/>
          <w:szCs w:val="20"/>
          <w:color w:val="auto"/>
        </w:rPr>
      </w:pPr>
      <w:r>
        <w:rPr>
          <w:rFonts w:ascii="Arial" w:cs="Arial" w:eastAsia="Arial" w:hAnsi="Arial"/>
          <w:sz w:val="14"/>
          <w:szCs w:val="14"/>
          <w:color w:val="auto"/>
        </w:rPr>
        <w:t>Initially, as a result of travel restrictions and shelter-in-place orders, we experienced some delay in our ability to ship and install our FSP systems, as well as train customers in certain geographies. In March 2020, we began developing, and continue to develop, remote learning capabilities to help our customers and partners operate and reduce the number of required customer/partner on-site visits for our field application scientists and field support engineers to comply with travel restrictions and country-specific quarantine requirements.</w:t>
      </w:r>
    </w:p>
    <w:p>
      <w:pPr>
        <w:spacing w:after="0" w:line="80" w:lineRule="exact"/>
        <w:rPr>
          <w:sz w:val="20"/>
          <w:szCs w:val="20"/>
          <w:color w:val="auto"/>
        </w:rPr>
      </w:pPr>
    </w:p>
    <w:p>
      <w:pPr>
        <w:jc w:val="both"/>
        <w:ind w:left="960"/>
        <w:spacing w:after="0" w:line="293" w:lineRule="auto"/>
        <w:rPr>
          <w:sz w:val="20"/>
          <w:szCs w:val="20"/>
          <w:color w:val="auto"/>
        </w:rPr>
      </w:pPr>
      <w:r>
        <w:rPr>
          <w:rFonts w:ascii="Arial" w:cs="Arial" w:eastAsia="Arial" w:hAnsi="Arial"/>
          <w:sz w:val="14"/>
          <w:szCs w:val="14"/>
          <w:color w:val="auto"/>
        </w:rPr>
        <w:t>We are actively reviewing and managing costs to navigate the current environment. To date, the COVID-19 pandemic has not had a material adverse effect on our business or results of operations.</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Potential impacts of the COVID-19 pandemic, some of which we have already experienced, include those described throughout the “Risk Factors” section, including “A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Total revenue, net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currently generate our total revenue, net from product revenue and service revenue.</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Product</w:t>
      </w:r>
      <w:r>
        <w:rPr>
          <w:rFonts w:ascii="Arial" w:cs="Arial" w:eastAsia="Arial" w:hAnsi="Arial"/>
          <w:sz w:val="14"/>
          <w:szCs w:val="14"/>
          <w:color w:val="auto"/>
        </w:rPr>
        <w:t>. Our product revenue primarily consists of sales of our instruments, including the Aurora and Northern Lights systems and the Aurora CS, instrument accessories,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loaders and, to a lesser extent, consumables, such as reagents. We offer multiple versions of our Aurora and Northern Lights systems with different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spacing w:after="0" w:line="293" w:lineRule="auto"/>
        <w:rPr>
          <w:sz w:val="20"/>
          <w:szCs w:val="20"/>
          <w:color w:val="auto"/>
        </w:rPr>
      </w:pPr>
      <w:r>
        <w:rPr>
          <w:rFonts w:ascii="Arial" w:cs="Arial" w:eastAsia="Arial" w:hAnsi="Arial"/>
          <w:sz w:val="14"/>
          <w:szCs w:val="14"/>
          <w:color w:val="auto"/>
        </w:rPr>
        <w:t>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Service</w:t>
      </w:r>
      <w:r>
        <w:rPr>
          <w:rFonts w:ascii="Arial" w:cs="Arial" w:eastAsia="Arial" w:hAnsi="Arial"/>
          <w:sz w:val="14"/>
          <w:szCs w:val="14"/>
          <w:color w:val="auto"/>
        </w:rPr>
        <w:t>. Our service revenue primarily consists of post-warranty service contracts, installations and repairs which are recognized over time. Post-warranty service contracts are</w:t>
      </w:r>
      <w:r>
        <w:rPr>
          <w:rFonts w:ascii="Arial" w:cs="Arial" w:eastAsia="Arial" w:hAnsi="Arial"/>
          <w:sz w:val="14"/>
          <w:szCs w:val="14"/>
          <w:i w:val="1"/>
          <w:iCs w:val="1"/>
          <w:color w:val="auto"/>
        </w:rPr>
        <w:t xml:space="preserve"> </w:t>
      </w:r>
      <w:r>
        <w:rPr>
          <w:rFonts w:ascii="Arial" w:cs="Arial" w:eastAsia="Arial" w:hAnsi="Arial"/>
          <w:sz w:val="14"/>
          <w:szCs w:val="14"/>
          <w:color w:val="auto"/>
        </w:rPr>
        <w:t>recognized ratably over the term of the contract and installations and repair services are recognized as they are delivered to the customer.</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expect our revenue to increase in absolute dollars as we expand our sales organization and sales territories, broaden our customer base, and expand awareness of our products with new and existing customers. Our revenue was $30.4 million and $19.1 million for the three months ended June 30, 2021 and 2020, respectively, and $54.7 million and $37.1 million for the six months ended June 30, 2021 and 2020, respectively.</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Total cost of sales, gross profit and gross margin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total cost of sales is comprised of product cost of sales and service cost of sales.</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 xml:space="preserve">Product. </w:t>
      </w:r>
      <w:r>
        <w:rPr>
          <w:rFonts w:ascii="Arial" w:cs="Arial" w:eastAsia="Arial" w:hAnsi="Arial"/>
          <w:sz w:val="14"/>
          <w:szCs w:val="14"/>
          <w:color w:val="auto"/>
        </w:rPr>
        <w:t>Cost of sales associated with our products primarily consist of manufacturing-related costs incurred in the production process, inventory write-downs, warranty costs, third party</w:t>
      </w:r>
      <w:r>
        <w:rPr>
          <w:rFonts w:ascii="Arial" w:cs="Arial" w:eastAsia="Arial" w:hAnsi="Arial"/>
          <w:sz w:val="14"/>
          <w:szCs w:val="14"/>
          <w:i w:val="1"/>
          <w:iCs w:val="1"/>
          <w:color w:val="auto"/>
        </w:rPr>
        <w:t xml:space="preserve"> </w:t>
      </w:r>
      <w:r>
        <w:rPr>
          <w:rFonts w:ascii="Arial" w:cs="Arial" w:eastAsia="Arial" w:hAnsi="Arial"/>
          <w:sz w:val="14"/>
          <w:szCs w:val="14"/>
          <w:color w:val="auto"/>
        </w:rPr>
        <w:t>royalty costs, personnel and related costs, costs of component materials, overhead, packaging and delivery and depreciation expense.</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Service</w:t>
      </w:r>
      <w:r>
        <w:rPr>
          <w:rFonts w:ascii="Arial" w:cs="Arial" w:eastAsia="Arial" w:hAnsi="Arial"/>
          <w:sz w:val="14"/>
          <w:szCs w:val="14"/>
          <w:color w:val="auto"/>
        </w:rPr>
        <w:t>. Cost of sales associated with our services primarily consists of personnel and related costs, expenses related to product replacements, product updates and qualification</w:t>
      </w:r>
      <w:r>
        <w:rPr>
          <w:rFonts w:ascii="Arial" w:cs="Arial" w:eastAsia="Arial" w:hAnsi="Arial"/>
          <w:sz w:val="14"/>
          <w:szCs w:val="14"/>
          <w:i w:val="1"/>
          <w:iCs w:val="1"/>
          <w:color w:val="auto"/>
        </w:rPr>
        <w:t xml:space="preserve"> </w:t>
      </w:r>
      <w:r>
        <w:rPr>
          <w:rFonts w:ascii="Arial" w:cs="Arial" w:eastAsia="Arial" w:hAnsi="Arial"/>
          <w:sz w:val="14"/>
          <w:szCs w:val="14"/>
          <w:color w:val="auto"/>
        </w:rPr>
        <w:t>validation of our products and depreciation expense.</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Our operating expenses are primarily comprised of research and development, sales and marketing, and general and administrative expenses, depreciation and amortization, and related overhead.</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Our research and development expenses primarily consist of salaries, benefits, stock-based compensation costs for employees in our research and</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department, independent contractor costs, laboratory supplies, equipment maintenance and materials expenses.</w:t>
      </w:r>
    </w:p>
    <w:p>
      <w:pPr>
        <w:spacing w:after="0" w:line="174"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p>
    <w:p>
      <w:pPr>
        <w:spacing w:after="0" w:line="15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i w:val="1"/>
          <w:iCs w:val="1"/>
          <w:color w:val="auto"/>
        </w:rPr>
        <w:t>Sales and marketing</w:t>
      </w:r>
      <w:r>
        <w:rPr>
          <w:rFonts w:ascii="Arial" w:cs="Arial" w:eastAsia="Arial" w:hAnsi="Arial"/>
          <w:sz w:val="14"/>
          <w:szCs w:val="14"/>
          <w:color w:val="auto"/>
        </w:rPr>
        <w:t>. Our sales and marketing expenses consist primarily of salaries, benefits, and stock-based compensation costs for employees in our sales and marketing department,</w:t>
      </w:r>
      <w:r>
        <w:rPr>
          <w:rFonts w:ascii="Arial" w:cs="Arial" w:eastAsia="Arial" w:hAnsi="Arial"/>
          <w:sz w:val="14"/>
          <w:szCs w:val="14"/>
          <w:i w:val="1"/>
          <w:iCs w:val="1"/>
          <w:color w:val="auto"/>
        </w:rPr>
        <w:t xml:space="preserve"> </w:t>
      </w:r>
      <w:r>
        <w:rPr>
          <w:rFonts w:ascii="Arial" w:cs="Arial" w:eastAsia="Arial" w:hAnsi="Arial"/>
          <w:sz w:val="14"/>
          <w:szCs w:val="14"/>
          <w:color w:val="auto"/>
        </w:rPr>
        <w:t>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 expect these expenses to increase as a percentage of sales in the short-term as we continue to grow our commercial organization to support anticipated growth of the business.</w:t>
      </w:r>
    </w:p>
    <w:p>
      <w:pPr>
        <w:spacing w:after="0" w:line="19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Our general and administrative expenses primarily consist of salaries, benefits, and stock-based compensation costs for employees in our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U.S. Securities and Exchange Commission. As a result, our historical results of operations may not be indicative of our results of operations in future periods.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expect these expenses to vary from period to period as a percentage of revenue.</w:t>
      </w:r>
    </w:p>
    <w:p>
      <w:pPr>
        <w:spacing w:after="0" w:line="33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 xml:space="preserve">Interest expense. </w:t>
      </w:r>
      <w:r>
        <w:rPr>
          <w:rFonts w:ascii="Arial" w:cs="Arial" w:eastAsia="Arial" w:hAnsi="Arial"/>
          <w:sz w:val="14"/>
          <w:szCs w:val="14"/>
          <w:color w:val="auto"/>
        </w:rPr>
        <w:t>Interest expense consists primarily of accretion of the present value of the litigation settlement liability. See Note 15 included in the notes to our unaudited interim</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consolidated financial statements included elsewhere in this Quarterly Report on Form 10-Q for further details regarding the settlement.</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Interest income. </w:t>
      </w:r>
      <w:r>
        <w:rPr>
          <w:rFonts w:ascii="Arial" w:cs="Arial" w:eastAsia="Arial" w:hAnsi="Arial"/>
          <w:sz w:val="14"/>
          <w:szCs w:val="14"/>
          <w:color w:val="auto"/>
        </w:rPr>
        <w:t>Our interest income consists primarily of interest earned on our cash and cash equivalents which are invested in cash deposits and in money market funds.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Other income (expense), net. </w:t>
      </w:r>
      <w:r>
        <w:rPr>
          <w:rFonts w:ascii="Arial" w:cs="Arial" w:eastAsia="Arial" w:hAnsi="Arial"/>
          <w:sz w:val="14"/>
          <w:szCs w:val="14"/>
          <w:color w:val="auto"/>
        </w:rPr>
        <w:t>Our other income (expense), net consists primarily of foreign exchange gains and losses.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4"/>
          <w:szCs w:val="14"/>
          <w:b w:val="1"/>
          <w:bCs w:val="1"/>
          <w:i w:val="1"/>
          <w:iCs w:val="1"/>
          <w:color w:val="auto"/>
        </w:rPr>
        <w:t>Income taxes</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Our provision for (benefit from) income taxes consists primarily of provision for federal taxes, local taxes and state minimum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Comparison of the three and six months ended June 30, 2021 and 2020</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The results of operations presented below should be reviewed in conjunction with the unaudited interim consolidated financial statements and related notes included elsewhere in this Quarterly Report on Form 10-Q.</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our interim consolidated results of operations and comprehensive income data for the periods presented: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196"/>
        </w:trPr>
        <w:tc>
          <w:tcPr>
            <w:tcW w:w="482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7"/>
                <w:szCs w:val="17"/>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7"/>
                <w:szCs w:val="17"/>
                <w:color w:val="auto"/>
              </w:rPr>
            </w:pPr>
          </w:p>
        </w:tc>
      </w:tr>
      <w:tr>
        <w:trPr>
          <w:trHeight w:val="202"/>
        </w:trPr>
        <w:tc>
          <w:tcPr>
            <w:tcW w:w="4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Revenue, net:</w:t>
            </w:r>
          </w:p>
        </w:tc>
        <w:tc>
          <w:tcPr>
            <w:tcW w:w="10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r>
      <w:tr>
        <w:trPr>
          <w:trHeight w:val="196"/>
        </w:trPr>
        <w:tc>
          <w:tcPr>
            <w:tcW w:w="4820" w:type="dxa"/>
            <w:vAlign w:val="bottom"/>
          </w:tcPr>
          <w:p>
            <w:pPr>
              <w:ind w:left="120"/>
              <w:spacing w:after="0"/>
              <w:rPr>
                <w:sz w:val="20"/>
                <w:szCs w:val="20"/>
                <w:color w:val="auto"/>
              </w:rPr>
            </w:pPr>
            <w:r>
              <w:rPr>
                <w:rFonts w:ascii="Arial" w:cs="Arial" w:eastAsia="Arial" w:hAnsi="Arial"/>
                <w:sz w:val="14"/>
                <w:szCs w:val="14"/>
                <w:color w:val="auto"/>
              </w:rPr>
              <w:t>Product</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28,676</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17,471</w:t>
            </w:r>
          </w:p>
        </w:tc>
        <w:tc>
          <w:tcPr>
            <w:tcW w:w="104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51,376</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33,535</w:t>
            </w:r>
          </w:p>
        </w:tc>
      </w:tr>
      <w:tr>
        <w:trPr>
          <w:trHeight w:val="203"/>
        </w:trPr>
        <w:tc>
          <w:tcPr>
            <w:tcW w:w="4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Service</w:t>
            </w:r>
          </w:p>
        </w:tc>
        <w:tc>
          <w:tcPr>
            <w:tcW w:w="10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1,732</w:t>
            </w: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1,665</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3,304</w:t>
            </w: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3,589</w:t>
            </w:r>
          </w:p>
        </w:tc>
      </w:tr>
      <w:tr>
        <w:trPr>
          <w:trHeight w:val="196"/>
        </w:trPr>
        <w:tc>
          <w:tcPr>
            <w:tcW w:w="4820" w:type="dxa"/>
            <w:vAlign w:val="bottom"/>
          </w:tcPr>
          <w:p>
            <w:pPr>
              <w:ind w:left="160"/>
              <w:spacing w:after="0"/>
              <w:rPr>
                <w:sz w:val="20"/>
                <w:szCs w:val="20"/>
                <w:color w:val="auto"/>
              </w:rPr>
            </w:pPr>
            <w:r>
              <w:rPr>
                <w:rFonts w:ascii="Arial" w:cs="Arial" w:eastAsia="Arial" w:hAnsi="Arial"/>
                <w:sz w:val="14"/>
                <w:szCs w:val="14"/>
                <w:color w:val="auto"/>
              </w:rPr>
              <w:t>Total revenue, net</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30,408</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19,136</w:t>
            </w: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54,680</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37,124</w:t>
            </w:r>
          </w:p>
        </w:tc>
      </w:tr>
      <w:tr>
        <w:trPr>
          <w:trHeight w:val="202"/>
        </w:trPr>
        <w:tc>
          <w:tcPr>
            <w:tcW w:w="4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sales:</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r>
      <w:tr>
        <w:trPr>
          <w:trHeight w:val="197"/>
        </w:trPr>
        <w:tc>
          <w:tcPr>
            <w:tcW w:w="4820" w:type="dxa"/>
            <w:vAlign w:val="bottom"/>
          </w:tcPr>
          <w:p>
            <w:pPr>
              <w:ind w:left="120"/>
              <w:spacing w:after="0"/>
              <w:rPr>
                <w:sz w:val="20"/>
                <w:szCs w:val="20"/>
                <w:color w:val="auto"/>
              </w:rPr>
            </w:pPr>
            <w:r>
              <w:rPr>
                <w:rFonts w:ascii="Arial" w:cs="Arial" w:eastAsia="Arial" w:hAnsi="Arial"/>
                <w:sz w:val="14"/>
                <w:szCs w:val="14"/>
                <w:color w:val="auto"/>
              </w:rPr>
              <w:t>Product</w:t>
            </w:r>
          </w:p>
        </w:tc>
        <w:tc>
          <w:tcPr>
            <w:tcW w:w="100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7,932</w:t>
            </w:r>
          </w:p>
        </w:tc>
        <w:tc>
          <w:tcPr>
            <w:tcW w:w="104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8,896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15,240</w:t>
            </w:r>
          </w:p>
        </w:tc>
        <w:tc>
          <w:tcPr>
            <w:tcW w:w="9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16,088</w:t>
            </w:r>
          </w:p>
        </w:tc>
      </w:tr>
      <w:tr>
        <w:trPr>
          <w:trHeight w:val="203"/>
        </w:trPr>
        <w:tc>
          <w:tcPr>
            <w:tcW w:w="4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Service</w:t>
            </w:r>
          </w:p>
        </w:tc>
        <w:tc>
          <w:tcPr>
            <w:tcW w:w="10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2,731</w:t>
            </w: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1,970</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5,209</w:t>
            </w: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4,391</w:t>
            </w:r>
          </w:p>
        </w:tc>
      </w:tr>
      <w:tr>
        <w:trPr>
          <w:trHeight w:val="196"/>
        </w:trPr>
        <w:tc>
          <w:tcPr>
            <w:tcW w:w="4820" w:type="dxa"/>
            <w:vAlign w:val="bottom"/>
          </w:tcPr>
          <w:p>
            <w:pPr>
              <w:ind w:left="160"/>
              <w:spacing w:after="0"/>
              <w:rPr>
                <w:sz w:val="20"/>
                <w:szCs w:val="20"/>
                <w:color w:val="auto"/>
              </w:rPr>
            </w:pPr>
            <w:r>
              <w:rPr>
                <w:rFonts w:ascii="Arial" w:cs="Arial" w:eastAsia="Arial" w:hAnsi="Arial"/>
                <w:sz w:val="14"/>
                <w:szCs w:val="14"/>
                <w:color w:val="auto"/>
              </w:rPr>
              <w:t>Total cost of sales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10,663</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10,866</w:t>
            </w: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20,449</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20,479</w:t>
            </w:r>
          </w:p>
        </w:tc>
      </w:tr>
      <w:tr>
        <w:trPr>
          <w:trHeight w:val="202"/>
        </w:trPr>
        <w:tc>
          <w:tcPr>
            <w:tcW w:w="4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Gross profit</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19,745</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8,270</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34,231</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16,645</w:t>
            </w:r>
          </w:p>
        </w:tc>
      </w:tr>
      <w:tr>
        <w:trPr>
          <w:trHeight w:val="197"/>
        </w:trPr>
        <w:tc>
          <w:tcPr>
            <w:tcW w:w="4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8"/>
        </w:trPr>
        <w:tc>
          <w:tcPr>
            <w:tcW w:w="4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Research and development</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6,194</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2,916</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11,288</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5,932</w:t>
            </w:r>
          </w:p>
        </w:tc>
      </w:tr>
      <w:tr>
        <w:trPr>
          <w:trHeight w:val="196"/>
        </w:trPr>
        <w:tc>
          <w:tcPr>
            <w:tcW w:w="482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100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5,576</w:t>
            </w:r>
          </w:p>
        </w:tc>
        <w:tc>
          <w:tcPr>
            <w:tcW w:w="104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3,059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9,853</w:t>
            </w:r>
          </w:p>
        </w:tc>
        <w:tc>
          <w:tcPr>
            <w:tcW w:w="9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6,590</w:t>
            </w:r>
          </w:p>
        </w:tc>
      </w:tr>
      <w:tr>
        <w:trPr>
          <w:trHeight w:val="203"/>
        </w:trPr>
        <w:tc>
          <w:tcPr>
            <w:tcW w:w="4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4,164</w:t>
            </w: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2,513</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8,147</w:t>
            </w: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5,051</w:t>
            </w:r>
          </w:p>
        </w:tc>
      </w:tr>
      <w:tr>
        <w:trPr>
          <w:trHeight w:val="196"/>
        </w:trPr>
        <w:tc>
          <w:tcPr>
            <w:tcW w:w="4820" w:type="dxa"/>
            <w:vAlign w:val="bottom"/>
          </w:tcPr>
          <w:p>
            <w:pPr>
              <w:ind w:left="160"/>
              <w:spacing w:after="0"/>
              <w:rPr>
                <w:sz w:val="20"/>
                <w:szCs w:val="20"/>
                <w:color w:val="auto"/>
              </w:rPr>
            </w:pPr>
            <w:r>
              <w:rPr>
                <w:rFonts w:ascii="Arial" w:cs="Arial" w:eastAsia="Arial" w:hAnsi="Arial"/>
                <w:sz w:val="14"/>
                <w:szCs w:val="14"/>
                <w:color w:val="auto"/>
              </w:rPr>
              <w:t>Total operating expenses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15,934</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8,488</w:t>
            </w: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29,288</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17,573</w:t>
            </w:r>
          </w:p>
        </w:tc>
      </w:tr>
      <w:tr>
        <w:trPr>
          <w:trHeight w:val="202"/>
        </w:trPr>
        <w:tc>
          <w:tcPr>
            <w:tcW w:w="4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Income (loss) from operations</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3,811</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(218 )</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4,943</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(928 )</w:t>
            </w:r>
          </w:p>
        </w:tc>
      </w:tr>
      <w:tr>
        <w:trPr>
          <w:trHeight w:val="197"/>
        </w:trPr>
        <w:tc>
          <w:tcPr>
            <w:tcW w:w="48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8"/>
        </w:trPr>
        <w:tc>
          <w:tcPr>
            <w:tcW w:w="4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expense</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(433 )</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(808 )</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r>
      <w:tr>
        <w:trPr>
          <w:trHeight w:val="197"/>
        </w:trPr>
        <w:tc>
          <w:tcPr>
            <w:tcW w:w="482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100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4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94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102</w:t>
            </w:r>
          </w:p>
        </w:tc>
      </w:tr>
      <w:tr>
        <w:trPr>
          <w:trHeight w:val="203"/>
        </w:trPr>
        <w:tc>
          <w:tcPr>
            <w:tcW w:w="4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Other income (expense), net</w:t>
            </w:r>
          </w:p>
        </w:tc>
        <w:tc>
          <w:tcPr>
            <w:tcW w:w="10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(120 )</w:t>
            </w: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395</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(735 )</w:t>
            </w: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358</w:t>
            </w: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3,267</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3,419</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(469 )</w:t>
            </w:r>
          </w:p>
        </w:tc>
      </w:tr>
      <w:tr>
        <w:trPr>
          <w:trHeight w:val="202"/>
        </w:trPr>
        <w:tc>
          <w:tcPr>
            <w:tcW w:w="4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597</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(7,919 )</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647</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(7,741 )</w:t>
            </w:r>
          </w:p>
        </w:tc>
      </w:tr>
      <w:tr>
        <w:trPr>
          <w:trHeight w:val="196"/>
        </w:trPr>
        <w:tc>
          <w:tcPr>
            <w:tcW w:w="482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2,670</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8,111</w:t>
            </w:r>
          </w:p>
        </w:tc>
        <w:tc>
          <w:tcPr>
            <w:tcW w:w="104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2,772</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7,272</w:t>
            </w:r>
          </w:p>
        </w:tc>
      </w:tr>
      <w:tr>
        <w:trPr>
          <w:trHeight w:val="202"/>
        </w:trPr>
        <w:tc>
          <w:tcPr>
            <w:tcW w:w="4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 net of tax</w:t>
            </w:r>
          </w:p>
        </w:tc>
        <w:tc>
          <w:tcPr>
            <w:tcW w:w="10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269</w:t>
            </w:r>
          </w:p>
        </w:tc>
        <w:tc>
          <w:tcPr>
            <w:tcW w:w="10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(19 )</w:t>
            </w:r>
          </w:p>
        </w:tc>
        <w:tc>
          <w:tcPr>
            <w:tcW w:w="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471</w:t>
            </w: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(96 )</w:t>
            </w:r>
          </w:p>
        </w:tc>
      </w:tr>
      <w:tr>
        <w:trPr>
          <w:trHeight w:val="203"/>
        </w:trPr>
        <w:tc>
          <w:tcPr>
            <w:tcW w:w="4820" w:type="dxa"/>
            <w:vAlign w:val="bottom"/>
          </w:tcPr>
          <w:p>
            <w:pPr>
              <w:ind w:left="240"/>
              <w:spacing w:after="0"/>
              <w:rPr>
                <w:sz w:val="20"/>
                <w:szCs w:val="20"/>
                <w:color w:val="auto"/>
              </w:rPr>
            </w:pPr>
            <w:r>
              <w:rPr>
                <w:rFonts w:ascii="Arial" w:cs="Arial" w:eastAsia="Arial" w:hAnsi="Arial"/>
                <w:sz w:val="14"/>
                <w:szCs w:val="14"/>
                <w:color w:val="auto"/>
              </w:rPr>
              <w:t>Net comprehensive income</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2,939</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8,092</w:t>
            </w:r>
          </w:p>
        </w:tc>
        <w:tc>
          <w:tcPr>
            <w:tcW w:w="104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3,243</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7,176</w:t>
            </w: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-2799715</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-2268220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-1479550</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-690880</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3" w:lineRule="exact"/>
        <w:rPr>
          <w:sz w:val="20"/>
          <w:szCs w:val="20"/>
          <w:color w:val="auto"/>
        </w:rPr>
      </w:pPr>
    </w:p>
    <w:p>
      <w:pPr>
        <w:ind w:left="1060"/>
        <w:spacing w:after="0"/>
        <w:rPr>
          <w:sz w:val="20"/>
          <w:szCs w:val="20"/>
          <w:color w:val="auto"/>
        </w:rPr>
      </w:pPr>
      <w:r>
        <w:rPr>
          <w:rFonts w:ascii="Arial" w:cs="Arial" w:eastAsia="Arial" w:hAnsi="Arial"/>
          <w:sz w:val="14"/>
          <w:szCs w:val="14"/>
          <w:b w:val="1"/>
          <w:bCs w:val="1"/>
          <w:i w:val="1"/>
          <w:iCs w:val="1"/>
          <w:color w:val="auto"/>
        </w:rPr>
        <w:t>Total revenue, net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96"/>
              </w:rPr>
              <w:t>Six months ended June 30,</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6"/>
                <w:szCs w:val="16"/>
                <w:color w:val="auto"/>
              </w:rPr>
            </w:pPr>
          </w:p>
        </w:tc>
      </w:tr>
      <w:tr>
        <w:trPr>
          <w:trHeight w:val="197"/>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net</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197"/>
        </w:trPr>
        <w:tc>
          <w:tcPr>
            <w:tcW w:w="2960" w:type="dxa"/>
            <w:vAlign w:val="bottom"/>
          </w:tcPr>
          <w:p>
            <w:pPr>
              <w:ind w:left="120"/>
              <w:spacing w:after="0"/>
              <w:rPr>
                <w:sz w:val="20"/>
                <w:szCs w:val="20"/>
                <w:color w:val="auto"/>
              </w:rPr>
            </w:pPr>
            <w:r>
              <w:rPr>
                <w:rFonts w:ascii="Arial" w:cs="Arial" w:eastAsia="Arial" w:hAnsi="Arial"/>
                <w:sz w:val="14"/>
                <w:szCs w:val="14"/>
                <w:color w:val="auto"/>
              </w:rPr>
              <w:t>Product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28,676</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17,471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11,205</w:t>
            </w:r>
          </w:p>
        </w:tc>
        <w:tc>
          <w:tcPr>
            <w:tcW w:w="580" w:type="dxa"/>
            <w:vAlign w:val="bottom"/>
          </w:tcPr>
          <w:p>
            <w:pPr>
              <w:jc w:val="right"/>
              <w:spacing w:after="0"/>
              <w:rPr>
                <w:sz w:val="20"/>
                <w:szCs w:val="20"/>
                <w:color w:val="auto"/>
              </w:rPr>
            </w:pPr>
            <w:r>
              <w:rPr>
                <w:rFonts w:ascii="Arial" w:cs="Arial" w:eastAsia="Arial" w:hAnsi="Arial"/>
                <w:sz w:val="14"/>
                <w:szCs w:val="14"/>
                <w:color w:val="auto"/>
              </w:rPr>
              <w:t>64 %</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51,376</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33,535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17,841</w:t>
            </w:r>
          </w:p>
        </w:tc>
        <w:tc>
          <w:tcPr>
            <w:tcW w:w="560" w:type="dxa"/>
            <w:vAlign w:val="bottom"/>
          </w:tcPr>
          <w:p>
            <w:pPr>
              <w:jc w:val="right"/>
              <w:spacing w:after="0"/>
              <w:rPr>
                <w:sz w:val="20"/>
                <w:szCs w:val="20"/>
                <w:color w:val="auto"/>
              </w:rPr>
            </w:pPr>
            <w:r>
              <w:rPr>
                <w:rFonts w:ascii="Arial" w:cs="Arial" w:eastAsia="Arial" w:hAnsi="Arial"/>
                <w:sz w:val="14"/>
                <w:szCs w:val="14"/>
                <w:color w:val="auto"/>
              </w:rPr>
              <w:t>53 %</w:t>
            </w:r>
          </w:p>
        </w:tc>
      </w:tr>
      <w:tr>
        <w:trPr>
          <w:trHeight w:val="203"/>
        </w:trPr>
        <w:tc>
          <w:tcPr>
            <w:tcW w:w="29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Service</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1,732</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1,665</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67</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4 %</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3,304</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3,589</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(285 )</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-8 %</w:t>
            </w:r>
          </w:p>
        </w:tc>
      </w:tr>
      <w:tr>
        <w:trPr>
          <w:trHeight w:val="190"/>
        </w:trPr>
        <w:tc>
          <w:tcPr>
            <w:tcW w:w="2960" w:type="dxa"/>
            <w:vAlign w:val="bottom"/>
          </w:tcPr>
          <w:p>
            <w:pPr>
              <w:ind w:left="20"/>
              <w:spacing w:after="0"/>
              <w:rPr>
                <w:sz w:val="20"/>
                <w:szCs w:val="20"/>
                <w:color w:val="auto"/>
              </w:rPr>
            </w:pPr>
            <w:r>
              <w:rPr>
                <w:rFonts w:ascii="Arial" w:cs="Arial" w:eastAsia="Arial" w:hAnsi="Arial"/>
                <w:sz w:val="14"/>
                <w:szCs w:val="14"/>
                <w:color w:val="auto"/>
              </w:rPr>
              <w:t>Total revenue,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30,408</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19,136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11,272</w:t>
            </w:r>
          </w:p>
        </w:tc>
        <w:tc>
          <w:tcPr>
            <w:tcW w:w="580" w:type="dxa"/>
            <w:vAlign w:val="bottom"/>
          </w:tcPr>
          <w:p>
            <w:pPr>
              <w:jc w:val="right"/>
              <w:spacing w:after="0"/>
              <w:rPr>
                <w:sz w:val="20"/>
                <w:szCs w:val="20"/>
                <w:color w:val="auto"/>
              </w:rPr>
            </w:pPr>
            <w:r>
              <w:rPr>
                <w:rFonts w:ascii="Arial" w:cs="Arial" w:eastAsia="Arial" w:hAnsi="Arial"/>
                <w:sz w:val="14"/>
                <w:szCs w:val="14"/>
                <w:color w:val="auto"/>
              </w:rPr>
              <w:t>59 %</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54,680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37,124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17,556</w:t>
            </w:r>
          </w:p>
        </w:tc>
        <w:tc>
          <w:tcPr>
            <w:tcW w:w="560" w:type="dxa"/>
            <w:vAlign w:val="bottom"/>
          </w:tcPr>
          <w:p>
            <w:pPr>
              <w:jc w:val="right"/>
              <w:spacing w:after="0"/>
              <w:rPr>
                <w:sz w:val="20"/>
                <w:szCs w:val="20"/>
                <w:color w:val="auto"/>
              </w:rPr>
            </w:pPr>
            <w:r>
              <w:rPr>
                <w:rFonts w:ascii="Arial" w:cs="Arial" w:eastAsia="Arial" w:hAnsi="Arial"/>
                <w:sz w:val="14"/>
                <w:szCs w:val="14"/>
                <w:color w:val="auto"/>
              </w:rPr>
              <w:t>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-125730</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-125730</wp:posOffset>
            </wp:positionV>
            <wp:extent cx="946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-125730</wp:posOffset>
            </wp:positionV>
            <wp:extent cx="431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9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Total revenue, net increased by $11.3 million, or 59%, for the three months ended June 30, 2021 as compared to the three months ended June 30, 2020. Total revenue, net increased by $17.6 million, or 47%, for the six months ended June 30, 2021 as compared to the six months ended June 30, 2020. The increase in revenue was primarily driven by an increase in product revenue due to higher unit sales of our Aurora and Northern Lights systems and an increase in the average blended selling price due to product mix.</w:t>
      </w:r>
    </w:p>
    <w:p>
      <w:pPr>
        <w:spacing w:after="0" w:line="13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Product revenue increased by $11.2 million, or 64%, to $28.7 million, for the three months ended June 30, 2021 as compared to the three months ended June 30, 2020. Product revenue increased by $17.8 million, or 53%, to $51.4 million, for the six months ended June 30, 2021 as compared to the six months ended June 30, 2020. The increase was primarily driven by an increase in our instrument sales due to higher unit sales of our Aurora and Northern Lights systems and an increase in the average blended selling price due to product mix.</w:t>
      </w:r>
    </w:p>
    <w:p>
      <w:pPr>
        <w:spacing w:after="0" w:line="16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Service revenue increased by $67,000, or 4%, to $1.7 million, for the three months ended June 30, 2021 as compared to the three months ended June 30, 2020. Service revenue decreased by $284,000, or 8%, to $3.3 million, for the six months ended June 30, 2021 as compared to the six months ended June 30, 2020. The increase in service revenue for the three months ended June 30, 2021 was related to instruments coming off warranty and transitioning to service contracts. The decrease in service revenue for the six months ended June 30, 2021 was driven by reduced service contract revenue associated with non-Cytek instruments. While we have historically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99" w:lineRule="auto"/>
        <w:rPr>
          <w:sz w:val="20"/>
          <w:szCs w:val="20"/>
          <w:color w:val="auto"/>
        </w:rPr>
      </w:pPr>
      <w:r>
        <w:rPr>
          <w:rFonts w:ascii="Arial" w:cs="Arial" w:eastAsia="Arial" w:hAnsi="Arial"/>
          <w:sz w:val="13"/>
          <w:szCs w:val="13"/>
          <w:color w:val="auto"/>
        </w:rPr>
        <w:t>performed maintenance services and support functions for non-Cytek instruments, we ceased sales of service contracts for non-Cytek instruments as of January 1, 2021 while continuing to honor pre-existing multi-year service contracts. We perform on-demand professional services to support non-Cytek instruments provided that resources are available. As a result of our decision to no longer service non-Cytek instruments, revenue associated with service contracts for non-Cytek instruments decreased in the six months ended June 30, 2021. Our strategy was to shift resources in the anticipation of the increasing demand for our Aurora and Northern Lights instruments, and to allow us to fully support our instruments when they come out of warranty.</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Total cost of sales, gross profit and gross margin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w w:val="96"/>
              </w:rPr>
              <w:t>Six months ended June 30,</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6"/>
                <w:szCs w:val="16"/>
                <w:color w:val="auto"/>
              </w:rPr>
            </w:pPr>
          </w:p>
        </w:tc>
      </w:tr>
      <w:tr>
        <w:trPr>
          <w:trHeight w:val="19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r>
      <w:tr>
        <w:trPr>
          <w:trHeight w:val="202"/>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sales:</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r>
      <w:tr>
        <w:trPr>
          <w:trHeight w:val="197"/>
        </w:trPr>
        <w:tc>
          <w:tcPr>
            <w:tcW w:w="2940" w:type="dxa"/>
            <w:vAlign w:val="bottom"/>
          </w:tcPr>
          <w:p>
            <w:pPr>
              <w:ind w:left="120"/>
              <w:spacing w:after="0"/>
              <w:rPr>
                <w:sz w:val="20"/>
                <w:szCs w:val="20"/>
                <w:color w:val="auto"/>
              </w:rPr>
            </w:pPr>
            <w:r>
              <w:rPr>
                <w:rFonts w:ascii="Arial" w:cs="Arial" w:eastAsia="Arial" w:hAnsi="Arial"/>
                <w:sz w:val="14"/>
                <w:szCs w:val="14"/>
                <w:color w:val="auto"/>
              </w:rPr>
              <w:t>Product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7,932</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8,896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(964 )</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-11 %</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15,240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16,088</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(848 )</w:t>
            </w:r>
          </w:p>
        </w:tc>
        <w:tc>
          <w:tcPr>
            <w:tcW w:w="54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203"/>
        </w:trPr>
        <w:tc>
          <w:tcPr>
            <w:tcW w:w="29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Service</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2,731</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1,970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761</w:t>
            </w:r>
          </w:p>
        </w:tc>
        <w:tc>
          <w:tcPr>
            <w:tcW w:w="5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39 %</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5,209</w:t>
            </w: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4,391</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818</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19 %</w:t>
            </w:r>
          </w:p>
        </w:tc>
      </w:tr>
      <w:tr>
        <w:trPr>
          <w:trHeight w:val="196"/>
        </w:trPr>
        <w:tc>
          <w:tcPr>
            <w:tcW w:w="2940" w:type="dxa"/>
            <w:vAlign w:val="bottom"/>
          </w:tcPr>
          <w:p>
            <w:pPr>
              <w:ind w:left="20"/>
              <w:spacing w:after="0"/>
              <w:rPr>
                <w:sz w:val="20"/>
                <w:szCs w:val="20"/>
                <w:color w:val="auto"/>
              </w:rPr>
            </w:pPr>
            <w:r>
              <w:rPr>
                <w:rFonts w:ascii="Arial" w:cs="Arial" w:eastAsia="Arial" w:hAnsi="Arial"/>
                <w:sz w:val="14"/>
                <w:szCs w:val="14"/>
                <w:color w:val="auto"/>
              </w:rPr>
              <w:t>Total cost of sales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10,663</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10,866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(203 )</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-2 %</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20,449</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20,479</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(30 )</w:t>
            </w:r>
          </w:p>
        </w:tc>
        <w:tc>
          <w:tcPr>
            <w:tcW w:w="540" w:type="dxa"/>
            <w:vAlign w:val="bottom"/>
          </w:tcPr>
          <w:p>
            <w:pPr>
              <w:jc w:val="right"/>
              <w:spacing w:after="0"/>
              <w:rPr>
                <w:sz w:val="20"/>
                <w:szCs w:val="20"/>
                <w:color w:val="auto"/>
              </w:rPr>
            </w:pPr>
            <w:r>
              <w:rPr>
                <w:rFonts w:ascii="Arial" w:cs="Arial" w:eastAsia="Arial" w:hAnsi="Arial"/>
                <w:sz w:val="14"/>
                <w:szCs w:val="14"/>
                <w:color w:val="auto"/>
              </w:rPr>
              <w:t>0 %</w:t>
            </w:r>
          </w:p>
        </w:tc>
      </w:tr>
      <w:tr>
        <w:trPr>
          <w:trHeight w:val="20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19,745</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8,270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11,475</w:t>
            </w:r>
          </w:p>
        </w:tc>
        <w:tc>
          <w:tcPr>
            <w:tcW w:w="5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139 %</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34,231</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16,645</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17,586</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106 %</w:t>
            </w:r>
          </w:p>
        </w:tc>
      </w:tr>
      <w:tr>
        <w:trPr>
          <w:trHeight w:val="190"/>
        </w:trPr>
        <w:tc>
          <w:tcPr>
            <w:tcW w:w="294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65 %</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43 %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63 %</w:t>
            </w:r>
          </w:p>
        </w:tc>
        <w:tc>
          <w:tcPr>
            <w:tcW w:w="2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-382905</wp:posOffset>
            </wp:positionV>
            <wp:extent cx="514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-382905</wp:posOffset>
            </wp:positionV>
            <wp:extent cx="946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-382905</wp:posOffset>
            </wp:positionV>
            <wp:extent cx="431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w w:val="96"/>
              </w:rPr>
              <w:t>Six months ended June 30,</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6"/>
                <w:szCs w:val="16"/>
                <w:color w:val="auto"/>
              </w:rPr>
            </w:pPr>
          </w:p>
        </w:tc>
      </w:tr>
      <w:tr>
        <w:trPr>
          <w:trHeight w:val="19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r>
      <w:tr>
        <w:trPr>
          <w:trHeight w:val="202"/>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Product:</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r>
      <w:tr>
        <w:trPr>
          <w:trHeight w:val="196"/>
        </w:trPr>
        <w:tc>
          <w:tcPr>
            <w:tcW w:w="2940" w:type="dxa"/>
            <w:vAlign w:val="bottom"/>
          </w:tcPr>
          <w:p>
            <w:pPr>
              <w:ind w:left="120"/>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28,676</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17,471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11,205</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64 %</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51,376</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33,535</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17,841</w:t>
            </w:r>
          </w:p>
        </w:tc>
        <w:tc>
          <w:tcPr>
            <w:tcW w:w="540" w:type="dxa"/>
            <w:vAlign w:val="bottom"/>
          </w:tcPr>
          <w:p>
            <w:pPr>
              <w:jc w:val="right"/>
              <w:spacing w:after="0"/>
              <w:rPr>
                <w:sz w:val="20"/>
                <w:szCs w:val="20"/>
                <w:color w:val="auto"/>
              </w:rPr>
            </w:pPr>
            <w:r>
              <w:rPr>
                <w:rFonts w:ascii="Arial" w:cs="Arial" w:eastAsia="Arial" w:hAnsi="Arial"/>
                <w:sz w:val="14"/>
                <w:szCs w:val="14"/>
                <w:color w:val="auto"/>
              </w:rPr>
              <w:t>53 %</w:t>
            </w:r>
          </w:p>
        </w:tc>
      </w:tr>
      <w:tr>
        <w:trPr>
          <w:trHeight w:val="203"/>
        </w:trPr>
        <w:tc>
          <w:tcPr>
            <w:tcW w:w="29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Cost of sales</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7,932</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8,896</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(964 )</w:t>
            </w:r>
          </w:p>
        </w:tc>
        <w:tc>
          <w:tcPr>
            <w:tcW w:w="5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-11 %</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15,240</w:t>
            </w: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16,088</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(848 )</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-5 %</w:t>
            </w:r>
          </w:p>
        </w:tc>
      </w:tr>
      <w:tr>
        <w:trPr>
          <w:trHeight w:val="196"/>
        </w:trPr>
        <w:tc>
          <w:tcPr>
            <w:tcW w:w="2940" w:type="dxa"/>
            <w:vAlign w:val="bottom"/>
          </w:tcPr>
          <w:p>
            <w:pPr>
              <w:ind w:left="20"/>
              <w:spacing w:after="0"/>
              <w:rPr>
                <w:sz w:val="20"/>
                <w:szCs w:val="20"/>
                <w:color w:val="auto"/>
              </w:rPr>
            </w:pPr>
            <w:r>
              <w:rPr>
                <w:rFonts w:ascii="Arial" w:cs="Arial" w:eastAsia="Arial" w:hAnsi="Arial"/>
                <w:sz w:val="14"/>
                <w:szCs w:val="14"/>
                <w:color w:val="auto"/>
              </w:rPr>
              <w:t>Product gross profit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20,744</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8,575</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12,169</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142 %</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36,136</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17,447</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18,689</w:t>
            </w:r>
          </w:p>
        </w:tc>
        <w:tc>
          <w:tcPr>
            <w:tcW w:w="540" w:type="dxa"/>
            <w:vAlign w:val="bottom"/>
          </w:tcPr>
          <w:p>
            <w:pPr>
              <w:jc w:val="right"/>
              <w:spacing w:after="0"/>
              <w:rPr>
                <w:sz w:val="20"/>
                <w:szCs w:val="20"/>
                <w:color w:val="auto"/>
              </w:rPr>
            </w:pPr>
            <w:r>
              <w:rPr>
                <w:rFonts w:ascii="Arial" w:cs="Arial" w:eastAsia="Arial" w:hAnsi="Arial"/>
                <w:sz w:val="14"/>
                <w:szCs w:val="14"/>
                <w:color w:val="auto"/>
              </w:rPr>
              <w:t>107 %</w:t>
            </w:r>
          </w:p>
        </w:tc>
      </w:tr>
      <w:tr>
        <w:trPr>
          <w:trHeight w:val="208"/>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margin</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72 %</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49 %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70 %</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52 %</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399"/>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Service: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8"/>
        </w:trPr>
        <w:tc>
          <w:tcPr>
            <w:tcW w:w="2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1,732</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1,665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68</w:t>
            </w:r>
          </w:p>
        </w:tc>
        <w:tc>
          <w:tcPr>
            <w:tcW w:w="5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4 %</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3,304</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3,589</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(285 )</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-8 %</w:t>
            </w:r>
          </w:p>
        </w:tc>
      </w:tr>
      <w:tr>
        <w:trPr>
          <w:trHeight w:val="197"/>
        </w:trPr>
        <w:tc>
          <w:tcPr>
            <w:tcW w:w="2940" w:type="dxa"/>
            <w:vAlign w:val="bottom"/>
          </w:tcPr>
          <w:p>
            <w:pPr>
              <w:ind w:left="120"/>
              <w:spacing w:after="0"/>
              <w:rPr>
                <w:sz w:val="20"/>
                <w:szCs w:val="20"/>
                <w:color w:val="auto"/>
              </w:rPr>
            </w:pPr>
            <w:r>
              <w:rPr>
                <w:rFonts w:ascii="Arial" w:cs="Arial" w:eastAsia="Arial" w:hAnsi="Arial"/>
                <w:sz w:val="14"/>
                <w:szCs w:val="14"/>
                <w:color w:val="auto"/>
              </w:rPr>
              <w:t>Cost of sales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2,731</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1,970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761</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39 %</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5,209</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4,391</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r>
      <w:tr>
        <w:trPr>
          <w:trHeight w:val="202"/>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Service gross profit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(998 )</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(305 )</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(693 )</w:t>
            </w:r>
          </w:p>
        </w:tc>
        <w:tc>
          <w:tcPr>
            <w:tcW w:w="5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227 %</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(1,905 )</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(802 )</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(1,103 )</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137 %</w:t>
            </w:r>
          </w:p>
        </w:tc>
      </w:tr>
      <w:tr>
        <w:trPr>
          <w:trHeight w:val="191"/>
        </w:trPr>
        <w:tc>
          <w:tcPr>
            <w:tcW w:w="294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-58 %</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-58 %</w:t>
            </w:r>
          </w:p>
        </w:tc>
        <w:tc>
          <w:tcPr>
            <w:tcW w:w="2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-1034415</wp:posOffset>
            </wp:positionV>
            <wp:extent cx="5143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-1034415</wp:posOffset>
            </wp:positionV>
            <wp:extent cx="9461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-1034415</wp:posOffset>
            </wp:positionV>
            <wp:extent cx="431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92" w:lineRule="exact"/>
        <w:rPr>
          <w:sz w:val="20"/>
          <w:szCs w:val="20"/>
          <w:color w:val="auto"/>
        </w:rPr>
      </w:pPr>
    </w:p>
    <w:p>
      <w:pPr>
        <w:jc w:val="both"/>
        <w:ind w:right="20" w:firstLine="509"/>
        <w:spacing w:after="0" w:line="382" w:lineRule="auto"/>
        <w:rPr>
          <w:sz w:val="20"/>
          <w:szCs w:val="20"/>
          <w:color w:val="auto"/>
        </w:rPr>
      </w:pPr>
      <w:r>
        <w:rPr>
          <w:rFonts w:ascii="Arial" w:cs="Arial" w:eastAsia="Arial" w:hAnsi="Arial"/>
          <w:sz w:val="12"/>
          <w:szCs w:val="12"/>
          <w:color w:val="auto"/>
        </w:rPr>
        <w:t>Total cost of sales decreased by $203,000, or 2%, for the three months ended June 30, 2021 as compared to the three months ended June 30, 2020 and decreased by $30,000 or less than 1% for the six months ended June 30, 2021 as compared to the six months ended June 30, 2020. This is primarily due to lower inventory write-downs as a result of operational improvements.</w:t>
      </w:r>
    </w:p>
    <w:p>
      <w:pPr>
        <w:spacing w:after="0" w:line="128"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Gross profit margin improved by 2,200 basis points to 65% from 43% as a percent of total revenue for the three months ended June 30, 2021 and 2020, respectively, and 1,800 basis point to 63% from 45% as a percent of total revenue for the six months ended June 30, 2021 and 2020, respectively. The increase is primarily due to an increase of core instruments delivered to customers, an increase in the average blended selling price, lower inventory write-downs, and an improved product mix for the three and six months ended June 30, 2021.</w:t>
      </w:r>
    </w:p>
    <w:p>
      <w:pPr>
        <w:spacing w:after="0" w:line="126"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While we have seen a significant increase in total gross profit margin, the gross profit margin of our service revenue has decreased from (18)% and (22)% in the three and six months ended June 30, 2020, respectively, to (58)% in the three and six months ended June 30, 2021. This was due to an increase in personnel related expenses due to an increase in headcount and increase in warranty labor cost. The decrease was also driven by reduced service contract revenue consistent with our expectations after not renewing contracts on non-Cytek instruments.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Research and development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Six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r>
      <w:tr>
        <w:trPr>
          <w:trHeight w:val="196"/>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Research and development</w:t>
            </w: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6,194 $</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3,278</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112 %</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11,288</w:t>
            </w:r>
          </w:p>
        </w:tc>
        <w:tc>
          <w:tcPr>
            <w:tcW w:w="82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1"/>
              </w:rPr>
              <w:t>5,932</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5,356</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90 %</w:t>
            </w:r>
          </w:p>
        </w:tc>
      </w:tr>
    </w:tbl>
    <w:p>
      <w:pPr>
        <w:spacing w:after="0" w:line="400"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Research and development expenses were $6.2 million for the three months ended June 30, 2021 as compared to $2.9 million for the three months ended June 30, 2020. The increase of $3.3 million in research and development expenses was primarily due to an increase in headcount and personnel-related expenses of $1.5 million, a $1.2 million increase in engineering expenses related to cell sorter and reagent developments, an increase in stock-based compensation of $166,000, and other costs related to rent and depreciation of $156,000.</w:t>
      </w:r>
    </w:p>
    <w:p>
      <w:pPr>
        <w:spacing w:after="0" w:line="16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Research and development expenses were $11.3 million for the six months ended June 30, 2021 as compared to $5.9 million for the six months ended June 30, 2020. The increase of $5.4 million in research and development expenses was primarily due to an increase in headcount and personnel-related expenses of $2.4 million, a $2.1 million increase in engineering expenses related to cell sorter and reagent developments, other costs related to rent and depreciation of $294,000, and an increase in stock-based compensation of $265,000.</w:t>
      </w:r>
    </w:p>
    <w:p>
      <w:pPr>
        <w:spacing w:after="0" w:line="167" w:lineRule="exact"/>
        <w:rPr>
          <w:sz w:val="20"/>
          <w:szCs w:val="20"/>
          <w:color w:val="auto"/>
        </w:rPr>
      </w:pPr>
    </w:p>
    <w:p>
      <w:pPr>
        <w:jc w:val="center"/>
        <w:ind w:right="260"/>
        <w:spacing w:after="0" w:line="494" w:lineRule="auto"/>
        <w:rPr>
          <w:sz w:val="20"/>
          <w:szCs w:val="20"/>
          <w:color w:val="auto"/>
        </w:rPr>
      </w:pPr>
      <w:r>
        <w:rPr>
          <w:rFonts w:ascii="Arial" w:cs="Arial" w:eastAsia="Arial" w:hAnsi="Arial"/>
          <w:sz w:val="14"/>
          <w:szCs w:val="14"/>
          <w:color w:val="auto"/>
        </w:rPr>
        <w:t>We expect our research and development expense to increase in absolute dollars as we continue to develop new products and enhance existing instruments and technologies.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2"/>
        </w:trPr>
        <w:tc>
          <w:tcPr>
            <w:tcW w:w="2580" w:type="dxa"/>
            <w:vAlign w:val="bottom"/>
          </w:tcPr>
          <w:p>
            <w:pPr>
              <w:ind w:left="520"/>
              <w:spacing w:after="0"/>
              <w:rPr>
                <w:sz w:val="20"/>
                <w:szCs w:val="20"/>
                <w:color w:val="auto"/>
              </w:rPr>
            </w:pPr>
            <w:r>
              <w:rPr>
                <w:rFonts w:ascii="Arial" w:cs="Arial" w:eastAsia="Arial" w:hAnsi="Arial"/>
                <w:sz w:val="14"/>
                <w:szCs w:val="14"/>
                <w:i w:val="1"/>
                <w:iCs w:val="1"/>
                <w:color w:val="auto"/>
              </w:rPr>
              <w:t>Sales and marketing</w:t>
            </w: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70"/>
        </w:trPr>
        <w:tc>
          <w:tcPr>
            <w:tcW w:w="258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Six months ended June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24"/>
                <w:szCs w:val="24"/>
                <w:color w:val="auto"/>
              </w:rPr>
            </w:pPr>
          </w:p>
        </w:tc>
      </w:tr>
      <w:tr>
        <w:trPr>
          <w:trHeight w:val="197"/>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5,576 $</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3,059</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2,517</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82 %</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9,853</w:t>
            </w:r>
          </w:p>
        </w:tc>
        <w:tc>
          <w:tcPr>
            <w:tcW w:w="82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1"/>
              </w:rPr>
              <w:t>6,590</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3,263</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50 %</w:t>
            </w:r>
          </w:p>
        </w:tc>
      </w:tr>
    </w:tbl>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Sales and marketing expenses were $5.6 million for the three months ended June 30, 2021 as compared to $3.1 million for the three months ended June 30, 2020. The increase of $2.5</w:t>
      </w:r>
    </w:p>
    <w:p>
      <w:pPr>
        <w:spacing w:after="0" w:line="53" w:lineRule="exact"/>
        <w:rPr>
          <w:sz w:val="20"/>
          <w:szCs w:val="20"/>
          <w:color w:val="auto"/>
        </w:rPr>
      </w:pPr>
    </w:p>
    <w:p>
      <w:pPr>
        <w:jc w:val="both"/>
        <w:spacing w:after="0" w:line="334" w:lineRule="auto"/>
        <w:rPr>
          <w:sz w:val="20"/>
          <w:szCs w:val="20"/>
          <w:color w:val="auto"/>
        </w:rPr>
      </w:pPr>
      <w:r>
        <w:rPr>
          <w:rFonts w:ascii="Arial" w:cs="Arial" w:eastAsia="Arial" w:hAnsi="Arial"/>
          <w:sz w:val="13"/>
          <w:szCs w:val="13"/>
          <w:color w:val="auto"/>
        </w:rPr>
        <w:t>million was due to an increase in headcount and personnel-related expenses of $1.8 million. The increase in personnel-related costs was primarily due to increased commissions and headcount, as well as an increase of $166,000 in stock-based compensation. There was also an increase in advertising and marketing activities of $304,000 and outside services of $267,000.</w:t>
      </w:r>
    </w:p>
    <w:p>
      <w:pPr>
        <w:spacing w:after="0" w:line="151"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Sales and marketing expenses were $9.9 million for the six months ended June 30, 2021 as compared to $6.6 million for the six months ended June 30, 2020. The increase of $3.3 million was due to an increase in headcount and personnel-related expenses of $3.0 million. The increase in personnel-related costs was primarily due to increased commissions and headcount, as well as an increase of $236,000 in stock-based compensation. There was also an increase in advertising and marketing activities of $180,000 and outside services of $301,000. The expenses were partially offset by a reduction of $261,000 in travel expenses as business travel, trade shows and other events were impacted by restrictions imposed due to the COVID-19 pandemic.</w:t>
      </w:r>
    </w:p>
    <w:p>
      <w:pPr>
        <w:spacing w:after="0" w:line="17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80" w:type="dxa"/>
            <w:vAlign w:val="bottom"/>
          </w:tcPr>
          <w:p>
            <w:pPr>
              <w:jc w:val="right"/>
              <w:ind w:right="368"/>
              <w:spacing w:after="0"/>
              <w:rPr>
                <w:sz w:val="20"/>
                <w:szCs w:val="20"/>
                <w:color w:val="auto"/>
              </w:rPr>
            </w:pPr>
            <w:r>
              <w:rPr>
                <w:rFonts w:ascii="Arial" w:cs="Arial" w:eastAsia="Arial" w:hAnsi="Arial"/>
                <w:sz w:val="14"/>
                <w:szCs w:val="14"/>
                <w:b w:val="1"/>
                <w:bCs w:val="1"/>
                <w:i w:val="1"/>
                <w:iCs w:val="1"/>
                <w:color w:val="auto"/>
              </w:rPr>
              <w:t>General and administrative</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70"/>
        </w:trPr>
        <w:tc>
          <w:tcPr>
            <w:tcW w:w="2580" w:type="dxa"/>
            <w:vAlign w:val="bottom"/>
          </w:tcPr>
          <w:p>
            <w:pPr>
              <w:spacing w:after="0"/>
              <w:rPr>
                <w:sz w:val="24"/>
                <w:szCs w:val="24"/>
                <w:color w:val="auto"/>
              </w:rPr>
            </w:pPr>
          </w:p>
        </w:tc>
        <w:tc>
          <w:tcPr>
            <w:tcW w:w="236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93"/>
              </w:rPr>
              <w:t>Change</w:t>
            </w:r>
          </w:p>
        </w:tc>
        <w:tc>
          <w:tcPr>
            <w:tcW w:w="5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Six months ended June 30,</w:t>
            </w:r>
          </w:p>
        </w:tc>
        <w:tc>
          <w:tcPr>
            <w:tcW w:w="3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6"/>
        </w:trPr>
        <w:tc>
          <w:tcPr>
            <w:tcW w:w="2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0"/>
              </w:rPr>
              <w:t>(In thousands, except percentages)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r>
      <w:tr>
        <w:trPr>
          <w:trHeight w:val="202"/>
        </w:trPr>
        <w:tc>
          <w:tcPr>
            <w:tcW w:w="2580" w:type="dxa"/>
            <w:vAlign w:val="bottom"/>
            <w:shd w:val="clear" w:color="auto" w:fill="CFF0FC"/>
          </w:tcPr>
          <w:p>
            <w:pPr>
              <w:jc w:val="right"/>
              <w:ind w:right="928"/>
              <w:spacing w:after="0"/>
              <w:rPr>
                <w:sz w:val="20"/>
                <w:szCs w:val="20"/>
                <w:color w:val="auto"/>
              </w:rPr>
            </w:pPr>
            <w:r>
              <w:rPr>
                <w:rFonts w:ascii="Arial" w:cs="Arial" w:eastAsia="Arial" w:hAnsi="Arial"/>
                <w:sz w:val="14"/>
                <w:szCs w:val="14"/>
                <w:color w:val="auto"/>
                <w:w w:val="93"/>
              </w:rPr>
              <w:t>General and administrative</w:t>
            </w: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70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4,164 $</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2,513</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1,651</w:t>
            </w:r>
          </w:p>
        </w:tc>
        <w:tc>
          <w:tcPr>
            <w:tcW w:w="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66 %</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8,147</w:t>
            </w:r>
          </w:p>
        </w:tc>
        <w:tc>
          <w:tcPr>
            <w:tcW w:w="840" w:type="dxa"/>
            <w:vAlign w:val="bottom"/>
            <w:gridSpan w:val="2"/>
            <w:shd w:val="clear" w:color="auto" w:fill="CFF0FC"/>
          </w:tcPr>
          <w:p>
            <w:pPr>
              <w:jc w:val="right"/>
              <w:ind w:right="6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1"/>
              </w:rPr>
              <w:t>5,051</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3,096</w:t>
            </w:r>
          </w:p>
        </w:tc>
        <w:tc>
          <w:tcPr>
            <w:tcW w:w="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61 %</w:t>
            </w:r>
          </w:p>
        </w:tc>
      </w:tr>
    </w:tbl>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General and administrative expenses were $4.2 million for the three months ended June 30, 2021 as compared to $2.5 million for the three months ended June 30, 2020. The increase of</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$1.7 million in general and administrative expenses was primarily due to an increase in general corporate, headcount and personnel-related costs, professional fees relating to our financial audits and other services relating to our IPO and legal, consulting and IT services to support the growth of our overall operations. The increase in personnel-related costs includes an increase of $444,000 from headcount and $175,000 in stock-based compensation.</w:t>
      </w:r>
    </w:p>
    <w:p>
      <w:pPr>
        <w:spacing w:after="0" w:line="14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General and administrative expenses were $8.1 million for the six months ended June 30, 2021 as compared to $5.1 million for the six months ended June 30, 2020. The increase of $3.1 million in general and administrative expenses was primarily due to an increase in general corporate, headcount and personnel-related costs, professional fees relating to our financial audits and other services relating to our IPO and legal, consulting and IT services to support the growth of our overall operations. The increase in personnel-related costs includes an increase of $910,000 from headcount and $245,000 in stock-based compensation.</w:t>
      </w:r>
    </w:p>
    <w:p>
      <w:pPr>
        <w:spacing w:after="0" w:line="36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8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Interest expense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70"/>
        </w:trPr>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Three months ended June 30,</w:t>
            </w:r>
          </w:p>
        </w:tc>
        <w:tc>
          <w:tcPr>
            <w:tcW w:w="122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3"/>
              </w:rPr>
              <w:t>Change</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7"/>
              </w:rPr>
              <w:t>Six months ended June 30,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3"/>
              </w:rPr>
              <w:t>Change</w:t>
            </w:r>
          </w:p>
        </w:tc>
        <w:tc>
          <w:tcPr>
            <w:tcW w:w="520" w:type="dxa"/>
            <w:vAlign w:val="bottom"/>
          </w:tcPr>
          <w:p>
            <w:pPr>
              <w:spacing w:after="0"/>
              <w:rPr>
                <w:sz w:val="24"/>
                <w:szCs w:val="24"/>
                <w:color w:val="auto"/>
              </w:rPr>
            </w:pPr>
          </w:p>
        </w:tc>
      </w:tr>
      <w:tr>
        <w:trPr>
          <w:trHeight w:val="196"/>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202"/>
        </w:trPr>
        <w:tc>
          <w:tcPr>
            <w:tcW w:w="2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(433 ) $</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(1 )</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(432 )</w:t>
            </w:r>
          </w:p>
        </w:tc>
        <w:tc>
          <w:tcPr>
            <w:tcW w:w="180" w:type="dxa"/>
            <w:vAlign w:val="bottom"/>
            <w:shd w:val="clear" w:color="auto" w:fill="CFF0FC"/>
          </w:tcPr>
          <w:p>
            <w:pPr>
              <w:spacing w:after="0"/>
              <w:rPr>
                <w:sz w:val="17"/>
                <w:szCs w:val="17"/>
                <w:color w:val="auto"/>
              </w:rPr>
            </w:pPr>
          </w:p>
        </w:tc>
        <w:tc>
          <w:tcPr>
            <w:tcW w:w="920" w:type="dxa"/>
            <w:vAlign w:val="bottom"/>
            <w:gridSpan w:val="3"/>
            <w:shd w:val="clear" w:color="auto" w:fill="CFF0FC"/>
          </w:tcPr>
          <w:p>
            <w:pPr>
              <w:ind w:left="280"/>
              <w:spacing w:after="0"/>
              <w:rPr>
                <w:sz w:val="20"/>
                <w:szCs w:val="20"/>
                <w:color w:val="auto"/>
              </w:rPr>
            </w:pPr>
            <w:r>
              <w:rPr>
                <w:rFonts w:ascii="Arial" w:cs="Arial" w:eastAsia="Arial" w:hAnsi="Arial"/>
                <w:sz w:val="14"/>
                <w:szCs w:val="14"/>
                <w:color w:val="auto"/>
              </w:rPr>
              <w:t>n/m   $</w:t>
            </w:r>
          </w:p>
        </w:tc>
        <w:tc>
          <w:tcPr>
            <w:tcW w:w="58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748"/>
              <w:spacing w:after="0"/>
              <w:rPr>
                <w:sz w:val="20"/>
                <w:szCs w:val="20"/>
                <w:color w:val="auto"/>
              </w:rPr>
            </w:pPr>
            <w:r>
              <w:rPr>
                <w:rFonts w:ascii="Arial" w:cs="Arial" w:eastAsia="Arial" w:hAnsi="Arial"/>
                <w:sz w:val="14"/>
                <w:szCs w:val="14"/>
                <w:color w:val="auto"/>
                <w:w w:val="99"/>
              </w:rPr>
              <w:t>(808 ) $</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(1 )</w:t>
            </w: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(807 )</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n/m</w:t>
            </w:r>
          </w:p>
        </w:tc>
      </w:tr>
    </w:tbl>
    <w:p>
      <w:pPr>
        <w:spacing w:after="0" w:line="38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Interest expense was $433,000 and $808,000 for the three and six months ended June 30, 2021. This was due to the accretion of the present value discount related to the settlement agreement entered into with Becton, Dickinson and Company (“BD”). See Note 15 included in the notes to our unaudited interim consolidated financial statements included elsewhere in this Quarterly Report on Form 10-Q for further details.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8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Interest income</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0"/>
        </w:trPr>
        <w:tc>
          <w:tcPr>
            <w:tcW w:w="2580" w:type="dxa"/>
            <w:vAlign w:val="bottom"/>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w w:val="96"/>
              </w:rPr>
              <w:t>Six months ended June 30,</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4"/>
                <w:szCs w:val="24"/>
                <w:color w:val="auto"/>
              </w:rPr>
            </w:pPr>
          </w:p>
        </w:tc>
      </w:tr>
      <w:tr>
        <w:trPr>
          <w:trHeight w:val="196"/>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90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96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w:t>
            </w:r>
          </w:p>
        </w:tc>
        <w:tc>
          <w:tcPr>
            <w:tcW w:w="12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(7 )</w:t>
            </w: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-41 %</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(83 )</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-81 %</w:t>
            </w:r>
          </w:p>
        </w:tc>
      </w:tr>
    </w:tbl>
    <w:p>
      <w:pPr>
        <w:spacing w:after="0" w:line="386"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Interest income was $9,000 for the three months ended June 30, 2021 as compared to $16,000 for the three months ended June 30, 2020. Interest income was $19,000 for the six months ended June 30, 2021 as compared to $102,000 for the six months ended June 30, 2020. The decrease of $7,000 and $83,000 in interest income for the three and six months ended June 30, 2021, respectively, was the result of lower interest earned on our cash and short-term deposits due to a decline in interest rates as compared to three and six months ended June 30, 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2"/>
        </w:trPr>
        <w:tc>
          <w:tcPr>
            <w:tcW w:w="258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Other income (expense), net</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0"/>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w w:val="95"/>
              </w:rPr>
              <w:t>Three months ended June 30,</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Six months ended June 30,</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4"/>
                <w:szCs w:val="24"/>
                <w:color w:val="auto"/>
              </w:rPr>
            </w:pPr>
          </w:p>
        </w:tc>
      </w:tr>
      <w:tr>
        <w:trPr>
          <w:trHeight w:val="196"/>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(120 ) $</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w:t>
            </w:r>
          </w:p>
        </w:tc>
        <w:tc>
          <w:tcPr>
            <w:tcW w:w="12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(515 )</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-130 %</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rPr>
              <w:t>(735 )$</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(1,093 )</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-305 %</w:t>
            </w:r>
          </w:p>
        </w:tc>
      </w:tr>
    </w:tbl>
    <w:p>
      <w:pPr>
        <w:spacing w:after="0" w:line="38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Other expense, net was $120,000 for the three months ended June 30, 2021 as compared to Other income of $395,000 for the three months ended June 30, 2020. The net change of $515,000 was primarily the result of the net impact of foreign exchange gains and losses during the three months ended June 30, 2021.</w:t>
      </w:r>
    </w:p>
    <w:p>
      <w:pPr>
        <w:spacing w:after="0" w:line="174"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Other expense, net was $735,000 for the six months ended June 30, 2021 as compared to Other income of $358,000 for the six months ended June 30, 2020. The net change of $1.1 million was the result of increased foreign currency losses on transactions and remeasurement during the six months ended June 30,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8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Income Taxes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70"/>
        </w:trPr>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w w:val="95"/>
              </w:rPr>
              <w:t>Three months ended June 30,</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6"/>
              </w:rPr>
              <w:t>Six months ended June 30,</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24"/>
                <w:szCs w:val="24"/>
                <w:color w:val="auto"/>
              </w:rPr>
            </w:pPr>
          </w:p>
        </w:tc>
      </w:tr>
      <w:tr>
        <w:trPr>
          <w:trHeight w:val="197"/>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(benefit from) income tax</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w:t>
            </w:r>
          </w:p>
        </w:tc>
        <w:tc>
          <w:tcPr>
            <w:tcW w:w="3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(7,919 )</w:t>
            </w:r>
          </w:p>
        </w:tc>
        <w:tc>
          <w:tcPr>
            <w:tcW w:w="12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8,516</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-108 %</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w:t>
            </w:r>
          </w:p>
        </w:tc>
        <w:tc>
          <w:tcPr>
            <w:tcW w:w="3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(7,741 )</w:t>
            </w:r>
          </w:p>
        </w:tc>
        <w:tc>
          <w:tcPr>
            <w:tcW w:w="10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8,388</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-108 %</w:t>
            </w:r>
          </w:p>
        </w:tc>
      </w:tr>
    </w:tbl>
    <w:p>
      <w:pPr>
        <w:spacing w:after="0" w:line="3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Provision for income tax was $597,000 for the three months ended June 30, 2021 as compared to an income tax benefit of $7.9 million for the three months ended June 30, 2020.</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 was $647,000 for the six months ended June 30, 2021 as compared to an income tax benefit of $7.7 million for the six months ended June 30, 2020.</w:t>
      </w:r>
    </w:p>
    <w:p>
      <w:pPr>
        <w:spacing w:after="0" w:line="224"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The net change of $8.5 million and $8.4 million for the three and six months ended June 30, 2021, respectively, was the result of a United States income tax valuation allowance release of $8.1 million in the second quarter of fiscal 2020 and a $540,000 increase in state income tax from higher taxable sales in the three and six months ended June 30, 2020.</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Overview</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To date, our primary sources of capital have been through sales of our securities, revenue from the sale of our products and services and a loan under the PPP. As of June 30, 2021 and December 31, 2020, we had approximately $159.8 million and $165.2 million, respectively, in cash and cash equivalents, which were primarily held in U.S. short-term bank deposit accounts and money market funds.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We anticipate continuing to expend significant amounts of cash for fixed assets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impacts of the COVID-19 pandemic, the timing and extent of additional capital expenditures to invest in existing and new facilities, as well as our manufacturing operations, the expansion of sales and marketing and the introduction of new products. We have and may in the future enter into arrangements to acquire or invest in businesses, services and technologies, and any such acquisitions or investments could significantly increase our capital needs.</w:t>
      </w:r>
    </w:p>
    <w:p>
      <w:pPr>
        <w:spacing w:after="0" w:line="19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 In July 2021, we completed our initial public offering with the sale of 13,949,401 shares of our common stock, which included the full exercise by the underwriters of their option to purchase an additional 2,184,695 shares, at an initial public offering price of $17.00 per share, which resulted in net proceeds to us of approximately $215.2 million.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have financed our operations primarily through sales of our securities. Through June 30, 2021, we raised a total of $201.0 million from the sale of redeemable convertible preferred stock and common stock. We have also benefited from operating cash flows from the sale of our products and services.</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May 7, 2020, we received loan proceeds in the amount of approximately $4.1 million under the PPP. The PPP, established as part of the CARES Act, provides for loans to qualifying businesses for amounts up to 2.5 times of the average monthly payroll expenses of the qualifying business. On May 4, 2021, we fully repaid the PPP loan.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4"/>
          <w:szCs w:val="14"/>
          <w:b w:val="1"/>
          <w:bCs w:val="1"/>
          <w:i w:val="1"/>
          <w:iCs w:val="1"/>
          <w:color w:val="auto"/>
        </w:rPr>
        <w:t>Cash flows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Borders>
              <w:bottom w:val="single" w:sz="8" w:color="auto"/>
            </w:tcBorders>
          </w:tcPr>
          <w:p>
            <w:pPr>
              <w:spacing w:after="0"/>
              <w:rPr>
                <w:sz w:val="16"/>
                <w:szCs w:val="16"/>
                <w:color w:val="auto"/>
              </w:rPr>
            </w:pPr>
          </w:p>
        </w:tc>
      </w:tr>
      <w:tr>
        <w:trPr>
          <w:trHeight w:val="197"/>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ind w:right="1668"/>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2020</w:t>
            </w:r>
          </w:p>
        </w:tc>
      </w:tr>
      <w:tr>
        <w:trPr>
          <w:trHeight w:val="202"/>
        </w:trPr>
        <w:tc>
          <w:tcPr>
            <w:tcW w:w="7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provided by:</w:t>
            </w:r>
          </w:p>
        </w:tc>
        <w:tc>
          <w:tcPr>
            <w:tcW w:w="520" w:type="dxa"/>
            <w:vAlign w:val="bottom"/>
            <w:shd w:val="clear" w:color="auto" w:fill="CFF0FC"/>
          </w:tcPr>
          <w:p>
            <w:pPr>
              <w:spacing w:after="0"/>
              <w:rPr>
                <w:sz w:val="17"/>
                <w:szCs w:val="17"/>
                <w:color w:val="auto"/>
              </w:rPr>
            </w:pPr>
          </w:p>
        </w:tc>
        <w:tc>
          <w:tcPr>
            <w:tcW w:w="24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197"/>
        </w:trPr>
        <w:tc>
          <w:tcPr>
            <w:tcW w:w="7000" w:type="dxa"/>
            <w:vAlign w:val="bottom"/>
          </w:tcPr>
          <w:p>
            <w:pPr>
              <w:ind w:left="120"/>
              <w:spacing w:after="0"/>
              <w:rPr>
                <w:sz w:val="20"/>
                <w:szCs w:val="20"/>
                <w:color w:val="auto"/>
              </w:rPr>
            </w:pPr>
            <w:r>
              <w:rPr>
                <w:rFonts w:ascii="Arial" w:cs="Arial" w:eastAsia="Arial" w:hAnsi="Arial"/>
                <w:sz w:val="14"/>
                <w:szCs w:val="14"/>
                <w:color w:val="auto"/>
              </w:rPr>
              <w:t>Operating activities</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2480" w:type="dxa"/>
            <w:vAlign w:val="bottom"/>
          </w:tcPr>
          <w:p>
            <w:pPr>
              <w:jc w:val="right"/>
              <w:ind w:right="568"/>
              <w:spacing w:after="0"/>
              <w:rPr>
                <w:sz w:val="20"/>
                <w:szCs w:val="20"/>
                <w:color w:val="auto"/>
              </w:rPr>
            </w:pPr>
            <w:r>
              <w:rPr>
                <w:rFonts w:ascii="Arial" w:cs="Arial" w:eastAsia="Arial" w:hAnsi="Arial"/>
                <w:sz w:val="14"/>
                <w:szCs w:val="14"/>
                <w:color w:val="auto"/>
              </w:rPr>
              <w:t>(1,979 ) $</w:t>
            </w:r>
          </w:p>
        </w:tc>
        <w:tc>
          <w:tcPr>
            <w:tcW w:w="124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08"/>
        </w:trPr>
        <w:tc>
          <w:tcPr>
            <w:tcW w:w="70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Investing activities</w:t>
            </w:r>
          </w:p>
        </w:tc>
        <w:tc>
          <w:tcPr>
            <w:tcW w:w="520" w:type="dxa"/>
            <w:vAlign w:val="bottom"/>
            <w:shd w:val="clear" w:color="auto" w:fill="CFF0FC"/>
          </w:tcPr>
          <w:p>
            <w:pPr>
              <w:spacing w:after="0"/>
              <w:rPr>
                <w:sz w:val="18"/>
                <w:szCs w:val="18"/>
                <w:color w:val="auto"/>
              </w:rPr>
            </w:pPr>
          </w:p>
        </w:tc>
        <w:tc>
          <w:tcPr>
            <w:tcW w:w="248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rPr>
              <w:t>(1,389 )</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(870 )</w:t>
            </w:r>
          </w:p>
        </w:tc>
      </w:tr>
      <w:tr>
        <w:trPr>
          <w:trHeight w:val="197"/>
        </w:trPr>
        <w:tc>
          <w:tcPr>
            <w:tcW w:w="7000" w:type="dxa"/>
            <w:vAlign w:val="bottom"/>
          </w:tcPr>
          <w:p>
            <w:pPr>
              <w:ind w:left="120"/>
              <w:spacing w:after="0"/>
              <w:rPr>
                <w:sz w:val="20"/>
                <w:szCs w:val="20"/>
                <w:color w:val="auto"/>
              </w:rPr>
            </w:pPr>
            <w:r>
              <w:rPr>
                <w:rFonts w:ascii="Arial" w:cs="Arial" w:eastAsia="Arial" w:hAnsi="Arial"/>
                <w:sz w:val="14"/>
                <w:szCs w:val="14"/>
                <w:color w:val="auto"/>
              </w:rPr>
              <w:t>Financing activities</w:t>
            </w:r>
          </w:p>
        </w:tc>
        <w:tc>
          <w:tcPr>
            <w:tcW w:w="520" w:type="dxa"/>
            <w:vAlign w:val="bottom"/>
          </w:tcPr>
          <w:p>
            <w:pPr>
              <w:spacing w:after="0"/>
              <w:rPr>
                <w:sz w:val="17"/>
                <w:szCs w:val="17"/>
                <w:color w:val="auto"/>
              </w:rPr>
            </w:pPr>
          </w:p>
        </w:tc>
        <w:tc>
          <w:tcPr>
            <w:tcW w:w="2480" w:type="dxa"/>
            <w:vAlign w:val="bottom"/>
          </w:tcPr>
          <w:p>
            <w:pPr>
              <w:jc w:val="right"/>
              <w:ind w:right="648"/>
              <w:spacing w:after="0"/>
              <w:rPr>
                <w:sz w:val="20"/>
                <w:szCs w:val="20"/>
                <w:color w:val="auto"/>
              </w:rPr>
            </w:pPr>
            <w:r>
              <w:rPr>
                <w:rFonts w:ascii="Arial" w:cs="Arial" w:eastAsia="Arial" w:hAnsi="Arial"/>
                <w:sz w:val="14"/>
                <w:szCs w:val="14"/>
                <w:color w:val="auto"/>
              </w:rPr>
              <w:t>(3,536 )</w:t>
            </w:r>
          </w:p>
        </w:tc>
        <w:tc>
          <w:tcPr>
            <w:tcW w:w="1240" w:type="dxa"/>
            <w:vAlign w:val="bottom"/>
          </w:tcPr>
          <w:p>
            <w:pPr>
              <w:jc w:val="right"/>
              <w:spacing w:after="0"/>
              <w:rPr>
                <w:sz w:val="20"/>
                <w:szCs w:val="20"/>
                <w:color w:val="auto"/>
              </w:rPr>
            </w:pPr>
            <w:r>
              <w:rPr>
                <w:rFonts w:ascii="Arial" w:cs="Arial" w:eastAsia="Arial" w:hAnsi="Arial"/>
                <w:sz w:val="14"/>
                <w:szCs w:val="14"/>
                <w:color w:val="auto"/>
              </w:rPr>
              <w:t>4,095</w:t>
            </w:r>
          </w:p>
        </w:tc>
      </w:tr>
      <w:tr>
        <w:trPr>
          <w:trHeight w:val="203"/>
        </w:trPr>
        <w:tc>
          <w:tcPr>
            <w:tcW w:w="7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520" w:type="dxa"/>
            <w:vAlign w:val="bottom"/>
            <w:tcBorders>
              <w:bottom w:val="single" w:sz="8" w:color="auto"/>
            </w:tcBorders>
            <w:shd w:val="clear" w:color="auto" w:fill="CFF0FC"/>
          </w:tcPr>
          <w:p>
            <w:pPr>
              <w:spacing w:after="0"/>
              <w:rPr>
                <w:sz w:val="17"/>
                <w:szCs w:val="17"/>
                <w:color w:val="auto"/>
              </w:rPr>
            </w:pPr>
          </w:p>
        </w:tc>
        <w:tc>
          <w:tcPr>
            <w:tcW w:w="2480" w:type="dxa"/>
            <w:vAlign w:val="bottom"/>
            <w:tcBorders>
              <w:bottom w:val="single" w:sz="8" w:color="auto"/>
            </w:tcBorders>
            <w:shd w:val="clear" w:color="auto" w:fill="CFF0FC"/>
          </w:tcPr>
          <w:p>
            <w:pPr>
              <w:jc w:val="right"/>
              <w:ind w:right="728"/>
              <w:spacing w:after="0"/>
              <w:rPr>
                <w:sz w:val="20"/>
                <w:szCs w:val="20"/>
                <w:color w:val="auto"/>
              </w:rPr>
            </w:pPr>
            <w:r>
              <w:rPr>
                <w:rFonts w:ascii="Arial" w:cs="Arial" w:eastAsia="Arial" w:hAnsi="Arial"/>
                <w:sz w:val="14"/>
                <w:szCs w:val="14"/>
                <w:color w:val="auto"/>
              </w:rPr>
              <w:t>631</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w:t>
            </w:r>
          </w:p>
        </w:tc>
      </w:tr>
      <w:tr>
        <w:trPr>
          <w:trHeight w:val="202"/>
        </w:trPr>
        <w:tc>
          <w:tcPr>
            <w:tcW w:w="700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24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(6,273 )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4,832</w:t>
            </w:r>
          </w:p>
        </w:tc>
      </w:tr>
      <w:tr>
        <w:trPr>
          <w:trHeight w:val="20"/>
        </w:trPr>
        <w:tc>
          <w:tcPr>
            <w:tcW w:w="7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90"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Net cash used in operating activities for the six months ended June 30, 2021 was $2.0 million consisting primarily of our net income of $2.8 million, an increase of trade accounts receivable of $6.1 million due to an increase in sales, an increase in prepaid expenses and other assets of $2.6 million and an increase in inventories of $3.9 million. This was partially offset by an increase in deferred revenue of $3.9 million, an increase in the legal settlement liability of $965,000, and an increase in accrued expenses and other liabilities of $505,000.</w:t>
      </w:r>
    </w:p>
    <w:p>
      <w:pPr>
        <w:spacing w:after="0" w:line="34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Net cash provided by operating activities for the six months ended June 30, 2020 was $1.3 million consisting primarily of our net income of $7.3 million, an increase in inventories of $4.5 million directly attributable to increased sales and a decrease of trade accounts receivable of $4.1 million due to an increased focus on cash collections. This was partially offset by an increase in the legal settlement liability of $971,000, an increase of deferred revenue of $818,000 and a decrease in accrued expenses and other liabilities of $190,000.</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23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Net cash used in investing activities during the six months ended June 30, 2021 was $1.4 million driven by an increase in purchases of property and equipment of $1.8 million partially offset by the payment for the additional investment in Cytek Japan, net of cash acquired of $371,000. See Note 16 included in the notes to our unaudited interim consolidated financial statements included elsewhere in this Quarterly Report on Form 10-Q.</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Net cash used in investing activities during the six months ended June 30, 2020 was $870,000 primarily driven by an increase in purchases of property and equipment.</w:t>
      </w:r>
    </w:p>
    <w:p>
      <w:pPr>
        <w:spacing w:after="0" w:line="33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Net cash used in financing activities during the six months ended June 30, 2021 was $3.5 million primarily driven by the repayment of the PPP loan of $2.8 million and payment of deferred offering costs of $1.1 million, partially offset by the issuance of our common stock from the exercise of stock options of $317,000.</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Net cash provided by financing activities during the six months ended June 30, 2020 was $4.1 million primarily driven by the cash received from the PPP loan.</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208" w:lineRule="exact"/>
        <w:rPr>
          <w:sz w:val="20"/>
          <w:szCs w:val="20"/>
          <w:color w:val="auto"/>
        </w:rPr>
      </w:pPr>
    </w:p>
    <w:p>
      <w:pPr>
        <w:ind w:left="20" w:right="260" w:firstLine="349"/>
        <w:spacing w:after="0" w:line="355" w:lineRule="auto"/>
        <w:rPr>
          <w:sz w:val="20"/>
          <w:szCs w:val="20"/>
          <w:color w:val="auto"/>
        </w:rPr>
      </w:pPr>
      <w:r>
        <w:rPr>
          <w:rFonts w:ascii="Arial" w:cs="Arial" w:eastAsia="Arial" w:hAnsi="Arial"/>
          <w:sz w:val="13"/>
          <w:szCs w:val="13"/>
          <w:color w:val="auto"/>
        </w:rPr>
        <w:t>During the six months ended June 30, 2021, there were no material changes to our contractual obligations and commitments from those described under “Management’s Discussion and Analysis of Financial Condition" which is contained in our final prospectus filed with the SEC on July 23, 2021 pursuant to Rule 424(b)(4) under the Securities Act, for our IPO.</w:t>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Critical accounting policies, significant judgments and use of estimates</w:t>
      </w:r>
    </w:p>
    <w:p>
      <w:pPr>
        <w:spacing w:after="0" w:line="194" w:lineRule="exact"/>
        <w:rPr>
          <w:sz w:val="20"/>
          <w:szCs w:val="20"/>
          <w:color w:val="auto"/>
        </w:rPr>
      </w:pPr>
    </w:p>
    <w:p>
      <w:pPr>
        <w:ind w:left="20" w:right="160" w:firstLine="509"/>
        <w:spacing w:after="0" w:line="287" w:lineRule="auto"/>
        <w:rPr>
          <w:sz w:val="20"/>
          <w:szCs w:val="20"/>
          <w:color w:val="auto"/>
        </w:rPr>
      </w:pPr>
      <w:r>
        <w:rPr>
          <w:rFonts w:ascii="Arial" w:cs="Arial" w:eastAsia="Arial" w:hAnsi="Arial"/>
          <w:sz w:val="14"/>
          <w:szCs w:val="14"/>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2020 included in our final prospectus filed with the SEC on July 23, 2021 pursuant to Rule 424(b)(4) under the Securities Act for our IPO. There were no material changes to our critical accounting policies during the six months ended June 30, 2021.</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Recently adopted accounting pronouncements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left="20" w:right="880" w:firstLine="738"/>
        <w:spacing w:after="0" w:line="313" w:lineRule="auto"/>
        <w:rPr>
          <w:sz w:val="20"/>
          <w:szCs w:val="20"/>
          <w:color w:val="auto"/>
        </w:rPr>
      </w:pPr>
      <w:r>
        <w:rPr>
          <w:rFonts w:ascii="Arial" w:cs="Arial" w:eastAsia="Arial" w:hAnsi="Arial"/>
          <w:sz w:val="14"/>
          <w:szCs w:val="14"/>
          <w:color w:val="auto"/>
        </w:rPr>
        <w:t>See Note 2 to our unaudited interim consolidated financial statements included elsewhere in this Quarterly Report on Form 10-Q for a description of recent accounting pronouncements applicable to our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 accounting election and smaller reporting company status</w:t>
      </w:r>
    </w:p>
    <w:p>
      <w:pPr>
        <w:spacing w:after="0" w:line="127"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In April 2012, the Jumpstart Our Business Startups Act of 2012(the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w:t>
      </w:r>
    </w:p>
    <w:p>
      <w:pPr>
        <w:spacing w:after="0" w:line="12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may take advantage of these exemptions until such earlier time that we are no longer an emerging growth company. We would cease to be an emerging growth company on the date that is the earliest of (i) the last day of the fiscal year following the fifth anniversary of the date of the completion of our IPO; (ii) the last day of the fiscal year in which our total annual gross revenue is equal to or more than $1.07 billion;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8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Item 3. Quantitative and Qualitative Disclosure about Market Risk</w:t>
      </w:r>
    </w:p>
    <w:p>
      <w:pPr>
        <w:spacing w:after="0" w:line="22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market risk inherent in our financial instruments and in our financial condition represents the potential loss arising from adverse changes in interest rates or exchange rates. As of June 30, 2021, we had cash and cash equivalents of $159.8 million, which consisted primarily of money market funds and bank deposits. The primary objective of our investment is to preserve principal and provide liquidity. These money market funds and bank deposits generate interest income at variable rates below 1%.</w:t>
      </w:r>
    </w:p>
    <w:p>
      <w:pPr>
        <w:spacing w:after="0" w:line="18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therefore do not believe we are exposed to, nor do we anticipate being in the near future exposed to, material risk due to changes in interest rates because of the short-term nature of our cash and cash equivalents.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23"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15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do not believe that either inflation or foreign currency risk had a material effect on our business, financial condition, or results of operations during the periods presented.</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36" w:lineRule="exact"/>
        <w:rPr>
          <w:sz w:val="20"/>
          <w:szCs w:val="20"/>
          <w:color w:val="auto"/>
        </w:rPr>
      </w:pPr>
    </w:p>
    <w:p>
      <w:pPr>
        <w:jc w:val="both"/>
        <w:ind w:left="20" w:right="60" w:firstLine="738"/>
        <w:spacing w:after="0" w:line="303" w:lineRule="auto"/>
        <w:rPr>
          <w:sz w:val="20"/>
          <w:szCs w:val="20"/>
          <w:color w:val="auto"/>
        </w:rPr>
      </w:pPr>
      <w:r>
        <w:rPr>
          <w:rFonts w:ascii="Arial" w:cs="Arial" w:eastAsia="Arial" w:hAnsi="Arial"/>
          <w:sz w:val="13"/>
          <w:szCs w:val="13"/>
          <w:color w:val="auto"/>
        </w:rPr>
        <w:t>Our management, with the participation of our Chief Executive Officer and Chief Financial Officer, have evaluated our disclosure controls and procedures (as defined in Rules 13a-15(e) and 15d-15(e) of the Exchange Act) as of the end of the period covered by this Quarterly Report.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 w:lineRule="exact"/>
        <w:rPr>
          <w:sz w:val="20"/>
          <w:szCs w:val="20"/>
          <w:color w:val="auto"/>
        </w:rPr>
      </w:pPr>
    </w:p>
    <w:p>
      <w:pPr>
        <w:ind w:left="20" w:right="160"/>
        <w:spacing w:after="0" w:line="313" w:lineRule="auto"/>
        <w:rPr>
          <w:sz w:val="20"/>
          <w:szCs w:val="20"/>
          <w:color w:val="auto"/>
        </w:rPr>
      </w:pPr>
      <w:r>
        <w:rPr>
          <w:rFonts w:ascii="Arial" w:cs="Arial" w:eastAsia="Arial" w:hAnsi="Arial"/>
          <w:sz w:val="14"/>
          <w:szCs w:val="14"/>
          <w:color w:val="auto"/>
        </w:rPr>
        <w:t>Based on that evaluation, our Chief Executive Officer and Chief Financial Officer have concluded that, as a result of the material weaknesses in our internal control, our disclosure controls and procedures were not effective as of June 30, 2021.</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Weakness</w:t>
      </w:r>
    </w:p>
    <w:p>
      <w:pPr>
        <w:spacing w:after="0" w:line="217" w:lineRule="exact"/>
        <w:rPr>
          <w:sz w:val="20"/>
          <w:szCs w:val="20"/>
          <w:color w:val="auto"/>
        </w:rPr>
      </w:pPr>
    </w:p>
    <w:p>
      <w:pPr>
        <w:ind w:left="160" w:right="240" w:firstLine="724"/>
        <w:spacing w:after="0" w:line="267" w:lineRule="auto"/>
        <w:rPr>
          <w:sz w:val="20"/>
          <w:szCs w:val="20"/>
          <w:color w:val="auto"/>
        </w:rPr>
      </w:pPr>
      <w:r>
        <w:rPr>
          <w:rFonts w:ascii="Arial" w:cs="Arial" w:eastAsia="Arial" w:hAnsi="Arial"/>
          <w:sz w:val="14"/>
          <w:szCs w:val="14"/>
          <w:color w:val="auto"/>
        </w:rPr>
        <w:t>Prior to the completion of our IPO in July 2021, we have been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our accounting and IT function, and (ii) establishing policies and procedures to identify, select and apply U.S.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Remediation efforts on previously reported material weaknesses</w:t>
      </w:r>
    </w:p>
    <w:p>
      <w:pPr>
        <w:spacing w:after="0" w:line="190" w:lineRule="exact"/>
        <w:rPr>
          <w:sz w:val="20"/>
          <w:szCs w:val="20"/>
          <w:color w:val="auto"/>
        </w:rPr>
      </w:pPr>
    </w:p>
    <w:p>
      <w:pPr>
        <w:ind w:left="20" w:right="100" w:firstLine="733"/>
        <w:spacing w:after="0" w:line="288" w:lineRule="auto"/>
        <w:rPr>
          <w:sz w:val="20"/>
          <w:szCs w:val="20"/>
          <w:color w:val="auto"/>
        </w:rPr>
      </w:pPr>
      <w:r>
        <w:rPr>
          <w:rFonts w:ascii="Arial" w:cs="Arial" w:eastAsia="Arial" w:hAnsi="Arial"/>
          <w:sz w:val="14"/>
          <w:szCs w:val="14"/>
          <w:color w:val="auto"/>
        </w:rPr>
        <w:t>We are committed to remediating the control deficiencies that constituted the above material weakness by implementing changes to our internal control over financial reporting. As part of our remediation plan, we are actively working to hire additional accounting employees with the specific technical accounting and financial reporting experience necessary for a public company. We also expect to engage internal control consultants that will help us design and implement our financial control environment and evaluate and document the design of our internal controls that address the relevant risks; identify any gaps in the internal control environment that require remediation; and perform tests of our systems of internal controls to monitor operating effectiveness of operation of our internal controls. We will continue to assess the adequacy of our accounting personnel, resources, and processes and will add additional personnel, as necessary, commensurate with any increase in the size and complexity of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217" w:lineRule="exact"/>
        <w:rPr>
          <w:sz w:val="20"/>
          <w:szCs w:val="20"/>
          <w:color w:val="auto"/>
        </w:rPr>
      </w:pPr>
    </w:p>
    <w:p>
      <w:pPr>
        <w:ind w:left="20" w:right="40" w:firstLine="738"/>
        <w:spacing w:after="0" w:line="313" w:lineRule="auto"/>
        <w:rPr>
          <w:sz w:val="20"/>
          <w:szCs w:val="20"/>
          <w:color w:val="auto"/>
        </w:rPr>
      </w:pPr>
      <w:r>
        <w:rPr>
          <w:rFonts w:ascii="Arial" w:cs="Arial" w:eastAsia="Arial" w:hAnsi="Arial"/>
          <w:sz w:val="14"/>
          <w:szCs w:val="14"/>
          <w:color w:val="auto"/>
        </w:rPr>
        <w:t>Other than the changes intended to remediate the material weaknesses noted above, there was no change in our internal control over financial reporting that occurred during the three months ended June 30, 2021 that materially affected, or were reasonably likely to materially affect, our internal control over financial reporting.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i w:val="1"/>
          <w:iCs w:val="1"/>
          <w:color w:val="auto"/>
        </w:rPr>
        <w:t>Inherent Limitation on the Effectiveness of Internal Control</w:t>
      </w:r>
    </w:p>
    <w:p>
      <w:pPr>
        <w:spacing w:after="0" w:line="217" w:lineRule="exact"/>
        <w:rPr>
          <w:sz w:val="20"/>
          <w:szCs w:val="20"/>
          <w:color w:val="auto"/>
        </w:rPr>
      </w:pPr>
    </w:p>
    <w:p>
      <w:pPr>
        <w:ind w:left="20" w:firstLine="738"/>
        <w:spacing w:after="0" w:line="292" w:lineRule="auto"/>
        <w:rPr>
          <w:sz w:val="20"/>
          <w:szCs w:val="20"/>
          <w:color w:val="auto"/>
        </w:rPr>
      </w:pPr>
      <w:r>
        <w:rPr>
          <w:rFonts w:ascii="Arial" w:cs="Arial" w:eastAsia="Arial" w:hAnsi="Arial"/>
          <w:sz w:val="14"/>
          <w:szCs w:val="14"/>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688" w:right="61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343" w:lineRule="exact"/>
        <w:rPr>
          <w:sz w:val="20"/>
          <w:szCs w:val="20"/>
          <w:color w:val="auto"/>
        </w:rPr>
      </w:pPr>
    </w:p>
    <w:p>
      <w:pPr>
        <w:ind w:right="20" w:firstLine="578"/>
        <w:spacing w:after="0" w:line="313" w:lineRule="auto"/>
        <w:rPr>
          <w:sz w:val="20"/>
          <w:szCs w:val="20"/>
          <w:color w:val="auto"/>
        </w:rPr>
      </w:pPr>
      <w:r>
        <w:rPr>
          <w:rFonts w:ascii="Arial" w:cs="Arial" w:eastAsia="Arial" w:hAnsi="Arial"/>
          <w:sz w:val="14"/>
          <w:szCs w:val="14"/>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our business, operating results, financial condition or cash flows.</w:t>
      </w: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00" w:lineRule="exact"/>
        <w:rPr>
          <w:sz w:val="20"/>
          <w:szCs w:val="20"/>
          <w:color w:val="auto"/>
        </w:rPr>
      </w:pPr>
    </w:p>
    <w:p>
      <w:pPr>
        <w:spacing w:after="0" w:line="251"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Risk Factors</w:t>
      </w:r>
    </w:p>
    <w:p>
      <w:pPr>
        <w:spacing w:after="0" w:line="113" w:lineRule="exact"/>
        <w:rPr>
          <w:sz w:val="20"/>
          <w:szCs w:val="20"/>
          <w:color w:val="auto"/>
        </w:rPr>
      </w:pPr>
    </w:p>
    <w:p>
      <w:pPr>
        <w:jc w:val="both"/>
        <w:ind w:firstLine="515"/>
        <w:spacing w:after="0" w:line="292" w:lineRule="auto"/>
        <w:rPr>
          <w:sz w:val="20"/>
          <w:szCs w:val="20"/>
          <w:color w:val="auto"/>
        </w:rPr>
      </w:pPr>
      <w:r>
        <w:rPr>
          <w:rFonts w:ascii="Arial" w:cs="Arial" w:eastAsia="Arial" w:hAnsi="Arial"/>
          <w:sz w:val="14"/>
          <w:szCs w:val="14"/>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161" w:lineRule="exact"/>
        <w:rPr>
          <w:sz w:val="20"/>
          <w:szCs w:val="20"/>
          <w:color w:val="auto"/>
        </w:rPr>
      </w:pPr>
    </w:p>
    <w:p>
      <w:pPr>
        <w:jc w:val="both"/>
        <w:ind w:left="440"/>
        <w:spacing w:after="0" w:line="293" w:lineRule="auto"/>
        <w:rPr>
          <w:sz w:val="20"/>
          <w:szCs w:val="20"/>
          <w:color w:val="auto"/>
        </w:rPr>
      </w:pPr>
      <w:r>
        <w:rPr>
          <w:rFonts w:ascii="Arial" w:cs="Arial" w:eastAsia="Arial" w:hAnsi="Arial"/>
          <w:sz w:val="14"/>
          <w:szCs w:val="14"/>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66" w:lineRule="exact"/>
        <w:rPr>
          <w:sz w:val="20"/>
          <w:szCs w:val="20"/>
          <w:color w:val="auto"/>
        </w:rPr>
      </w:pPr>
    </w:p>
    <w:p>
      <w:pPr>
        <w:jc w:val="both"/>
        <w:ind w:left="440"/>
        <w:spacing w:after="0" w:line="277" w:lineRule="auto"/>
        <w:rPr>
          <w:sz w:val="20"/>
          <w:szCs w:val="20"/>
          <w:color w:val="auto"/>
        </w:rPr>
      </w:pPr>
      <w:r>
        <w:rPr>
          <w:rFonts w:ascii="Arial" w:cs="Arial" w:eastAsia="Arial" w:hAnsi="Arial"/>
          <w:sz w:val="14"/>
          <w:szCs w:val="14"/>
          <w:color w:val="auto"/>
        </w:rPr>
        <w:t>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77" w:lineRule="exact"/>
        <w:rPr>
          <w:sz w:val="20"/>
          <w:szCs w:val="20"/>
          <w:color w:val="auto"/>
        </w:rPr>
      </w:pPr>
    </w:p>
    <w:p>
      <w:pPr>
        <w:jc w:val="both"/>
        <w:ind w:left="440"/>
        <w:spacing w:after="0" w:line="277" w:lineRule="auto"/>
        <w:rPr>
          <w:sz w:val="20"/>
          <w:szCs w:val="20"/>
          <w:color w:val="auto"/>
        </w:rPr>
      </w:pPr>
      <w:r>
        <w:rPr>
          <w:rFonts w:ascii="Arial" w:cs="Arial" w:eastAsia="Arial" w:hAnsi="Arial"/>
          <w:sz w:val="14"/>
          <w:szCs w:val="14"/>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We do not have long-term supply contracts with all of these suppliers, and there are no minimum purchase or payment requirements.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results of operations will be harmed if we are unable to accurately forecast customer demand for our products and manage our inventory.</w:t>
      </w:r>
    </w:p>
    <w:p>
      <w:pPr>
        <w:spacing w:after="0" w:line="123" w:lineRule="exact"/>
        <w:rPr>
          <w:sz w:val="20"/>
          <w:szCs w:val="20"/>
          <w:color w:val="auto"/>
        </w:rPr>
      </w:pPr>
    </w:p>
    <w:p>
      <w:pPr>
        <w:jc w:val="both"/>
        <w:ind w:left="440"/>
        <w:spacing w:after="0" w:line="277" w:lineRule="auto"/>
        <w:rPr>
          <w:sz w:val="20"/>
          <w:szCs w:val="20"/>
          <w:color w:val="auto"/>
        </w:rPr>
      </w:pPr>
      <w:r>
        <w:rPr>
          <w:rFonts w:ascii="Arial" w:cs="Arial" w:eastAsia="Arial" w:hAnsi="Arial"/>
          <w:sz w:val="14"/>
          <w:szCs w:val="14"/>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If we are unable to manufacture our products in high-quality commercial quantities successfully and consistently to meet demand, our growth will be limited.</w:t>
      </w:r>
    </w:p>
    <w:p>
      <w:pPr>
        <w:spacing w:after="0" w:line="123" w:lineRule="exact"/>
        <w:rPr>
          <w:sz w:val="20"/>
          <w:szCs w:val="20"/>
          <w:color w:val="auto"/>
        </w:rPr>
      </w:pPr>
    </w:p>
    <w:p>
      <w:pPr>
        <w:jc w:val="both"/>
        <w:ind w:left="440" w:right="20"/>
        <w:spacing w:after="0" w:line="334" w:lineRule="auto"/>
        <w:rPr>
          <w:sz w:val="20"/>
          <w:szCs w:val="20"/>
          <w:color w:val="auto"/>
        </w:rPr>
      </w:pPr>
      <w:r>
        <w:rPr>
          <w:rFonts w:ascii="Arial" w:cs="Arial" w:eastAsia="Arial" w:hAnsi="Arial"/>
          <w:sz w:val="13"/>
          <w:szCs w:val="13"/>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43" w:lineRule="exact"/>
        <w:rPr>
          <w:sz w:val="20"/>
          <w:szCs w:val="20"/>
          <w:color w:val="auto"/>
        </w:rPr>
      </w:pPr>
    </w:p>
    <w:p>
      <w:pPr>
        <w:jc w:val="both"/>
        <w:ind w:left="440"/>
        <w:spacing w:after="0" w:line="277" w:lineRule="auto"/>
        <w:rPr>
          <w:sz w:val="20"/>
          <w:szCs w:val="20"/>
          <w:color w:val="auto"/>
        </w:rPr>
      </w:pPr>
      <w:r>
        <w:rPr>
          <w:rFonts w:ascii="Arial" w:cs="Arial" w:eastAsia="Arial" w:hAnsi="Arial"/>
          <w:sz w:val="14"/>
          <w:szCs w:val="14"/>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77" w:lineRule="exact"/>
        <w:rPr>
          <w:sz w:val="20"/>
          <w:szCs w:val="20"/>
          <w:color w:val="auto"/>
        </w:rPr>
      </w:pPr>
    </w:p>
    <w:p>
      <w:pPr>
        <w:jc w:val="both"/>
        <w:ind w:left="440"/>
        <w:spacing w:after="0" w:line="272" w:lineRule="auto"/>
        <w:rPr>
          <w:sz w:val="20"/>
          <w:szCs w:val="20"/>
          <w:color w:val="auto"/>
        </w:rPr>
      </w:pPr>
      <w:r>
        <w:rPr>
          <w:rFonts w:ascii="Arial" w:cs="Arial" w:eastAsia="Arial" w:hAnsi="Arial"/>
          <w:sz w:val="14"/>
          <w:szCs w:val="14"/>
          <w:color w:val="auto"/>
        </w:rPr>
        <w:t>Concentration of ownership of our common stock among our executive officers, directors and principal stockholders may prevent new investors from influencing significant corporate decisions. Based on shares outstanding as of July 30, 2021, our executive officers, directors and current beneficial owners of 5% or more of our common stock, in the aggregate, beneficially owned approximately 44.9% of our common stock. These stockholders, acting together, will be able to significantly influence all matters requiring stockholder approval, including the election and removal of directors and any merger or other significant corporate transactions.</w:t>
      </w:r>
    </w:p>
    <w:p>
      <w:pPr>
        <w:spacing w:after="0" w:line="80" w:lineRule="exact"/>
        <w:rPr>
          <w:sz w:val="20"/>
          <w:szCs w:val="20"/>
          <w:color w:val="auto"/>
        </w:rPr>
      </w:pPr>
    </w:p>
    <w:p>
      <w:pPr>
        <w:jc w:val="both"/>
        <w:ind w:left="440"/>
        <w:spacing w:after="0" w:line="277" w:lineRule="auto"/>
        <w:rPr>
          <w:sz w:val="20"/>
          <w:szCs w:val="20"/>
          <w:color w:val="auto"/>
        </w:rPr>
      </w:pPr>
      <w:r>
        <w:rPr>
          <w:rFonts w:ascii="Arial" w:cs="Arial" w:eastAsia="Arial" w:hAnsi="Arial"/>
          <w:sz w:val="14"/>
          <w:szCs w:val="14"/>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7" w:lineRule="exact"/>
        <w:rPr>
          <w:sz w:val="20"/>
          <w:szCs w:val="20"/>
          <w:color w:val="auto"/>
        </w:rPr>
      </w:pPr>
    </w:p>
    <w:p>
      <w:pPr>
        <w:jc w:val="both"/>
        <w:ind w:left="440" w:right="20"/>
        <w:spacing w:after="0" w:line="293" w:lineRule="auto"/>
        <w:rPr>
          <w:sz w:val="20"/>
          <w:szCs w:val="20"/>
          <w:color w:val="auto"/>
        </w:rPr>
      </w:pPr>
      <w:r>
        <w:rPr>
          <w:rFonts w:ascii="Arial" w:cs="Arial" w:eastAsia="Arial" w:hAnsi="Arial"/>
          <w:sz w:val="14"/>
          <w:szCs w:val="14"/>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66" w:lineRule="exact"/>
        <w:rPr>
          <w:sz w:val="20"/>
          <w:szCs w:val="20"/>
          <w:color w:val="auto"/>
        </w:rPr>
      </w:pPr>
    </w:p>
    <w:p>
      <w:pPr>
        <w:jc w:val="both"/>
        <w:ind w:left="440"/>
        <w:spacing w:after="0" w:line="293" w:lineRule="auto"/>
        <w:rPr>
          <w:sz w:val="20"/>
          <w:szCs w:val="20"/>
          <w:color w:val="auto"/>
        </w:rPr>
      </w:pPr>
      <w:r>
        <w:rPr>
          <w:rFonts w:ascii="Arial" w:cs="Arial" w:eastAsia="Arial" w:hAnsi="Arial"/>
          <w:sz w:val="14"/>
          <w:szCs w:val="14"/>
          <w:color w:val="auto"/>
        </w:rPr>
        <w:t>International operations and expansion of our international business exposes us to business, regulatory, political, operational, financial and economic risks associated with doing business outside of the United States.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both"/>
        <w:ind w:left="440"/>
        <w:spacing w:after="0" w:line="277" w:lineRule="auto"/>
        <w:rPr>
          <w:sz w:val="20"/>
          <w:szCs w:val="20"/>
          <w:color w:val="auto"/>
        </w:rPr>
      </w:pPr>
      <w:r>
        <w:rPr>
          <w:rFonts w:ascii="Arial" w:cs="Arial" w:eastAsia="Arial" w:hAnsi="Arial"/>
          <w:sz w:val="14"/>
          <w:szCs w:val="14"/>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If our products do not perform as expected, our operating results, reputation and business will suffer.</w:t>
      </w:r>
    </w:p>
    <w:p>
      <w:pPr>
        <w:spacing w:after="0" w:line="123" w:lineRule="exact"/>
        <w:rPr>
          <w:sz w:val="20"/>
          <w:szCs w:val="20"/>
          <w:color w:val="auto"/>
        </w:rPr>
      </w:pPr>
    </w:p>
    <w:p>
      <w:pPr>
        <w:jc w:val="both"/>
        <w:ind w:left="440"/>
        <w:spacing w:after="0" w:line="293" w:lineRule="auto"/>
        <w:rPr>
          <w:sz w:val="20"/>
          <w:szCs w:val="20"/>
          <w:color w:val="auto"/>
        </w:rPr>
      </w:pPr>
      <w:r>
        <w:rPr>
          <w:rFonts w:ascii="Arial" w:cs="Arial" w:eastAsia="Arial" w:hAnsi="Arial"/>
          <w:sz w:val="14"/>
          <w:szCs w:val="14"/>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6" w:lineRule="exact"/>
        <w:rPr>
          <w:sz w:val="20"/>
          <w:szCs w:val="20"/>
          <w:color w:val="auto"/>
        </w:rPr>
      </w:pPr>
    </w:p>
    <w:p>
      <w:pPr>
        <w:jc w:val="both"/>
        <w:ind w:left="440" w:firstLine="40"/>
        <w:spacing w:after="0" w:line="293" w:lineRule="auto"/>
        <w:rPr>
          <w:sz w:val="20"/>
          <w:szCs w:val="20"/>
          <w:color w:val="auto"/>
        </w:rPr>
      </w:pPr>
      <w:r>
        <w:rPr>
          <w:rFonts w:ascii="Arial" w:cs="Arial" w:eastAsia="Arial" w:hAnsi="Arial"/>
          <w:sz w:val="14"/>
          <w:szCs w:val="14"/>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66" w:lineRule="exact"/>
        <w:rPr>
          <w:sz w:val="20"/>
          <w:szCs w:val="20"/>
          <w:color w:val="auto"/>
        </w:rPr>
      </w:pPr>
    </w:p>
    <w:p>
      <w:pPr>
        <w:jc w:val="both"/>
        <w:ind w:left="440"/>
        <w:spacing w:after="0" w:line="293" w:lineRule="auto"/>
        <w:rPr>
          <w:sz w:val="20"/>
          <w:szCs w:val="20"/>
          <w:color w:val="auto"/>
        </w:rPr>
      </w:pPr>
      <w:r>
        <w:rPr>
          <w:rFonts w:ascii="Arial" w:cs="Arial" w:eastAsia="Arial" w:hAnsi="Arial"/>
          <w:sz w:val="14"/>
          <w:szCs w:val="14"/>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6" w:lineRule="exact"/>
        <w:rPr>
          <w:sz w:val="20"/>
          <w:szCs w:val="20"/>
          <w:color w:val="auto"/>
        </w:rPr>
      </w:pPr>
    </w:p>
    <w:p>
      <w:pPr>
        <w:jc w:val="both"/>
        <w:ind w:left="440"/>
        <w:spacing w:after="0" w:line="277" w:lineRule="auto"/>
        <w:rPr>
          <w:sz w:val="20"/>
          <w:szCs w:val="20"/>
          <w:color w:val="auto"/>
        </w:rPr>
      </w:pPr>
      <w:r>
        <w:rPr>
          <w:rFonts w:ascii="Arial" w:cs="Arial" w:eastAsia="Arial" w:hAnsi="Arial"/>
          <w:sz w:val="14"/>
          <w:szCs w:val="14"/>
          <w:color w:val="auto"/>
        </w:rPr>
        <w:t>We have identified a material weakness in our internal control over financial reporting. If we are unable to remediate this material weakness, or if we identify additional material weaknesses in the future or otherwise fail to maintain an effective system of internal controls, we may not be able to accurately or timely report our financial condition or results of operations.</w:t>
      </w:r>
    </w:p>
    <w:p>
      <w:pPr>
        <w:spacing w:after="0" w:line="77" w:lineRule="exact"/>
        <w:rPr>
          <w:sz w:val="20"/>
          <w:szCs w:val="20"/>
          <w:color w:val="auto"/>
        </w:rPr>
      </w:pPr>
    </w:p>
    <w:p>
      <w:pPr>
        <w:jc w:val="both"/>
        <w:ind w:left="440"/>
        <w:spacing w:after="0" w:line="293" w:lineRule="auto"/>
        <w:rPr>
          <w:sz w:val="20"/>
          <w:szCs w:val="20"/>
          <w:color w:val="auto"/>
        </w:rPr>
      </w:pPr>
      <w:r>
        <w:rPr>
          <w:rFonts w:ascii="Arial" w:cs="Arial" w:eastAsia="Arial" w:hAnsi="Arial"/>
          <w:sz w:val="14"/>
          <w:szCs w:val="14"/>
          <w:color w:val="auto"/>
        </w:rPr>
        <w:t>Our operating results may fluctuate significantly, which makes our future operating results difficult to predict and could cause our operating results to fall below expectations or any guidance we may provide.</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may need to raise additional capital to fund our existing operations, develop our products and/or expand our operations.</w:t>
      </w:r>
    </w:p>
    <w:p>
      <w:pPr>
        <w:spacing w:after="0" w:line="123" w:lineRule="exact"/>
        <w:rPr>
          <w:sz w:val="20"/>
          <w:szCs w:val="20"/>
          <w:color w:val="auto"/>
        </w:rPr>
      </w:pPr>
    </w:p>
    <w:p>
      <w:pPr>
        <w:jc w:val="both"/>
        <w:ind w:left="440"/>
        <w:spacing w:after="0" w:line="293" w:lineRule="auto"/>
        <w:rPr>
          <w:sz w:val="20"/>
          <w:szCs w:val="20"/>
          <w:color w:val="auto"/>
        </w:rPr>
      </w:pPr>
      <w:r>
        <w:rPr>
          <w:rFonts w:ascii="Arial" w:cs="Arial" w:eastAsia="Arial" w:hAnsi="Arial"/>
          <w:sz w:val="14"/>
          <w:szCs w:val="14"/>
          <w:color w:val="auto"/>
        </w:rPr>
        <w:t>The COVID-19 pandemic has had and could continue to have an adverse impact on our business, operations, and the markets and communities in which we, our partners, and customers operate.</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Strategy</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66"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95"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are highly dependent on a limited number of product offerings. Our revenue has been primarily generated from sale of our core Aurora and Northern Lights systems, which require a substantial sales cycle and are prone to quarterly fluctuations in revenue.</w:t>
      </w:r>
    </w:p>
    <w:p>
      <w:pPr>
        <w:spacing w:after="0" w:line="17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Our Aurora system was commercially launched in June 2017 and our Northern Lights system was commercially launched in October 2018. Sales of the Aurora and Northern Lights systems together accounted for 94% of our revenue for the periods presented. We expect that, for at least the foreseeable future, sales of our Aurora and Northern Lights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due to marketing campaign closing activity.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342" w:lineRule="exact"/>
        <w:rPr>
          <w:sz w:val="20"/>
          <w:szCs w:val="20"/>
          <w:color w:val="auto"/>
        </w:rPr>
      </w:pPr>
    </w:p>
    <w:p>
      <w:pPr>
        <w:jc w:val="both"/>
        <w:spacing w:after="0" w:line="334" w:lineRule="auto"/>
        <w:rPr>
          <w:sz w:val="20"/>
          <w:szCs w:val="20"/>
          <w:color w:val="auto"/>
        </w:rPr>
      </w:pPr>
      <w:r>
        <w:rPr>
          <w:rFonts w:ascii="Arial" w:cs="Arial" w:eastAsia="Arial" w:hAnsi="Arial"/>
          <w:sz w:val="13"/>
          <w:szCs w:val="13"/>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15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We have sourced and will continue to source certain components of the Aurora and Northern Lights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We do not currently have long-term supply contracts with all of the sole and single source suppliers of these key components, and there are no minimum purchase or payment requirements.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interruptions in our ability to supply our products to the market and could affect the performance of our products, resulting in increased costs and negative customer perception.</w:t>
      </w:r>
    </w:p>
    <w:p>
      <w:pPr>
        <w:spacing w:after="0" w:line="23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the COVID-19 pandemic or other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95" w:lineRule="exact"/>
        <w:rPr>
          <w:sz w:val="20"/>
          <w:szCs w:val="20"/>
          <w:color w:val="auto"/>
        </w:rPr>
      </w:pPr>
    </w:p>
    <w:p>
      <w:pPr>
        <w:jc w:val="both"/>
        <w:ind w:right="20" w:firstLine="509"/>
        <w:spacing w:after="0" w:line="334" w:lineRule="auto"/>
        <w:rPr>
          <w:sz w:val="20"/>
          <w:szCs w:val="20"/>
          <w:color w:val="auto"/>
        </w:rPr>
      </w:pPr>
      <w:r>
        <w:rPr>
          <w:rFonts w:ascii="Arial" w:cs="Arial" w:eastAsia="Arial" w:hAnsi="Arial"/>
          <w:sz w:val="13"/>
          <w:szCs w:val="13"/>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5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Supply interruptions have in the past arisen and could arise in the future from effects of the COVID-19 pandemic,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results of operations will be harmed if we are unable to accurately forecast customer demand for our products and manage our inventory.</w:t>
      </w:r>
    </w:p>
    <w:p>
      <w:pPr>
        <w:spacing w:after="0" w:line="2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the COVID-19 pandemic, seasonal demands, regulatory matters or weakening of general economic conditions.</w:t>
      </w:r>
    </w:p>
    <w:p>
      <w:pPr>
        <w:spacing w:after="0" w:line="191"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96"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have limited experience manufacturing our products. We currently manufacture our instruments and reagents at our manufacturing facilities in Fremont, California, and Wuxi, China.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188"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17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19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is dependent upon our ability to increase penetration in our existing markets and expand into adjacent markets.</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Our customer base includes academic and government institutions, pharmaceutical and biotechnology companies, clinical research organizations and clinical laboratories focused on cell analysis. Approximately 49% and 44% of our revenue came from sales to academic and government-owned institutions and 51% and 56%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343" w:lineRule="auto"/>
        <w:rPr>
          <w:sz w:val="20"/>
          <w:szCs w:val="20"/>
          <w:color w:val="auto"/>
        </w:rPr>
      </w:pPr>
      <w:r>
        <w:rPr>
          <w:rFonts w:ascii="Arial" w:cs="Arial" w:eastAsia="Arial" w:hAnsi="Arial"/>
          <w:sz w:val="12"/>
          <w:szCs w:val="12"/>
          <w:color w:val="auto"/>
        </w:rPr>
        <w:t>our revenue came from sales to pharmaceutical and biotechnology companies, distributors and CROs in the year ended December 31, 2020 and the six months ended June 30, 2021,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5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3"/>
          <w:szCs w:val="13"/>
          <w:i w:val="1"/>
          <w:iCs w:val="1"/>
          <w:color w:val="auto"/>
        </w:rPr>
        <w:t>de novo</w:t>
      </w:r>
      <w:r>
        <w:rPr>
          <w:rFonts w:ascii="Arial" w:cs="Arial" w:eastAsia="Arial" w:hAnsi="Arial"/>
          <w:sz w:val="13"/>
          <w:szCs w:val="13"/>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80" w:lineRule="exact"/>
        <w:rPr>
          <w:sz w:val="20"/>
          <w:szCs w:val="20"/>
          <w:color w:val="auto"/>
        </w:rPr>
      </w:pPr>
    </w:p>
    <w:p>
      <w:pPr>
        <w:jc w:val="both"/>
        <w:spacing w:after="0" w:line="343" w:lineRule="auto"/>
        <w:rPr>
          <w:sz w:val="20"/>
          <w:szCs w:val="20"/>
          <w:color w:val="auto"/>
        </w:rPr>
      </w:pPr>
      <w:r>
        <w:rPr>
          <w:rFonts w:ascii="Arial" w:cs="Arial" w:eastAsia="Arial" w:hAnsi="Arial"/>
          <w:sz w:val="12"/>
          <w:szCs w:val="12"/>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15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inadequate recruiting or training of talented sales force in existing and new markets to facilitate outreach and further adoption and awareness of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lack of experience with our products for cell analysis;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perceived inadequacy of evidence supporting benefits or cost-effectiveness of our products over existing alternatives;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liability risks generally associated with the use of new products and processes;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training required to use new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 decrease or delay in the research and development activities using our products as a result of the COVID-19 pandemic;</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competing products and alternatives; and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introduction of other novel alternative products for cell analysis.</w:t>
      </w:r>
    </w:p>
    <w:p>
      <w:pPr>
        <w:spacing w:after="0" w:line="200" w:lineRule="exact"/>
        <w:rPr>
          <w:sz w:val="20"/>
          <w:szCs w:val="20"/>
          <w:color w:val="auto"/>
        </w:rPr>
      </w:pPr>
    </w:p>
    <w:p>
      <w:pPr>
        <w:spacing w:after="0" w:line="20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Approximately 49% and 44% of our revenue came from sales to academic and government-owned institutions in the year ended December 31, 2020 and in the six months ended June 30, 2021,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decreases in government funding of research and development, including as a result of the COVID-19 pandemic;</w:t>
      </w:r>
    </w:p>
    <w:p>
      <w:pPr>
        <w:spacing w:after="0" w:line="123" w:lineRule="exact"/>
        <w:rPr>
          <w:sz w:val="20"/>
          <w:szCs w:val="20"/>
          <w:color w:val="auto"/>
        </w:rPr>
      </w:pPr>
    </w:p>
    <w:p>
      <w:pPr>
        <w:ind w:left="440"/>
        <w:spacing w:after="0" w:line="293" w:lineRule="auto"/>
        <w:rPr>
          <w:sz w:val="20"/>
          <w:szCs w:val="20"/>
          <w:color w:val="auto"/>
        </w:rPr>
      </w:pPr>
      <w:r>
        <w:rPr>
          <w:rFonts w:ascii="Arial" w:cs="Arial" w:eastAsia="Arial" w:hAnsi="Arial"/>
          <w:sz w:val="14"/>
          <w:szCs w:val="14"/>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macroeconomic conditions and the political climate;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scientists’ and customers’ opinions of the utility of new products or services;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changes in the regulatory environment;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differences in budgetary cycles;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competitor product offerings or pricing;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market-driven pressures to consolidate operations and reduce costs; and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market acceptance of relatively new technologies, such as ours.</w:t>
      </w:r>
    </w:p>
    <w:p>
      <w:pPr>
        <w:spacing w:after="0" w:line="2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addition, various state, federal and foreign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spacing w:after="0" w:line="299" w:lineRule="auto"/>
        <w:rPr>
          <w:sz w:val="20"/>
          <w:szCs w:val="20"/>
          <w:color w:val="auto"/>
        </w:rPr>
      </w:pPr>
      <w:r>
        <w:rPr>
          <w:rFonts w:ascii="Arial" w:cs="Arial" w:eastAsia="Arial" w:hAnsi="Arial"/>
          <w:sz w:val="13"/>
          <w:szCs w:val="13"/>
          <w:color w:val="auto"/>
        </w:rPr>
        <w:t>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349"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6"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In addition to selling our products through our direct sales force and support organizations in North America, Europe, China, and several countries in the Asia-Pacific region, we sell our products through third-party distributors in certain regions of Asia, Europe, Latin America, the Middle East and Africa.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1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77" w:lineRule="exact"/>
        <w:rPr>
          <w:sz w:val="20"/>
          <w:szCs w:val="20"/>
          <w:color w:val="auto"/>
        </w:rPr>
      </w:pPr>
    </w:p>
    <w:p>
      <w:pPr>
        <w:ind w:left="440" w:right="20"/>
        <w:spacing w:after="0" w:line="293" w:lineRule="auto"/>
        <w:rPr>
          <w:sz w:val="20"/>
          <w:szCs w:val="20"/>
          <w:color w:val="auto"/>
        </w:rPr>
      </w:pPr>
      <w:r>
        <w:rPr>
          <w:rFonts w:ascii="Arial" w:cs="Arial" w:eastAsia="Arial" w:hAnsi="Arial"/>
          <w:sz w:val="14"/>
          <w:szCs w:val="14"/>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failure by us or our distributors to obtain approvals to conduct our business in various countries;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differing intellectual property rights;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complexities and difficulties in obtaining intellectual property protection, enforcing our intellectual property and defending against third party intellectual property claims;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difficulties in staffing and managing foreign operations;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logistics and regulations associated with shipping systems and parts and components for our products, as well as transportation delays;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travel restrictions that limit the ability of marketing, presales, sales, services and support teams to service customers, including those resulting from the COVID-19 pandemic;</w:t>
      </w:r>
    </w:p>
    <w:p>
      <w:pPr>
        <w:spacing w:after="0" w:line="123" w:lineRule="exact"/>
        <w:rPr>
          <w:sz w:val="20"/>
          <w:szCs w:val="20"/>
          <w:color w:val="auto"/>
        </w:rPr>
      </w:pPr>
    </w:p>
    <w:p>
      <w:pPr>
        <w:ind w:left="440"/>
        <w:spacing w:after="0" w:line="293" w:lineRule="auto"/>
        <w:rPr>
          <w:sz w:val="20"/>
          <w:szCs w:val="20"/>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international trade disputes that could result in tariffs and other protective measures;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natural disasters, political and economic instability, including wars, terrorism and political unrest, outbreak of disease, boycotts, curtailment of trade and other business restrictions; and</w:t>
      </w:r>
    </w:p>
    <w:p>
      <w:pPr>
        <w:spacing w:after="0" w:line="134" w:lineRule="exact"/>
        <w:rPr>
          <w:sz w:val="20"/>
          <w:szCs w:val="20"/>
          <w:color w:val="auto"/>
        </w:rPr>
      </w:pPr>
    </w:p>
    <w:p>
      <w:pPr>
        <w:ind w:left="440"/>
        <w:spacing w:after="0" w:line="293" w:lineRule="auto"/>
        <w:rPr>
          <w:sz w:val="20"/>
          <w:szCs w:val="20"/>
          <w:color w:val="auto"/>
        </w:rPr>
      </w:pPr>
      <w:r>
        <w:rPr>
          <w:rFonts w:ascii="Arial" w:cs="Arial" w:eastAsia="Arial" w:hAnsi="Arial"/>
          <w:sz w:val="14"/>
          <w:szCs w:val="14"/>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349"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17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We face significant competition in the cell analysis and life sciences tools markets. We currently compete with both established and early stage life sciences technology companies that design, manufacture and market conventional flow cytometry (“CFCs”), spectral flow cytometry and mass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Fluidigm Corporation,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staff or more established marketing and sales forces.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4"/>
          <w:szCs w:val="14"/>
          <w:color w:val="auto"/>
        </w:rPr>
        <w:t>Our competitors and potential competitors may enjoy a number of competitive advantages over us, including: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longer operating histories;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larger customer bases;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greater brand recognition and market penetration;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greater financial resources and capabilities;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greater technological and research and development resources;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larger intellectual property portfolios;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better system reliability and robustness;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greater selling and marketing capabilities; and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better established, larger scale and lower cost manufacturing capabilities.</w:t>
      </w:r>
    </w:p>
    <w:p>
      <w:pPr>
        <w:spacing w:after="0" w:line="23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our ability to develop and successfully introduce new and enhanced products that meet the needs of our customers.</w:t>
      </w:r>
    </w:p>
    <w:p>
      <w:pPr>
        <w:spacing w:after="0" w:line="2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Our current products include instruments, consumables and services to advance high-content and high-sensitivity cell analysis by utilizing our full spectrum profiling (“FSP”) technology.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 Restrictions resulting from the COVID-19 pandemic have had a negative impact on the work on some of our research and development programs due to the inability of some personnel being able to work in our applicable regional facilities.</w:t>
      </w:r>
    </w:p>
    <w:p>
      <w:pPr>
        <w:spacing w:after="0" w:line="191"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17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188" w:lineRule="exact"/>
        <w:rPr>
          <w:sz w:val="20"/>
          <w:szCs w:val="20"/>
          <w:color w:val="auto"/>
        </w:rPr>
      </w:pPr>
    </w:p>
    <w:p>
      <w:pPr>
        <w:jc w:val="both"/>
        <w:ind w:right="20"/>
        <w:spacing w:after="0" w:line="382" w:lineRule="auto"/>
        <w:rPr>
          <w:sz w:val="20"/>
          <w:szCs w:val="20"/>
          <w:color w:val="auto"/>
        </w:rPr>
      </w:pPr>
      <w:r>
        <w:rPr>
          <w:rFonts w:ascii="Arial" w:cs="Arial" w:eastAsia="Arial" w:hAnsi="Arial"/>
          <w:sz w:val="12"/>
          <w:szCs w:val="12"/>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12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9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color w:val="auto"/>
        </w:rPr>
        <w:t>New product development involves a lengthy and complex process and we may be unable to develop or commercialize products on a timely basis, or at all.</w:t>
      </w:r>
    </w:p>
    <w:p>
      <w:pPr>
        <w:spacing w:after="0" w:line="23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conduct substantial research and development;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obtain necessary regulatory approval;</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further develop and scale our laboratory, engineering and manufacturing processes to accommodate different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source and enter into agreements with new suppliers; and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further develop and scale our infrastructure.</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185"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Our FSP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12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Our success depends on our ability to provide reliable, high quality products that enable high-content and high-sensitivity cell analysis through flexible, efficient and cost-effective solutions. Our FSP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19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loss of customers or orders;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increased costs of warranty expenses;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damage to our brand reputation;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failure to attract new customers;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diversion of development, engineering and manufacturing resources;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regulatory actions by governmental authorities; and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legal actions by our customers.</w:t>
      </w:r>
    </w:p>
    <w:p>
      <w:pPr>
        <w:spacing w:after="0" w:line="2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8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June 30, 2021, we had accrued approximately $1.4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in expenses relating to product warranty accruals. Substantial amounts of warranty claims could have an adverse effect on our business, financial condition and results of operations.</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17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California, and Wuxi, China require global shipping services which are subject to certain factors outside of our control, such as delays passing through customs and disruptions to global shipping routes. We have also experienced shipping delays and difficulties due to the COVID-19 pandemic and may again experience such delays or difficulties due to future quarantines, shelter-in-place and similar government orders related to the COVID-19 pandemic or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174"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European, Latin American, Middle Eastern, and Asia-Pacific countries.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17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7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17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We rely on a significant base of peer-reviewed publications to showcase and validate the importance and application of our technology in academic and clinical research settings. As of July 31, 2021, there have been more than 270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25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Competition for skilled personnel in our market is intense and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spacing w:after="0" w:line="293" w:lineRule="auto"/>
        <w:rPr>
          <w:sz w:val="20"/>
          <w:szCs w:val="20"/>
          <w:color w:val="auto"/>
        </w:rPr>
      </w:pPr>
      <w:r>
        <w:rPr>
          <w:rFonts w:ascii="Arial" w:cs="Arial" w:eastAsia="Arial" w:hAnsi="Arial"/>
          <w:sz w:val="14"/>
          <w:szCs w:val="14"/>
          <w:color w:val="auto"/>
        </w:rPr>
        <w:t>with us on short notice. Our employment arrangements with our employees provide for at-will employment, which means that any of our employees could leave our employment at any time, with or without notice.</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1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9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74"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As of June 30, 2021, we had 429 full-time employees. As our sales and marketing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identifying, recruiting, integrating, maintaining and motivating additional employees;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managing our internal development efforts effectively, while complying with our contractual obligations to contractors and other third parties; and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improving our operational, financial and management controls, reporting systems and procedures.</w:t>
      </w:r>
    </w:p>
    <w:p>
      <w:pPr>
        <w:spacing w:after="0" w:line="2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181"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We have identified a material weakness in our internal control over financial reporting. If we are unable to remediate this material weakness, or if we identify additional material weaknesses in the future or otherwise fail to maintain an effective system of internal controls, we may not be able to accurately or timely report our financial condition or results of operations.</w:t>
      </w:r>
    </w:p>
    <w:p>
      <w:pPr>
        <w:spacing w:after="0" w:line="12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Prior to our initial public offering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its accounting and IT function, and (ii) establishing policies and procedures to identify, select and apply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9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unaudited interim consolidated financial statements that could not be prevented or detected on a timely basis.</w:t>
      </w:r>
    </w:p>
    <w:p>
      <w:pPr>
        <w:spacing w:after="0" w:line="18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We cannot be certain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because no such evaluation has been previously required.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to raise additional capital to fund our existing operations, develop our products and/or expand our operations.</w:t>
      </w:r>
    </w:p>
    <w:p>
      <w:pPr>
        <w:spacing w:after="0" w:line="23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ind w:firstLine="509"/>
        <w:spacing w:after="0" w:line="277" w:lineRule="auto"/>
        <w:rPr>
          <w:sz w:val="20"/>
          <w:szCs w:val="20"/>
          <w:color w:val="auto"/>
        </w:rPr>
      </w:pPr>
      <w:r>
        <w:rPr>
          <w:rFonts w:ascii="Arial" w:cs="Arial" w:eastAsia="Arial" w:hAnsi="Arial"/>
          <w:sz w:val="14"/>
          <w:szCs w:val="14"/>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present and future funding requirements will depend on many factors, some of which are beyond our control, including: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ability to achieve and maintain revenue growth;</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cost of expanding our operations, including our sales and marketing efforts;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rate of progress in launching and commercializing new products, and the cost of the sales and marketing activities associated with, establishing adoption of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rate of progress in, and cost of research and development activities associated with, products in research and development;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effect of competing technological and market developments;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potential cost of and delays in product development as a result of any regulatory oversight applicable to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costs associated with any product recall that may occur;</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costs related to domestic and international expansion;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costs of attaining, defending and enforcing our intellectual property rights; and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terms and timing of any other collaborative, licensing and other arrangements that we may establish.</w:t>
      </w:r>
    </w:p>
    <w:p>
      <w:pPr>
        <w:spacing w:after="0" w:line="23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Additional funding may not be available on acceptable terms, or at all.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17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In addition, our ability to raise additional funds may be adversely impacted by potential worsening global economic conditions and the disruptions to, and volatility in, the credit and financial markets in the United States and worldwide resulting from the COVID-19 pandemic, any resurgence,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level of demand for any of our products, which may vary significantly;</w:t>
      </w:r>
    </w:p>
    <w:p>
      <w:pPr>
        <w:spacing w:after="0" w:line="123" w:lineRule="exact"/>
        <w:rPr>
          <w:sz w:val="20"/>
          <w:szCs w:val="20"/>
          <w:color w:val="auto"/>
        </w:rPr>
      </w:pPr>
    </w:p>
    <w:p>
      <w:pPr>
        <w:ind w:left="440" w:right="20"/>
        <w:spacing w:after="0" w:line="293" w:lineRule="auto"/>
        <w:rPr>
          <w:sz w:val="20"/>
          <w:szCs w:val="20"/>
          <w:color w:val="auto"/>
        </w:rPr>
      </w:pPr>
      <w:r>
        <w:rPr>
          <w:rFonts w:ascii="Arial" w:cs="Arial" w:eastAsia="Arial" w:hAnsi="Arial"/>
          <w:sz w:val="14"/>
          <w:szCs w:val="14"/>
          <w:color w:val="auto"/>
        </w:rPr>
        <w:t>the timing and cost of, and level of investment in, research, development, manufacturing, regulatory approval and commercialization activities relating to our products, which may change from time to time;</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size, seasonality and customer mix of the cell analysis market;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sales and marketing efforts and expenses;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rate at which we grow our sales force and the speed at which newly-hired salespeople become effective;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changes in the productivity of our sales force;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effectiveness of our distribution partners in selling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positive or negative coverage in the media or publications of our products or competitive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cost of manufacturing our products, which may vary depending on the quantity of production and the terms of our arrangements with our suppliers;</w:t>
      </w:r>
    </w:p>
    <w:p>
      <w:pPr>
        <w:spacing w:after="0" w:line="123" w:lineRule="exact"/>
        <w:rPr>
          <w:sz w:val="20"/>
          <w:szCs w:val="20"/>
          <w:color w:val="auto"/>
        </w:rPr>
      </w:pPr>
    </w:p>
    <w:p>
      <w:pPr>
        <w:ind w:left="440" w:right="20"/>
        <w:spacing w:after="0" w:line="293" w:lineRule="auto"/>
        <w:rPr>
          <w:sz w:val="20"/>
          <w:szCs w:val="20"/>
          <w:color w:val="auto"/>
        </w:rPr>
      </w:pPr>
      <w:r>
        <w:rPr>
          <w:rFonts w:ascii="Arial" w:cs="Arial" w:eastAsia="Arial" w:hAnsi="Arial"/>
          <w:sz w:val="14"/>
          <w:szCs w:val="14"/>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changes in governmental regulations or in the status of our regulatory approvals or applications;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future accounting pronouncements or changes in our accounting policies;</w:t>
      </w:r>
    </w:p>
    <w:p>
      <w:pPr>
        <w:spacing w:after="0" w:line="123" w:lineRule="exact"/>
        <w:rPr>
          <w:sz w:val="20"/>
          <w:szCs w:val="20"/>
          <w:color w:val="auto"/>
        </w:rPr>
      </w:pPr>
    </w:p>
    <w:p>
      <w:pPr>
        <w:ind w:left="440"/>
        <w:spacing w:after="0" w:line="293" w:lineRule="auto"/>
        <w:rPr>
          <w:sz w:val="20"/>
          <w:szCs w:val="20"/>
          <w:color w:val="auto"/>
        </w:rPr>
      </w:pPr>
      <w:r>
        <w:rPr>
          <w:rFonts w:ascii="Arial" w:cs="Arial" w:eastAsia="Arial" w:hAnsi="Arial"/>
          <w:sz w:val="14"/>
          <w:szCs w:val="14"/>
          <w:color w:val="auto"/>
        </w:rPr>
        <w:t>disruptions to our business and operations or to the business and operations of our suppliers, distributors, and other third parties with whom we conduct business resulting from the COVID-19 pandemic or other widespread health crises such as the COVID-19 pandemic;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440"/>
        <w:spacing w:after="0"/>
        <w:rPr>
          <w:sz w:val="20"/>
          <w:szCs w:val="20"/>
          <w:color w:val="auto"/>
        </w:rPr>
      </w:pPr>
      <w:r>
        <w:rPr>
          <w:rFonts w:ascii="Arial" w:cs="Arial" w:eastAsia="Arial" w:hAnsi="Arial"/>
          <w:sz w:val="14"/>
          <w:szCs w:val="14"/>
          <w:color w:val="auto"/>
        </w:rPr>
        <w:t>future global financial crises and economic downturns, including those caused by widespread public health crises; and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general market conditions and other factors, including factors unrelated to our operating performance or the operating performance of our competitors.</w:t>
      </w:r>
    </w:p>
    <w:p>
      <w:pPr>
        <w:spacing w:after="0" w:line="2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sizes of the markets for our products may be smaller than we estimate.</w:t>
      </w:r>
    </w:p>
    <w:p>
      <w:pPr>
        <w:spacing w:after="0" w:line="23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 xml:space="preserve">Within the life sciences technology market, flow cytometry technologies currently provide solutions largely within cell proliferation, cell counting, cell identification, cell quality control and single-cell applications, representing an initial total addressable market (“TAM”) of nearly $8 billion. However, we believe that the enhanced capabilities of our FSP platform has the potential to capture an increasingly greater share of the broader cell analysis TAM,.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3"/>
          <w:szCs w:val="13"/>
          <w:i w:val="1"/>
          <w:iCs w:val="1"/>
          <w:color w:val="auto"/>
        </w:rPr>
        <w:t>de novo</w:t>
      </w:r>
      <w:r>
        <w:rPr>
          <w:rFonts w:ascii="Arial" w:cs="Arial" w:eastAsia="Arial" w:hAnsi="Arial"/>
          <w:sz w:val="13"/>
          <w:szCs w:val="13"/>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18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188"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174"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substantial litigation costs;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distraction of management’s attention from our primary business;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inability to commercialize our products or new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decreased demand for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damage to our business reputation;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product recalls or withdrawals from the market;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loss of sales; or</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termination of existing agreements by our partners and potential partners failing to partner with us.</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174"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and other legal proceedings may harm our business.</w:t>
      </w:r>
    </w:p>
    <w:p>
      <w:pPr>
        <w:spacing w:after="0" w:line="23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5" w:name="page46"/>
    <w:bookmarkEnd w:id="45"/>
    <w:p>
      <w:pPr>
        <w:jc w:val="both"/>
        <w:spacing w:after="0" w:line="269" w:lineRule="auto"/>
        <w:rPr>
          <w:sz w:val="20"/>
          <w:szCs w:val="20"/>
          <w:color w:val="auto"/>
        </w:rPr>
      </w:pPr>
      <w:r>
        <w:rPr>
          <w:rFonts w:ascii="Arial" w:cs="Arial" w:eastAsia="Arial" w:hAnsi="Arial"/>
          <w:sz w:val="14"/>
          <w:szCs w:val="14"/>
          <w:color w:val="auto"/>
        </w:rPr>
        <w:t>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17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If a pandemic, epidemic or outbreak of an infectious disease occurs in the United States or worldwide, our business may be adversely affected. The COVID-19 pandemic has caused general business disruption worldwide beginning in January 2020. As a result of the COVID-19 pandemic, we temporarily closed our headquarters and other offices, and our non-essential employees and contractors continue to work remotely. We have also implemented travel restrictions and other significant changes in how we operate our business. The operations of our partners and customers have likewise been altered. While the duration and extent of the COVID-19 pandemic depends on future developments and potential resurgences that cannot be accurately predicted at this time, such as the extent and effectiveness of containment actions and available vaccines, the pandemic has had an adverse effect on the global economy and the ultimate societal and economic impact of the COVID-19 pandemic remains unknown. The potential impact and duration of the COVID-19 pandemic on the global economy and our business are difficult to assess or predict. Potential impacts, some of which we have already experienced, include:</w:t>
      </w:r>
    </w:p>
    <w:p>
      <w:pPr>
        <w:spacing w:after="0" w:line="87" w:lineRule="exact"/>
        <w:rPr>
          <w:sz w:val="20"/>
          <w:szCs w:val="20"/>
          <w:color w:val="auto"/>
        </w:rPr>
      </w:pPr>
    </w:p>
    <w:p>
      <w:pPr>
        <w:jc w:val="both"/>
        <w:ind w:left="440"/>
        <w:spacing w:after="0" w:line="277" w:lineRule="auto"/>
        <w:rPr>
          <w:sz w:val="20"/>
          <w:szCs w:val="20"/>
          <w:color w:val="auto"/>
        </w:rPr>
      </w:pPr>
      <w:r>
        <w:rPr>
          <w:rFonts w:ascii="Arial" w:cs="Arial" w:eastAsia="Arial" w:hAnsi="Arial"/>
          <w:sz w:val="14"/>
          <w:szCs w:val="14"/>
          <w:color w:val="auto"/>
        </w:rPr>
        <w:t>our customer prospects and our existing customers may experience slowdowns in their businesses, and our academic institution customers may experience decreases in government funding of research and development, which in turn may result in reduced demand for our products, lengthening of sales cycles, loss of customers, difficulties in collections, and inaccurate inventory forecasting;</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interruption of or delays in receiving supplies from the third parties we rely on to manufacture components to our products, which may impair our ability sell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interruption of or delays in installation of our products for our customers;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interruption of or delays in the shipments of purchased products to customers or to our distribution partners;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decreased employee productivity and morale, with increased employee attrition and risk of a cyberattack resulting from our employees working from home;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disruptions and significant costs to our growth planning, such as for facilities and international expansion;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costs in fully returning to work from our facilities around the world, including changes to the workplace, such as space planning, food service, and amenities;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legal liability for safe workplace claims;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loss of critical vendors or third-party partners, which may go out of business; and</w:t>
      </w:r>
    </w:p>
    <w:p>
      <w:pPr>
        <w:spacing w:after="0" w:line="123" w:lineRule="exact"/>
        <w:rPr>
          <w:sz w:val="20"/>
          <w:szCs w:val="20"/>
          <w:color w:val="auto"/>
        </w:rPr>
      </w:pPr>
    </w:p>
    <w:p>
      <w:pPr>
        <w:jc w:val="both"/>
        <w:ind w:left="440"/>
        <w:spacing w:after="0" w:line="293" w:lineRule="auto"/>
        <w:rPr>
          <w:sz w:val="20"/>
          <w:szCs w:val="20"/>
          <w:color w:val="auto"/>
        </w:rPr>
      </w:pPr>
      <w:r>
        <w:rPr>
          <w:rFonts w:ascii="Arial" w:cs="Arial" w:eastAsia="Arial" w:hAnsi="Arial"/>
          <w:sz w:val="14"/>
          <w:szCs w:val="14"/>
          <w:color w:val="auto"/>
        </w:rPr>
        <w:t>continued cancellation of in-person marketing events, including industry conferences, and prolonged delays in our ability to reschedule or conduct in-person marketing events and other sales and marketing activities.</w:t>
      </w:r>
    </w:p>
    <w:p>
      <w:pPr>
        <w:spacing w:after="0" w:line="349"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The impact of any of the foregoing, individually or collectively, could adversely affect our business, financial condition, and results of operations. Moreover, to the extent the COVID-19 pandemic adversely affects our business, financial condition, and results of operations, it may also have the effect of heightening many of the other risks described in this “Risk Factors” section.</w:t>
      </w:r>
    </w:p>
    <w:p>
      <w:pPr>
        <w:spacing w:after="0" w:line="151"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If our security measures, or those maintained on our behalf, are compromised now, or in the future, or the security, confidentiality, integrity or availability of our information technology, software, services, networks, communications or data is compromised, limited or fails, this could have a material adverse effect on our business, financial condition and results of operations.</w:t>
      </w:r>
    </w:p>
    <w:p>
      <w:pPr>
        <w:spacing w:after="0" w:line="12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the ordinary course of our business, we may collect, use, store, safeguard, disclose, share, transfer, secure and otherwise process (collectively, “Process” or “Processing”) proprietary, confidential and sensitive data, including personal data (such as key-coded data, health information and other special categories of personal data), intellectual property, trade secrets and proprietary business information owned or controlled by ourselves, our customers and other parties (collectively “Sensitive Information”).</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may use third-party service providers and subprocessors to help us operate our business and engage in Processing on our behalf. We may also share Sensitive Information with our partners or other third parties in conjunction with our business. We manage and maintain our data utilizing a combination of on-site systems and cloud-based data centers. We utilize external security and infrastructure vendors to manage parts of our data centers. This data encompasses a wide variety of Sensitive Information, including research and development information, commercial information and business and financial information.</w:t>
      </w:r>
    </w:p>
    <w:p>
      <w:pPr>
        <w:spacing w:after="0" w:line="18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Cybersecurity incidents compromising the confidentiality, integrity, and availability of Sensitive Information or our systems could result from cyber-attacks, computer malware, viruses, social engineering (including phishing), ransomware, supply chain attacks, credential stuffing, efforts by individuals or groups of hackers and sophisticated organizations, including state-sponsored organizations, errors or malfeasance of our personnel, and security vulnerabilities in the software or systems on which we rely. Such incidents are prevalent and continue to increase. Due to the COVID-19 pandemic, a significant portion of our workforce works remotely and this has increased the risk to our information technology assets and data. If we, our service providers, partners or other relevant third parties have experienced, or in the future experience, any security incident(s) that result in any data loss, deletion or destruction; unauthorized access, acquisition, disclosure or exposure of Sensitive Information; or compromise related to the security, confidentiality, integrity or availability of our (or their) information technology, software, services, communications or data (any, a “Security Breach”), it may result in a material adverse effect on our business, financial condition and results of operations, including the diversion of funds to address the breach, and interruptions, delays, or outages in our operations.</w:t>
      </w:r>
    </w:p>
    <w:p>
      <w:pPr>
        <w:spacing w:after="0" w:line="19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We may be required to expend significant resources, fundamentally change our business activities and practices, or modify our operations or information technology in an effort to protect against Security Breaches and to mitigate, detect, and remediate actual and potential vulnerabilities. Various data privacy and security laws, regulations and standards, as well as policies, contracts and other obligations, that apply to the Processing of personal data both by us and on our behalf (collectively, “Data Protection Requirements”) may require us to implement specific security measures or use industry-standard or reasonable measures to protect against Security Breaches. Even if we were to take and have taken security measures designed to protect against Security Breaches, there can be no assurance that such security measures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4"/>
          <w:szCs w:val="14"/>
          <w:color w:val="auto"/>
        </w:rPr>
        <w:t>or those of our service providers, partners and other third parties will be effective in protecting against all Security Breaches and material adverse effects that may arise from such Security Breaches.</w:t>
      </w:r>
    </w:p>
    <w:p>
      <w:pPr>
        <w:spacing w:after="0" w:line="174"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Applicable Data Protection Requirements may require us to notify relevant stakeholders of Security Breaches, including affected individuals, partners, collaborators, customers, regulators, law enforcement agencies, credit reporting agencies and others. Such disclosures are costly, and the disclosures or the failure to comply with such requirements could lead to material adverse effects on our business, financial condition and results of operations. There can be no assurance that any limitations or exclusions of liability in our contracts would be enforceable or adequate or would otherwise protect us from liabilities or damages if we fail to comply with Data Protection Requirements related to information security or Security Breaches.</w:t>
      </w:r>
    </w:p>
    <w:p>
      <w:pPr>
        <w:spacing w:after="0" w:line="173"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Any Security Breach could result in legal claims or proceedings, and liability under federal, state or foreign Data Protection Requirements. We cannot be sure that our insurance coverage, if any, will be adequate or otherwise protect us from or adequately mitigate liabilities or damages with respect to claims, costs, expenses, litigation, fines, penalties, business loss, data loss, regulatory actions or other material adverse effects arising out of our Processing operations, privacy and security practices, or Security Breaches we may experience. The successful assertion of one or more large claims against us that exceeds our available insurance coverage, or results in changes to our insurance policies (including premium increases or the imposition of large excess or deductible or co-insurance requirements), could have material adverse effects on our business, financial condition and results of operations.</w:t>
      </w:r>
    </w:p>
    <w:p>
      <w:pPr>
        <w:spacing w:after="0" w:line="1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Actual or perceived Security Breaches or vulnerabilities, and concerns regarding data privacy, security or Processing may cause some of our actual or prospective customers, collaborators, and/or partners to stop using our products or services or working with us. This discontinuance, or failure to meet the expectations of such third parties, could result in material harm to our operations, financial performance or reputation and affect our ability to grow and operate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disruptions could seriously harm our future revenue and financial condition and increase our costs and expenses.</w:t>
      </w:r>
    </w:p>
    <w:p>
      <w:pPr>
        <w:spacing w:after="0" w:line="23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including the COVID-19 pandemic,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In addition, our corporate headquarters is located in Fremont,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7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manufacture our products at our manufacturing facilities located in Fremont, California,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insurance policies are expensive and protect us only from some business risks, which leaves us exposed to significant uninsured liabilities.</w:t>
      </w:r>
    </w:p>
    <w:p>
      <w:pPr>
        <w:spacing w:after="0" w:line="231"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w:t>
      </w:r>
    </w:p>
    <w:p>
      <w:pPr>
        <w:spacing w:after="0" w:line="180"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185"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ind w:firstLine="509"/>
        <w:spacing w:after="0" w:line="287" w:lineRule="auto"/>
        <w:rPr>
          <w:sz w:val="20"/>
          <w:szCs w:val="20"/>
          <w:color w:val="auto"/>
        </w:rPr>
      </w:pPr>
      <w:r>
        <w:rPr>
          <w:rFonts w:ascii="Arial" w:cs="Arial" w:eastAsia="Arial" w:hAnsi="Arial"/>
          <w:sz w:val="13"/>
          <w:szCs w:val="13"/>
          <w:color w:val="auto"/>
        </w:rPr>
        <w:t>In addition, because our product contains metals and electronic components which are purchased from third-party vendors, we may be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18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received funding under the Coronavirus Aid, Relief and Economic Security Act, or the CARES Act.</w:t>
      </w:r>
    </w:p>
    <w:p>
      <w:pPr>
        <w:spacing w:after="0" w:line="2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June 2020, we executed a note in favor of Wells Fargo Bank, National Association, evidencing an unsecured loan, (“PPP loan”), in the aggregate principal amount of $2,771,609, which was made pursuant to the Paycheck Protection Program, or the PPP. The PPP was established under the CARES Act, which was enacted on March 27, 2020, and is administered by the U.S. Small Business Administration, or the SBA. We have used all of the proceeds from the loan to retain employees, maintain payroll and make lease and utility payments and expect to repay the PPP loan in the second quarter of 2021. On May 4, 2021, we fully repaid the PPP loan.</w:t>
      </w:r>
    </w:p>
    <w:p>
      <w:pPr>
        <w:spacing w:after="0" w:line="18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PPP loan application required us to certify, among other things, that the current economic uncertainty made the PPP loan request necessary to support our ongoing operations. In 2020, the SBA, in consultation with the Department of Treasury, issued new guidance requiring borrowers to consider their ability to access other sources of liquidity before certifying in their loan applications that current economic uncertainty makes this loan request necessary to support the ongoing operations. We made the certification in good faith after analyzing our financial situation and access to capital and believe that we satisfied all eligibility criteria for the PPP loan. However, the SBA guidance and criteria are subject to interpretation, including by the new Biden Administration, and if we are found to have been ineligible, we could be subject to significant penalties. If we become subject to penalties, it could result in harm to our business, results of operation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foreign currency exchange risk.</w:t>
      </w:r>
    </w:p>
    <w:p>
      <w:pPr>
        <w:spacing w:after="0" w:line="23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174"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Although we currently have no agreements or commitments to complete any such transactions, we may pursue acquisitions of businesses and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Government Regulation and Our Industry</w:t>
      </w:r>
    </w:p>
    <w:p>
      <w:pPr>
        <w:spacing w:after="0" w:line="127"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12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Currently, our Northern Lights CLC system is available for clinical use in only China and the European Union. Our Aurora and Northern Lights systems are otherwise available to customers as research-use-only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ind w:firstLine="509"/>
        <w:spacing w:after="0" w:line="264" w:lineRule="auto"/>
        <w:rPr>
          <w:sz w:val="20"/>
          <w:szCs w:val="20"/>
          <w:color w:val="auto"/>
        </w:rPr>
      </w:pPr>
      <w:r>
        <w:rPr>
          <w:rFonts w:ascii="Arial" w:cs="Arial" w:eastAsia="Arial" w:hAnsi="Arial"/>
          <w:sz w:val="14"/>
          <w:szCs w:val="14"/>
          <w:color w:val="auto"/>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17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untitled letters, warning letters, fines, injunctions, consent decrees and civil penalties;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unanticipated expenditures to address or defend such actions;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customer notifications for repair, replacement or refunds;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recall, detention or seizure of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operating restrictions or partial suspension or total shutdown of production;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refusing or delaying our requests for 510(k) clearance or PMA approval of new products or modified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withdrawal of 510(k) clearances on PMA approvals that have already been granted;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refusal to grant export approval for our products; or</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criminal prosecution.</w:t>
      </w:r>
    </w:p>
    <w:p>
      <w:pPr>
        <w:spacing w:after="0" w:line="23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36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174"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18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ind w:right="20"/>
        <w:spacing w:after="0" w:line="293" w:lineRule="auto"/>
        <w:rPr>
          <w:sz w:val="20"/>
          <w:szCs w:val="20"/>
          <w:color w:val="auto"/>
        </w:rPr>
      </w:pPr>
      <w:r>
        <w:rPr>
          <w:rFonts w:ascii="Arial" w:cs="Arial" w:eastAsia="Arial" w:hAnsi="Arial"/>
          <w:sz w:val="14"/>
          <w:szCs w:val="14"/>
          <w:color w:val="auto"/>
        </w:rPr>
        <w:t>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misuse or off-label use of our products may harm our reputation in the marketplace, or result in injuries that lead to product liability suits, which could be costly to our business.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Moreover, we could be subject to FDA sanctions if we are deemed to have engaged in off-label promotion.</w:t>
      </w:r>
    </w:p>
    <w:p>
      <w:pPr>
        <w:spacing w:after="0" w:line="224"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1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tariffs or other government trade policies may materially adversely affect our business and results of operations, including by reducing demand for our products.</w:t>
      </w:r>
    </w:p>
    <w:p>
      <w:pPr>
        <w:spacing w:after="0" w:line="24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3"/>
          <w:szCs w:val="13"/>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174"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i w:val="1"/>
          <w:iCs w:val="1"/>
          <w:color w:val="auto"/>
        </w:rPr>
        <w:t>We are subject to stringent and changing privacy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business or commercialization of our products, private litigation, harm to our reputation, or other adverse effects on our business or prospects.</w:t>
      </w:r>
    </w:p>
    <w:p>
      <w:pPr>
        <w:spacing w:after="0" w:line="18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legislative and regulatory framework relating to the processing of personal data worldwide is rapidly expanding and evolving and is likely to remain uncertain for the foreseeable future. Globally, virtually every jurisdiction in which we operate has established its own data privacy and security frameworks with which we must comply.</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the course of our operations, we process an increasing volume of personal data, including from our employees and third parties with whom we conduct business. Accordingly, we are, and may increasingly become, subject to various Data Protection Requirements (as defined above), the number and scope of which are changing, subject to differing applications and interpretations, may be inconsistent among jurisdictions, and may conflict with each other.</w:t>
      </w:r>
    </w:p>
    <w:p>
      <w:pPr>
        <w:spacing w:after="0" w:line="18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If we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orders to destroy or not use personal data, and imprisonment of company officials. Further, individuals or other relevant stakeholders could bring a variety of claims against us for our actual or perceived failure to comply with the Data Protection Requirements. Any of these events could subject us to substantial fines or penalties; have material adverse effects on our reputation, business, or financial condition, and could lead to a loss of actual or prospective customers, collaborators or partners; result in an inability to Process personal data or to operate in certain jurisdictions; limit our ability to develop or commercialize our products; or require us to revise or restructure our operations.</w:t>
      </w:r>
    </w:p>
    <w:p>
      <w:pPr>
        <w:spacing w:after="0" w:line="19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Collectively, European data protection laws (including the European Union’s General Data Protection Regulation (EU) 2016/679 (“GDPR”)) are wide-ranging in scope and impose numerous, significant and complex compliance burdens in relation to the Processing of personal data, including, among others: limiting permitted Processing of personal data to only that which is necessary for specified, explicit and legitimate purposes; requiring the establishment of a legal basis for Processing personal data; broadening the definition of personal data to possibly include ‘pseudonymized’ or key-coded data; creating obligations for controllers and processors to appoint data protection officers in certain circumstances; increasing transparency obligations to data subjects; establishing rights which may be exercised by individuals;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spacing w:after="0" w:line="272" w:lineRule="auto"/>
        <w:rPr>
          <w:sz w:val="20"/>
          <w:szCs w:val="20"/>
          <w:color w:val="auto"/>
        </w:rPr>
      </w:pPr>
      <w:r>
        <w:rPr>
          <w:rFonts w:ascii="Arial" w:cs="Arial" w:eastAsia="Arial" w:hAnsi="Arial"/>
          <w:sz w:val="14"/>
          <w:szCs w:val="14"/>
          <w:color w:val="auto"/>
        </w:rPr>
        <w:t>establishing limitations on the collection and retention of personal data through ‘data minimization’ and ‘storage limitation’ principles;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working with third-party processors or joint controllers; and introducing the obligation to provide notice of certain significant personal data breaches to the relevant supervisory authority(ies) and affected individuals.</w:t>
      </w:r>
    </w:p>
    <w:p>
      <w:pPr>
        <w:spacing w:after="0" w:line="1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addition, the GDPR provides that European Economic Area (“EEA”) member states may introduce specific requirements related to the Processing of special categories of personal data. This fact may lead to greater divergence on the law that applies to the Processing of such personal data across the EEA, which may increase our costs and overall compliance risk. Such country-specific regulations could also limit our ability to Process relevant personal data in the context of our EEA operations ultimately having an adverse impact on our business, and harming our business and financial condition.</w:t>
      </w:r>
    </w:p>
    <w:p>
      <w:pPr>
        <w:spacing w:after="0" w:line="18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3"/>
          <w:szCs w:val="13"/>
          <w:color w:val="auto"/>
        </w:rPr>
        <w:t>Further, certain European data protection laws restrict transfers of personal data to the United States and most other countries outside Europe unless the parties to the transfer have implemented specific safeguards to protect the transferred personal data. There are mechanisms intended to permit the transfer of personal data outside Europe, but there is uncertainty as to the future of such mechanisms, which have been under consistent scrutiny and challenge. For example, a decision of the Court of Justice of the European Union in July 2020 (known as “Schrems II”) invalidated the EU-US Privacy Shield Framework, a means that previously permitted transfers of personal data from the EEA to companies in the United States that certified adherence to the Privacy Shield Framework. It is currently unclear what, if any, arrangement may replace the Privacy Shield Framework. Standard contractual clauses approved by the European Commission to permit transfers from the EEA to third countries currently remain, in principle, a basis on which to effect such transfers. However, the standard contractual clauses are also subject to legal challenge and the Court of Justice of the European Union made clear in the Schrems II decision that reliance on the standard contractual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personal data. At present, there are few, if any, viable alternatives to the standard contractual clauses. If we are unable to implement a valid mechanism for personal data transfers from Europe, we will face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operations—any or all of which could adversely affect our operations or financial results.</w:t>
      </w:r>
    </w:p>
    <w:p>
      <w:pPr>
        <w:spacing w:after="0" w:line="18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European data protection laws also provide for more robust regulatory enforcement and greater penalties for noncompliance than previous data protection laws, including, for example, under the GDPR, fines of up to €20 million or 4% of global annual revenue of any noncompliant organization for the preceding financial year, whichever is higher.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actors—including permitting authorities to require destruction of improperly gathered or used personal data. The GDPR also confers a private right of action on data subjects and consumer associations to lodge complaints with supervisory authorities, seek judicial remedies, and obtain compensation for damages resulting from violations of the GDPR. There is also uncertainty about compliance with European data protection laws, with the possibilities that data protection authorities located in different EEA member states may interpret the GDPR differently, or requirements of national laws may vary between EEA member states, or guidance on the GDPR and compliance practices may be often updated or otherwise revised. Any of these events will increase the complexity and costs of processing personal data in the EEA or concerning individuals located in the EEA.</w:t>
      </w:r>
    </w:p>
    <w:p>
      <w:pPr>
        <w:spacing w:after="0" w:line="19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Brexit has created uncertainty regarding the regulation of data protection in the United Kingdom. By operation of the so called ‘UK GDPR’ (the GDPR as it continues to form part of the law of the United Kingdom by virtue of Section 3 of the EU (Withdrawal) Act 2018 as subsequently amended) the GDPR continues to apply in substantially equivalent form to processing operations carried out in the United Kingdom or concerning individuals located in the United Kingdom. So, when we refer to the GDPR in this section, we are also making reference to the UK GDPR in the context of the United Kingdom, unless the context requires otherwise. However, it is possible that either the United Kingdom or the EU, and consequently those further states that make up the remainder of the EEA, could elect to change their approach and create differences in legal requirements and regulation in this area. This could expose us to two parallel regimes, each of which potentially authorizes similar fines and other potentially divergent enforcement actions for certain violations. In addition, uncertainty remains regarding how data transfers to and from the United Kingdom will be regulated. As many of our employees providing services to EEA customers are located in the United Kingdom, changes to how data transfers to and from the United Kingdom are regulated could impact how we provide services to our customers in the EEA. EEA customers may require that our employees who are providing services to them be based in the EEA due to data transfer restrictions, which could increase our costs in providing such services.</w:t>
      </w:r>
    </w:p>
    <w:p>
      <w:pPr>
        <w:spacing w:after="0" w:line="18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Other countries outside of Europe have enacted or are considering enacting similar comprehensive data privacy and security laws and regulations, including similar cross-border data transfer restrictions and laws requiring local data residency, which could increase the cost and complexity of delivering our services and operating our business. For example, China’s cybersecurity law, which took effect in June 2017, broadly regulates data privacy and security practices and its applicability and scope are evolving and aspects of the law are uncertain. As another example, Canada has enacted the Personal Information Protection and Electronic Documents Act and Canada’s Anti-Spam Legislation, which broadly regulate the Processing of personal data and imposes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178"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3"/>
          <w:szCs w:val="13"/>
          <w:color w:val="auto"/>
        </w:rPr>
        <w:t>In the United States, various states and the federal government have adopted, or are considering adopting, laws and regulations relating to privacy and data security, including the Health Insurance Portability and Accountability Act of 1996, or HIPAA. This patchwork of legislation and regulation may give rise to conflicts or differing views of personal privacy rights. Certain state laws may be more stringent or broader in scope, or offer greater individual rights, with respect to personal information than federal, foreign or other state laws, and such laws may differ from each other, all of which may complicate compliance efforts. For example, the California Consumer Privacy Act (“CCPA”), which increases data privacy and security rights for California residents and imposes numerous obligations on covered businesses, came into effect on January 1, 2020. Among other things,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The CCPA provides for civil penalties for violations and creates a private right of action for certain data breaches that that is expected to increase data breach litigation. Additionally, a new California ballot initiative, the California Privacy Rights Act (“CPRA”) was recently passed in California. The CPRA will restrict use of certain categories of sensitive personal information that we handle, further restrict the use of cross-context behavioral advertising techniques on which our platform relies, establish restrictions on the retention of personal information, expand the types of data breaches subject to the private right of action, and establish the California Privacy Protection Agency to implement and enforce the new law and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data privacy and security legislation in the United States. New and evolving privacy and data security laws and regulations impose significant compliance and operational requirements that are likely to increase over time, may require us to modify our data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ind w:right="20"/>
        <w:spacing w:after="0" w:line="293" w:lineRule="auto"/>
        <w:rPr>
          <w:sz w:val="20"/>
          <w:szCs w:val="20"/>
          <w:color w:val="auto"/>
        </w:rPr>
      </w:pPr>
      <w:r>
        <w:rPr>
          <w:rFonts w:ascii="Arial" w:cs="Arial" w:eastAsia="Arial" w:hAnsi="Arial"/>
          <w:sz w:val="14"/>
          <w:szCs w:val="14"/>
          <w:color w:val="auto"/>
        </w:rPr>
        <w:t>Processing practices and policies, divert resources from other initiatives and projects, and could restrict the way products and services involving data are offered, all of which may harm our business, financial condition and results of operations.</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addition to government regulation, privacy advocates and industry groups have regularly proposed, and may propose in the future, self-regulatory standards by which we are or may become legally or contractually bound. For example, we are subject to the Payment Card Industry (“PCI”) Data Security Standard, which is a standard designed to protect credit card account data as mandated by payment card industry entities. If we fail to comply with such standards or contractual obligations related to data privacy and security, we may face public and regulatory scrutiny, substantial liability, and fines.</w:t>
      </w:r>
    </w:p>
    <w:p>
      <w:pPr>
        <w:spacing w:after="0" w:line="1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We may also be subject to public statements about our use and disclosure of personal information through our privacy policies, information provided on our website and press statements, and contractual obligations to third parties relating to data privacy and security. Although we endeavor to comply with our public statements, documentation, and contractual obligations, we may at times fail to do so or be alleged to have failed to do so. Moreover, despite our efforts, we may not be successful in achieving compliance if our employees, third-party collaborators, service providers, contractors or consultants fail to comply with our policies, documentation, and contractual obligations. Such failures can subject us to potential foreign, local, state and federal government or legal action, including if our policies and documentation are found to be deceptive, unfair or misrepresentative of our actual practices. Claims that we have violated individuals’ privacy rights or failed to comply with data privacy and security laws or applicable privacy notices even if we are not found liable, could be expensive and time-consuming to defend and could result in adverse publicity that could harm our business or have other material adverse effects on our business, financial condition and results of operations.</w:t>
      </w:r>
    </w:p>
    <w:p>
      <w:pPr>
        <w:spacing w:after="0" w:line="180"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Although we take reasonable efforts to comply with all Data Protection Requirements and have invested and continue to invest human and technology resources into data privacy and security compliance efforts, there can be no assurance that our actual or perceived non-compliance with Data Protection Requirements will not subject us to litigation, regulatory actions, fines, civil or criminal penalties, limited ability or inability to operate our business, offer our products and services, negative publicity, and harm to our business.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 For example, we may find it necessary to establish alternative systems to maintain personal data originating from the EEA, which may involve substantial expense and may cause us to divert resources from other aspects of our business, all of which may adversely affect our results from operations. Further, any inability to adequately address privacy and data security concerns in connection with our solutions, or comply with applicable Data Protection Requirements, could result in additional cost and liability to us, and adversely affect our ability to offer our solutions.</w:t>
      </w:r>
    </w:p>
    <w:p>
      <w:pPr>
        <w:spacing w:after="0" w:line="18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Anticipated further evolution of regulations on this topic may substantially increase the penalties to which we could be subject in the event of any non-compliance. Compliance with these laws is challenging, constantly evolving, and time consuming and federal regulators, state attorneys general and plaintiff’s attorneys have been and will likely continue to be active in this space. We may incur substantial expense in complying with the new legal obligations to be imposed by new regulations and we may be required to make significant changes to our solutions and expanding business operations, all of which may adversely affect our results of operations.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17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7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174"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65" w:lineRule="exact"/>
        <w:rPr>
          <w:sz w:val="20"/>
          <w:szCs w:val="20"/>
          <w:color w:val="auto"/>
        </w:rPr>
      </w:pPr>
    </w:p>
    <w:p>
      <w:pPr>
        <w:jc w:val="both"/>
        <w:ind w:left="440"/>
        <w:spacing w:after="0" w:line="287" w:lineRule="auto"/>
        <w:rPr>
          <w:sz w:val="20"/>
          <w:szCs w:val="20"/>
          <w:color w:val="auto"/>
        </w:rPr>
      </w:pPr>
      <w:r>
        <w:rPr>
          <w:rFonts w:ascii="Arial" w:cs="Arial" w:eastAsia="Arial" w:hAnsi="Arial"/>
          <w:sz w:val="13"/>
          <w:szCs w:val="13"/>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both"/>
        <w:ind w:left="440"/>
        <w:spacing w:after="0" w:line="286" w:lineRule="auto"/>
        <w:rPr>
          <w:sz w:val="20"/>
          <w:szCs w:val="20"/>
          <w:color w:val="auto"/>
        </w:rPr>
      </w:pPr>
      <w:r>
        <w:rPr>
          <w:rFonts w:ascii="Arial" w:cs="Arial" w:eastAsia="Arial" w:hAnsi="Arial"/>
          <w:sz w:val="13"/>
          <w:szCs w:val="13"/>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74" w:lineRule="exact"/>
        <w:rPr>
          <w:sz w:val="20"/>
          <w:szCs w:val="20"/>
          <w:color w:val="auto"/>
        </w:rPr>
      </w:pPr>
    </w:p>
    <w:p>
      <w:pPr>
        <w:jc w:val="both"/>
        <w:ind w:left="440"/>
        <w:spacing w:after="0" w:line="269" w:lineRule="auto"/>
        <w:rPr>
          <w:sz w:val="20"/>
          <w:szCs w:val="20"/>
          <w:color w:val="auto"/>
        </w:rPr>
      </w:pPr>
      <w:r>
        <w:rPr>
          <w:rFonts w:ascii="Arial" w:cs="Arial" w:eastAsia="Arial" w:hAnsi="Arial"/>
          <w:sz w:val="14"/>
          <w:szCs w:val="14"/>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83" w:lineRule="exact"/>
        <w:rPr>
          <w:sz w:val="20"/>
          <w:szCs w:val="20"/>
          <w:color w:val="auto"/>
        </w:rPr>
      </w:pPr>
    </w:p>
    <w:p>
      <w:pPr>
        <w:jc w:val="both"/>
        <w:ind w:left="440"/>
        <w:spacing w:after="0" w:line="272" w:lineRule="auto"/>
        <w:rPr>
          <w:sz w:val="20"/>
          <w:szCs w:val="20"/>
          <w:color w:val="auto"/>
        </w:rPr>
      </w:pPr>
      <w:r>
        <w:rPr>
          <w:rFonts w:ascii="Arial" w:cs="Arial" w:eastAsia="Arial" w:hAnsi="Arial"/>
          <w:sz w:val="14"/>
          <w:szCs w:val="14"/>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80" w:lineRule="exact"/>
        <w:rPr>
          <w:sz w:val="20"/>
          <w:szCs w:val="20"/>
          <w:color w:val="auto"/>
        </w:rPr>
      </w:pPr>
    </w:p>
    <w:p>
      <w:pPr>
        <w:jc w:val="both"/>
        <w:ind w:left="440"/>
        <w:spacing w:after="0" w:line="299" w:lineRule="auto"/>
        <w:rPr>
          <w:sz w:val="20"/>
          <w:szCs w:val="20"/>
          <w:color w:val="auto"/>
        </w:rPr>
      </w:pPr>
      <w:r>
        <w:rPr>
          <w:rFonts w:ascii="Arial" w:cs="Arial" w:eastAsia="Arial" w:hAnsi="Arial"/>
          <w:sz w:val="13"/>
          <w:szCs w:val="13"/>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65" w:lineRule="exact"/>
        <w:rPr>
          <w:sz w:val="20"/>
          <w:szCs w:val="20"/>
          <w:color w:val="auto"/>
        </w:rPr>
      </w:pPr>
    </w:p>
    <w:p>
      <w:pPr>
        <w:jc w:val="both"/>
        <w:ind w:left="440"/>
        <w:spacing w:after="0" w:line="267" w:lineRule="auto"/>
        <w:rPr>
          <w:sz w:val="20"/>
          <w:szCs w:val="20"/>
          <w:color w:val="auto"/>
        </w:rPr>
      </w:pPr>
      <w:r>
        <w:rPr>
          <w:rFonts w:ascii="Arial" w:cs="Arial" w:eastAsia="Arial" w:hAnsi="Arial"/>
          <w:sz w:val="14"/>
          <w:szCs w:val="14"/>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86" w:lineRule="exact"/>
        <w:rPr>
          <w:sz w:val="20"/>
          <w:szCs w:val="20"/>
          <w:color w:val="auto"/>
        </w:rPr>
      </w:pPr>
    </w:p>
    <w:p>
      <w:pPr>
        <w:jc w:val="both"/>
        <w:ind w:left="440"/>
        <w:spacing w:after="0" w:line="267" w:lineRule="auto"/>
        <w:rPr>
          <w:sz w:val="20"/>
          <w:szCs w:val="20"/>
          <w:color w:val="auto"/>
        </w:rPr>
      </w:pPr>
      <w:r>
        <w:rPr>
          <w:rFonts w:ascii="Arial" w:cs="Arial" w:eastAsia="Arial" w:hAnsi="Arial"/>
          <w:sz w:val="14"/>
          <w:szCs w:val="14"/>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19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or the BBA, increased the criminal and civil penalties that can be imposed for violating certain federal health care laws, including the Anti-Kickback Statute.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19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18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3" w:name="page54"/>
    <w:bookmarkEnd w:id="53"/>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17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8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18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 maintain patent and other intellectual property protection with respect to our current and any future products or other aspects of our business could harm our business, financial condition and results of operations.</w:t>
      </w:r>
    </w:p>
    <w:p>
      <w:pPr>
        <w:spacing w:after="0" w:line="19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8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19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As of June 30, 2021, we own seven issued U.S. patents and one issued foreign patent. There are 31 pending patent applications, including 13 in the United States and 16 foreign applications. Assuming all maintenance fees are paid, the U.S. issued patents are expected to expire between years 2023 and 2038. Patents covering intellectual property relating to design specific technologies invented by our researchers in Shanghai and Wuxi, China are filed in China and owned by our China subsidiaries, respectively. As of June 30, 2021, our Shanghai subsidiary owns 11 issued patents and has 12 pending patent applications, and our Wuxi subsidiary owns 17 issued patents and has nine pending patent applications.</w:t>
      </w:r>
    </w:p>
    <w:p>
      <w:pPr>
        <w:spacing w:after="0" w:line="17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96"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4"/>
          <w:szCs w:val="14"/>
          <w:color w:val="auto"/>
        </w:rPr>
        <w:t>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18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19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3"/>
          <w:szCs w:val="13"/>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180"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4"/>
          <w:szCs w:val="14"/>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9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194"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17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35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17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ind w:right="20"/>
        <w:spacing w:after="0" w:line="334" w:lineRule="auto"/>
        <w:rPr>
          <w:sz w:val="20"/>
          <w:szCs w:val="20"/>
          <w:color w:val="auto"/>
        </w:rPr>
      </w:pPr>
      <w:r>
        <w:rPr>
          <w:rFonts w:ascii="Arial" w:cs="Arial" w:eastAsia="Arial" w:hAnsi="Arial"/>
          <w:sz w:val="13"/>
          <w:szCs w:val="13"/>
          <w:color w:val="auto"/>
        </w:rPr>
        <w:t>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151"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4"/>
          <w:szCs w:val="14"/>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17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193"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12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181"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17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195"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patent law could diminish the value of patents in general, thereby impairing our ability to protect our current and any future products.</w:t>
      </w:r>
    </w:p>
    <w:p>
      <w:pPr>
        <w:spacing w:after="0" w:line="23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spacing w:after="0" w:line="267" w:lineRule="auto"/>
        <w:rPr>
          <w:sz w:val="20"/>
          <w:szCs w:val="20"/>
          <w:color w:val="auto"/>
        </w:rPr>
      </w:pPr>
      <w:r>
        <w:rPr>
          <w:rFonts w:ascii="Arial" w:cs="Arial" w:eastAsia="Arial" w:hAnsi="Arial"/>
          <w:sz w:val="14"/>
          <w:szCs w:val="14"/>
          <w:color w:val="auto"/>
        </w:rPr>
        <w:t>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19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185"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7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200" w:lineRule="exact"/>
        <w:rPr>
          <w:sz w:val="20"/>
          <w:szCs w:val="20"/>
          <w:color w:val="auto"/>
        </w:rPr>
      </w:pP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17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195"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17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19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3"/>
          <w:szCs w:val="13"/>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1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jc w:val="both"/>
        <w:spacing w:after="0" w:line="289" w:lineRule="auto"/>
        <w:rPr>
          <w:sz w:val="20"/>
          <w:szCs w:val="20"/>
          <w:color w:val="auto"/>
        </w:rPr>
      </w:pPr>
      <w:r>
        <w:rPr>
          <w:rFonts w:ascii="Arial" w:cs="Arial" w:eastAsia="Arial" w:hAnsi="Arial"/>
          <w:sz w:val="13"/>
          <w:szCs w:val="13"/>
          <w:color w:val="auto"/>
        </w:rPr>
        <w:t>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180"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17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become involved in lawsuits to protect or enforce our patents and other intellectual property rights, which could be expensive, time-consuming and unsuccessful.</w:t>
      </w:r>
    </w:p>
    <w:p>
      <w:pPr>
        <w:spacing w:after="0" w:line="242"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7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18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188"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17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9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spacing w:after="0" w:line="272" w:lineRule="auto"/>
        <w:rPr>
          <w:sz w:val="20"/>
          <w:szCs w:val="20"/>
          <w:color w:val="auto"/>
        </w:rPr>
      </w:pPr>
      <w:r>
        <w:rPr>
          <w:rFonts w:ascii="Arial" w:cs="Arial" w:eastAsia="Arial" w:hAnsi="Arial"/>
          <w:sz w:val="14"/>
          <w:szCs w:val="14"/>
          <w:color w:val="auto"/>
        </w:rPr>
        <w:t>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8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19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of a key information technology system, process, or site could have an adverse effect on our business.</w:t>
      </w:r>
    </w:p>
    <w:p>
      <w:pPr>
        <w:spacing w:after="0" w:line="23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3"/>
          <w:szCs w:val="13"/>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In addition, the COVID-19 pandemic has generally increased the risk of cybersecurity intrusions. For example, there has been an increase in phishing and spam emails as well as social engineering attempts from “hackers” hoping to use the COVID-19 pandemic to their advantage.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open source software could compromise our ability to offer our services and subject us to possible litigation.</w:t>
      </w:r>
    </w:p>
    <w:p>
      <w:pPr>
        <w:spacing w:after="0" w:line="2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may be volatile, and the value of our common stock may decline.</w:t>
      </w:r>
    </w:p>
    <w:p>
      <w:pPr>
        <w:spacing w:after="0" w:line="231"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The market price of our common stock may be highly volatile and may fluctuate or decline substantially as a result of a variety of factors, some of which are beyond our control, including limited trading volume. In addition to the factors discussed in this “Risk Factors” section and elsewhere in this Quarterly Report on Form 10-Q, these factors including:</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degree and rate of market adoption of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variance in our financial performance from expectations of securities analysts or investors;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actual or anticipated fluctuations in our financial condition and results of operations, including as a result of anticipated or unanticipated demand based on seasonal factors;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changes in our projected operating and financial results;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developments or disputes concerning our intellectual property or other proprietary rights;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significant lawsuits, including patent or stockholder litigation;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negative publicity associated with issues related to our products;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ind w:left="440"/>
        <w:spacing w:after="0"/>
        <w:rPr>
          <w:sz w:val="20"/>
          <w:szCs w:val="20"/>
          <w:color w:val="auto"/>
        </w:rPr>
      </w:pPr>
      <w:r>
        <w:rPr>
          <w:rFonts w:ascii="Arial" w:cs="Arial" w:eastAsia="Arial" w:hAnsi="Arial"/>
          <w:sz w:val="14"/>
          <w:szCs w:val="14"/>
          <w:color w:val="auto"/>
        </w:rPr>
        <w:t>changes in senior management or key personnel;</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future sales of our common stock or other securities, by us or our stockholders, as well as the anticipation of lock-up releases;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trading volume of our common stock;</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ability to obtain and maintain regulatory approvals for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changes in laws or regulations applicable to our products;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adverse developments concerning any of our third-party distribution partners and suppliers, including our single and sole-source suppliers;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announcements by us or our competitors of significant business developments, acquisitions, or new offerings;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inability to engage additional distribution partners and establish collaborations, if needed;</w:t>
      </w:r>
    </w:p>
    <w:p>
      <w:pPr>
        <w:spacing w:after="0" w:line="123" w:lineRule="exact"/>
        <w:rPr>
          <w:sz w:val="20"/>
          <w:szCs w:val="20"/>
          <w:color w:val="auto"/>
        </w:rPr>
      </w:pPr>
    </w:p>
    <w:p>
      <w:pPr>
        <w:ind w:left="440"/>
        <w:spacing w:after="0" w:line="293" w:lineRule="auto"/>
        <w:rPr>
          <w:sz w:val="20"/>
          <w:szCs w:val="20"/>
          <w:color w:val="auto"/>
        </w:rPr>
      </w:pPr>
      <w:r>
        <w:rPr>
          <w:rFonts w:ascii="Arial" w:cs="Arial" w:eastAsia="Arial" w:hAnsi="Arial"/>
          <w:sz w:val="14"/>
          <w:szCs w:val="14"/>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66" w:lineRule="exact"/>
        <w:rPr>
          <w:sz w:val="20"/>
          <w:szCs w:val="20"/>
          <w:color w:val="auto"/>
        </w:rPr>
      </w:pPr>
    </w:p>
    <w:p>
      <w:pPr>
        <w:ind w:left="440" w:right="3100"/>
        <w:spacing w:after="0" w:line="454" w:lineRule="auto"/>
        <w:rPr>
          <w:sz w:val="20"/>
          <w:szCs w:val="20"/>
          <w:color w:val="auto"/>
        </w:rPr>
      </w:pPr>
      <w:r>
        <w:rPr>
          <w:rFonts w:ascii="Arial" w:cs="Arial" w:eastAsia="Arial" w:hAnsi="Arial"/>
          <w:sz w:val="14"/>
          <w:szCs w:val="14"/>
          <w:color w:val="auto"/>
        </w:rPr>
        <w:t>general economic, regulatory and market conditions, including economic recessions or slowdowns and the COVID-19 pandemic; and other events or factors, many of which are beyond our control.</w:t>
      </w:r>
    </w:p>
    <w:p>
      <w:pPr>
        <w:spacing w:after="0" w:line="6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Broad market and industry fluctuations, as well as general economic, pandemic, political, regulatory, and market conditions, may negatively impact the market price of our common stock. In addition, given the relatively small expected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broad discretion in the use of our cash and may invest or spend the funds in ways with which you do not agree and in ways that may not yield a return.</w:t>
      </w:r>
    </w:p>
    <w:p>
      <w:pPr>
        <w:spacing w:after="0" w:line="23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We will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 in ways that enhance stockholder value, we may fail to achieve expected financial results, which could cause our stock price to decline.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and issuances of our common stock in the public market could cause the market price of our common stock to decline.</w:t>
      </w:r>
    </w:p>
    <w:p>
      <w:pPr>
        <w:spacing w:after="0" w:line="23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Based on shares of common stock outstanding as of July 27, 2021, the closing date of our initial public offering, we had a total of 133,663,817 shares of common stock outstanding. Of these shares, only the shares of common stock sold in the initial public offering (including shares sold upon exercise of the underwriters’ option to purchase additional shares), are freely tradable without restriction in the public market (unless purchased by our affiliates).</w:t>
      </w:r>
    </w:p>
    <w:p>
      <w:pPr>
        <w:spacing w:after="0" w:line="185"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In addition, all of our executive officers and directors and the holders of substantially all of our equity securities are subject to lock-up agreements that restrict their ability to transfer shares of our common stock, stock options and other securities convertible into, exchangeable for, or exercisable for our common stock during the period ending on, and including, January 18, 2022, subject to specified exceptions. Morgan Stanley &amp; Co. LLC, Goldman Sachs &amp; Co. LLC, Piper Sandler &amp; Co. and Cowen and Company, LLC may, in their discretion, permit our stockholders who are subject to these lock-up agreements to sell shares prior to the expiration of the lock-up agreements. Upon the expiration of the lock-up period, all of such shares will be eligible for sale, of which 30,592,038 shares held by directors, executive officers and other affiliates will be subject to volume limitations under Rule 144 under the Securities Act.</w:t>
      </w:r>
    </w:p>
    <w:p>
      <w:pPr>
        <w:spacing w:after="0" w:line="17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As of June 30, 2021, there were 6,526,959 shares of common stock subject to outstanding stock options. We registered all of the shares of common stock issuable upon exercise of outstanding stock options, and upon exercise or settlement of any options or other equity incentives we may grant in the future, for public resale under the Securities Act. Accordingly, these shares will be able to be freely sold in the public market upon issuance as permitted by any applicable vesting requirements, subject to the lock-up agreements described above. These shares of common will become eligible for sale in the public market to the extent such stock options are exercised, subject to the lock-up agreements described above and compliance with applicable securities laws. In addition, after June 30, 2021, we have granted 2,857,663 stock options to our directors, officers and employees.</w:t>
      </w:r>
    </w:p>
    <w:p>
      <w:pPr>
        <w:spacing w:after="0" w:line="19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As of the date of our initial public offering, the holders of 87,268,694 shares of our common stock were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an adverse effect on the trading price of our common stock.</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Based on the number of shares of common stock outstanding as of July 30, 2021, our executive officers, directors and current beneficial owners of 5% or more of our common stock will, in the aggregate, beneficially own approximately 44.9% of our common stock. These stockholders, acting together, will be able to significantly influence all matters requiring stockholder approval, including the election and removal of directors and any merger or other significant corporate transactions.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4"/>
          <w:szCs w:val="14"/>
          <w:color w:val="auto"/>
        </w:rPr>
        <w:t>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85"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36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common stock less attractive to investors.</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9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Investors may find our common stock less attractive as a result of our reliance on these exemptions. If some investors find our common stock less attractive as a result, there may be a less active trading market for our common stock and our stock price may be more volatile.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disclosure controls and procedures may not prevent or detect all errors or acts of fraud.</w:t>
      </w:r>
    </w:p>
    <w:p>
      <w:pPr>
        <w:spacing w:after="0" w:line="2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5"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74"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66" w:lineRule="exact"/>
        <w:rPr>
          <w:sz w:val="20"/>
          <w:szCs w:val="20"/>
          <w:color w:val="auto"/>
        </w:rPr>
      </w:pPr>
    </w:p>
    <w:p>
      <w:pPr>
        <w:ind w:left="440" w:right="2300"/>
        <w:spacing w:after="0" w:line="493" w:lineRule="auto"/>
        <w:rPr>
          <w:sz w:val="20"/>
          <w:szCs w:val="20"/>
          <w:color w:val="auto"/>
        </w:rPr>
      </w:pPr>
      <w:r>
        <w:rPr>
          <w:rFonts w:ascii="Arial" w:cs="Arial" w:eastAsia="Arial" w:hAnsi="Arial"/>
          <w:sz w:val="12"/>
          <w:szCs w:val="12"/>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w:t>
      </w:r>
    </w:p>
    <w:p>
      <w:pPr>
        <w:ind w:left="440" w:right="20"/>
        <w:spacing w:after="0" w:line="293" w:lineRule="auto"/>
        <w:rPr>
          <w:sz w:val="20"/>
          <w:szCs w:val="20"/>
          <w:color w:val="auto"/>
        </w:rPr>
      </w:pPr>
      <w:r>
        <w:rPr>
          <w:rFonts w:ascii="Arial" w:cs="Arial" w:eastAsia="Arial" w:hAnsi="Arial"/>
          <w:sz w:val="14"/>
          <w:szCs w:val="14"/>
          <w:color w:val="auto"/>
        </w:rPr>
        <w:t>a requirement that special meetings of stockholders be called only by the chairman of the board of directors, the chief executive officer, the president, or by a majority of the total number of authorized directors;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advance notice requirements for stockholder proposals and nominations for election to our board of directors;</w:t>
      </w:r>
    </w:p>
    <w:p>
      <w:pPr>
        <w:spacing w:after="0" w:line="123" w:lineRule="exact"/>
        <w:rPr>
          <w:sz w:val="20"/>
          <w:szCs w:val="20"/>
          <w:color w:val="auto"/>
        </w:rPr>
      </w:pPr>
    </w:p>
    <w:p>
      <w:pPr>
        <w:ind w:left="440"/>
        <w:spacing w:after="0" w:line="293" w:lineRule="auto"/>
        <w:rPr>
          <w:sz w:val="20"/>
          <w:szCs w:val="20"/>
          <w:color w:val="auto"/>
        </w:rPr>
      </w:pPr>
      <w:r>
        <w:rPr>
          <w:rFonts w:ascii="Arial" w:cs="Arial" w:eastAsia="Arial" w:hAnsi="Arial"/>
          <w:sz w:val="14"/>
          <w:szCs w:val="14"/>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6" w:lineRule="exact"/>
        <w:rPr>
          <w:sz w:val="20"/>
          <w:szCs w:val="20"/>
          <w:color w:val="auto"/>
        </w:rPr>
      </w:pPr>
    </w:p>
    <w:p>
      <w:pPr>
        <w:ind w:left="440" w:right="20"/>
        <w:spacing w:after="0" w:line="293" w:lineRule="auto"/>
        <w:rPr>
          <w:sz w:val="20"/>
          <w:szCs w:val="20"/>
          <w:color w:val="auto"/>
        </w:rPr>
      </w:pPr>
      <w:r>
        <w:rPr>
          <w:rFonts w:ascii="Arial" w:cs="Arial" w:eastAsia="Arial" w:hAnsi="Arial"/>
          <w:sz w:val="14"/>
          <w:szCs w:val="14"/>
          <w:color w:val="auto"/>
        </w:rPr>
        <w:t>a requirement of approval of not less than two-thirds of all outstanding shares of our voting stock to amend any bylaws by stockholder action or to amend specific provisions of our certificate of incorporation; and</w:t>
      </w:r>
    </w:p>
    <w:p>
      <w:pPr>
        <w:spacing w:after="0" w:line="66" w:lineRule="exact"/>
        <w:rPr>
          <w:sz w:val="20"/>
          <w:szCs w:val="20"/>
          <w:color w:val="auto"/>
        </w:rPr>
      </w:pPr>
    </w:p>
    <w:p>
      <w:pPr>
        <w:ind w:left="440"/>
        <w:spacing w:after="0" w:line="293" w:lineRule="auto"/>
        <w:rPr>
          <w:sz w:val="20"/>
          <w:szCs w:val="20"/>
          <w:color w:val="auto"/>
        </w:rPr>
      </w:pPr>
      <w:r>
        <w:rPr>
          <w:rFonts w:ascii="Arial" w:cs="Arial" w:eastAsia="Arial" w:hAnsi="Arial"/>
          <w:sz w:val="14"/>
          <w:szCs w:val="14"/>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17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4"/>
          <w:szCs w:val="14"/>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85"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8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9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7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We are required, pursuant to Section 404 of the Sarbanes–Oxley Act, to furnish a report by management on, among other things, the effectiveness of our internal control over financial reporting for the fiscal year ending December 31, 2022, which is the year covered by the second annual report following the completion of our initial public offering.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91"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74"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The preparation of our unaudited interim consolidated financial statements in conformity with generally accepted accounting principles requires management to make estimates and assumptions that affect the amounts reported in our unaudited interim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23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both"/>
        <w:spacing w:after="0" w:line="293"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4"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As a public company, we will incur significant legal, accounting, and other expenses that we did not incur as a private company. We expect such expenses to further increase after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failure to meet Nasdaq’s continued listing requirements could result in a delisting of our common stock.</w:t>
      </w:r>
    </w:p>
    <w:p>
      <w:pPr>
        <w:spacing w:after="0" w:line="2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3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25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85"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losses (“NOLs”) to offset future taxable income may be subject to certain limitations.</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As of December 31, 2020, we had no federal NOL carryforwards and state NOL carryforwards of approximately $2.2 million. Certain state NOLs will begin to expire in the calendar year 2028, unless previously utilized. Certain NOL carryforwards subject to expiration could expire unused and be unavailable to offset future income tax liabilities.</w:t>
      </w:r>
    </w:p>
    <w:p>
      <w:pPr>
        <w:spacing w:after="0" w:line="174"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Under the Tax Cuts and Jobs Act, or the Tax Act, as modified by the Coronavirus Aid, Relief and Economic Security Act, or CARES Act, federal NOLs incurred in taxable years beginning after December 31, 2017 may be carried forward indefinitely, but the deductibility of such federal NOLs in taxable years beginning after December 31, 2020 is limited to 80% of taxable income in such years. There is variation in how states have responded and may continue to respond to the Tax Act and CARES Act. In addition, for state income tax purposes, there may be periods during which the use of NOLs is suspended or otherwise limited, such as recent California legislation limiting the usability of NOLs for tax years beginning in 2020 and before 2023.</w:t>
      </w:r>
    </w:p>
    <w:p>
      <w:pPr>
        <w:spacing w:after="0" w:line="17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Separately, under Section 382 of the Internal Revenue Code of 1986, as amended (the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and October 23, 2020. As of June 30, 2021, we had not experienced an ownership change subsequent to the ownership change on October 23, 2020. In addition, we may in the future experience ownership changes, either as a result of our IPO or other changes in our stock ownership (some of which are not in our control). If an ownership change occurs, our ability to utilize our NOL carryforwards and other tax attributes to reduce future tax liabilities may be limited.</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effective tax rate could increase due to several factors, including:</w:t>
      </w:r>
    </w:p>
    <w:p>
      <w:pPr>
        <w:spacing w:after="0" w:line="123" w:lineRule="exact"/>
        <w:rPr>
          <w:sz w:val="20"/>
          <w:szCs w:val="20"/>
          <w:color w:val="auto"/>
        </w:rPr>
      </w:pPr>
    </w:p>
    <w:p>
      <w:pPr>
        <w:ind w:left="440" w:right="2660"/>
        <w:spacing w:after="0" w:line="422" w:lineRule="auto"/>
        <w:rPr>
          <w:sz w:val="20"/>
          <w:szCs w:val="20"/>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 changes in tax laws, tax treaties, and regulations or the interpretation of them;</w:t>
      </w:r>
    </w:p>
    <w:p>
      <w:pPr>
        <w:spacing w:after="0" w:line="1" w:lineRule="exact"/>
        <w:rPr>
          <w:sz w:val="20"/>
          <w:szCs w:val="20"/>
          <w:color w:val="auto"/>
        </w:rPr>
      </w:pPr>
    </w:p>
    <w:p>
      <w:pPr>
        <w:ind w:left="440" w:right="20"/>
        <w:spacing w:after="0" w:line="293" w:lineRule="auto"/>
        <w:rPr>
          <w:sz w:val="20"/>
          <w:szCs w:val="20"/>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outcome of current and future tax audits, examinations, or administrative appeals; and</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limitations or adverse findings regarding our ability to do business in some jurisdictions.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jc w:val="both"/>
        <w:ind w:firstLine="509"/>
        <w:spacing w:after="0" w:line="277" w:lineRule="auto"/>
        <w:rPr>
          <w:sz w:val="20"/>
          <w:szCs w:val="20"/>
          <w:color w:val="auto"/>
        </w:rPr>
      </w:pPr>
      <w:r>
        <w:rPr>
          <w:rFonts w:ascii="Arial" w:cs="Arial" w:eastAsia="Arial" w:hAnsi="Arial"/>
          <w:sz w:val="14"/>
          <w:szCs w:val="14"/>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 and regulations may have a material adverse effect on our business, financial condition and results of operations.</w:t>
      </w:r>
    </w:p>
    <w:p>
      <w:pPr>
        <w:spacing w:after="0" w:line="231"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17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Unregistered Sales of Equity Securities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None.</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2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In July 2021, we priced our IPO, in which we issued and sold an aggregate of 13,949,401 shares of common stock,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 offering commenced on July 23, 2021, and, following the sale of the shares upon the closing of the IPO, the public offering was terminated. Morgan Stanley &amp; Co. LLC, Goldman Sachs &amp; Co. LLC, Piper Sandler &amp; Co. and Cowen and Company, LLC acted as joint book running managers. The aggregate net proceeds to us from the public offering were approximately $237.1 million, after deducting underwriting discounts and commissions and offering expenses payable by us of approximately $22.6 million. We did not receive any proceeds from the sale of shares by the selling stockholders. No offering expenses were paid directly or indirectly to any of our directors or officers (or their associates) or persons owning 10% or more of any class of our equity securities or to any other affiliates. There has been no material change in the use of proceeds from our IPO from those disclosed in the final prospectus for our IPO dated July 22, 2021 and filed with the SEC pursuant to Rule 424(b)(4) of the Securities Act on July 23, 2021.</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34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34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34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6"/>
        </w:trPr>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ITEM 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gridSpan w:val="12"/>
          </w:tcPr>
          <w:p>
            <w:pPr>
              <w:ind w:left="60"/>
              <w:spacing w:after="0"/>
              <w:rPr>
                <w:sz w:val="20"/>
                <w:szCs w:val="20"/>
                <w:color w:val="auto"/>
              </w:rPr>
            </w:pPr>
            <w:r>
              <w:rPr>
                <w:rFonts w:ascii="Arial" w:cs="Arial" w:eastAsia="Arial" w:hAnsi="Arial"/>
                <w:sz w:val="14"/>
                <w:szCs w:val="14"/>
                <w:b w:val="1"/>
                <w:bCs w:val="1"/>
                <w:color w:val="auto"/>
              </w:rPr>
              <w:t>EXHIBITS.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3"/>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Incorporated by Reference</w:t>
            </w:r>
          </w:p>
        </w:tc>
        <w:tc>
          <w:tcPr>
            <w:tcW w:w="100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ind w:left="320"/>
              <w:spacing w:after="0"/>
              <w:rPr>
                <w:sz w:val="20"/>
                <w:szCs w:val="20"/>
                <w:color w:val="auto"/>
              </w:rPr>
            </w:pPr>
            <w:r>
              <w:rPr>
                <w:rFonts w:ascii="Arial" w:cs="Arial" w:eastAsia="Arial" w:hAnsi="Arial"/>
                <w:sz w:val="14"/>
                <w:szCs w:val="14"/>
                <w:b w:val="1"/>
                <w:bCs w:val="1"/>
                <w:color w:val="auto"/>
              </w:rPr>
              <w:t>Filing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92"/>
        </w:trPr>
        <w:tc>
          <w:tcPr>
            <w:tcW w:w="8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10"/>
          </w:tcPr>
          <w:p>
            <w:pPr>
              <w:ind w:left="1360"/>
              <w:spacing w:after="0"/>
              <w:rPr>
                <w:sz w:val="20"/>
                <w:szCs w:val="20"/>
                <w:color w:val="auto"/>
              </w:rPr>
            </w:pPr>
            <w:r>
              <w:rPr>
                <w:rFonts w:ascii="Arial" w:cs="Arial" w:eastAsia="Arial" w:hAnsi="Arial"/>
                <w:sz w:val="14"/>
                <w:szCs w:val="14"/>
                <w:b w:val="1"/>
                <w:bCs w:val="1"/>
                <w:color w:val="auto"/>
              </w:rPr>
              <w:t>Exhibit Title</w:t>
            </w:r>
          </w:p>
        </w:tc>
        <w:tc>
          <w:tcPr>
            <w:tcW w:w="14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7"/>
              </w:rPr>
              <w:t>Form</w:t>
            </w: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File No.</w:t>
            </w:r>
          </w:p>
        </w:tc>
        <w:tc>
          <w:tcPr>
            <w:tcW w:w="122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4"/>
              </w:rPr>
              <w:t>Exhibit</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Date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161"/>
        </w:trPr>
        <w:tc>
          <w:tcPr>
            <w:tcW w:w="540" w:type="dxa"/>
            <w:vAlign w:val="bottom"/>
            <w:gridSpan w:val="2"/>
          </w:tcPr>
          <w:p>
            <w:pPr>
              <w:jc w:val="center"/>
              <w:ind w:left="288"/>
              <w:spacing w:after="0"/>
              <w:rPr>
                <w:rFonts w:ascii="Arial" w:cs="Arial" w:eastAsia="Arial" w:hAnsi="Arial"/>
                <w:sz w:val="14"/>
                <w:szCs w:val="14"/>
                <w:color w:val="0000FF"/>
                <w:w w:val="92"/>
              </w:rPr>
            </w:pPr>
            <w:hyperlink r:id="rId227">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gridSpan w:val="12"/>
          </w:tcPr>
          <w:p>
            <w:pPr>
              <w:spacing w:after="0"/>
              <w:rPr>
                <w:rFonts w:ascii="Arial" w:cs="Arial" w:eastAsia="Arial" w:hAnsi="Arial"/>
                <w:sz w:val="14"/>
                <w:szCs w:val="14"/>
                <w:color w:val="0000FF"/>
              </w:rPr>
            </w:pPr>
            <w:hyperlink r:id="rId227">
              <w:r>
                <w:rPr>
                  <w:rFonts w:ascii="Arial" w:cs="Arial" w:eastAsia="Arial" w:hAnsi="Arial"/>
                  <w:sz w:val="14"/>
                  <w:szCs w:val="14"/>
                  <w:color w:val="0000FF"/>
                </w:rPr>
                <w:t>Amended and Restated Certificate of Incorporation</w:t>
              </w:r>
            </w:hyperlink>
          </w:p>
        </w:tc>
        <w:tc>
          <w:tcPr>
            <w:tcW w:w="1360" w:type="dxa"/>
            <w:vAlign w:val="bottom"/>
            <w:gridSpan w:val="3"/>
          </w:tcPr>
          <w:p>
            <w:pPr>
              <w:jc w:val="center"/>
              <w:ind w:right="620"/>
              <w:spacing w:after="0"/>
              <w:rPr>
                <w:rFonts w:ascii="Arial" w:cs="Arial" w:eastAsia="Arial" w:hAnsi="Arial"/>
                <w:sz w:val="14"/>
                <w:szCs w:val="14"/>
                <w:color w:val="0000FF"/>
              </w:rPr>
            </w:pPr>
            <w:hyperlink r:id="rId227">
              <w:r>
                <w:rPr>
                  <w:rFonts w:ascii="Arial" w:cs="Arial" w:eastAsia="Arial" w:hAnsi="Arial"/>
                  <w:sz w:val="14"/>
                  <w:szCs w:val="14"/>
                  <w:color w:val="0000FF"/>
                </w:rPr>
                <w:t>8-K</w:t>
              </w:r>
            </w:hyperlink>
          </w:p>
        </w:tc>
        <w:tc>
          <w:tcPr>
            <w:tcW w:w="1080" w:type="dxa"/>
            <w:vAlign w:val="bottom"/>
            <w:gridSpan w:val="2"/>
          </w:tcPr>
          <w:p>
            <w:pPr>
              <w:jc w:val="center"/>
              <w:ind w:right="440"/>
              <w:spacing w:after="0"/>
              <w:rPr>
                <w:rFonts w:ascii="Arial" w:cs="Arial" w:eastAsia="Arial" w:hAnsi="Arial"/>
                <w:sz w:val="14"/>
                <w:szCs w:val="14"/>
                <w:color w:val="0000FF"/>
                <w:w w:val="95"/>
              </w:rPr>
            </w:pPr>
            <w:hyperlink r:id="rId227">
              <w:r>
                <w:rPr>
                  <w:rFonts w:ascii="Arial" w:cs="Arial" w:eastAsia="Arial" w:hAnsi="Arial"/>
                  <w:sz w:val="14"/>
                  <w:szCs w:val="14"/>
                  <w:color w:val="0000FF"/>
                  <w:w w:val="95"/>
                </w:rPr>
                <w:t>001-40632</w:t>
              </w:r>
            </w:hyperlink>
          </w:p>
        </w:tc>
        <w:tc>
          <w:tcPr>
            <w:tcW w:w="1220" w:type="dxa"/>
            <w:vAlign w:val="bottom"/>
            <w:gridSpan w:val="3"/>
          </w:tcPr>
          <w:p>
            <w:pPr>
              <w:jc w:val="center"/>
              <w:ind w:left="88"/>
              <w:spacing w:after="0"/>
              <w:rPr>
                <w:sz w:val="20"/>
                <w:szCs w:val="20"/>
                <w:color w:val="auto"/>
              </w:rPr>
            </w:pPr>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p>
        </w:tc>
        <w:tc>
          <w:tcPr>
            <w:tcW w:w="1000" w:type="dxa"/>
            <w:vAlign w:val="bottom"/>
          </w:tcPr>
          <w:p>
            <w:pPr>
              <w:ind w:left="340"/>
              <w:spacing w:after="0"/>
              <w:rPr>
                <w:sz w:val="20"/>
                <w:szCs w:val="20"/>
                <w:color w:val="auto"/>
              </w:rPr>
            </w:pPr>
            <w:r>
              <w:rPr>
                <w:rFonts w:ascii="Arial" w:cs="Arial" w:eastAsia="Arial" w:hAnsi="Arial"/>
                <w:sz w:val="14"/>
                <w:szCs w:val="14"/>
                <w:color w:val="auto"/>
                <w:w w:val="91"/>
              </w:rPr>
              <w:t>07/27/2021</w:t>
            </w:r>
          </w:p>
        </w:tc>
        <w:tc>
          <w:tcPr>
            <w:tcW w:w="108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9"/>
        </w:trPr>
        <w:tc>
          <w:tcPr>
            <w:tcW w:w="540" w:type="dxa"/>
            <w:vAlign w:val="bottom"/>
            <w:gridSpan w:val="2"/>
          </w:tcPr>
          <w:p>
            <w:pPr>
              <w:jc w:val="center"/>
              <w:ind w:left="288"/>
              <w:spacing w:after="0"/>
              <w:rPr>
                <w:rFonts w:ascii="Arial" w:cs="Arial" w:eastAsia="Arial" w:hAnsi="Arial"/>
                <w:sz w:val="14"/>
                <w:szCs w:val="14"/>
                <w:color w:val="0000FF"/>
                <w:w w:val="92"/>
              </w:rPr>
            </w:pPr>
            <w:hyperlink r:id="rId228">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rFonts w:ascii="Arial" w:cs="Arial" w:eastAsia="Arial" w:hAnsi="Arial"/>
                <w:sz w:val="14"/>
                <w:szCs w:val="14"/>
                <w:color w:val="0000FF"/>
              </w:rPr>
            </w:pPr>
            <w:hyperlink r:id="rId228">
              <w:r>
                <w:rPr>
                  <w:rFonts w:ascii="Arial" w:cs="Arial" w:eastAsia="Arial" w:hAnsi="Arial"/>
                  <w:sz w:val="14"/>
                  <w:szCs w:val="14"/>
                  <w:color w:val="0000FF"/>
                </w:rPr>
                <w:t>Amended and Restated Bylaws</w:t>
              </w:r>
            </w:hyperlink>
          </w:p>
        </w:tc>
        <w:tc>
          <w:tcPr>
            <w:tcW w:w="1360" w:type="dxa"/>
            <w:vAlign w:val="bottom"/>
            <w:gridSpan w:val="3"/>
          </w:tcPr>
          <w:p>
            <w:pPr>
              <w:jc w:val="center"/>
              <w:ind w:right="620"/>
              <w:spacing w:after="0"/>
              <w:rPr>
                <w:rFonts w:ascii="Arial" w:cs="Arial" w:eastAsia="Arial" w:hAnsi="Arial"/>
                <w:sz w:val="14"/>
                <w:szCs w:val="14"/>
                <w:color w:val="0000FF"/>
              </w:rPr>
            </w:pPr>
            <w:hyperlink r:id="rId228">
              <w:r>
                <w:rPr>
                  <w:rFonts w:ascii="Arial" w:cs="Arial" w:eastAsia="Arial" w:hAnsi="Arial"/>
                  <w:sz w:val="14"/>
                  <w:szCs w:val="14"/>
                  <w:color w:val="0000FF"/>
                </w:rPr>
                <w:t>8-K</w:t>
              </w:r>
            </w:hyperlink>
          </w:p>
        </w:tc>
        <w:tc>
          <w:tcPr>
            <w:tcW w:w="1080" w:type="dxa"/>
            <w:vAlign w:val="bottom"/>
            <w:gridSpan w:val="2"/>
          </w:tcPr>
          <w:p>
            <w:pPr>
              <w:jc w:val="center"/>
              <w:ind w:right="440"/>
              <w:spacing w:after="0"/>
              <w:rPr>
                <w:rFonts w:ascii="Arial" w:cs="Arial" w:eastAsia="Arial" w:hAnsi="Arial"/>
                <w:sz w:val="14"/>
                <w:szCs w:val="14"/>
                <w:color w:val="0000FF"/>
                <w:w w:val="95"/>
              </w:rPr>
            </w:pPr>
            <w:hyperlink r:id="rId228">
              <w:r>
                <w:rPr>
                  <w:rFonts w:ascii="Arial" w:cs="Arial" w:eastAsia="Arial" w:hAnsi="Arial"/>
                  <w:sz w:val="14"/>
                  <w:szCs w:val="14"/>
                  <w:color w:val="0000FF"/>
                  <w:w w:val="95"/>
                </w:rPr>
                <w:t>001-40632</w:t>
              </w:r>
            </w:hyperlink>
          </w:p>
        </w:tc>
        <w:tc>
          <w:tcPr>
            <w:tcW w:w="1220" w:type="dxa"/>
            <w:vAlign w:val="bottom"/>
            <w:gridSpan w:val="3"/>
          </w:tcPr>
          <w:p>
            <w:pPr>
              <w:jc w:val="center"/>
              <w:ind w:left="88"/>
              <w:spacing w:after="0"/>
              <w:rPr>
                <w:sz w:val="20"/>
                <w:szCs w:val="20"/>
                <w:color w:val="auto"/>
              </w:rPr>
            </w:pPr>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p>
        </w:tc>
        <w:tc>
          <w:tcPr>
            <w:tcW w:w="1000" w:type="dxa"/>
            <w:vAlign w:val="bottom"/>
          </w:tcPr>
          <w:p>
            <w:pPr>
              <w:ind w:left="340"/>
              <w:spacing w:after="0"/>
              <w:rPr>
                <w:sz w:val="20"/>
                <w:szCs w:val="20"/>
                <w:color w:val="auto"/>
              </w:rPr>
            </w:pPr>
            <w:r>
              <w:rPr>
                <w:rFonts w:ascii="Arial" w:cs="Arial" w:eastAsia="Arial" w:hAnsi="Arial"/>
                <w:sz w:val="14"/>
                <w:szCs w:val="14"/>
                <w:color w:val="auto"/>
                <w:w w:val="91"/>
              </w:rPr>
              <w:t>07/27/2021</w:t>
            </w:r>
          </w:p>
        </w:tc>
        <w:tc>
          <w:tcPr>
            <w:tcW w:w="108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8"/>
        </w:trPr>
        <w:tc>
          <w:tcPr>
            <w:tcW w:w="600" w:type="dxa"/>
            <w:vAlign w:val="bottom"/>
            <w:gridSpan w:val="3"/>
          </w:tcPr>
          <w:p>
            <w:pPr>
              <w:jc w:val="center"/>
              <w:ind w:left="208"/>
              <w:spacing w:after="0"/>
              <w:rPr>
                <w:rFonts w:ascii="Arial" w:cs="Arial" w:eastAsia="Arial" w:hAnsi="Arial"/>
                <w:sz w:val="14"/>
                <w:szCs w:val="14"/>
                <w:color w:val="0000FF"/>
                <w:w w:val="87"/>
              </w:rPr>
            </w:pPr>
            <w:hyperlink w:anchor="page67">
              <w:r>
                <w:rPr>
                  <w:rFonts w:ascii="Arial" w:cs="Arial" w:eastAsia="Arial" w:hAnsi="Arial"/>
                  <w:sz w:val="14"/>
                  <w:szCs w:val="14"/>
                  <w:color w:val="0000FF"/>
                  <w:w w:val="87"/>
                </w:rPr>
                <w:t>31.</w:t>
              </w:r>
              <w:r>
                <w:rPr>
                  <w:rFonts w:ascii="Arial" w:cs="Arial" w:eastAsia="Arial" w:hAnsi="Arial"/>
                  <w:sz w:val="14"/>
                  <w:szCs w:val="14"/>
                  <w:u w:val="single" w:color="auto"/>
                  <w:color w:val="0000FF"/>
                  <w:w w:val="87"/>
                </w:rPr>
                <w:t>1</w:t>
              </w:r>
            </w:hyperlink>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rFonts w:ascii="Arial" w:cs="Arial" w:eastAsia="Arial" w:hAnsi="Arial"/>
                <w:sz w:val="14"/>
                <w:szCs w:val="14"/>
                <w:color w:val="0000FF"/>
                <w:w w:val="99"/>
              </w:rPr>
            </w:pPr>
            <w:hyperlink w:anchor="page67">
              <w:r>
                <w:rPr>
                  <w:rFonts w:ascii="Arial" w:cs="Arial" w:eastAsia="Arial" w:hAnsi="Arial"/>
                  <w:sz w:val="14"/>
                  <w:szCs w:val="14"/>
                  <w:color w:val="0000FF"/>
                  <w:w w:val="99"/>
                </w:rPr>
                <w:t>Certification of Principal Executive Officer required by Rule 13a-14(a) or</w:t>
              </w:r>
            </w:hyperlink>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5"/>
        </w:trPr>
        <w:tc>
          <w:tcPr>
            <w:tcW w:w="3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6"/>
          </w:tcPr>
          <w:p>
            <w:pPr>
              <w:spacing w:after="0" w:line="155" w:lineRule="exact"/>
              <w:rPr>
                <w:rFonts w:ascii="Arial" w:cs="Arial" w:eastAsia="Arial" w:hAnsi="Arial"/>
                <w:sz w:val="14"/>
                <w:szCs w:val="14"/>
                <w:color w:val="0000FF"/>
                <w:w w:val="92"/>
              </w:rPr>
            </w:pPr>
            <w:hyperlink w:anchor="page67">
              <w:r>
                <w:rPr>
                  <w:rFonts w:ascii="Arial" w:cs="Arial" w:eastAsia="Arial" w:hAnsi="Arial"/>
                  <w:sz w:val="14"/>
                  <w:szCs w:val="14"/>
                  <w:color w:val="0000FF"/>
                  <w:w w:val="92"/>
                </w:rPr>
                <w:t>Rule 15d-14(a) of the Securities Exchange Act of 1934, as adopted</w:t>
              </w:r>
            </w:hyperlink>
          </w:p>
        </w:tc>
        <w:tc>
          <w:tcPr>
            <w:tcW w:w="40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bottom w:val="single" w:sz="8" w:color="0000FF"/>
            </w:tcBorders>
            <w:gridSpan w:val="4"/>
          </w:tcPr>
          <w:p>
            <w:pPr>
              <w:spacing w:after="0" w:line="155" w:lineRule="exact"/>
              <w:rPr>
                <w:rFonts w:ascii="Arial" w:cs="Arial" w:eastAsia="Arial" w:hAnsi="Arial"/>
                <w:sz w:val="14"/>
                <w:szCs w:val="14"/>
                <w:color w:val="0000FF"/>
                <w:w w:val="92"/>
              </w:rPr>
            </w:pPr>
            <w:hyperlink w:anchor="page67">
              <w:r>
                <w:rPr>
                  <w:rFonts w:ascii="Arial" w:cs="Arial" w:eastAsia="Arial" w:hAnsi="Arial"/>
                  <w:sz w:val="14"/>
                  <w:szCs w:val="14"/>
                  <w:color w:val="0000FF"/>
                  <w:w w:val="92"/>
                </w:rPr>
                <w:t>pursuant to Section 302 of the Sarbanes-Oxley Act of 2002.</w:t>
              </w:r>
            </w:hyperlink>
          </w:p>
        </w:tc>
        <w:tc>
          <w:tcPr>
            <w:tcW w:w="20" w:type="dxa"/>
            <w:vAlign w:val="bottom"/>
            <w:tcBorders>
              <w:bottom w:val="single" w:sz="8" w:color="0000EE"/>
            </w:tcBorders>
          </w:tcPr>
          <w:p>
            <w:pPr>
              <w:spacing w:after="0"/>
              <w:rPr>
                <w:sz w:val="13"/>
                <w:szCs w:val="13"/>
                <w:color w:val="auto"/>
              </w:rPr>
            </w:pPr>
          </w:p>
        </w:tc>
        <w:tc>
          <w:tcPr>
            <w:tcW w:w="1000" w:type="dxa"/>
            <w:vAlign w:val="bottom"/>
            <w:gridSpan w:val="7"/>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439"/>
        </w:trPr>
        <w:tc>
          <w:tcPr>
            <w:tcW w:w="600" w:type="dxa"/>
            <w:vAlign w:val="bottom"/>
            <w:gridSpan w:val="3"/>
          </w:tcPr>
          <w:p>
            <w:pPr>
              <w:jc w:val="center"/>
              <w:ind w:left="208"/>
              <w:spacing w:after="0"/>
              <w:rPr>
                <w:rFonts w:ascii="Arial" w:cs="Arial" w:eastAsia="Arial" w:hAnsi="Arial"/>
                <w:sz w:val="14"/>
                <w:szCs w:val="14"/>
                <w:color w:val="0000FF"/>
                <w:w w:val="87"/>
              </w:rPr>
            </w:pPr>
            <w:hyperlink w:anchor="page68">
              <w:r>
                <w:rPr>
                  <w:rFonts w:ascii="Arial" w:cs="Arial" w:eastAsia="Arial" w:hAnsi="Arial"/>
                  <w:sz w:val="14"/>
                  <w:szCs w:val="14"/>
                  <w:color w:val="0000FF"/>
                  <w:w w:val="87"/>
                </w:rPr>
                <w:t>31.</w:t>
              </w:r>
              <w:r>
                <w:rPr>
                  <w:rFonts w:ascii="Arial" w:cs="Arial" w:eastAsia="Arial" w:hAnsi="Arial"/>
                  <w:sz w:val="14"/>
                  <w:szCs w:val="14"/>
                  <w:u w:val="single" w:color="auto"/>
                  <w:color w:val="0000FF"/>
                  <w:w w:val="87"/>
                </w:rPr>
                <w:t>2</w:t>
              </w:r>
            </w:hyperlink>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rFonts w:ascii="Arial" w:cs="Arial" w:eastAsia="Arial" w:hAnsi="Arial"/>
                <w:sz w:val="14"/>
                <w:szCs w:val="14"/>
                <w:color w:val="0000FF"/>
              </w:rPr>
            </w:pPr>
            <w:hyperlink w:anchor="page68">
              <w:r>
                <w:rPr>
                  <w:rFonts w:ascii="Arial" w:cs="Arial" w:eastAsia="Arial" w:hAnsi="Arial"/>
                  <w:sz w:val="14"/>
                  <w:szCs w:val="14"/>
                  <w:color w:val="0000FF"/>
                </w:rPr>
                <w:t>Certification of Principal Financial Officer required by Rule 13a-14(a) or</w:t>
              </w:r>
            </w:hyperlink>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5"/>
        </w:trPr>
        <w:tc>
          <w:tcPr>
            <w:tcW w:w="3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6"/>
          </w:tcPr>
          <w:p>
            <w:pPr>
              <w:spacing w:after="0" w:line="155" w:lineRule="exact"/>
              <w:rPr>
                <w:rFonts w:ascii="Arial" w:cs="Arial" w:eastAsia="Arial" w:hAnsi="Arial"/>
                <w:sz w:val="14"/>
                <w:szCs w:val="14"/>
                <w:color w:val="0000FF"/>
                <w:w w:val="92"/>
              </w:rPr>
            </w:pPr>
            <w:hyperlink w:anchor="page68">
              <w:r>
                <w:rPr>
                  <w:rFonts w:ascii="Arial" w:cs="Arial" w:eastAsia="Arial" w:hAnsi="Arial"/>
                  <w:sz w:val="14"/>
                  <w:szCs w:val="14"/>
                  <w:color w:val="0000FF"/>
                  <w:w w:val="92"/>
                </w:rPr>
                <w:t>Rule 15d-14(a) of the Securities Exchange Act of 1934, as adopted</w:t>
              </w:r>
            </w:hyperlink>
          </w:p>
        </w:tc>
        <w:tc>
          <w:tcPr>
            <w:tcW w:w="360" w:type="dxa"/>
            <w:vAlign w:val="bottom"/>
            <w:tcBorders>
              <w:top w:val="single" w:sz="8" w:color="0000FF"/>
            </w:tcBorders>
            <w:gridSpan w:val="3"/>
          </w:tcPr>
          <w:p>
            <w:pPr>
              <w:spacing w:after="0"/>
              <w:rPr>
                <w:sz w:val="13"/>
                <w:szCs w:val="13"/>
                <w:color w:val="auto"/>
              </w:rPr>
            </w:pPr>
          </w:p>
        </w:tc>
        <w:tc>
          <w:tcPr>
            <w:tcW w:w="22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bottom w:val="single" w:sz="8" w:color="0000FF"/>
            </w:tcBorders>
            <w:gridSpan w:val="4"/>
          </w:tcPr>
          <w:p>
            <w:pPr>
              <w:spacing w:after="0" w:line="155" w:lineRule="exact"/>
              <w:rPr>
                <w:rFonts w:ascii="Arial" w:cs="Arial" w:eastAsia="Arial" w:hAnsi="Arial"/>
                <w:sz w:val="14"/>
                <w:szCs w:val="14"/>
                <w:color w:val="0000FF"/>
                <w:w w:val="92"/>
              </w:rPr>
            </w:pPr>
            <w:hyperlink w:anchor="page68">
              <w:r>
                <w:rPr>
                  <w:rFonts w:ascii="Arial" w:cs="Arial" w:eastAsia="Arial" w:hAnsi="Arial"/>
                  <w:sz w:val="14"/>
                  <w:szCs w:val="14"/>
                  <w:color w:val="0000FF"/>
                  <w:w w:val="92"/>
                </w:rPr>
                <w:t>pursuant to Section 302 of the Sarbanes-Oxley Act of 2002.</w:t>
              </w:r>
            </w:hyperlink>
          </w:p>
        </w:tc>
        <w:tc>
          <w:tcPr>
            <w:tcW w:w="20" w:type="dxa"/>
            <w:vAlign w:val="bottom"/>
            <w:tcBorders>
              <w:bottom w:val="single" w:sz="8" w:color="0000EE"/>
            </w:tcBorders>
          </w:tcPr>
          <w:p>
            <w:pPr>
              <w:spacing w:after="0"/>
              <w:rPr>
                <w:sz w:val="13"/>
                <w:szCs w:val="13"/>
                <w:color w:val="auto"/>
              </w:rPr>
            </w:pPr>
          </w:p>
        </w:tc>
        <w:tc>
          <w:tcPr>
            <w:tcW w:w="1000" w:type="dxa"/>
            <w:vAlign w:val="bottom"/>
            <w:gridSpan w:val="7"/>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439"/>
        </w:trPr>
        <w:tc>
          <w:tcPr>
            <w:tcW w:w="880" w:type="dxa"/>
            <w:vAlign w:val="bottom"/>
            <w:gridSpan w:val="4"/>
          </w:tcPr>
          <w:p>
            <w:pPr>
              <w:jc w:val="center"/>
              <w:spacing w:after="0"/>
              <w:rPr>
                <w:rFonts w:ascii="Arial" w:cs="Arial" w:eastAsia="Arial" w:hAnsi="Arial"/>
                <w:sz w:val="14"/>
                <w:szCs w:val="14"/>
                <w:color w:val="0000FF"/>
                <w:w w:val="97"/>
              </w:rPr>
            </w:pPr>
            <w:hyperlink w:anchor="page69">
              <w:r>
                <w:rPr>
                  <w:rFonts w:ascii="Arial" w:cs="Arial" w:eastAsia="Arial" w:hAnsi="Arial"/>
                  <w:sz w:val="14"/>
                  <w:szCs w:val="14"/>
                  <w:color w:val="0000FF"/>
                  <w:w w:val="97"/>
                </w:rPr>
                <w:t>32.</w:t>
              </w:r>
              <w:r>
                <w:rPr>
                  <w:rFonts w:ascii="Arial" w:cs="Arial" w:eastAsia="Arial" w:hAnsi="Arial"/>
                  <w:sz w:val="14"/>
                  <w:szCs w:val="14"/>
                  <w:u w:val="single" w:color="auto"/>
                  <w:color w:val="0000FF"/>
                  <w:w w:val="97"/>
                </w:rPr>
                <w:t>1*</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rFonts w:ascii="Arial" w:cs="Arial" w:eastAsia="Arial" w:hAnsi="Arial"/>
                <w:sz w:val="14"/>
                <w:szCs w:val="14"/>
                <w:color w:val="0000FF"/>
              </w:rPr>
            </w:pPr>
            <w:hyperlink w:anchor="page69">
              <w:r>
                <w:rPr>
                  <w:rFonts w:ascii="Arial" w:cs="Arial" w:eastAsia="Arial" w:hAnsi="Arial"/>
                  <w:sz w:val="14"/>
                  <w:szCs w:val="14"/>
                  <w:color w:val="0000FF"/>
                </w:rPr>
                <w:t>Certification of Chief Executive Officer pursuant to 18 U.S.C. Section</w:t>
              </w:r>
            </w:hyperlink>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8"/>
          </w:tcPr>
          <w:p>
            <w:pPr>
              <w:spacing w:after="0" w:line="155" w:lineRule="exact"/>
              <w:rPr>
                <w:rFonts w:ascii="Arial" w:cs="Arial" w:eastAsia="Arial" w:hAnsi="Arial"/>
                <w:sz w:val="14"/>
                <w:szCs w:val="14"/>
                <w:color w:val="0000FF"/>
                <w:w w:val="92"/>
              </w:rPr>
            </w:pPr>
            <w:hyperlink w:anchor="page69">
              <w:r>
                <w:rPr>
                  <w:rFonts w:ascii="Arial" w:cs="Arial" w:eastAsia="Arial" w:hAnsi="Arial"/>
                  <w:sz w:val="14"/>
                  <w:szCs w:val="14"/>
                  <w:color w:val="0000FF"/>
                  <w:w w:val="92"/>
                </w:rPr>
                <w:t>1350, as adopted pursuant to Section 906 of the Sarbanes-Oxley Act of</w:t>
              </w:r>
            </w:hyperlink>
          </w:p>
        </w:tc>
        <w:tc>
          <w:tcPr>
            <w:tcW w:w="34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gridSpan w:val="3"/>
          </w:tcPr>
          <w:p>
            <w:pPr>
              <w:ind w:left="160"/>
              <w:spacing w:after="0" w:line="155" w:lineRule="exact"/>
              <w:rPr>
                <w:rFonts w:ascii="Arial" w:cs="Arial" w:eastAsia="Arial" w:hAnsi="Arial"/>
                <w:sz w:val="14"/>
                <w:szCs w:val="14"/>
                <w:color w:val="0000FF"/>
                <w:w w:val="88"/>
              </w:rPr>
            </w:pPr>
            <w:hyperlink w:anchor="page69">
              <w:r>
                <w:rPr>
                  <w:rFonts w:ascii="Arial" w:cs="Arial" w:eastAsia="Arial" w:hAnsi="Arial"/>
                  <w:sz w:val="14"/>
                  <w:szCs w:val="14"/>
                  <w:color w:val="0000FF"/>
                  <w:w w:val="88"/>
                </w:rPr>
                <w:t>2002.*</w:t>
              </w:r>
            </w:hyperlink>
          </w:p>
        </w:tc>
        <w:tc>
          <w:tcPr>
            <w:tcW w:w="1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39"/>
        </w:trPr>
        <w:tc>
          <w:tcPr>
            <w:tcW w:w="880" w:type="dxa"/>
            <w:vAlign w:val="bottom"/>
            <w:gridSpan w:val="4"/>
          </w:tcPr>
          <w:p>
            <w:pPr>
              <w:jc w:val="center"/>
              <w:spacing w:after="0"/>
              <w:rPr>
                <w:rFonts w:ascii="Arial" w:cs="Arial" w:eastAsia="Arial" w:hAnsi="Arial"/>
                <w:sz w:val="14"/>
                <w:szCs w:val="14"/>
                <w:color w:val="0000FF"/>
                <w:w w:val="97"/>
              </w:rPr>
            </w:pPr>
            <w:hyperlink w:anchor="page70">
              <w:r>
                <w:rPr>
                  <w:rFonts w:ascii="Arial" w:cs="Arial" w:eastAsia="Arial" w:hAnsi="Arial"/>
                  <w:sz w:val="14"/>
                  <w:szCs w:val="14"/>
                  <w:color w:val="0000FF"/>
                  <w:w w:val="97"/>
                </w:rPr>
                <w:t>32.</w:t>
              </w:r>
              <w:r>
                <w:rPr>
                  <w:rFonts w:ascii="Arial" w:cs="Arial" w:eastAsia="Arial" w:hAnsi="Arial"/>
                  <w:sz w:val="14"/>
                  <w:szCs w:val="14"/>
                  <w:u w:val="single" w:color="auto"/>
                  <w:color w:val="0000FF"/>
                  <w:w w:val="97"/>
                </w:rPr>
                <w:t>2*</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Certification of Chief Financial Officer pursuant to 18 U.S.C. Section</w:t>
              </w:r>
            </w:hyperlink>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8"/>
          </w:tcPr>
          <w:p>
            <w:pPr>
              <w:spacing w:after="0" w:line="155" w:lineRule="exact"/>
              <w:rPr>
                <w:rFonts w:ascii="Arial" w:cs="Arial" w:eastAsia="Arial" w:hAnsi="Arial"/>
                <w:sz w:val="14"/>
                <w:szCs w:val="14"/>
                <w:color w:val="0000FF"/>
                <w:w w:val="92"/>
              </w:rPr>
            </w:pPr>
            <w:hyperlink w:anchor="page70">
              <w:r>
                <w:rPr>
                  <w:rFonts w:ascii="Arial" w:cs="Arial" w:eastAsia="Arial" w:hAnsi="Arial"/>
                  <w:sz w:val="14"/>
                  <w:szCs w:val="14"/>
                  <w:color w:val="0000FF"/>
                  <w:w w:val="92"/>
                </w:rPr>
                <w:t>1350, as adopted pursuant to Section 906 of the Sarbanes-Oxley Act of</w:t>
              </w:r>
            </w:hyperlink>
          </w:p>
        </w:tc>
        <w:tc>
          <w:tcPr>
            <w:tcW w:w="34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gridSpan w:val="3"/>
          </w:tcPr>
          <w:p>
            <w:pPr>
              <w:ind w:left="160"/>
              <w:spacing w:after="0" w:line="155" w:lineRule="exact"/>
              <w:rPr>
                <w:rFonts w:ascii="Arial" w:cs="Arial" w:eastAsia="Arial" w:hAnsi="Arial"/>
                <w:sz w:val="14"/>
                <w:szCs w:val="14"/>
                <w:color w:val="0000FF"/>
                <w:w w:val="88"/>
              </w:rPr>
            </w:pPr>
            <w:hyperlink w:anchor="page70">
              <w:r>
                <w:rPr>
                  <w:rFonts w:ascii="Arial" w:cs="Arial" w:eastAsia="Arial" w:hAnsi="Arial"/>
                  <w:sz w:val="14"/>
                  <w:szCs w:val="14"/>
                  <w:color w:val="0000FF"/>
                  <w:w w:val="88"/>
                </w:rPr>
                <w:t>2002.*</w:t>
              </w:r>
            </w:hyperlink>
          </w:p>
        </w:tc>
        <w:tc>
          <w:tcPr>
            <w:tcW w:w="1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6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1"/>
        </w:trPr>
        <w:tc>
          <w:tcPr>
            <w:tcW w:w="880" w:type="dxa"/>
            <w:vAlign w:val="bottom"/>
            <w:gridSpan w:val="4"/>
          </w:tcPr>
          <w:p>
            <w:pPr>
              <w:jc w:val="center"/>
              <w:spacing w:after="0"/>
              <w:rPr>
                <w:sz w:val="20"/>
                <w:szCs w:val="20"/>
                <w:color w:val="auto"/>
              </w:rPr>
            </w:pPr>
            <w:r>
              <w:rPr>
                <w:rFonts w:ascii="Arial" w:cs="Arial" w:eastAsia="Arial" w:hAnsi="Arial"/>
                <w:sz w:val="14"/>
                <w:szCs w:val="14"/>
                <w:color w:val="auto"/>
                <w:w w:val="94"/>
              </w:rPr>
              <w:t>101.INS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w w:val="96"/>
              </w:rPr>
              <w:t>Inline XBRL Instance Document – the instance document does not appear</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75"/>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w w:val="99"/>
              </w:rPr>
              <w:t>in the Interactive Data File because XBRL tags are embedded within the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rPr>
              <w:t>Inline XBRL document.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59"/>
        </w:trPr>
        <w:tc>
          <w:tcPr>
            <w:tcW w:w="880" w:type="dxa"/>
            <w:vAlign w:val="bottom"/>
            <w:gridSpan w:val="4"/>
          </w:tcPr>
          <w:p>
            <w:pPr>
              <w:jc w:val="center"/>
              <w:spacing w:after="0"/>
              <w:rPr>
                <w:sz w:val="20"/>
                <w:szCs w:val="20"/>
                <w:color w:val="auto"/>
              </w:rPr>
            </w:pPr>
            <w:r>
              <w:rPr>
                <w:rFonts w:ascii="Arial" w:cs="Arial" w:eastAsia="Arial" w:hAnsi="Arial"/>
                <w:sz w:val="14"/>
                <w:szCs w:val="14"/>
                <w:color w:val="auto"/>
                <w:w w:val="91"/>
              </w:rPr>
              <w:t>101.SCH</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rPr>
              <w:t>Inline XBRL Taxonomy Extension Schema Document.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513"/>
        </w:trPr>
        <w:tc>
          <w:tcPr>
            <w:tcW w:w="880" w:type="dxa"/>
            <w:vAlign w:val="bottom"/>
            <w:gridSpan w:val="4"/>
          </w:tcPr>
          <w:p>
            <w:pPr>
              <w:jc w:val="center"/>
              <w:spacing w:after="0"/>
              <w:rPr>
                <w:sz w:val="20"/>
                <w:szCs w:val="20"/>
                <w:color w:val="auto"/>
              </w:rPr>
            </w:pPr>
            <w:r>
              <w:rPr>
                <w:rFonts w:ascii="Arial" w:cs="Arial" w:eastAsia="Arial" w:hAnsi="Arial"/>
                <w:sz w:val="14"/>
                <w:szCs w:val="14"/>
                <w:color w:val="auto"/>
                <w:w w:val="95"/>
              </w:rPr>
              <w:t>101.CAL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513"/>
        </w:trPr>
        <w:tc>
          <w:tcPr>
            <w:tcW w:w="880" w:type="dxa"/>
            <w:vAlign w:val="bottom"/>
            <w:gridSpan w:val="4"/>
          </w:tcPr>
          <w:p>
            <w:pPr>
              <w:jc w:val="center"/>
              <w:spacing w:after="0"/>
              <w:rPr>
                <w:sz w:val="20"/>
                <w:szCs w:val="20"/>
                <w:color w:val="auto"/>
              </w:rPr>
            </w:pPr>
            <w:r>
              <w:rPr>
                <w:rFonts w:ascii="Arial" w:cs="Arial" w:eastAsia="Arial" w:hAnsi="Arial"/>
                <w:sz w:val="14"/>
                <w:szCs w:val="14"/>
                <w:color w:val="auto"/>
                <w:w w:val="94"/>
              </w:rPr>
              <w:t>101.DEF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513"/>
        </w:trPr>
        <w:tc>
          <w:tcPr>
            <w:tcW w:w="880" w:type="dxa"/>
            <w:vAlign w:val="bottom"/>
            <w:gridSpan w:val="4"/>
          </w:tcPr>
          <w:p>
            <w:pPr>
              <w:jc w:val="center"/>
              <w:spacing w:after="0"/>
              <w:rPr>
                <w:sz w:val="20"/>
                <w:szCs w:val="20"/>
                <w:color w:val="auto"/>
              </w:rPr>
            </w:pPr>
            <w:r>
              <w:rPr>
                <w:rFonts w:ascii="Arial" w:cs="Arial" w:eastAsia="Arial" w:hAnsi="Arial"/>
                <w:sz w:val="14"/>
                <w:szCs w:val="14"/>
                <w:color w:val="auto"/>
                <w:w w:val="96"/>
              </w:rPr>
              <w:t>101.LAB</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513"/>
        </w:trPr>
        <w:tc>
          <w:tcPr>
            <w:tcW w:w="880" w:type="dxa"/>
            <w:vAlign w:val="bottom"/>
            <w:gridSpan w:val="4"/>
          </w:tcPr>
          <w:p>
            <w:pPr>
              <w:jc w:val="center"/>
              <w:spacing w:after="0"/>
              <w:rPr>
                <w:sz w:val="20"/>
                <w:szCs w:val="20"/>
                <w:color w:val="auto"/>
              </w:rPr>
            </w:pPr>
            <w:r>
              <w:rPr>
                <w:rFonts w:ascii="Arial" w:cs="Arial" w:eastAsia="Arial" w:hAnsi="Arial"/>
                <w:sz w:val="14"/>
                <w:szCs w:val="14"/>
                <w:color w:val="auto"/>
                <w:w w:val="92"/>
              </w:rPr>
              <w:t>101.PRE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452"/>
        </w:trPr>
        <w:tc>
          <w:tcPr>
            <w:tcW w:w="600" w:type="dxa"/>
            <w:vAlign w:val="bottom"/>
            <w:gridSpan w:val="3"/>
          </w:tcPr>
          <w:p>
            <w:pPr>
              <w:jc w:val="center"/>
              <w:ind w:left="208"/>
              <w:spacing w:after="0"/>
              <w:rPr>
                <w:sz w:val="20"/>
                <w:szCs w:val="20"/>
                <w:color w:val="auto"/>
              </w:rPr>
            </w:pPr>
            <w:r>
              <w:rPr>
                <w:rFonts w:ascii="Arial" w:cs="Arial" w:eastAsia="Arial" w:hAnsi="Arial"/>
                <w:sz w:val="14"/>
                <w:szCs w:val="14"/>
                <w:color w:val="auto"/>
                <w:w w:val="85"/>
              </w:rPr>
              <w:t>104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w w:val="97"/>
              </w:rPr>
              <w:t>Cover Page Interactive Data File (formatted as inline XBRL and contained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82"/>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rPr>
              <w:t>in Exhibits 101).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*As contemplated by SEC Release No. 33-8212, these exhibits are furnished with this Quarterly Report on Form 10-Q and are not deemed filed with the Securities and Exchange Commission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700" w:type="dxa"/>
            <w:vAlign w:val="bottom"/>
            <w:gridSpan w:val="2"/>
          </w:tcPr>
          <w:p>
            <w:pPr>
              <w:ind w:left="2180"/>
              <w:spacing w:after="0"/>
              <w:rPr>
                <w:sz w:val="20"/>
                <w:szCs w:val="20"/>
                <w:color w:val="auto"/>
              </w:rPr>
            </w:pPr>
            <w:r>
              <w:rPr>
                <w:rFonts w:ascii="Arial" w:cs="Arial" w:eastAsia="Arial" w:hAnsi="Arial"/>
                <w:sz w:val="14"/>
                <w:szCs w:val="14"/>
                <w:b w:val="1"/>
                <w:bCs w:val="1"/>
                <w:color w:val="auto"/>
                <w:w w:val="96"/>
              </w:rPr>
              <w:t>Cytek Biosciences, Inc.</w:t>
            </w: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Date: September 2, 2021</w:t>
            </w:r>
          </w:p>
        </w:tc>
        <w:tc>
          <w:tcPr>
            <w:tcW w:w="3700" w:type="dxa"/>
            <w:vAlign w:val="bottom"/>
            <w:gridSpan w:val="2"/>
          </w:tcPr>
          <w:p>
            <w:pPr>
              <w:ind w:left="2180"/>
              <w:spacing w:after="0"/>
              <w:rPr>
                <w:sz w:val="20"/>
                <w:szCs w:val="20"/>
                <w:color w:val="auto"/>
              </w:rPr>
            </w:pPr>
            <w:r>
              <w:rPr>
                <w:rFonts w:ascii="Arial" w:cs="Arial" w:eastAsia="Arial" w:hAnsi="Arial"/>
                <w:sz w:val="14"/>
                <w:szCs w:val="14"/>
                <w:color w:val="auto"/>
              </w:rPr>
              <w:t>By:</w:t>
            </w:r>
          </w:p>
        </w:tc>
        <w:tc>
          <w:tcPr>
            <w:tcW w:w="4020" w:type="dxa"/>
            <w:vAlign w:val="bottom"/>
            <w:vMerge w:val="restart"/>
          </w:tcPr>
          <w:p>
            <w:pPr>
              <w:jc w:val="center"/>
              <w:ind w:right="1108"/>
              <w:spacing w:after="0"/>
              <w:rPr>
                <w:sz w:val="20"/>
                <w:szCs w:val="20"/>
                <w:color w:val="auto"/>
              </w:rPr>
            </w:pPr>
            <w:r>
              <w:rPr>
                <w:rFonts w:ascii="Arial" w:cs="Arial" w:eastAsia="Arial" w:hAnsi="Arial"/>
                <w:sz w:val="14"/>
                <w:szCs w:val="14"/>
                <w:color w:val="auto"/>
                <w:w w:val="92"/>
              </w:rPr>
              <w:t>/s/ Wenbin Jiang</w:t>
            </w:r>
          </w:p>
        </w:tc>
        <w:tc>
          <w:tcPr>
            <w:tcW w:w="0" w:type="dxa"/>
            <w:vAlign w:val="bottom"/>
          </w:tcPr>
          <w:p>
            <w:pPr>
              <w:spacing w:after="0"/>
              <w:rPr>
                <w:sz w:val="1"/>
                <w:szCs w:val="1"/>
                <w:color w:val="auto"/>
              </w:rPr>
            </w:pPr>
          </w:p>
        </w:tc>
      </w:tr>
      <w:tr>
        <w:trPr>
          <w:trHeight w:val="53"/>
        </w:trPr>
        <w:tc>
          <w:tcPr>
            <w:tcW w:w="3520" w:type="dxa"/>
            <w:vAlign w:val="bottom"/>
            <w:vMerge w:val="continue"/>
          </w:tcPr>
          <w:p>
            <w:pPr>
              <w:spacing w:after="0"/>
              <w:rPr>
                <w:sz w:val="4"/>
                <w:szCs w:val="4"/>
                <w:color w:val="auto"/>
              </w:rPr>
            </w:pPr>
          </w:p>
        </w:tc>
        <w:tc>
          <w:tcPr>
            <w:tcW w:w="25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20" w:type="dxa"/>
            <w:vAlign w:val="bottom"/>
          </w:tcPr>
          <w:p>
            <w:pPr>
              <w:jc w:val="center"/>
              <w:ind w:right="1128"/>
              <w:spacing w:after="0"/>
              <w:rPr>
                <w:sz w:val="20"/>
                <w:szCs w:val="20"/>
                <w:color w:val="auto"/>
              </w:rPr>
            </w:pPr>
            <w:r>
              <w:rPr>
                <w:rFonts w:ascii="Arial" w:cs="Arial" w:eastAsia="Arial" w:hAnsi="Arial"/>
                <w:sz w:val="14"/>
                <w:szCs w:val="14"/>
                <w:color w:val="auto"/>
                <w:w w:val="92"/>
              </w:rPr>
              <w:t>Wenbin Jiang, Ph.D.</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20" w:type="dxa"/>
            <w:vAlign w:val="bottom"/>
          </w:tcPr>
          <w:p>
            <w:pPr>
              <w:jc w:val="center"/>
              <w:ind w:right="1108"/>
              <w:spacing w:after="0"/>
              <w:rPr>
                <w:sz w:val="20"/>
                <w:szCs w:val="20"/>
                <w:color w:val="auto"/>
              </w:rPr>
            </w:pPr>
            <w:r>
              <w:rPr>
                <w:rFonts w:ascii="Arial" w:cs="Arial" w:eastAsia="Arial" w:hAnsi="Arial"/>
                <w:sz w:val="14"/>
                <w:szCs w:val="14"/>
                <w:color w:val="auto"/>
                <w:w w:val="94"/>
              </w:rPr>
              <w:t>President and Chief Executive Officer</w:t>
            </w: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20" w:type="dxa"/>
            <w:vAlign w:val="bottom"/>
          </w:tcPr>
          <w:p>
            <w:pPr>
              <w:jc w:val="center"/>
              <w:ind w:right="1108"/>
              <w:spacing w:after="0"/>
              <w:rPr>
                <w:sz w:val="20"/>
                <w:szCs w:val="20"/>
                <w:color w:val="auto"/>
              </w:rPr>
            </w:pPr>
            <w:r>
              <w:rPr>
                <w:rFonts w:ascii="Arial" w:cs="Arial" w:eastAsia="Arial" w:hAnsi="Arial"/>
                <w:sz w:val="14"/>
                <w:szCs w:val="14"/>
                <w:i w:val="1"/>
                <w:iCs w:val="1"/>
                <w:color w:val="auto"/>
                <w:w w:val="97"/>
              </w:rPr>
              <w:t>(Principal Executive Officer)</w:t>
            </w:r>
          </w:p>
        </w:tc>
        <w:tc>
          <w:tcPr>
            <w:tcW w:w="0" w:type="dxa"/>
            <w:vAlign w:val="bottom"/>
          </w:tcPr>
          <w:p>
            <w:pPr>
              <w:spacing w:after="0"/>
              <w:rPr>
                <w:sz w:val="1"/>
                <w:szCs w:val="1"/>
                <w:color w:val="auto"/>
              </w:rPr>
            </w:pPr>
          </w:p>
        </w:tc>
      </w:tr>
      <w:tr>
        <w:trPr>
          <w:trHeight w:val="810"/>
        </w:trPr>
        <w:tc>
          <w:tcPr>
            <w:tcW w:w="3520" w:type="dxa"/>
            <w:vAlign w:val="bottom"/>
            <w:vMerge w:val="restart"/>
          </w:tcPr>
          <w:p>
            <w:pPr>
              <w:ind w:left="20"/>
              <w:spacing w:after="0"/>
              <w:rPr>
                <w:sz w:val="20"/>
                <w:szCs w:val="20"/>
                <w:color w:val="auto"/>
              </w:rPr>
            </w:pPr>
            <w:r>
              <w:rPr>
                <w:rFonts w:ascii="Arial" w:cs="Arial" w:eastAsia="Arial" w:hAnsi="Arial"/>
                <w:sz w:val="14"/>
                <w:szCs w:val="14"/>
                <w:color w:val="auto"/>
              </w:rPr>
              <w:t>Date: September 2, 2021</w:t>
            </w:r>
          </w:p>
        </w:tc>
        <w:tc>
          <w:tcPr>
            <w:tcW w:w="3700" w:type="dxa"/>
            <w:vAlign w:val="bottom"/>
            <w:gridSpan w:val="2"/>
          </w:tcPr>
          <w:p>
            <w:pPr>
              <w:ind w:left="2180"/>
              <w:spacing w:after="0"/>
              <w:rPr>
                <w:sz w:val="20"/>
                <w:szCs w:val="20"/>
                <w:color w:val="auto"/>
              </w:rPr>
            </w:pPr>
            <w:r>
              <w:rPr>
                <w:rFonts w:ascii="Arial" w:cs="Arial" w:eastAsia="Arial" w:hAnsi="Arial"/>
                <w:sz w:val="14"/>
                <w:szCs w:val="14"/>
                <w:color w:val="auto"/>
              </w:rPr>
              <w:t>By:</w:t>
            </w:r>
          </w:p>
        </w:tc>
        <w:tc>
          <w:tcPr>
            <w:tcW w:w="4020" w:type="dxa"/>
            <w:vAlign w:val="bottom"/>
            <w:vMerge w:val="restart"/>
          </w:tcPr>
          <w:p>
            <w:pPr>
              <w:jc w:val="center"/>
              <w:ind w:right="1108"/>
              <w:spacing w:after="0"/>
              <w:rPr>
                <w:sz w:val="20"/>
                <w:szCs w:val="20"/>
                <w:color w:val="auto"/>
              </w:rPr>
            </w:pPr>
            <w:r>
              <w:rPr>
                <w:rFonts w:ascii="Arial" w:cs="Arial" w:eastAsia="Arial" w:hAnsi="Arial"/>
                <w:sz w:val="14"/>
                <w:szCs w:val="14"/>
                <w:color w:val="auto"/>
                <w:w w:val="91"/>
              </w:rPr>
              <w:t>/s/ Patrik Jeanmonod</w:t>
            </w:r>
          </w:p>
        </w:tc>
        <w:tc>
          <w:tcPr>
            <w:tcW w:w="0" w:type="dxa"/>
            <w:vAlign w:val="bottom"/>
          </w:tcPr>
          <w:p>
            <w:pPr>
              <w:spacing w:after="0"/>
              <w:rPr>
                <w:sz w:val="1"/>
                <w:szCs w:val="1"/>
                <w:color w:val="auto"/>
              </w:rPr>
            </w:pPr>
          </w:p>
        </w:tc>
      </w:tr>
      <w:tr>
        <w:trPr>
          <w:trHeight w:val="53"/>
        </w:trPr>
        <w:tc>
          <w:tcPr>
            <w:tcW w:w="3520" w:type="dxa"/>
            <w:vAlign w:val="bottom"/>
            <w:vMerge w:val="continue"/>
          </w:tcPr>
          <w:p>
            <w:pPr>
              <w:spacing w:after="0"/>
              <w:rPr>
                <w:sz w:val="4"/>
                <w:szCs w:val="4"/>
                <w:color w:val="auto"/>
              </w:rPr>
            </w:pPr>
          </w:p>
        </w:tc>
        <w:tc>
          <w:tcPr>
            <w:tcW w:w="25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20" w:type="dxa"/>
            <w:vAlign w:val="bottom"/>
          </w:tcPr>
          <w:p>
            <w:pPr>
              <w:jc w:val="center"/>
              <w:ind w:right="1108"/>
              <w:spacing w:after="0"/>
              <w:rPr>
                <w:sz w:val="20"/>
                <w:szCs w:val="20"/>
                <w:color w:val="auto"/>
              </w:rPr>
            </w:pPr>
            <w:r>
              <w:rPr>
                <w:rFonts w:ascii="Arial" w:cs="Arial" w:eastAsia="Arial" w:hAnsi="Arial"/>
                <w:sz w:val="14"/>
                <w:szCs w:val="14"/>
                <w:color w:val="auto"/>
                <w:w w:val="92"/>
              </w:rPr>
              <w:t>Patrik Jeanmonod</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20" w:type="dxa"/>
            <w:vAlign w:val="bottom"/>
          </w:tcPr>
          <w:p>
            <w:pPr>
              <w:jc w:val="center"/>
              <w:ind w:right="1128"/>
              <w:spacing w:after="0"/>
              <w:rPr>
                <w:sz w:val="20"/>
                <w:szCs w:val="20"/>
                <w:color w:val="auto"/>
              </w:rPr>
            </w:pPr>
            <w:r>
              <w:rPr>
                <w:rFonts w:ascii="Arial" w:cs="Arial" w:eastAsia="Arial" w:hAnsi="Arial"/>
                <w:sz w:val="14"/>
                <w:szCs w:val="14"/>
                <w:color w:val="auto"/>
                <w:w w:val="97"/>
              </w:rPr>
              <w:t>Chief Financial Officer</w:t>
            </w: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20" w:type="dxa"/>
            <w:vAlign w:val="bottom"/>
          </w:tcPr>
          <w:p>
            <w:pPr>
              <w:jc w:val="center"/>
              <w:ind w:right="1128"/>
              <w:spacing w:after="0"/>
              <w:rPr>
                <w:sz w:val="20"/>
                <w:szCs w:val="20"/>
                <w:color w:val="auto"/>
              </w:rPr>
            </w:pPr>
            <w:r>
              <w:rPr>
                <w:rFonts w:ascii="Arial" w:cs="Arial" w:eastAsia="Arial" w:hAnsi="Arial"/>
                <w:sz w:val="14"/>
                <w:szCs w:val="14"/>
                <w:i w:val="1"/>
                <w:iCs w:val="1"/>
                <w:color w:val="auto"/>
                <w:w w:val="97"/>
              </w:rPr>
              <w:t>(Principal Financial and Accounting Officer)</w:t>
            </w:r>
          </w:p>
        </w:tc>
        <w:tc>
          <w:tcPr>
            <w:tcW w:w="0" w:type="dxa"/>
            <w:vAlign w:val="bottom"/>
          </w:tcPr>
          <w:p>
            <w:pPr>
              <w:spacing w:after="0"/>
              <w:rPr>
                <w:sz w:val="1"/>
                <w:szCs w:val="1"/>
                <w:color w:val="auto"/>
              </w:rPr>
            </w:pPr>
          </w:p>
        </w:tc>
      </w:tr>
      <w:tr>
        <w:trPr>
          <w:trHeight w:val="567"/>
        </w:trPr>
        <w:tc>
          <w:tcPr>
            <w:tcW w:w="3520" w:type="dxa"/>
            <w:vAlign w:val="bottom"/>
          </w:tcPr>
          <w:p>
            <w:pPr>
              <w:spacing w:after="0"/>
              <w:rPr>
                <w:sz w:val="24"/>
                <w:szCs w:val="24"/>
                <w:color w:val="auto"/>
              </w:rPr>
            </w:pPr>
          </w:p>
        </w:tc>
        <w:tc>
          <w:tcPr>
            <w:tcW w:w="2500" w:type="dxa"/>
            <w:vAlign w:val="bottom"/>
          </w:tcPr>
          <w:p>
            <w:pPr>
              <w:jc w:val="right"/>
              <w:ind w:right="248"/>
              <w:spacing w:after="0"/>
              <w:rPr>
                <w:sz w:val="20"/>
                <w:szCs w:val="20"/>
                <w:color w:val="auto"/>
              </w:rPr>
            </w:pPr>
            <w:r>
              <w:rPr>
                <w:rFonts w:ascii="Arial" w:cs="Arial" w:eastAsia="Arial" w:hAnsi="Arial"/>
                <w:sz w:val="14"/>
                <w:szCs w:val="14"/>
                <w:color w:val="auto"/>
              </w:rPr>
              <w:t>64</w:t>
            </w:r>
          </w:p>
        </w:tc>
        <w:tc>
          <w:tcPr>
            <w:tcW w:w="12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5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Wenbin Jiang, Ph.D., certify that:</w:t>
      </w:r>
    </w:p>
    <w:p>
      <w:pPr>
        <w:spacing w:after="0" w:line="17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spacing w:after="0" w:line="171" w:lineRule="exact"/>
        <w:rPr>
          <w:rFonts w:ascii="Arial" w:cs="Arial" w:eastAsia="Arial" w:hAnsi="Arial"/>
          <w:sz w:val="18"/>
          <w:szCs w:val="18"/>
          <w:color w:val="auto"/>
        </w:rPr>
      </w:pPr>
    </w:p>
    <w:p>
      <w:pPr>
        <w:ind w:right="260" w:firstLine="8"/>
        <w:spacing w:after="0" w:line="359"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Arial" w:cs="Arial" w:eastAsia="Arial" w:hAnsi="Arial"/>
          <w:sz w:val="16"/>
          <w:szCs w:val="16"/>
          <w:color w:val="auto"/>
        </w:rPr>
      </w:pPr>
    </w:p>
    <w:p>
      <w:pPr>
        <w:ind w:right="540" w:firstLine="8"/>
        <w:spacing w:after="0" w:line="324"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right="20" w:firstLine="8"/>
        <w:spacing w:after="0" w:line="293"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700" w:right="40" w:hanging="318"/>
        <w:spacing w:after="0" w:line="279"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480" w:firstLine="8"/>
        <w:spacing w:after="0" w:line="324"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Arial" w:cs="Arial" w:eastAsia="Arial" w:hAnsi="Arial"/>
                <w:sz w:val="18"/>
                <w:szCs w:val="18"/>
                <w:color w:val="auto"/>
              </w:rPr>
              <w:t>Date: September 2, 2021</w:t>
            </w: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By:   /s/ Wenbin Jiang, Ph.D.</w:t>
            </w:r>
          </w:p>
        </w:tc>
      </w:tr>
      <w:tr>
        <w:trPr>
          <w:trHeight w:val="249"/>
        </w:trPr>
        <w:tc>
          <w:tcPr>
            <w:tcW w:w="3660" w:type="dxa"/>
            <w:vAlign w:val="bottom"/>
          </w:tcPr>
          <w:p>
            <w:pPr>
              <w:ind w:left="740"/>
              <w:spacing w:after="0"/>
              <w:rPr>
                <w:sz w:val="20"/>
                <w:szCs w:val="20"/>
                <w:color w:val="auto"/>
              </w:rPr>
            </w:pPr>
            <w:r>
              <w:rPr>
                <w:rFonts w:ascii="Arial" w:cs="Arial" w:eastAsia="Arial" w:hAnsi="Arial"/>
                <w:sz w:val="18"/>
                <w:szCs w:val="18"/>
                <w:color w:val="auto"/>
              </w:rPr>
              <w:t>Wenbin Jiang, Ph.D.</w:t>
            </w:r>
          </w:p>
        </w:tc>
        <w:tc>
          <w:tcPr>
            <w:tcW w:w="68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5200" w:type="dxa"/>
            <w:vAlign w:val="bottom"/>
          </w:tcPr>
          <w:p>
            <w:pPr>
              <w:spacing w:after="0"/>
              <w:rPr>
                <w:sz w:val="21"/>
                <w:szCs w:val="21"/>
                <w:color w:val="auto"/>
              </w:rPr>
            </w:pPr>
          </w:p>
        </w:tc>
      </w:tr>
      <w:tr>
        <w:trPr>
          <w:trHeight w:val="230"/>
        </w:trPr>
        <w:tc>
          <w:tcPr>
            <w:tcW w:w="3660" w:type="dxa"/>
            <w:vAlign w:val="bottom"/>
          </w:tcPr>
          <w:p>
            <w:pPr>
              <w:ind w:left="740"/>
              <w:spacing w:after="0"/>
              <w:rPr>
                <w:sz w:val="20"/>
                <w:szCs w:val="20"/>
                <w:color w:val="auto"/>
              </w:rPr>
            </w:pPr>
            <w:r>
              <w:rPr>
                <w:rFonts w:ascii="Arial" w:cs="Arial" w:eastAsia="Arial" w:hAnsi="Arial"/>
                <w:sz w:val="18"/>
                <w:szCs w:val="18"/>
                <w:color w:val="auto"/>
                <w:w w:val="96"/>
              </w:rPr>
              <w:t>President and Chief Executive Officer</w:t>
            </w:r>
          </w:p>
        </w:tc>
        <w:tc>
          <w:tcPr>
            <w:tcW w:w="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0" w:type="dxa"/>
            <w:vAlign w:val="bottom"/>
          </w:tcPr>
          <w:p>
            <w:pPr>
              <w:spacing w:after="0"/>
              <w:rPr>
                <w:sz w:val="19"/>
                <w:szCs w:val="19"/>
                <w:color w:val="auto"/>
              </w:rPr>
            </w:pPr>
          </w:p>
        </w:tc>
      </w:tr>
      <w:tr>
        <w:trPr>
          <w:trHeight w:val="230"/>
        </w:trPr>
        <w:tc>
          <w:tcPr>
            <w:tcW w:w="3660" w:type="dxa"/>
            <w:vAlign w:val="bottom"/>
          </w:tcPr>
          <w:p>
            <w:pPr>
              <w:ind w:left="740"/>
              <w:spacing w:after="0"/>
              <w:rPr>
                <w:sz w:val="20"/>
                <w:szCs w:val="20"/>
                <w:color w:val="auto"/>
              </w:rPr>
            </w:pPr>
            <w:r>
              <w:rPr>
                <w:rFonts w:ascii="Arial" w:cs="Arial" w:eastAsia="Arial" w:hAnsi="Arial"/>
                <w:sz w:val="18"/>
                <w:szCs w:val="18"/>
                <w:color w:val="auto"/>
              </w:rPr>
              <w:t>(Principal Executive Officer)</w:t>
            </w:r>
          </w:p>
        </w:tc>
        <w:tc>
          <w:tcPr>
            <w:tcW w:w="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574"/>
        </w:trPr>
        <w:tc>
          <w:tcPr>
            <w:tcW w:w="3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Patrik Jeanmonod, certify that:</w:t>
      </w:r>
    </w:p>
    <w:p>
      <w:pPr>
        <w:spacing w:after="0" w:line="17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spacing w:after="0" w:line="171" w:lineRule="exact"/>
        <w:rPr>
          <w:rFonts w:ascii="Arial" w:cs="Arial" w:eastAsia="Arial" w:hAnsi="Arial"/>
          <w:sz w:val="18"/>
          <w:szCs w:val="18"/>
          <w:color w:val="auto"/>
        </w:rPr>
      </w:pPr>
    </w:p>
    <w:p>
      <w:pPr>
        <w:ind w:right="260" w:firstLine="8"/>
        <w:spacing w:after="0" w:line="359"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Arial" w:cs="Arial" w:eastAsia="Arial" w:hAnsi="Arial"/>
          <w:sz w:val="16"/>
          <w:szCs w:val="16"/>
          <w:color w:val="auto"/>
        </w:rPr>
      </w:pPr>
    </w:p>
    <w:p>
      <w:pPr>
        <w:ind w:right="540" w:firstLine="8"/>
        <w:spacing w:after="0" w:line="324"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right="20" w:firstLine="8"/>
        <w:spacing w:after="0" w:line="293"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700" w:right="40" w:hanging="318"/>
        <w:spacing w:after="0" w:line="279"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480" w:firstLine="8"/>
        <w:spacing w:after="0" w:line="324"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ind w:left="20"/>
              <w:spacing w:after="0"/>
              <w:rPr>
                <w:sz w:val="20"/>
                <w:szCs w:val="20"/>
                <w:color w:val="auto"/>
              </w:rPr>
            </w:pPr>
            <w:r>
              <w:rPr>
                <w:rFonts w:ascii="Arial" w:cs="Arial" w:eastAsia="Arial" w:hAnsi="Arial"/>
                <w:sz w:val="18"/>
                <w:szCs w:val="18"/>
                <w:color w:val="auto"/>
              </w:rPr>
              <w:t>Date: September 2, 2021</w:t>
            </w:r>
          </w:p>
        </w:tc>
        <w:tc>
          <w:tcPr>
            <w:tcW w:w="8100" w:type="dxa"/>
            <w:vAlign w:val="bottom"/>
            <w:gridSpan w:val="3"/>
          </w:tcPr>
          <w:p>
            <w:pPr>
              <w:ind w:left="340"/>
              <w:spacing w:after="0"/>
              <w:rPr>
                <w:sz w:val="20"/>
                <w:szCs w:val="20"/>
                <w:color w:val="auto"/>
              </w:rPr>
            </w:pPr>
            <w:r>
              <w:rPr>
                <w:rFonts w:ascii="Arial" w:cs="Arial" w:eastAsia="Arial" w:hAnsi="Arial"/>
                <w:sz w:val="18"/>
                <w:szCs w:val="18"/>
                <w:color w:val="auto"/>
              </w:rPr>
              <w:t>By:   /s/ Patrik Jeanmonod</w:t>
            </w:r>
          </w:p>
        </w:tc>
      </w:tr>
      <w:tr>
        <w:trPr>
          <w:trHeight w:val="249"/>
        </w:trPr>
        <w:tc>
          <w:tcPr>
            <w:tcW w:w="3140" w:type="dxa"/>
            <w:vAlign w:val="bottom"/>
          </w:tcPr>
          <w:p>
            <w:pPr>
              <w:ind w:left="740"/>
              <w:spacing w:after="0"/>
              <w:rPr>
                <w:sz w:val="20"/>
                <w:szCs w:val="20"/>
                <w:color w:val="auto"/>
              </w:rPr>
            </w:pPr>
            <w:r>
              <w:rPr>
                <w:rFonts w:ascii="Arial" w:cs="Arial" w:eastAsia="Arial" w:hAnsi="Arial"/>
                <w:sz w:val="18"/>
                <w:szCs w:val="18"/>
                <w:color w:val="auto"/>
              </w:rPr>
              <w:t>Patrik Jeanmonod</w:t>
            </w:r>
          </w:p>
        </w:tc>
        <w:tc>
          <w:tcPr>
            <w:tcW w:w="84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5760" w:type="dxa"/>
            <w:vAlign w:val="bottom"/>
          </w:tcPr>
          <w:p>
            <w:pPr>
              <w:spacing w:after="0"/>
              <w:rPr>
                <w:sz w:val="21"/>
                <w:szCs w:val="21"/>
                <w:color w:val="auto"/>
              </w:rPr>
            </w:pPr>
          </w:p>
        </w:tc>
      </w:tr>
      <w:tr>
        <w:trPr>
          <w:trHeight w:val="230"/>
        </w:trPr>
        <w:tc>
          <w:tcPr>
            <w:tcW w:w="3140" w:type="dxa"/>
            <w:vAlign w:val="bottom"/>
          </w:tcPr>
          <w:p>
            <w:pPr>
              <w:ind w:left="740"/>
              <w:spacing w:after="0"/>
              <w:rPr>
                <w:sz w:val="20"/>
                <w:szCs w:val="20"/>
                <w:color w:val="auto"/>
              </w:rPr>
            </w:pPr>
            <w:r>
              <w:rPr>
                <w:rFonts w:ascii="Arial" w:cs="Arial" w:eastAsia="Arial" w:hAnsi="Arial"/>
                <w:sz w:val="18"/>
                <w:szCs w:val="18"/>
                <w:color w:val="auto"/>
              </w:rPr>
              <w:t>Chief Financial Officer</w:t>
            </w:r>
          </w:p>
        </w:tc>
        <w:tc>
          <w:tcPr>
            <w:tcW w:w="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230"/>
        </w:trPr>
        <w:tc>
          <w:tcPr>
            <w:tcW w:w="3140" w:type="dxa"/>
            <w:vAlign w:val="bottom"/>
          </w:tcPr>
          <w:p>
            <w:pPr>
              <w:ind w:left="740"/>
              <w:spacing w:after="0"/>
              <w:rPr>
                <w:sz w:val="20"/>
                <w:szCs w:val="20"/>
                <w:color w:val="auto"/>
              </w:rPr>
            </w:pPr>
            <w:r>
              <w:rPr>
                <w:rFonts w:ascii="Arial" w:cs="Arial" w:eastAsia="Arial" w:hAnsi="Arial"/>
                <w:sz w:val="18"/>
                <w:szCs w:val="18"/>
                <w:color w:val="auto"/>
              </w:rPr>
              <w:t>(Principal Financial Officer)</w:t>
            </w:r>
          </w:p>
        </w:tc>
        <w:tc>
          <w:tcPr>
            <w:tcW w:w="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574"/>
        </w:trPr>
        <w:tc>
          <w:tcPr>
            <w:tcW w:w="3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40" w:lineRule="exact"/>
        <w:rPr>
          <w:sz w:val="20"/>
          <w:szCs w:val="20"/>
          <w:color w:val="auto"/>
        </w:rPr>
      </w:pPr>
    </w:p>
    <w:p>
      <w:pPr>
        <w:ind w:right="180" w:firstLine="749"/>
        <w:spacing w:after="0" w:line="279"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June 30, 2021 as filed with the Securities and Exchange Commission on the date hereof (the “Report”), the undersigned, Wenbin Jiang, Ph.D., President and Chief Executive Officer of the Company, hereby certifies, pursuant to 18 U.S.C. Section 1350, that to his knowledge:</w:t>
      </w:r>
    </w:p>
    <w:p>
      <w:pPr>
        <w:spacing w:after="0" w:line="115" w:lineRule="exact"/>
        <w:rPr>
          <w:sz w:val="20"/>
          <w:szCs w:val="20"/>
          <w:color w:val="auto"/>
        </w:rPr>
      </w:pPr>
    </w:p>
    <w:p>
      <w:pPr>
        <w:ind w:left="700" w:hanging="31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18"/>
          <w:szCs w:val="18"/>
          <w:color w:val="auto"/>
        </w:rPr>
        <w:t>Date: September 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Wenbin Jiang, Ph.D.</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Wenbin Jiang, Ph.D.</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86" w:lineRule="exact"/>
        <w:rPr>
          <w:sz w:val="20"/>
          <w:szCs w:val="20"/>
          <w:color w:val="auto"/>
        </w:rPr>
      </w:pPr>
    </w:p>
    <w:p>
      <w:pPr>
        <w:ind w:right="180" w:firstLine="749"/>
        <w:spacing w:after="0" w:line="279"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June 30, 2021 as filed with the Securities and Exchange Commission on the date hereof (the “Report”), the undersigned, Patrik Jeanmonod, Chief Financial Officer of the Company, hereby certifies, pursuant to 18 U.S.C. Section 1350, that to his knowledge:</w:t>
      </w:r>
    </w:p>
    <w:p>
      <w:pPr>
        <w:spacing w:after="0" w:line="115" w:lineRule="exact"/>
        <w:rPr>
          <w:sz w:val="20"/>
          <w:szCs w:val="20"/>
          <w:color w:val="auto"/>
        </w:rPr>
      </w:pPr>
    </w:p>
    <w:p>
      <w:pPr>
        <w:ind w:left="700" w:hanging="31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18"/>
          <w:szCs w:val="18"/>
          <w:color w:val="auto"/>
        </w:rPr>
        <w:t>Date: September 2,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Patrik Jeanmonod</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Patrik Jeanmonod</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lowerRoman"/>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decimal"/>
      <w:start w:val="14"/>
    </w:lvl>
  </w:abstractNum>
  <w:abstractNum w:abstractNumId="14">
    <w:nsid w:val="257130A3"/>
    <w:multiLevelType w:val="hybridMultilevel"/>
    <w:lvl w:ilvl="0">
      <w:lvlJc w:val="left"/>
      <w:lvlText w:val="%1."/>
      <w:numFmt w:val="decimal"/>
      <w:start w:val="15"/>
    </w:lvl>
  </w:abstractNum>
  <w:abstractNum w:abstractNumId="15">
    <w:nsid w:val="62BBD95A"/>
    <w:multiLevelType w:val="hybridMultilevel"/>
    <w:lvl w:ilvl="0">
      <w:lvlJc w:val="left"/>
      <w:lvlText w:val="%1."/>
      <w:numFmt w:val="decimal"/>
      <w:start w:val="16"/>
    </w:lvl>
  </w:abstractNum>
  <w:abstractNum w:abstractNumId="16">
    <w:nsid w:val="436C6125"/>
    <w:multiLevelType w:val="hybridMultilevel"/>
    <w:lvl w:ilvl="0">
      <w:lvlJc w:val="left"/>
      <w:lvlText w:val="%1."/>
      <w:numFmt w:val="decimal"/>
      <w:start w:val="17"/>
    </w:lvl>
  </w:abstractNum>
  <w:abstractNum w:abstractNumId="17">
    <w:nsid w:val="628C895D"/>
    <w:multiLevelType w:val="hybridMultilevel"/>
    <w:lvl w:ilvl="0">
      <w:lvlJc w:val="left"/>
      <w:lvlText w:val="%1."/>
      <w:numFmt w:val="decimal"/>
      <w:start w:val="18"/>
    </w:lvl>
  </w:abstractNum>
  <w:abstractNum w:abstractNumId="18">
    <w:nsid w:val="333AB105"/>
    <w:multiLevelType w:val="hybridMultilevel"/>
    <w:lvl w:ilvl="0">
      <w:lvlJc w:val="left"/>
      <w:lvlText w:val="%1."/>
      <w:numFmt w:val="decimal"/>
      <w:start w:val="19"/>
    </w:lvl>
  </w:abstractNum>
  <w:abstractNum w:abstractNumId="19">
    <w:nsid w:val="721DA317"/>
    <w:multiLevelType w:val="hybridMultilevel"/>
    <w:lvl w:ilvl="0">
      <w:lvlJc w:val="left"/>
      <w:lvlText w:val="%1."/>
      <w:numFmt w:val="decimal"/>
      <w:start w:val="2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27" Type="http://schemas.openxmlformats.org/officeDocument/2006/relationships/hyperlink" Target="https://www.sec.gov/Archives/edgar/data/1831915/000119312521225716/d183956dex31.htm" TargetMode="External"/><Relationship Id="rId228"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2021-09-03T05:17:09Z</dcterms:created>
  <dcterms:modified xsi:type="dcterms:W3CDTF">2021-09-03T05:17:09Z</dcterms:modified>
</cp:coreProperties>
</file>