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27, 2026</w:t>
      </w:r>
    </w:p>
    <w:p>
      <w:pPr>
        <w:spacing w:after="0" w:line="32" w:lineRule="exact"/>
        <w:rPr>
          <w:sz w:val="24"/>
          <w:szCs w:val="24"/>
          <w:color w:val="auto"/>
        </w:rPr>
      </w:pPr>
    </w:p>
    <w:p>
      <w:pPr>
        <w:ind w:left="882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Cytek Biosciences, Inc.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760" w:type="dxa"/>
        <w:tblCellMar>
          <w:top w:w="0" w:type="dxa"/>
          <w:left w:w="0" w:type="dxa"/>
          <w:bottom w:w="0" w:type="dxa"/>
          <w:right w:w="0" w:type="dxa"/>
        </w:tblCellMar>
      </w:tblPr>
      <w:tr>
        <w:trPr>
          <w:trHeight w:val="203"/>
        </w:trPr>
        <w:tc>
          <w:tcPr>
            <w:tcW w:w="3760" w:type="dxa"/>
            <w:vAlign w:val="bottom"/>
          </w:tcPr>
          <w:p>
            <w:pPr>
              <w:jc w:val="center"/>
              <w:ind w:right="186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20" w:type="dxa"/>
            <w:vAlign w:val="bottom"/>
          </w:tcPr>
          <w:p>
            <w:pPr>
              <w:jc w:val="center"/>
              <w:ind w:left="1865"/>
              <w:spacing w:after="0"/>
              <w:rPr>
                <w:sz w:val="20"/>
                <w:szCs w:val="20"/>
                <w:color w:val="auto"/>
              </w:rPr>
            </w:pPr>
            <w:r>
              <w:rPr>
                <w:rFonts w:ascii="Times New Roman" w:cs="Times New Roman" w:eastAsia="Times New Roman" w:hAnsi="Times New Roman"/>
                <w:sz w:val="17"/>
                <w:szCs w:val="17"/>
                <w:b w:val="1"/>
                <w:bCs w:val="1"/>
                <w:color w:val="auto"/>
              </w:rPr>
              <w:t>47-2547526</w:t>
            </w:r>
          </w:p>
        </w:tc>
      </w:tr>
      <w:tr>
        <w:trPr>
          <w:trHeight w:val="142"/>
        </w:trPr>
        <w:tc>
          <w:tcPr>
            <w:tcW w:w="3760" w:type="dxa"/>
            <w:vAlign w:val="bottom"/>
          </w:tcPr>
          <w:p>
            <w:pPr>
              <w:jc w:val="center"/>
              <w:ind w:right="1865"/>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020" w:type="dxa"/>
            <w:vAlign w:val="bottom"/>
          </w:tcPr>
          <w:p>
            <w:pPr>
              <w:jc w:val="center"/>
              <w:ind w:left="1865"/>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76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302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18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47215 Lakeview Boulevard</w:t>
      </w:r>
    </w:p>
    <w:p>
      <w:pPr>
        <w:spacing w:after="0" w:line="3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Fremont, California 94538</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Cytek Biosciences, Inc. 2021 Equity Incentive Plan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Cytek Biosciences, Inc. 2021 Employee Stock Purchase Plan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Wenbin Jiang, Ph.D.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Cytek Biosciences,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47215 Lakeview Boulevard</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Fremont, California 94538</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(877) 922-9835</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214630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tbl>
      <w:tblPr>
        <w:tblLayout w:type="fixed"/>
        <w:tblInd w:w="166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Please send copies of all communications to:</w:t>
            </w:r>
          </w:p>
        </w:tc>
      </w:tr>
      <w:tr>
        <w:trPr>
          <w:trHeight w:val="420"/>
        </w:trPr>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Gordon K. Ho</w:t>
            </w:r>
          </w:p>
        </w:tc>
        <w:tc>
          <w:tcPr>
            <w:tcW w:w="5320" w:type="dxa"/>
            <w:vAlign w:val="bottom"/>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w w:val="99"/>
              </w:rPr>
              <w:t>Valerie Barnett</w:t>
            </w:r>
          </w:p>
        </w:tc>
      </w:tr>
      <w:tr>
        <w:trPr>
          <w:trHeight w:val="207"/>
        </w:trPr>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Cooley LLP</w:t>
            </w:r>
          </w:p>
        </w:tc>
        <w:tc>
          <w:tcPr>
            <w:tcW w:w="5320" w:type="dxa"/>
            <w:vAlign w:val="bottom"/>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rPr>
              <w:t>Chief Legal Officer</w:t>
            </w:r>
          </w:p>
        </w:tc>
      </w:tr>
      <w:tr>
        <w:trPr>
          <w:trHeight w:val="207"/>
        </w:trPr>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3175 Hanover Street</w:t>
            </w:r>
          </w:p>
        </w:tc>
        <w:tc>
          <w:tcPr>
            <w:tcW w:w="5320" w:type="dxa"/>
            <w:vAlign w:val="bottom"/>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rPr>
              <w:t>Cytek Biosciences, Inc.</w:t>
            </w:r>
          </w:p>
        </w:tc>
      </w:tr>
      <w:tr>
        <w:trPr>
          <w:trHeight w:val="207"/>
        </w:trPr>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Palo Alto, California 94304</w:t>
            </w:r>
          </w:p>
        </w:tc>
        <w:tc>
          <w:tcPr>
            <w:tcW w:w="5320" w:type="dxa"/>
            <w:vAlign w:val="bottom"/>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rPr>
              <w:t>47215 Lakeview Boulevard</w:t>
            </w:r>
          </w:p>
        </w:tc>
      </w:tr>
      <w:tr>
        <w:trPr>
          <w:trHeight w:val="207"/>
        </w:trPr>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(650) 843-5000</w:t>
            </w:r>
          </w:p>
        </w:tc>
        <w:tc>
          <w:tcPr>
            <w:tcW w:w="5320" w:type="dxa"/>
            <w:vAlign w:val="bottom"/>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rPr>
              <w:t>Fremont, California 94538</w:t>
            </w:r>
          </w:p>
        </w:tc>
      </w:tr>
      <w:tr>
        <w:trPr>
          <w:trHeight w:val="228"/>
        </w:trPr>
        <w:tc>
          <w:tcPr>
            <w:tcW w:w="2020" w:type="dxa"/>
            <w:vAlign w:val="bottom"/>
          </w:tcPr>
          <w:p>
            <w:pPr>
              <w:spacing w:after="0"/>
              <w:rPr>
                <w:sz w:val="19"/>
                <w:szCs w:val="19"/>
                <w:color w:val="auto"/>
              </w:rPr>
            </w:pPr>
          </w:p>
        </w:tc>
        <w:tc>
          <w:tcPr>
            <w:tcW w:w="5320" w:type="dxa"/>
            <w:vAlign w:val="bottom"/>
          </w:tcPr>
          <w:p>
            <w:pPr>
              <w:jc w:val="center"/>
              <w:ind w:left="3234"/>
              <w:spacing w:after="0"/>
              <w:rPr>
                <w:sz w:val="20"/>
                <w:szCs w:val="20"/>
                <w:color w:val="auto"/>
              </w:rPr>
            </w:pPr>
            <w:r>
              <w:rPr>
                <w:rFonts w:ascii="Times New Roman" w:cs="Times New Roman" w:eastAsia="Times New Roman" w:hAnsi="Times New Roman"/>
                <w:sz w:val="17"/>
                <w:szCs w:val="17"/>
                <w:b w:val="1"/>
                <w:bCs w:val="1"/>
                <w:color w:val="auto"/>
              </w:rPr>
              <w:t>(877) 922-9835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221615</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both"/>
        <w:ind w:firstLine="422"/>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86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8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32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3" w:lineRule="exact"/>
        <w:rPr>
          <w:sz w:val="24"/>
          <w:szCs w:val="24"/>
          <w:color w:val="auto"/>
        </w:rPr>
      </w:pPr>
    </w:p>
    <w:p>
      <w:pPr>
        <w:ind w:right="120" w:firstLine="422"/>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671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40"/>
          </w:cols>
          <w:pgMar w:left="660" w:top="223" w:right="699" w:bottom="1440" w:gutter="0" w:footer="0" w:header="0"/>
        </w:sectPr>
      </w:pPr>
    </w:p>
    <w:bookmarkStart w:id="1" w:name="page2"/>
    <w:bookmarkEnd w:id="1"/>
    <w:p>
      <w:pPr>
        <w:ind w:left="35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REGISTRATION OF ADDITIONAL SHARES</w:t>
      </w:r>
    </w:p>
    <w:p>
      <w:pPr>
        <w:spacing w:after="0" w:line="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PURSUANT TO GENERAL INSTRUCTION E</w:t>
      </w:r>
    </w:p>
    <w:p>
      <w:pPr>
        <w:spacing w:after="0" w:line="196" w:lineRule="exact"/>
        <w:rPr>
          <w:sz w:val="20"/>
          <w:szCs w:val="20"/>
          <w:color w:val="auto"/>
        </w:rPr>
      </w:pPr>
    </w:p>
    <w:p>
      <w:pPr>
        <w:ind w:right="160" w:firstLine="422"/>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General Instruction E of Form S-8, Cytek Biosciences, Inc. (the “</w:t>
      </w:r>
      <w:r>
        <w:rPr>
          <w:rFonts w:ascii="Times New Roman" w:cs="Times New Roman" w:eastAsia="Times New Roman" w:hAnsi="Times New Roman"/>
          <w:sz w:val="17"/>
          <w:szCs w:val="17"/>
          <w:b w:val="1"/>
          <w:bCs w:val="1"/>
          <w:i w:val="1"/>
          <w:iCs w:val="1"/>
          <w:color w:val="auto"/>
        </w:rPr>
        <w:t>Registrant</w:t>
      </w:r>
      <w:r>
        <w:rPr>
          <w:rFonts w:ascii="Times New Roman" w:cs="Times New Roman" w:eastAsia="Times New Roman" w:hAnsi="Times New Roman"/>
          <w:sz w:val="17"/>
          <w:szCs w:val="17"/>
          <w:color w:val="auto"/>
        </w:rPr>
        <w:t>”) is filing this Registration Statement on Form S-8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xml:space="preserve">”) to register 5,142,005 additional shares of common stock under the Registrant’s 2021 Equity Incentive Plan and 1,285,501 additional shares of common stock under the Registrant’s 2021 Employee Stock Purchase Plan pursuant to the provisions of those plans providing for an automatic increase in the number of shares reserved for issuance under such plans on January 1 of each year pursuant to a specified formula. This Registration Statement hereby incorporates by reference the contents of the Registrant’s prior registration </w:t>
      </w:r>
      <w:hyperlink r:id="rId18">
        <w:r>
          <w:rPr>
            <w:rFonts w:ascii="Times New Roman" w:cs="Times New Roman" w:eastAsia="Times New Roman" w:hAnsi="Times New Roman"/>
            <w:sz w:val="17"/>
            <w:szCs w:val="17"/>
            <w:color w:val="auto"/>
          </w:rPr>
          <w:t>statements on Form S-8 filed with the Commission on February 28, 2025 (</w:t>
        </w:r>
        <w:r>
          <w:rPr>
            <w:rFonts w:ascii="Times New Roman" w:cs="Times New Roman" w:eastAsia="Times New Roman" w:hAnsi="Times New Roman"/>
            <w:sz w:val="17"/>
            <w:szCs w:val="17"/>
            <w:u w:val="single" w:color="auto"/>
            <w:color w:val="0000EE"/>
          </w:rPr>
          <w:t>Registration No. 333-285446</w:t>
        </w:r>
        <w:r>
          <w:rPr>
            <w:rFonts w:ascii="Times New Roman" w:cs="Times New Roman" w:eastAsia="Times New Roman" w:hAnsi="Times New Roman"/>
            <w:sz w:val="17"/>
            <w:szCs w:val="17"/>
            <w:color w:val="auto"/>
          </w:rPr>
          <w:t>), March 14, 2024 (</w:t>
        </w:r>
        <w:r>
          <w:rPr>
            <w:rFonts w:ascii="Times New Roman" w:cs="Times New Roman" w:eastAsia="Times New Roman" w:hAnsi="Times New Roman"/>
            <w:sz w:val="17"/>
            <w:szCs w:val="17"/>
            <w:u w:val="single" w:color="auto"/>
            <w:color w:val="0000EE"/>
          </w:rPr>
          <w:t>Registration</w:t>
        </w:r>
      </w:hyperlink>
    </w:p>
    <w:p>
      <w:pPr>
        <w:ind w:right="400"/>
        <w:spacing w:after="0" w:line="268" w:lineRule="auto"/>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u w:val="single" w:color="auto"/>
            <w:color w:val="0000EE"/>
          </w:rPr>
          <w:t>No. 333-277936</w:t>
        </w:r>
        <w:r>
          <w:rPr>
            <w:rFonts w:ascii="Times New Roman" w:cs="Times New Roman" w:eastAsia="Times New Roman" w:hAnsi="Times New Roman"/>
            <w:sz w:val="17"/>
            <w:szCs w:val="17"/>
            <w:color w:val="000000"/>
          </w:rPr>
          <w:t>), March 2, 2023 (</w:t>
        </w:r>
        <w:r>
          <w:rPr>
            <w:rFonts w:ascii="Times New Roman" w:cs="Times New Roman" w:eastAsia="Times New Roman" w:hAnsi="Times New Roman"/>
            <w:sz w:val="17"/>
            <w:szCs w:val="17"/>
            <w:u w:val="single" w:color="auto"/>
            <w:color w:val="0000EE"/>
          </w:rPr>
          <w:t>Registration No. 333-270200</w:t>
        </w:r>
        <w:r>
          <w:rPr>
            <w:rFonts w:ascii="Times New Roman" w:cs="Times New Roman" w:eastAsia="Times New Roman" w:hAnsi="Times New Roman"/>
            <w:sz w:val="17"/>
            <w:szCs w:val="17"/>
            <w:color w:val="000000"/>
          </w:rPr>
          <w:t>), March 17, 2022 (</w:t>
        </w:r>
        <w:r>
          <w:rPr>
            <w:rFonts w:ascii="Times New Roman" w:cs="Times New Roman" w:eastAsia="Times New Roman" w:hAnsi="Times New Roman"/>
            <w:sz w:val="17"/>
            <w:szCs w:val="17"/>
            <w:u w:val="single" w:color="auto"/>
            <w:color w:val="0000EE"/>
          </w:rPr>
          <w:t>Registration No. 333-263661</w:t>
        </w:r>
        <w:r>
          <w:rPr>
            <w:rFonts w:ascii="Times New Roman" w:cs="Times New Roman" w:eastAsia="Times New Roman" w:hAnsi="Times New Roman"/>
            <w:sz w:val="17"/>
            <w:szCs w:val="17"/>
            <w:color w:val="000000"/>
          </w:rPr>
          <w:t>) and July 23, 2021 (</w:t>
        </w:r>
        <w:r>
          <w:rPr>
            <w:rFonts w:ascii="Times New Roman" w:cs="Times New Roman" w:eastAsia="Times New Roman" w:hAnsi="Times New Roman"/>
            <w:sz w:val="17"/>
            <w:szCs w:val="17"/>
            <w:u w:val="single" w:color="auto"/>
            <w:color w:val="0000EE"/>
          </w:rPr>
          <w:t>Registration</w:t>
        </w:r>
      </w:hyperlink>
      <w:r>
        <w:rPr>
          <w:rFonts w:ascii="Times New Roman" w:cs="Times New Roman" w:eastAsia="Times New Roman" w:hAnsi="Times New Roman"/>
          <w:sz w:val="17"/>
          <w:szCs w:val="17"/>
          <w:color w:val="0000EE"/>
        </w:rPr>
        <w:t xml:space="preserve"> </w:t>
      </w:r>
      <w:hyperlink r:id="rId19">
        <w:r>
          <w:rPr>
            <w:rFonts w:ascii="Times New Roman" w:cs="Times New Roman" w:eastAsia="Times New Roman" w:hAnsi="Times New Roman"/>
            <w:sz w:val="17"/>
            <w:szCs w:val="17"/>
            <w:u w:val="single" w:color="auto"/>
            <w:color w:val="0000EE"/>
          </w:rPr>
          <w:t>No. 333-258153</w:t>
        </w:r>
        <w:r>
          <w:rPr>
            <w:rFonts w:ascii="Times New Roman" w:cs="Times New Roman" w:eastAsia="Times New Roman" w:hAnsi="Times New Roman"/>
            <w:sz w:val="17"/>
            <w:szCs w:val="17"/>
            <w:color w:val="000000"/>
          </w:rPr>
          <w:t>).</w:t>
        </w:r>
      </w:hyperlink>
    </w:p>
    <w:p>
      <w:pPr>
        <w:spacing w:after="0" w:line="3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documents filed by Registrant with the Commission are incorporated by reference into this Registration Statement:</w:t>
      </w:r>
    </w:p>
    <w:p>
      <w:pPr>
        <w:spacing w:after="0" w:line="115" w:lineRule="exact"/>
        <w:rPr>
          <w:sz w:val="20"/>
          <w:szCs w:val="20"/>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Registrant’s Annual Report on </w:t>
      </w:r>
      <w:hyperlink r:id="rId20">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fiscal year ended December 31, 2025, filed with the Commission on February 26,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w:t>
      </w:r>
    </w:p>
    <w:p>
      <w:pPr>
        <w:spacing w:after="0" w:line="97" w:lineRule="exact"/>
        <w:rPr>
          <w:sz w:val="20"/>
          <w:szCs w:val="20"/>
          <w:color w:val="auto"/>
        </w:rPr>
      </w:pPr>
    </w:p>
    <w:p>
      <w:pPr>
        <w:ind w:right="120" w:firstLine="423"/>
        <w:spacing w:after="0" w:line="273" w:lineRule="auto"/>
        <w:tabs>
          <w:tab w:leader="none" w:pos="66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the registration statement on </w:t>
      </w:r>
      <w:hyperlink r:id="rId21">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registering the Registrant’s Common Stock under Section 12 of the Exchange Act filed with the Commission on July 19, 2021, including any amendments or reports filed for purposes of updating such description.</w:t>
      </w:r>
    </w:p>
    <w:p>
      <w:pPr>
        <w:spacing w:after="0" w:line="162" w:lineRule="exact"/>
        <w:rPr>
          <w:sz w:val="20"/>
          <w:szCs w:val="20"/>
          <w:color w:val="auto"/>
        </w:rPr>
      </w:pPr>
    </w:p>
    <w:p>
      <w:pPr>
        <w:ind w:firstLine="422"/>
        <w:spacing w:after="0" w:line="259" w:lineRule="auto"/>
        <w:rPr>
          <w:sz w:val="20"/>
          <w:szCs w:val="20"/>
          <w:color w:val="auto"/>
        </w:rPr>
      </w:pPr>
      <w:r>
        <w:rPr>
          <w:rFonts w:ascii="Times New Roman" w:cs="Times New Roman" w:eastAsia="Times New Roman" w:hAnsi="Times New Roman"/>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0560"/>
          </w:cols>
          <w:pgMar w:left="660" w:top="262" w:right="6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ITEM 8. EXHIBITS.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exhibits are filed herewith:</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8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9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920" w:type="dxa"/>
            <w:vAlign w:val="bottom"/>
          </w:tcPr>
          <w:p>
            <w:pPr>
              <w:spacing w:after="0"/>
              <w:rPr>
                <w:sz w:val="22"/>
                <w:szCs w:val="22"/>
                <w:color w:val="auto"/>
              </w:rPr>
            </w:pPr>
          </w:p>
        </w:tc>
        <w:tc>
          <w:tcPr>
            <w:tcW w:w="4860" w:type="dxa"/>
            <w:vAlign w:val="bottom"/>
            <w:gridSpan w:val="17"/>
          </w:tcPr>
          <w:p>
            <w:pPr>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Amended and Restated Certificate of Incorporation of Cytek</w:t>
              </w:r>
            </w:hyperlink>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Borders>
              <w:top w:val="single" w:sz="8" w:color="0000EE"/>
              <w:bottom w:val="single" w:sz="8" w:color="0000EE"/>
            </w:tcBorders>
          </w:tcPr>
          <w:p>
            <w:pPr>
              <w:spacing w:after="0" w:line="187"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Biosciences, Inc.</w:t>
              </w:r>
            </w:hyperlink>
          </w:p>
        </w:tc>
        <w:tc>
          <w:tcPr>
            <w:tcW w:w="3000" w:type="dxa"/>
            <w:vAlign w:val="bottom"/>
            <w:tcBorders>
              <w:top w:val="single" w:sz="8" w:color="0000EE"/>
            </w:tcBorders>
            <w:gridSpan w:val="10"/>
          </w:tcPr>
          <w:p>
            <w:pPr>
              <w:spacing w:after="0"/>
              <w:rPr>
                <w:sz w:val="16"/>
                <w:szCs w:val="16"/>
                <w:color w:val="auto"/>
              </w:rPr>
            </w:pPr>
          </w:p>
        </w:tc>
        <w:tc>
          <w:tcPr>
            <w:tcW w:w="6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920" w:type="dxa"/>
            <w:vAlign w:val="bottom"/>
          </w:tcPr>
          <w:p>
            <w:pPr>
              <w:spacing w:after="0"/>
              <w:rPr>
                <w:sz w:val="24"/>
                <w:szCs w:val="24"/>
                <w:color w:val="auto"/>
              </w:rPr>
            </w:pPr>
          </w:p>
        </w:tc>
        <w:tc>
          <w:tcPr>
            <w:tcW w:w="4860" w:type="dxa"/>
            <w:vAlign w:val="bottom"/>
            <w:gridSpan w:val="17"/>
          </w:tcPr>
          <w:p>
            <w:pPr>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Amended and Restated Bylaws of Cytek Biosciences,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920" w:type="dxa"/>
            <w:vAlign w:val="bottom"/>
          </w:tcPr>
          <w:p>
            <w:pPr>
              <w:spacing w:after="0"/>
              <w:rPr>
                <w:sz w:val="24"/>
                <w:szCs w:val="24"/>
                <w:color w:val="auto"/>
              </w:rPr>
            </w:pPr>
          </w:p>
        </w:tc>
        <w:tc>
          <w:tcPr>
            <w:tcW w:w="4860" w:type="dxa"/>
            <w:vAlign w:val="bottom"/>
            <w:gridSpan w:val="17"/>
          </w:tcPr>
          <w:p>
            <w:pP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Form of common stock certificate of Cytek Biosciences, Inc</w:t>
              </w:r>
            </w:hyperlink>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920" w:type="dxa"/>
            <w:vAlign w:val="bottom"/>
          </w:tcPr>
          <w:p>
            <w:pPr>
              <w:spacing w:after="0"/>
              <w:rPr>
                <w:sz w:val="24"/>
                <w:szCs w:val="24"/>
                <w:color w:val="auto"/>
              </w:rPr>
            </w:pPr>
          </w:p>
        </w:tc>
        <w:tc>
          <w:tcPr>
            <w:tcW w:w="16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Opinion of Cooley LLP</w:t>
            </w:r>
          </w:p>
        </w:tc>
        <w:tc>
          <w:tcPr>
            <w:tcW w:w="2500" w:type="dxa"/>
            <w:vAlign w:val="bottom"/>
            <w:tcBorders>
              <w:top w:val="single" w:sz="8" w:color="0000EE"/>
            </w:tcBorders>
            <w:gridSpan w:val="7"/>
          </w:tcPr>
          <w:p>
            <w:pPr>
              <w:spacing w:after="0"/>
              <w:rPr>
                <w:sz w:val="24"/>
                <w:szCs w:val="24"/>
                <w:color w:val="auto"/>
              </w:rPr>
            </w:pPr>
          </w:p>
        </w:tc>
        <w:tc>
          <w:tcPr>
            <w:tcW w:w="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920" w:type="dxa"/>
            <w:vAlign w:val="bottom"/>
          </w:tcPr>
          <w:p>
            <w:pPr>
              <w:spacing w:after="0"/>
              <w:rPr>
                <w:sz w:val="24"/>
                <w:szCs w:val="24"/>
                <w:color w:val="auto"/>
              </w:rPr>
            </w:pPr>
          </w:p>
        </w:tc>
        <w:tc>
          <w:tcPr>
            <w:tcW w:w="486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rPr>
              <w:t>Consent of Cooley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920" w:type="dxa"/>
            <w:vAlign w:val="bottom"/>
          </w:tcPr>
          <w:p>
            <w:pPr>
              <w:spacing w:after="0"/>
              <w:rPr>
                <w:sz w:val="24"/>
                <w:szCs w:val="24"/>
                <w:color w:val="auto"/>
              </w:rPr>
            </w:pPr>
          </w:p>
        </w:tc>
        <w:tc>
          <w:tcPr>
            <w:tcW w:w="486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rPr>
              <w:t>Consent of Independent Registered Public Accounting Firm</w:t>
            </w: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92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 of this</w:t>
            </w:r>
          </w:p>
        </w:tc>
        <w:tc>
          <w:tcPr>
            <w:tcW w:w="120" w:type="dxa"/>
            <w:vAlign w:val="bottom"/>
            <w:tcBorders>
              <w:top w:val="single" w:sz="8" w:color="0000EE"/>
            </w:tcBorders>
          </w:tcPr>
          <w:p>
            <w:pPr>
              <w:spacing w:after="0"/>
              <w:rPr>
                <w:sz w:val="24"/>
                <w:szCs w:val="24"/>
                <w:color w:val="auto"/>
              </w:rPr>
            </w:pPr>
          </w:p>
        </w:tc>
        <w:tc>
          <w:tcPr>
            <w:tcW w:w="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tcBorders>
              <w:bottom w:val="single" w:sz="8" w:color="0000EE"/>
            </w:tcBorders>
            <w:gridSpan w:val="2"/>
          </w:tcPr>
          <w:p>
            <w:pPr>
              <w:spacing w:after="0" w:line="187" w:lineRule="exact"/>
              <w:rPr>
                <w:sz w:val="20"/>
                <w:szCs w:val="20"/>
                <w:color w:val="auto"/>
              </w:rPr>
            </w:pPr>
            <w:r>
              <w:rPr>
                <w:rFonts w:ascii="Times New Roman" w:cs="Times New Roman" w:eastAsia="Times New Roman" w:hAnsi="Times New Roman"/>
                <w:sz w:val="17"/>
                <w:szCs w:val="17"/>
                <w:color w:val="0000EE"/>
              </w:rPr>
              <w:t>Registration Statement)</w:t>
            </w:r>
          </w:p>
        </w:tc>
        <w:tc>
          <w:tcPr>
            <w:tcW w:w="32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920" w:type="dxa"/>
            <w:vAlign w:val="bottom"/>
          </w:tcPr>
          <w:p>
            <w:pPr>
              <w:spacing w:after="0"/>
              <w:rPr>
                <w:sz w:val="24"/>
                <w:szCs w:val="24"/>
                <w:color w:val="auto"/>
              </w:rPr>
            </w:pPr>
          </w:p>
        </w:tc>
        <w:tc>
          <w:tcPr>
            <w:tcW w:w="4860" w:type="dxa"/>
            <w:vAlign w:val="bottom"/>
            <w:gridSpan w:val="17"/>
          </w:tcPr>
          <w:p>
            <w:pPr>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Cytek Biosciences, Inc. 2021 Equity Incentive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Borders>
              <w:right w:val="single" w:sz="8" w:color="0000EE"/>
            </w:tcBorders>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920" w:type="dxa"/>
            <w:vAlign w:val="bottom"/>
          </w:tcPr>
          <w:p>
            <w:pPr>
              <w:spacing w:after="0"/>
              <w:rPr>
                <w:sz w:val="24"/>
                <w:szCs w:val="24"/>
                <w:color w:val="auto"/>
              </w:rPr>
            </w:pPr>
          </w:p>
        </w:tc>
        <w:tc>
          <w:tcPr>
            <w:tcW w:w="478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Forms of Option Agreement and Notice of Stock Option Grant under</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60" w:type="dxa"/>
            <w:vAlign w:val="bottom"/>
            <w:gridSpan w:val="17"/>
          </w:tcPr>
          <w:p>
            <w:pPr>
              <w:spacing w:after="0" w:line="187" w:lineRule="exact"/>
              <w:rPr>
                <w:rFonts w:ascii="Times New Roman" w:cs="Times New Roman" w:eastAsia="Times New Roman" w:hAnsi="Times New Roman"/>
                <w:sz w:val="17"/>
                <w:szCs w:val="17"/>
                <w:color w:val="0000EE"/>
              </w:rPr>
            </w:pPr>
            <w:hyperlink r:id="rId27">
              <w:r>
                <w:rPr>
                  <w:rFonts w:ascii="Times New Roman" w:cs="Times New Roman" w:eastAsia="Times New Roman" w:hAnsi="Times New Roman"/>
                  <w:sz w:val="17"/>
                  <w:szCs w:val="17"/>
                  <w:color w:val="0000EE"/>
                </w:rPr>
                <w:t>2021 Equity Incentive Plan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Borders>
              <w:right w:val="single" w:sz="8" w:color="0000EE"/>
            </w:tcBorders>
            <w:gridSpan w:val="4"/>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99.3</w:t>
            </w:r>
          </w:p>
        </w:tc>
        <w:tc>
          <w:tcPr>
            <w:tcW w:w="920" w:type="dxa"/>
            <w:vAlign w:val="bottom"/>
          </w:tcPr>
          <w:p>
            <w:pPr>
              <w:spacing w:after="0"/>
              <w:rPr>
                <w:sz w:val="24"/>
                <w:szCs w:val="24"/>
                <w:color w:val="auto"/>
              </w:rPr>
            </w:pPr>
          </w:p>
        </w:tc>
        <w:tc>
          <w:tcPr>
            <w:tcW w:w="45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Forms of Restricted Stock Unit Grant Notice and Restricted Stock</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40" w:type="dxa"/>
            <w:vAlign w:val="bottom"/>
            <w:tcBorders>
              <w:bottom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0000EE"/>
                </w:rPr>
                <w:t>Unit Award Agreement under the 2021 Equity Incentive Plan</w:t>
              </w:r>
            </w:hyperlink>
          </w:p>
        </w:tc>
        <w:tc>
          <w:tcPr>
            <w:tcW w:w="6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99.4</w:t>
            </w:r>
          </w:p>
        </w:tc>
        <w:tc>
          <w:tcPr>
            <w:tcW w:w="920" w:type="dxa"/>
            <w:vAlign w:val="bottom"/>
          </w:tcPr>
          <w:p>
            <w:pPr>
              <w:spacing w:after="0"/>
              <w:rPr>
                <w:sz w:val="24"/>
                <w:szCs w:val="24"/>
                <w:color w:val="auto"/>
              </w:rPr>
            </w:pPr>
          </w:p>
        </w:tc>
        <w:tc>
          <w:tcPr>
            <w:tcW w:w="478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Forms of Option Agreement and Notice of Stock Option Grant under</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60" w:type="dxa"/>
            <w:vAlign w:val="bottom"/>
            <w:gridSpan w:val="17"/>
          </w:tcPr>
          <w:p>
            <w:pPr>
              <w:spacing w:after="0" w:line="187" w:lineRule="exact"/>
              <w:rPr>
                <w:rFonts w:ascii="Times New Roman" w:cs="Times New Roman" w:eastAsia="Times New Roman" w:hAnsi="Times New Roman"/>
                <w:sz w:val="17"/>
                <w:szCs w:val="17"/>
                <w:color w:val="0000EE"/>
              </w:rPr>
            </w:pPr>
            <w:hyperlink r:id="rId29">
              <w:r>
                <w:rPr>
                  <w:rFonts w:ascii="Times New Roman" w:cs="Times New Roman" w:eastAsia="Times New Roman" w:hAnsi="Times New Roman"/>
                  <w:sz w:val="17"/>
                  <w:szCs w:val="17"/>
                  <w:color w:val="0000EE"/>
                </w:rPr>
                <w:t>2021 Equity Incentive Plan, effective August 23, 2022</w:t>
              </w:r>
              <w:r>
                <w:rPr>
                  <w:rFonts w:ascii="Times New Roman" w:cs="Times New Roman" w:eastAsia="Times New Roman" w:hAnsi="Times New Roman"/>
                  <w:sz w:val="17"/>
                  <w:szCs w:val="17"/>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tcBorders>
              <w:right w:val="single" w:sz="8" w:color="0000EE"/>
            </w:tcBorders>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99.5</w:t>
            </w:r>
          </w:p>
        </w:tc>
        <w:tc>
          <w:tcPr>
            <w:tcW w:w="920" w:type="dxa"/>
            <w:vAlign w:val="bottom"/>
          </w:tcPr>
          <w:p>
            <w:pPr>
              <w:spacing w:after="0"/>
              <w:rPr>
                <w:sz w:val="24"/>
                <w:szCs w:val="24"/>
                <w:color w:val="auto"/>
              </w:rPr>
            </w:pPr>
          </w:p>
        </w:tc>
        <w:tc>
          <w:tcPr>
            <w:tcW w:w="45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Forms of Restricted Stock Unit Grant Notice and Restricted Stock</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80" w:type="dxa"/>
            <w:vAlign w:val="bottom"/>
            <w:tcBorders>
              <w:bottom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Unit Award Agreement under the 2021 Equity Incentive Plan,</w:t>
              </w:r>
            </w:hyperlink>
          </w:p>
        </w:tc>
        <w:tc>
          <w:tcPr>
            <w:tcW w:w="5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tcBorders>
              <w:bottom w:val="single" w:sz="8" w:color="0000EE"/>
            </w:tcBorders>
            <w:gridSpan w:val="4"/>
          </w:tcPr>
          <w:p>
            <w:pPr>
              <w:spacing w:after="0" w:line="187" w:lineRule="exact"/>
              <w:rPr>
                <w:rFonts w:ascii="Times New Roman" w:cs="Times New Roman" w:eastAsia="Times New Roman" w:hAnsi="Times New Roman"/>
                <w:sz w:val="17"/>
                <w:szCs w:val="17"/>
                <w:color w:val="0000EE"/>
              </w:rPr>
            </w:pPr>
            <w:hyperlink r:id="rId30">
              <w:r>
                <w:rPr>
                  <w:rFonts w:ascii="Times New Roman" w:cs="Times New Roman" w:eastAsia="Times New Roman" w:hAnsi="Times New Roman"/>
                  <w:sz w:val="17"/>
                  <w:szCs w:val="17"/>
                  <w:color w:val="0000EE"/>
                </w:rPr>
                <w:t>effective August 23, 2022.</w:t>
              </w:r>
            </w:hyperlink>
          </w:p>
        </w:tc>
        <w:tc>
          <w:tcPr>
            <w:tcW w:w="29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99.6</w:t>
            </w:r>
          </w:p>
        </w:tc>
        <w:tc>
          <w:tcPr>
            <w:tcW w:w="920" w:type="dxa"/>
            <w:vAlign w:val="bottom"/>
          </w:tcPr>
          <w:p>
            <w:pPr>
              <w:spacing w:after="0"/>
              <w:rPr>
                <w:sz w:val="24"/>
                <w:szCs w:val="24"/>
                <w:color w:val="auto"/>
              </w:rPr>
            </w:pPr>
          </w:p>
        </w:tc>
        <w:tc>
          <w:tcPr>
            <w:tcW w:w="422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31">
              <w:r>
                <w:rPr>
                  <w:rFonts w:ascii="Times New Roman" w:cs="Times New Roman" w:eastAsia="Times New Roman" w:hAnsi="Times New Roman"/>
                  <w:sz w:val="17"/>
                  <w:szCs w:val="17"/>
                  <w:color w:val="0000EE"/>
                </w:rPr>
                <w:t>Cytek Biosciences, Inc. 2021 Employee Stock Purchase Plan</w:t>
              </w:r>
            </w:hyperlink>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420" w:hanging="1420"/>
        <w:spacing w:after="0"/>
        <w:tabs>
          <w:tab w:leader="none" w:pos="14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1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590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spacing w:after="0" w:line="117" w:lineRule="exact"/>
        <w:rPr>
          <w:sz w:val="20"/>
          <w:szCs w:val="20"/>
          <w:color w:val="auto"/>
        </w:rPr>
      </w:pPr>
    </w:p>
    <w:p>
      <w:pPr>
        <w:ind w:left="60"/>
        <w:spacing w:after="0"/>
        <w:tabs>
          <w:tab w:leader="none" w:pos="740" w:val="left"/>
          <w:tab w:leader="none" w:pos="1600" w:val="left"/>
          <w:tab w:leader="none" w:pos="2280" w:val="left"/>
          <w:tab w:leader="none" w:pos="31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3"/>
          <w:szCs w:val="13"/>
          <w:b w:val="1"/>
          <w:bCs w:val="1"/>
          <w:u w:val="single" w:color="auto"/>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12065</wp:posOffset>
            </wp:positionV>
            <wp:extent cx="534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53467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12065</wp:posOffset>
            </wp:positionV>
            <wp:extent cx="600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84" w:lineRule="exact"/>
        <w:rPr>
          <w:sz w:val="20"/>
          <w:szCs w:val="20"/>
          <w:color w:val="auto"/>
        </w:rPr>
      </w:pPr>
    </w:p>
    <w:p>
      <w:pPr>
        <w:ind w:left="80"/>
        <w:spacing w:after="0"/>
        <w:tabs>
          <w:tab w:leader="none" w:pos="600" w:val="left"/>
          <w:tab w:leader="none" w:pos="1700" w:val="left"/>
          <w:tab w:leader="none" w:pos="224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001-40632</w:t>
      </w:r>
      <w:r>
        <w:rPr>
          <w:sz w:val="20"/>
          <w:szCs w:val="20"/>
          <w:color w:val="auto"/>
        </w:rPr>
        <w:tab/>
      </w: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color w:val="auto"/>
        </w:rPr>
        <w:t>7/27/2021</w:t>
      </w:r>
    </w:p>
    <w:p>
      <w:pPr>
        <w:spacing w:after="0" w:line="323" w:lineRule="exact"/>
        <w:rPr>
          <w:sz w:val="20"/>
          <w:szCs w:val="20"/>
          <w:color w:val="auto"/>
        </w:rPr>
      </w:pPr>
    </w:p>
    <w:p>
      <w:pPr>
        <w:ind w:left="80"/>
        <w:spacing w:after="0"/>
        <w:tabs>
          <w:tab w:leader="none" w:pos="600" w:val="left"/>
          <w:tab w:leader="none" w:pos="1700" w:val="left"/>
          <w:tab w:leader="none" w:pos="224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001-40632</w:t>
      </w:r>
      <w:r>
        <w:rPr>
          <w:sz w:val="20"/>
          <w:szCs w:val="20"/>
          <w:color w:val="auto"/>
        </w:rPr>
        <w:tab/>
      </w: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color w:val="auto"/>
        </w:rPr>
        <w:t>7/27/2021</w:t>
      </w:r>
    </w:p>
    <w:p>
      <w:pPr>
        <w:spacing w:after="0" w:line="115" w:lineRule="exact"/>
        <w:rPr>
          <w:sz w:val="20"/>
          <w:szCs w:val="20"/>
          <w:color w:val="auto"/>
        </w:rPr>
      </w:pPr>
    </w:p>
    <w:p>
      <w:pPr>
        <w:spacing w:after="0"/>
        <w:tabs>
          <w:tab w:leader="none" w:pos="560" w:val="left"/>
          <w:tab w:leader="none" w:pos="1700" w:val="left"/>
          <w:tab w:leader="none" w:pos="2240" w:val="left"/>
        </w:tabs>
        <w:rPr>
          <w:sz w:val="20"/>
          <w:szCs w:val="20"/>
          <w:color w:val="auto"/>
        </w:rPr>
      </w:pPr>
      <w:r>
        <w:rPr>
          <w:rFonts w:ascii="Times New Roman" w:cs="Times New Roman" w:eastAsia="Times New Roman" w:hAnsi="Times New Roman"/>
          <w:sz w:val="17"/>
          <w:szCs w:val="17"/>
          <w:color w:val="auto"/>
        </w:rPr>
        <w:t>S-1/A</w:t>
        <w:tab/>
        <w:t>333-257663</w:t>
      </w:r>
      <w:r>
        <w:rPr>
          <w:sz w:val="20"/>
          <w:szCs w:val="20"/>
          <w:color w:val="auto"/>
        </w:rPr>
        <w:tab/>
      </w: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color w:val="auto"/>
        </w:rPr>
        <w:t>7/19/2021</w:t>
      </w:r>
    </w:p>
    <w:p>
      <w:pPr>
        <w:spacing w:after="0" w:line="1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X</w:t>
      </w:r>
    </w:p>
    <w:p>
      <w:pPr>
        <w:spacing w:after="0" w:line="1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X</w:t>
      </w:r>
    </w:p>
    <w:p>
      <w:pPr>
        <w:spacing w:after="0" w:line="1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X</w:t>
      </w:r>
    </w:p>
    <w:p>
      <w:pPr>
        <w:spacing w:after="0" w:line="1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X</w:t>
      </w:r>
    </w:p>
    <w:p>
      <w:pPr>
        <w:spacing w:after="0" w:line="323" w:lineRule="exact"/>
        <w:rPr>
          <w:sz w:val="20"/>
          <w:szCs w:val="20"/>
          <w:color w:val="auto"/>
        </w:rPr>
      </w:pPr>
    </w:p>
    <w:p>
      <w:pPr>
        <w:spacing w:after="0"/>
        <w:tabs>
          <w:tab w:leader="none" w:pos="560" w:val="left"/>
          <w:tab w:leader="none" w:pos="1660" w:val="left"/>
          <w:tab w:leader="none" w:pos="2240" w:val="left"/>
        </w:tabs>
        <w:rPr>
          <w:sz w:val="20"/>
          <w:szCs w:val="20"/>
          <w:color w:val="auto"/>
        </w:rPr>
      </w:pPr>
      <w:r>
        <w:rPr>
          <w:rFonts w:ascii="Times New Roman" w:cs="Times New Roman" w:eastAsia="Times New Roman" w:hAnsi="Times New Roman"/>
          <w:sz w:val="17"/>
          <w:szCs w:val="17"/>
          <w:color w:val="auto"/>
        </w:rPr>
        <w:t>S-1/A</w:t>
        <w:tab/>
        <w:t>333-257663</w:t>
      </w:r>
      <w:r>
        <w:rPr>
          <w:sz w:val="20"/>
          <w:szCs w:val="20"/>
          <w:color w:val="auto"/>
        </w:rPr>
        <w:tab/>
      </w: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7/19/2021</w:t>
      </w:r>
    </w:p>
    <w:p>
      <w:pPr>
        <w:spacing w:after="0" w:line="115" w:lineRule="exact"/>
        <w:rPr>
          <w:sz w:val="20"/>
          <w:szCs w:val="20"/>
          <w:color w:val="auto"/>
        </w:rPr>
      </w:pPr>
    </w:p>
    <w:p>
      <w:pPr>
        <w:spacing w:after="0"/>
        <w:tabs>
          <w:tab w:leader="none" w:pos="560" w:val="left"/>
          <w:tab w:leader="none" w:pos="1660" w:val="left"/>
          <w:tab w:leader="none" w:pos="2240" w:val="left"/>
        </w:tabs>
        <w:rPr>
          <w:sz w:val="20"/>
          <w:szCs w:val="20"/>
          <w:color w:val="auto"/>
        </w:rPr>
      </w:pPr>
      <w:r>
        <w:rPr>
          <w:rFonts w:ascii="Times New Roman" w:cs="Times New Roman" w:eastAsia="Times New Roman" w:hAnsi="Times New Roman"/>
          <w:sz w:val="17"/>
          <w:szCs w:val="17"/>
          <w:color w:val="auto"/>
        </w:rPr>
        <w:t>S-1/A</w:t>
        <w:tab/>
        <w:t>333-257663</w:t>
      </w:r>
      <w:r>
        <w:rPr>
          <w:sz w:val="20"/>
          <w:szCs w:val="20"/>
          <w:color w:val="auto"/>
        </w:rPr>
        <w:tab/>
      </w:r>
      <w:r>
        <w:rPr>
          <w:rFonts w:ascii="Times New Roman" w:cs="Times New Roman" w:eastAsia="Times New Roman" w:hAnsi="Times New Roman"/>
          <w:sz w:val="17"/>
          <w:szCs w:val="17"/>
          <w:color w:val="auto"/>
        </w:rPr>
        <w:t>10.5</w:t>
      </w:r>
      <w:r>
        <w:rPr>
          <w:sz w:val="20"/>
          <w:szCs w:val="20"/>
          <w:color w:val="auto"/>
        </w:rPr>
        <w:tab/>
      </w:r>
      <w:r>
        <w:rPr>
          <w:rFonts w:ascii="Times New Roman" w:cs="Times New Roman" w:eastAsia="Times New Roman" w:hAnsi="Times New Roman"/>
          <w:sz w:val="17"/>
          <w:szCs w:val="17"/>
          <w:color w:val="auto"/>
        </w:rPr>
        <w:t>7/19/2021</w:t>
      </w:r>
    </w:p>
    <w:p>
      <w:pPr>
        <w:spacing w:after="0" w:line="323" w:lineRule="exact"/>
        <w:rPr>
          <w:sz w:val="20"/>
          <w:szCs w:val="20"/>
          <w:color w:val="auto"/>
        </w:rPr>
      </w:pPr>
    </w:p>
    <w:p>
      <w:pPr>
        <w:ind w:left="40"/>
        <w:spacing w:after="0"/>
        <w:tabs>
          <w:tab w:leader="none" w:pos="600" w:val="left"/>
          <w:tab w:leader="none" w:pos="1660" w:val="left"/>
          <w:tab w:leader="none" w:pos="2200" w:val="left"/>
        </w:tabs>
        <w:rPr>
          <w:sz w:val="20"/>
          <w:szCs w:val="20"/>
          <w:color w:val="auto"/>
        </w:rPr>
      </w:pPr>
      <w:r>
        <w:rPr>
          <w:rFonts w:ascii="Times New Roman" w:cs="Times New Roman" w:eastAsia="Times New Roman" w:hAnsi="Times New Roman"/>
          <w:sz w:val="17"/>
          <w:szCs w:val="17"/>
          <w:color w:val="auto"/>
        </w:rPr>
        <w:t>10-Q</w:t>
        <w:tab/>
        <w:t>001-40632</w:t>
      </w:r>
      <w:r>
        <w:rPr>
          <w:sz w:val="20"/>
          <w:szCs w:val="20"/>
          <w:color w:val="auto"/>
        </w:rPr>
        <w:tab/>
      </w:r>
      <w:r>
        <w:rPr>
          <w:rFonts w:ascii="Times New Roman" w:cs="Times New Roman" w:eastAsia="Times New Roman" w:hAnsi="Times New Roman"/>
          <w:sz w:val="17"/>
          <w:szCs w:val="17"/>
          <w:color w:val="auto"/>
        </w:rPr>
        <w:t>10.2</w:t>
        <w:tab/>
        <w:t>11/12/2021</w:t>
      </w:r>
    </w:p>
    <w:p>
      <w:pPr>
        <w:spacing w:after="0" w:line="323" w:lineRule="exact"/>
        <w:rPr>
          <w:sz w:val="20"/>
          <w:szCs w:val="20"/>
          <w:color w:val="auto"/>
        </w:rPr>
      </w:pPr>
    </w:p>
    <w:p>
      <w:pPr>
        <w:ind w:left="40"/>
        <w:spacing w:after="0"/>
        <w:tabs>
          <w:tab w:leader="none" w:pos="600" w:val="left"/>
          <w:tab w:leader="none" w:pos="1660" w:val="left"/>
          <w:tab w:leader="none" w:pos="2200" w:val="left"/>
        </w:tabs>
        <w:rPr>
          <w:sz w:val="20"/>
          <w:szCs w:val="20"/>
          <w:color w:val="auto"/>
        </w:rPr>
      </w:pPr>
      <w:r>
        <w:rPr>
          <w:rFonts w:ascii="Times New Roman" w:cs="Times New Roman" w:eastAsia="Times New Roman" w:hAnsi="Times New Roman"/>
          <w:sz w:val="17"/>
          <w:szCs w:val="17"/>
          <w:color w:val="auto"/>
        </w:rPr>
        <w:t>10-Q</w:t>
        <w:tab/>
        <w:t>001-40632</w:t>
      </w:r>
      <w:r>
        <w:rPr>
          <w:sz w:val="20"/>
          <w:szCs w:val="20"/>
          <w:color w:val="auto"/>
        </w:rPr>
        <w:tab/>
      </w:r>
      <w:r>
        <w:rPr>
          <w:rFonts w:ascii="Times New Roman" w:cs="Times New Roman" w:eastAsia="Times New Roman" w:hAnsi="Times New Roman"/>
          <w:sz w:val="17"/>
          <w:szCs w:val="17"/>
          <w:color w:val="auto"/>
        </w:rPr>
        <w:t>10.1</w:t>
        <w:tab/>
        <w:t>11/09/2022</w:t>
      </w:r>
    </w:p>
    <w:p>
      <w:pPr>
        <w:spacing w:after="0" w:line="323" w:lineRule="exact"/>
        <w:rPr>
          <w:sz w:val="20"/>
          <w:szCs w:val="20"/>
          <w:color w:val="auto"/>
        </w:rPr>
      </w:pPr>
    </w:p>
    <w:p>
      <w:pPr>
        <w:ind w:left="40"/>
        <w:spacing w:after="0"/>
        <w:tabs>
          <w:tab w:leader="none" w:pos="600" w:val="left"/>
          <w:tab w:leader="none" w:pos="1660" w:val="left"/>
          <w:tab w:leader="none" w:pos="2200" w:val="left"/>
        </w:tabs>
        <w:rPr>
          <w:sz w:val="20"/>
          <w:szCs w:val="20"/>
          <w:color w:val="auto"/>
        </w:rPr>
      </w:pPr>
      <w:r>
        <w:rPr>
          <w:rFonts w:ascii="Times New Roman" w:cs="Times New Roman" w:eastAsia="Times New Roman" w:hAnsi="Times New Roman"/>
          <w:sz w:val="17"/>
          <w:szCs w:val="17"/>
          <w:color w:val="auto"/>
        </w:rPr>
        <w:t>10-Q</w:t>
        <w:tab/>
        <w:t>001-40632</w:t>
      </w:r>
      <w:r>
        <w:rPr>
          <w:sz w:val="20"/>
          <w:szCs w:val="20"/>
          <w:color w:val="auto"/>
        </w:rPr>
        <w:tab/>
      </w:r>
      <w:r>
        <w:rPr>
          <w:rFonts w:ascii="Times New Roman" w:cs="Times New Roman" w:eastAsia="Times New Roman" w:hAnsi="Times New Roman"/>
          <w:sz w:val="17"/>
          <w:szCs w:val="17"/>
          <w:color w:val="auto"/>
        </w:rPr>
        <w:t>10.2</w:t>
        <w:tab/>
        <w:t>11/09/2022</w:t>
      </w:r>
    </w:p>
    <w:p>
      <w:pPr>
        <w:spacing w:after="0" w:line="200" w:lineRule="exact"/>
        <w:rPr>
          <w:sz w:val="20"/>
          <w:szCs w:val="20"/>
          <w:color w:val="auto"/>
        </w:rPr>
      </w:pPr>
    </w:p>
    <w:p>
      <w:pPr>
        <w:spacing w:after="0" w:line="330" w:lineRule="exact"/>
        <w:rPr>
          <w:sz w:val="20"/>
          <w:szCs w:val="20"/>
          <w:color w:val="auto"/>
        </w:rPr>
      </w:pPr>
    </w:p>
    <w:p>
      <w:pPr>
        <w:spacing w:after="0"/>
        <w:tabs>
          <w:tab w:leader="none" w:pos="560" w:val="left"/>
          <w:tab w:leader="none" w:pos="1660" w:val="left"/>
          <w:tab w:leader="none" w:pos="2240" w:val="left"/>
        </w:tabs>
        <w:rPr>
          <w:sz w:val="20"/>
          <w:szCs w:val="20"/>
          <w:color w:val="auto"/>
        </w:rPr>
      </w:pPr>
      <w:r>
        <w:rPr>
          <w:rFonts w:ascii="Times New Roman" w:cs="Times New Roman" w:eastAsia="Times New Roman" w:hAnsi="Times New Roman"/>
          <w:sz w:val="17"/>
          <w:szCs w:val="17"/>
          <w:color w:val="auto"/>
        </w:rPr>
        <w:t>S-1/A</w:t>
        <w:tab/>
        <w:t>333-257663</w:t>
      </w:r>
      <w:r>
        <w:rPr>
          <w:sz w:val="20"/>
          <w:szCs w:val="20"/>
          <w:color w:val="auto"/>
        </w:rPr>
        <w:tab/>
      </w:r>
      <w:r>
        <w:rPr>
          <w:rFonts w:ascii="Times New Roman" w:cs="Times New Roman" w:eastAsia="Times New Roman" w:hAnsi="Times New Roman"/>
          <w:sz w:val="17"/>
          <w:szCs w:val="17"/>
          <w:color w:val="auto"/>
        </w:rPr>
        <w:t>10.6</w:t>
      </w:r>
      <w:r>
        <w:rPr>
          <w:sz w:val="20"/>
          <w:szCs w:val="20"/>
          <w:color w:val="auto"/>
        </w:rPr>
        <w:tab/>
      </w:r>
      <w:r>
        <w:rPr>
          <w:rFonts w:ascii="Times New Roman" w:cs="Times New Roman" w:eastAsia="Times New Roman" w:hAnsi="Times New Roman"/>
          <w:sz w:val="17"/>
          <w:szCs w:val="17"/>
          <w:color w:val="auto"/>
        </w:rPr>
        <w:t>7/19/2021</w:t>
      </w:r>
    </w:p>
    <w:p>
      <w:pPr>
        <w:spacing w:after="0" w:line="1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2">
            <w:col w:w="6280" w:space="200"/>
            <w:col w:w="4060"/>
          </w:cols>
          <w:pgMar w:left="660" w:top="262" w:right="6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32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on February 27, 2026.</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CYTEK BIOSCIENCES,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Wenbin Jiang,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19050</wp:posOffset>
            </wp:positionV>
            <wp:extent cx="2680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268097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Wenbin Jiang, Ph.D.</w:t>
      </w:r>
    </w:p>
    <w:p>
      <w:pPr>
        <w:spacing w:after="0" w:line="3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ind w:right="20" w:firstLine="422"/>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Wenbin Jiang, William McCombe and Valerie Barnett, and each of them, as his or her true and lawful attorney-in-fact and agent with the full power of substitution, for him or her, in any and all capacities, to sign any and all amendments to this Registration Statement (including post-effective amendments to this Registration Statement on Form S-8),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substitutes, may lawfully do or cause to be done by virtue hereof.</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by the following persons on behalf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Registrant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40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1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Wenbin Jiang, Ph.D.</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Wenbin Jiang, Ph.D.</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9"/>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William McCombe</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McCombe</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9"/>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Ming Yan, Ph.D.</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Technology Officer and 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Ming Yan, Ph.D.</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9"/>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Jack Ball</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Jack Ball</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9"/>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Richard Chin, M.D.</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Chin, M.D.</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9"/>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Holder</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Michael Holder</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9"/>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Vera Imper, Ph.D.</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Vera Imper, Ph.D.</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9"/>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Deborah Neff</w:t>
            </w: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February 27, 2026</w:t>
            </w:r>
          </w:p>
        </w:tc>
      </w:tr>
      <w:tr>
        <w:trPr>
          <w:trHeight w:val="219"/>
        </w:trPr>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Deborah Neff</w:t>
            </w: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44"/>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II-4</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0560"/>
          </w:cols>
          <w:pgMar w:left="660" w:top="262"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1126490" cy="370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1126490" cy="37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Gordon K. Ho</w:t>
      </w:r>
    </w:p>
    <w:p>
      <w:pPr>
        <w:spacing w:after="0" w:line="30" w:lineRule="exact"/>
        <w:rPr>
          <w:sz w:val="20"/>
          <w:szCs w:val="20"/>
          <w:color w:val="auto"/>
        </w:rPr>
      </w:pPr>
    </w:p>
    <w:p>
      <w:pPr>
        <w:ind w:right="9200"/>
        <w:spacing w:after="0" w:line="268" w:lineRule="auto"/>
        <w:tabs>
          <w:tab w:leader="none" w:pos="18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+1 650 843 5190 gho@cooley.com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Cytek Biosciences,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47215 Lakeview Boulevard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Fremont, California 94538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We have acted as counsel to Cytek Biosciences,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by the Company of a Registration Statement on Form S-8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covering the offering of up to 6,427,506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xml:space="preserve">”) of the Company’s Common Stock, par value $0.001 per share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including (i) 5,142,005 shares of Common Stock issuable pursuant to the Company’s 2021 Equity Incentive Plan (the “</w:t>
      </w:r>
      <w:r>
        <w:rPr>
          <w:rFonts w:ascii="Times New Roman" w:cs="Times New Roman" w:eastAsia="Times New Roman" w:hAnsi="Times New Roman"/>
          <w:sz w:val="17"/>
          <w:szCs w:val="17"/>
          <w:b w:val="1"/>
          <w:bCs w:val="1"/>
          <w:i w:val="1"/>
          <w:iCs w:val="1"/>
          <w:color w:val="auto"/>
        </w:rPr>
        <w:t>2021 EIP</w:t>
      </w:r>
      <w:r>
        <w:rPr>
          <w:rFonts w:ascii="Times New Roman" w:cs="Times New Roman" w:eastAsia="Times New Roman" w:hAnsi="Times New Roman"/>
          <w:sz w:val="17"/>
          <w:szCs w:val="17"/>
          <w:color w:val="auto"/>
        </w:rPr>
        <w:t>”) and (ii) 1,285,501 shares of Common Stock issuable pursuant to the Company’s 2021 Employee Stock Purchase Plan (together with the 2021 EIP, the “</w:t>
      </w:r>
      <w:r>
        <w:rPr>
          <w:rFonts w:ascii="Times New Roman" w:cs="Times New Roman" w:eastAsia="Times New Roman" w:hAnsi="Times New Roman"/>
          <w:sz w:val="17"/>
          <w:szCs w:val="17"/>
          <w:b w:val="1"/>
          <w:bCs w:val="1"/>
          <w:i w:val="1"/>
          <w:iCs w:val="1"/>
          <w:color w:val="auto"/>
        </w:rPr>
        <w:t>Plans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7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376" w:lineRule="exact"/>
        <w:rPr>
          <w:sz w:val="20"/>
          <w:szCs w:val="20"/>
          <w:color w:val="auto"/>
        </w:rPr>
      </w:pPr>
    </w:p>
    <w:p>
      <w:pPr>
        <w:jc w:val="center"/>
        <w:spacing w:after="0"/>
        <w:tabs>
          <w:tab w:leader="none" w:pos="100" w:val="left"/>
          <w:tab w:leader="none" w:pos="100" w:val="left"/>
          <w:tab w:leader="none" w:pos="120" w:val="left"/>
        </w:tabs>
        <w:rPr>
          <w:sz w:val="20"/>
          <w:szCs w:val="20"/>
          <w:color w:val="auto"/>
        </w:rPr>
      </w:pPr>
      <w:r>
        <w:rPr>
          <w:rFonts w:ascii="Times New Roman" w:cs="Times New Roman" w:eastAsia="Times New Roman" w:hAnsi="Times New Roman"/>
          <w:sz w:val="17"/>
          <w:szCs w:val="17"/>
          <w:color w:val="auto"/>
        </w:rPr>
        <w:t>Cooley LLP </w:t>
        <w:tab/>
        <w:t>3175 Hanover Street </w:t>
        <w:tab/>
        <w:t>Palo Alto, CA </w:t>
      </w:r>
      <w:r>
        <w:rPr>
          <w:sz w:val="20"/>
          <w:szCs w:val="20"/>
          <w:color w:val="auto"/>
        </w:rPr>
        <w:tab/>
      </w:r>
      <w:r>
        <w:rPr>
          <w:rFonts w:ascii="Times New Roman" w:cs="Times New Roman" w:eastAsia="Times New Roman" w:hAnsi="Times New Roman"/>
          <w:sz w:val="16"/>
          <w:szCs w:val="16"/>
          <w:color w:val="auto"/>
        </w:rPr>
        <w:t>94304-1130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 +1 650 843 5000 f: +1 650 849 7400 cooley.com</w:t>
      </w:r>
    </w:p>
    <w:p>
      <w:pPr>
        <w:sectPr>
          <w:pgSz w:w="11900" w:h="16838" w:orient="portrait"/>
          <w:cols w:equalWidth="0" w:num="1">
            <w:col w:w="10560"/>
          </w:cols>
          <w:pgMar w:left="660" w:top="119"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drawing>
          <wp:anchor simplePos="0" relativeHeight="251657728" behindDoc="1" locked="0" layoutInCell="0" allowOverlap="1">
            <wp:simplePos x="0" y="0"/>
            <wp:positionH relativeFrom="page">
              <wp:posOffset>419100</wp:posOffset>
            </wp:positionH>
            <wp:positionV relativeFrom="page">
              <wp:posOffset>179070</wp:posOffset>
            </wp:positionV>
            <wp:extent cx="1126490" cy="370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26490" cy="370205"/>
                    </a:xfrm>
                    <a:prstGeom prst="rect">
                      <a:avLst/>
                    </a:prstGeom>
                    <a:noFill/>
                  </pic:spPr>
                </pic:pic>
              </a:graphicData>
            </a:graphic>
          </wp:anchor>
        </w:drawing>
        <w:t>Cytek Biosciences,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Two</w:t>
      </w:r>
    </w:p>
    <w:p>
      <w:pPr>
        <w:spacing w:after="0" w:line="13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Cooley LLP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Gordon K.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19050</wp:posOffset>
            </wp:positionV>
            <wp:extent cx="24587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Gordon K. Ho</w:t>
      </w:r>
    </w:p>
    <w:p>
      <w:pPr>
        <w:spacing w:after="0" w:line="219" w:lineRule="exact"/>
        <w:rPr>
          <w:sz w:val="20"/>
          <w:szCs w:val="20"/>
          <w:color w:val="auto"/>
        </w:rPr>
      </w:pPr>
    </w:p>
    <w:p>
      <w:pPr>
        <w:jc w:val="center"/>
        <w:spacing w:after="0"/>
        <w:tabs>
          <w:tab w:leader="none" w:pos="100" w:val="left"/>
          <w:tab w:leader="none" w:pos="100" w:val="left"/>
          <w:tab w:leader="none" w:pos="120" w:val="left"/>
        </w:tabs>
        <w:rPr>
          <w:sz w:val="20"/>
          <w:szCs w:val="20"/>
          <w:color w:val="auto"/>
        </w:rPr>
      </w:pPr>
      <w:r>
        <w:rPr>
          <w:rFonts w:ascii="Times New Roman" w:cs="Times New Roman" w:eastAsia="Times New Roman" w:hAnsi="Times New Roman"/>
          <w:sz w:val="17"/>
          <w:szCs w:val="17"/>
          <w:color w:val="auto"/>
        </w:rPr>
        <w:t>Cooley LLP </w:t>
        <w:tab/>
        <w:t>3175 Hanover Street </w:t>
        <w:tab/>
        <w:t>Palo Alto, CA </w:t>
      </w:r>
      <w:r>
        <w:rPr>
          <w:sz w:val="20"/>
          <w:szCs w:val="20"/>
          <w:color w:val="auto"/>
        </w:rPr>
        <w:tab/>
      </w:r>
      <w:r>
        <w:rPr>
          <w:rFonts w:ascii="Times New Roman" w:cs="Times New Roman" w:eastAsia="Times New Roman" w:hAnsi="Times New Roman"/>
          <w:sz w:val="16"/>
          <w:szCs w:val="16"/>
          <w:color w:val="auto"/>
        </w:rPr>
        <w:t>94304-1130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 +1 650 843 5000 f: +1 650 849 7400 cooley.com</w:t>
      </w:r>
    </w:p>
    <w:p>
      <w:pPr>
        <w:sectPr>
          <w:pgSz w:w="11900" w:h="16838" w:orient="portrait"/>
          <w:cols w:equalWidth="0" w:num="1">
            <w:col w:w="10560"/>
          </w:cols>
          <w:pgMar w:left="660" w:top="1054" w:right="6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1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reports dated February 26, 2026 relating to the financial statements of Cytek Biosciences, Inc. (the “Company”) and the effectiveness of the Company’s internal control over financial reporting, appearing in the Annual Report on Form 10-K of the Company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ectPr>
          <w:pgSz w:w="11900" w:h="16838" w:orient="portrait"/>
          <w:cols w:equalWidth="0" w:num="1">
            <w:col w:w="10560"/>
          </w:cols>
          <w:pgMar w:left="660" w:top="119" w:right="679" w:bottom="1440" w:gutter="0" w:footer="0" w:header="0"/>
        </w:sectPr>
      </w:pPr>
    </w:p>
    <w:bookmarkStart w:id="7" w:name="page8"/>
    <w:bookmarkEnd w:id="7"/>
    <w:p>
      <w:pPr>
        <w:ind w:left="242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472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ind w:left="3080"/>
        <w:spacing w:after="0"/>
        <w:rPr>
          <w:sz w:val="20"/>
          <w:szCs w:val="20"/>
          <w:color w:val="auto"/>
        </w:rPr>
      </w:pPr>
      <w:r>
        <w:rPr>
          <w:rFonts w:ascii="Arial" w:cs="Arial" w:eastAsia="Arial" w:hAnsi="Arial"/>
          <w:sz w:val="35"/>
          <w:szCs w:val="35"/>
          <w:b w:val="1"/>
          <w:bCs w:val="1"/>
          <w:color w:val="auto"/>
        </w:rPr>
        <w:t>Cytek Biosciences,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200" w:type="dxa"/>
            <w:vAlign w:val="bottom"/>
            <w:vMerge w:val="restart"/>
            <w:shd w:val="clear" w:color="auto" w:fill="9ADAF6"/>
          </w:tcPr>
          <w:p>
            <w:pPr>
              <w:ind w:left="18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00" w:type="dxa"/>
            <w:vAlign w:val="bottom"/>
            <w:vMerge w:val="restart"/>
            <w:shd w:val="clear" w:color="auto" w:fill="9ADAF6"/>
          </w:tcPr>
          <w:p>
            <w:pPr>
              <w:jc w:val="right"/>
              <w:ind w:right="56"/>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Amount of</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18"/>
                <w:szCs w:val="18"/>
                <w:color w:val="auto"/>
              </w:rPr>
            </w:pPr>
          </w:p>
        </w:tc>
        <w:tc>
          <w:tcPr>
            <w:tcW w:w="10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18"/>
                <w:szCs w:val="18"/>
                <w:color w:val="auto"/>
              </w:rPr>
            </w:pPr>
          </w:p>
        </w:tc>
        <w:tc>
          <w:tcPr>
            <w:tcW w:w="14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Registration</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200" w:type="dxa"/>
            <w:vAlign w:val="bottom"/>
            <w:shd w:val="clear" w:color="auto" w:fill="9ADAF6"/>
          </w:tcPr>
          <w:p>
            <w:pPr>
              <w:ind w:left="80"/>
              <w:spacing w:after="0" w:line="233" w:lineRule="exact"/>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20" w:type="dxa"/>
            <w:vAlign w:val="bottom"/>
          </w:tcPr>
          <w:p>
            <w:pPr>
              <w:spacing w:after="0"/>
              <w:rPr>
                <w:sz w:val="20"/>
                <w:szCs w:val="20"/>
                <w:color w:val="auto"/>
              </w:rPr>
            </w:pPr>
          </w:p>
        </w:tc>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shd w:val="clear" w:color="auto" w:fill="9ADAF6"/>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5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$0.001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8"/>
              </w:rPr>
              <w:t>share, Cytek</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5,142,005</w:t>
            </w:r>
          </w:p>
        </w:tc>
        <w:tc>
          <w:tcPr>
            <w:tcW w:w="20" w:type="dxa"/>
            <w:vAlign w:val="bottom"/>
          </w:tcPr>
          <w:p>
            <w:pPr>
              <w:spacing w:after="0"/>
              <w:rPr>
                <w:sz w:val="20"/>
                <w:szCs w:val="2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$ 4.34</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$ 3,081.89</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8"/>
              </w:rPr>
              <w:t>Biosciences,</w:t>
            </w:r>
          </w:p>
        </w:tc>
        <w:tc>
          <w:tcPr>
            <w:tcW w:w="20" w:type="dxa"/>
            <w:vAlign w:val="bottom"/>
          </w:tcPr>
          <w:p>
            <w:pPr>
              <w:spacing w:after="0"/>
              <w:rPr>
                <w:sz w:val="20"/>
                <w:szCs w:val="20"/>
                <w:color w:val="auto"/>
              </w:rPr>
            </w:pPr>
          </w:p>
        </w:tc>
        <w:tc>
          <w:tcPr>
            <w:tcW w:w="1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22,316,301.70</w:t>
            </w:r>
          </w:p>
        </w:tc>
        <w:tc>
          <w:tcPr>
            <w:tcW w:w="20" w:type="dxa"/>
            <w:vAlign w:val="bottom"/>
          </w:tcPr>
          <w:p>
            <w:pPr>
              <w:spacing w:after="0"/>
              <w:rPr>
                <w:sz w:val="20"/>
                <w:szCs w:val="20"/>
                <w:color w:val="auto"/>
              </w:rPr>
            </w:pPr>
          </w:p>
        </w:tc>
        <w:tc>
          <w:tcPr>
            <w:tcW w:w="102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vMerge w:val="continue"/>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Inc. 2021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$0.001 per</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8"/>
              </w:rPr>
              <w:t>share, Cytek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85"/>
              </w:rPr>
              <w:t>2</w:t>
            </w:r>
          </w:p>
        </w:tc>
        <w:tc>
          <w:tcPr>
            <w:tcW w:w="20" w:type="dxa"/>
            <w:vAlign w:val="bottom"/>
          </w:tcPr>
          <w:p>
            <w:pPr>
              <w:spacing w:after="0"/>
              <w:rPr>
                <w:sz w:val="20"/>
                <w:szCs w:val="20"/>
                <w:color w:val="auto"/>
              </w:rPr>
            </w:pPr>
          </w:p>
        </w:tc>
        <w:tc>
          <w:tcPr>
            <w:tcW w:w="9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8"/>
              </w:rPr>
              <w:t>Biosciences,</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1,285,501</w:t>
            </w:r>
          </w:p>
        </w:tc>
        <w:tc>
          <w:tcPr>
            <w:tcW w:w="20" w:type="dxa"/>
            <w:vAlign w:val="bottom"/>
          </w:tcPr>
          <w:p>
            <w:pPr>
              <w:spacing w:after="0"/>
              <w:rPr>
                <w:sz w:val="20"/>
                <w:szCs w:val="20"/>
                <w:color w:val="auto"/>
              </w:rPr>
            </w:pPr>
          </w:p>
        </w:tc>
        <w:tc>
          <w:tcPr>
            <w:tcW w:w="13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$ 3.69</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$ 4,743,498.69</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46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$ 655.08</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Inc. 2021</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Employee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Purchase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$ 3,736.97</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27,059,800.39</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21"/>
                <w:szCs w:val="21"/>
                <w:color w:val="auto"/>
              </w:rPr>
              <w:t>$ 3,736.97</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260" w:right="60" w:hanging="214"/>
        <w:spacing w:after="0" w:line="230" w:lineRule="auto"/>
        <w:tabs>
          <w:tab w:leader="none" w:pos="260" w:val="left"/>
        </w:tabs>
        <w:numPr>
          <w:ilvl w:val="0"/>
          <w:numId w:val="4"/>
        </w:numPr>
        <w:rPr>
          <w:rFonts w:ascii="Arial" w:cs="Arial" w:eastAsia="Arial" w:hAnsi="Arial"/>
          <w:sz w:val="26"/>
          <w:szCs w:val="26"/>
          <w:color w:val="auto"/>
          <w:vertAlign w:val="superscript"/>
        </w:rPr>
      </w:pPr>
      <w:r>
        <w:rPr>
          <w:rFonts w:ascii="Arial" w:cs="Arial" w:eastAsia="Arial" w:hAnsi="Arial"/>
          <w:sz w:val="21"/>
          <w:szCs w:val="21"/>
          <w:color w:val="auto"/>
        </w:rPr>
        <w:t>The amount registered represents 5,142,005 additional shares of the Registrant's common stock that were automatically added to the shares authorized for issuance under the Registrant's 2021 Equity Incentive Plan (the "2021 Plan") on January 1, 2026, pursuant to an annual "evergreen" increase provision contained in the 2021 Plan. Pursuant to Rule 416(a) promulgated under the Securities Act of 1933, as amended (the "Securities Act"), this Registration Statement shall also cover any additional shares of the Registrant's common stock that become issuable under the Registrant's 2021 Plan by reason of any stock dividend, stock split, recapitalization, or other similar transaction effected without receipt of consideration that results in an increase to the number of outstanding shares of the Registrant's common stock, as applicable. The proposed maximum offering price per unit is estimated in accordance with Rule 457(c) and (h) of the Securities Act solely for the purpose of calculating the registration fee on the basis of the average of the high and low prices of the Registrant's common stock as reported on the Nasdaq Global Select Market on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80645</wp:posOffset>
            </wp:positionV>
            <wp:extent cx="6398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82" w:lineRule="exact"/>
        <w:rPr>
          <w:sz w:val="20"/>
          <w:szCs w:val="20"/>
          <w:color w:val="auto"/>
        </w:rPr>
      </w:pPr>
    </w:p>
    <w:p>
      <w:pPr>
        <w:ind w:left="260" w:right="120" w:hanging="214"/>
        <w:spacing w:after="0" w:line="230" w:lineRule="auto"/>
        <w:tabs>
          <w:tab w:leader="none" w:pos="260" w:val="left"/>
        </w:tabs>
        <w:numPr>
          <w:ilvl w:val="0"/>
          <w:numId w:val="5"/>
        </w:numPr>
        <w:rPr>
          <w:rFonts w:ascii="Arial" w:cs="Arial" w:eastAsia="Arial" w:hAnsi="Arial"/>
          <w:sz w:val="26"/>
          <w:szCs w:val="26"/>
          <w:color w:val="auto"/>
          <w:vertAlign w:val="superscript"/>
        </w:rPr>
      </w:pPr>
      <w:r>
        <w:rPr>
          <w:rFonts w:ascii="Arial" w:cs="Arial" w:eastAsia="Arial" w:hAnsi="Arial"/>
          <w:sz w:val="21"/>
          <w:szCs w:val="21"/>
          <w:color w:val="auto"/>
        </w:rPr>
        <w:t>The amount registered represents 1,285,501 additional shares of the Registrant's common stock that were automatically added to the shares authorized for issuance under the Registrant's 2021 Employee Stock Purchase Plan (the "2021 ESPP") on January 1, 2026, pursuant to an annual "evergreen" increase provision contained in the 2021 ESPP. Pursuant to Rule 416(a) promulgated under the Securities Act, this Registration Statement shall also cover any additional shares of the Registrant's common stock that become issuable under the Registrant's 2021 ESPP by reason of any stock dividend, stock split, recapitalization, or other similar transaction effected without receipt of consideration that results in an increase to the number of outstanding shares of the Registrant's common stock, as applicable. The proposed maximum offering price per unit is estimated in accordance with Rule 457(c) and (h) of the Securities Act solely for the purpose of calculating the registration fee on the basis of the average of the high and low prices of the Registrant's common stock as reported on the Nasdaq Global Select Market on February 20, 2026, multiplied by 85%, which is the percentage of the price per share applicable to purchases under the 2021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81280</wp:posOffset>
            </wp:positionV>
            <wp:extent cx="6398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ectPr>
          <w:pgSz w:w="11900" w:h="16838" w:orient="portrait"/>
          <w:cols w:equalWidth="0" w:num="1">
            <w:col w:w="10140"/>
          </w:cols>
          <w:pgMar w:left="880" w:top="141" w:right="879" w:bottom="0" w:gutter="0" w:footer="0" w:header="0"/>
        </w:sectPr>
      </w:pPr>
    </w:p>
    <w:bookmarkStart w:id="8" w:name="page9"/>
    <w:bookmarkEnd w:id="8"/>
    <w:p>
      <w:pPr>
        <w:spacing w:after="0" w:line="242" w:lineRule="exact"/>
        <w:tabs>
          <w:tab w:leader="none" w:pos="952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63500</wp:posOffset>
            </wp:positionV>
            <wp:extent cx="7200900" cy="2389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200900" cy="2389505"/>
                    </a:xfrm>
                    <a:prstGeom prst="rect">
                      <a:avLst/>
                    </a:prstGeom>
                    <a:noFill/>
                  </pic:spPr>
                </pic:pic>
              </a:graphicData>
            </a:graphic>
          </wp:anchor>
        </w:drawing>
      </w:r>
    </w:p>
    <w:p>
      <w:pPr>
        <w:sectPr>
          <w:pgSz w:w="11900" w:h="16838" w:orient="portrait"/>
          <w:cols w:equalWidth="0" w:num="1">
            <w:col w:w="11240"/>
          </w:cols>
          <w:pgMar w:left="360" w:top="30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240"/>
        <w:spacing w:after="0"/>
        <w:rPr>
          <w:sz w:val="20"/>
          <w:szCs w:val="20"/>
          <w:color w:val="auto"/>
        </w:rPr>
      </w:pPr>
      <w:r>
        <w:rPr>
          <w:rFonts w:ascii="Arial" w:cs="Arial" w:eastAsia="Arial" w:hAnsi="Arial"/>
          <w:sz w:val="20"/>
          <w:szCs w:val="20"/>
          <w:b w:val="1"/>
          <w:bCs w:val="1"/>
          <w:color w:val="auto"/>
        </w:rPr>
        <w:t>Registrant</w:t>
      </w:r>
    </w:p>
    <w:p>
      <w:pPr>
        <w:spacing w:after="0" w:line="15" w:lineRule="exact"/>
        <w:rPr>
          <w:sz w:val="20"/>
          <w:szCs w:val="20"/>
          <w:color w:val="auto"/>
        </w:rPr>
      </w:pPr>
    </w:p>
    <w:p>
      <w:pPr>
        <w:jc w:val="center"/>
        <w:ind w:left="1240"/>
        <w:spacing w:after="0"/>
        <w:rPr>
          <w:sz w:val="20"/>
          <w:szCs w:val="20"/>
          <w:color w:val="auto"/>
        </w:rPr>
      </w:pPr>
      <w:r>
        <w:rPr>
          <w:rFonts w:ascii="Arial" w:cs="Arial" w:eastAsia="Arial" w:hAnsi="Arial"/>
          <w:sz w:val="21"/>
          <w:szCs w:val="21"/>
          <w:b w:val="1"/>
          <w:bCs w:val="1"/>
          <w:color w:val="auto"/>
        </w:rPr>
        <w:t>or Filer</w:t>
      </w:r>
    </w:p>
    <w:p>
      <w:pPr>
        <w:jc w:val="center"/>
        <w:ind w:left="1240"/>
        <w:spacing w:after="0"/>
        <w:rPr>
          <w:sz w:val="20"/>
          <w:szCs w:val="20"/>
          <w:color w:val="auto"/>
        </w:rPr>
      </w:pPr>
      <w:r>
        <w:rPr>
          <w:rFonts w:ascii="Arial" w:cs="Arial" w:eastAsia="Arial" w:hAnsi="Arial"/>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8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Filing</w:t>
            </w:r>
          </w:p>
        </w:tc>
        <w:tc>
          <w:tcPr>
            <w:tcW w:w="0" w:type="dxa"/>
            <w:vAlign w:val="bottom"/>
          </w:tcPr>
          <w:p>
            <w:pPr>
              <w:spacing w:after="0"/>
              <w:rPr>
                <w:sz w:val="1"/>
                <w:szCs w:val="1"/>
                <w:color w:val="auto"/>
              </w:rPr>
            </w:pPr>
          </w:p>
        </w:tc>
      </w:tr>
      <w:tr>
        <w:trPr>
          <w:trHeight w:val="142"/>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2"/>
                <w:szCs w:val="12"/>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12"/>
                <w:szCs w:val="12"/>
                <w:color w:val="auto"/>
              </w:rPr>
            </w:pPr>
          </w:p>
        </w:tc>
        <w:tc>
          <w:tcPr>
            <w:tcW w:w="58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Date</w:t>
            </w:r>
          </w:p>
        </w:tc>
        <w:tc>
          <w:tcPr>
            <w:tcW w:w="0" w:type="dxa"/>
            <w:vAlign w:val="bottom"/>
          </w:tcPr>
          <w:p>
            <w:pPr>
              <w:spacing w:after="0"/>
              <w:rPr>
                <w:sz w:val="1"/>
                <w:szCs w:val="1"/>
                <w:color w:val="auto"/>
              </w:rPr>
            </w:pPr>
          </w:p>
        </w:tc>
      </w:tr>
      <w:tr>
        <w:trPr>
          <w:trHeight w:val="208"/>
        </w:trPr>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33"/>
        </w:trPr>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17"/>
        </w:trPr>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w:t>
            </w:r>
          </w:p>
        </w:tc>
        <w:tc>
          <w:tcPr>
            <w:tcW w:w="0" w:type="dxa"/>
            <w:vAlign w:val="bottom"/>
          </w:tcPr>
          <w:p>
            <w:pPr>
              <w:spacing w:after="0"/>
              <w:rPr>
                <w:sz w:val="1"/>
                <w:szCs w:val="1"/>
                <w:color w:val="auto"/>
              </w:rPr>
            </w:pPr>
          </w:p>
        </w:tc>
      </w:tr>
      <w:tr>
        <w:trPr>
          <w:trHeight w:val="208"/>
        </w:trPr>
        <w:tc>
          <w:tcPr>
            <w:tcW w:w="8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Offset</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2"/>
        </w:trPr>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0" w:type="dxa"/>
            <w:vAlign w:val="bottom"/>
          </w:tcPr>
          <w:p>
            <w:pPr>
              <w:spacing w:after="0"/>
              <w:rPr>
                <w:sz w:val="1"/>
                <w:szCs w:val="1"/>
                <w:color w:val="auto"/>
              </w:rPr>
            </w:pPr>
          </w:p>
        </w:tc>
      </w:tr>
      <w:tr>
        <w:trPr>
          <w:trHeight w:val="272"/>
        </w:trPr>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Rule 457(p)</w:t>
      </w:r>
    </w:p>
    <w:p>
      <w:pPr>
        <w:spacing w:after="0" w:line="35" w:lineRule="exact"/>
        <w:rPr>
          <w:sz w:val="20"/>
          <w:szCs w:val="20"/>
          <w:color w:val="auto"/>
        </w:rPr>
      </w:pPr>
    </w:p>
    <w:p>
      <w:pPr>
        <w:sectPr>
          <w:pgSz w:w="11900" w:h="16838" w:orient="portrait"/>
          <w:cols w:equalWidth="0" w:num="3">
            <w:col w:w="2260" w:space="40"/>
            <w:col w:w="2640" w:space="40"/>
            <w:col w:w="6260"/>
          </w:cols>
          <w:pgMar w:left="360" w:top="300" w:right="29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Fee</w:t>
            </w:r>
          </w:p>
        </w:tc>
        <w:tc>
          <w:tcPr>
            <w:tcW w:w="20" w:type="dxa"/>
            <w:vAlign w:val="bottom"/>
          </w:tcPr>
          <w:p>
            <w:pPr>
              <w:spacing w:after="0"/>
              <w:rPr>
                <w:sz w:val="21"/>
                <w:szCs w:val="21"/>
                <w:color w:val="auto"/>
              </w:rPr>
            </w:pPr>
          </w:p>
        </w:tc>
        <w:tc>
          <w:tcPr>
            <w:tcW w:w="3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E7E7E2"/>
          </w:tcPr>
          <w:p>
            <w:pPr>
              <w:spacing w:after="0"/>
              <w:rPr>
                <w:sz w:val="21"/>
                <w:szCs w:val="21"/>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40"/>
      </w:cols>
      <w:pgMar w:left="360" w:top="30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2"/>
    </w:lvl>
  </w:abstractNum>
  <w:abstractNum w:abstractNumId="1">
    <w:nsid w:val="2AE8944A"/>
    <w:multiLevelType w:val="hybridMultilevel"/>
    <w:lvl w:ilvl="0">
      <w:lvlJc w:val="left"/>
      <w:lvlText w:val="%1"/>
      <w:numFmt w:val="decimal"/>
      <w:start w:val="107"/>
    </w:lvl>
  </w:abstractNum>
  <w:abstractNum w:abstractNumId="2">
    <w:nsid w:val="625558EC"/>
    <w:multiLevelType w:val="hybridMultilevel"/>
    <w:lvl w:ilvl="0">
      <w:lvlJc w:val="left"/>
      <w:lvlText w:val="%1:"/>
      <w:numFmt w:val="upperLetter"/>
      <w:start w:val="20"/>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jpeg"/><Relationship Id="rId38" Type="http://schemas.openxmlformats.org/officeDocument/2006/relationships/image" Target="media/image18.png"/><Relationship Id="rId39" Type="http://schemas.openxmlformats.org/officeDocument/2006/relationships/image" Target="media/image19.jpe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18" Type="http://schemas.openxmlformats.org/officeDocument/2006/relationships/hyperlink" Target="http://www.sec.gov/Archives/edgar/data/1831915/000119312524067926/d790337ds8.htm" TargetMode="External"/><Relationship Id="rId19" Type="http://schemas.openxmlformats.org/officeDocument/2006/relationships/hyperlink" Target="http://www.sec.gov/Archives/edgar/data/1831915/000119312521223165/d175252ds8.htm" TargetMode="External"/><Relationship Id="rId20" Type="http://schemas.openxmlformats.org/officeDocument/2006/relationships/hyperlink" Target="http://www.sec.gov/ix?doc=/Archives/edgar/data/0001831915/000162828026012352/ctkb-20251231.htm" TargetMode="External"/><Relationship Id="rId21" Type="http://schemas.openxmlformats.org/officeDocument/2006/relationships/hyperlink" Target="http://www.sec.gov/Archives/edgar/data/1831915/000119312521218594/d197278d8a12b.htm" TargetMode="External"/><Relationship Id="rId23" Type="http://schemas.openxmlformats.org/officeDocument/2006/relationships/hyperlink" Target="http://www.sec.gov/Archives/edgar/data/1831915/000119312521225716/d183956dex31.htm" TargetMode="External"/><Relationship Id="rId24" Type="http://schemas.openxmlformats.org/officeDocument/2006/relationships/hyperlink" Target="http://www.sec.gov/Archives/edgar/data/1831915/000119312521225716/d183956dex32.htm" TargetMode="External"/><Relationship Id="rId25" Type="http://schemas.openxmlformats.org/officeDocument/2006/relationships/hyperlink" Target="http://www.sec.gov/Archives/edgar/data/1831915/000119312521217965/d80783dex41.htm" TargetMode="External"/><Relationship Id="rId26" Type="http://schemas.openxmlformats.org/officeDocument/2006/relationships/hyperlink" Target="http://www.sec.gov/Archives/edgar/data/1831915/000119312521217965/d80783dex104.htm" TargetMode="External"/><Relationship Id="rId27" Type="http://schemas.openxmlformats.org/officeDocument/2006/relationships/hyperlink" Target="http://www.sec.gov/Archives/edgar/data/1831915/000119312521217965/d80783dex105.htm" TargetMode="External"/><Relationship Id="rId28" Type="http://schemas.openxmlformats.org/officeDocument/2006/relationships/hyperlink" Target="http://www.sec.gov/Archives/edgar/data/1831915/000095017021004256/ctkb-ex10_2.htm" TargetMode="External"/><Relationship Id="rId29" Type="http://schemas.openxmlformats.org/officeDocument/2006/relationships/hyperlink" Target="http://www.sec.gov/Archives/edgar/data/1831915/000095017022023935/ctkb-ex10_1.htm" TargetMode="External"/><Relationship Id="rId30" Type="http://schemas.openxmlformats.org/officeDocument/2006/relationships/hyperlink" Target="http://www.sec.gov/Archives/edgar/data/1831915/000095017022023935/ctkb-ex10_2.htm" TargetMode="External"/><Relationship Id="rId31" Type="http://schemas.openxmlformats.org/officeDocument/2006/relationships/hyperlink" Target="http://www.sec.gov/Archives/edgar/data/1831915/000119312521217965/d80783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2026-02-27T16:39:26Z</dcterms:created>
  <dcterms:modified xsi:type="dcterms:W3CDTF">2026-02-27T16:39:26Z</dcterms:modified>
</cp:coreProperties>
</file>