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1841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18414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180" w:type="dxa"/>
            <w:vAlign w:val="bottom"/>
            <w:gridSpan w:val="3"/>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Chin Richard</w:t>
              </w:r>
            </w:hyperlink>
          </w:p>
        </w:tc>
        <w:tc>
          <w:tcPr>
            <w:tcW w:w="12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Cytek Biosciences,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CTKB</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180" w:type="dxa"/>
            <w:vAlign w:val="bottom"/>
            <w:gridSpan w:val="3"/>
            <w:vMerge w:val="continue"/>
          </w:tcPr>
          <w:p>
            <w:pPr>
              <w:spacing w:after="0"/>
              <w:rPr>
                <w:sz w:val="6"/>
                <w:szCs w:val="6"/>
                <w:color w:val="auto"/>
              </w:rPr>
            </w:pPr>
          </w:p>
        </w:tc>
        <w:tc>
          <w:tcPr>
            <w:tcW w:w="12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40" w:type="dxa"/>
            <w:vAlign w:val="bottom"/>
            <w:tcBorders>
              <w:bottom w:val="single" w:sz="8" w:color="0000EE"/>
            </w:tcBorders>
          </w:tcPr>
          <w:p>
            <w:pPr>
              <w:spacing w:after="0"/>
              <w:rPr>
                <w:sz w:val="6"/>
                <w:szCs w:val="6"/>
                <w:color w:val="auto"/>
              </w:rPr>
            </w:pPr>
          </w:p>
        </w:tc>
        <w:tc>
          <w:tcPr>
            <w:tcW w:w="18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12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4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4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100" w:type="dxa"/>
            <w:vAlign w:val="bottom"/>
            <w:tcBorders>
              <w:top w:val="single" w:sz="8" w:color="EEEEEE"/>
            </w:tcBorders>
          </w:tcPr>
          <w:p>
            <w:pPr>
              <w:spacing w:after="0"/>
              <w:rPr>
                <w:sz w:val="2"/>
                <w:szCs w:val="2"/>
                <w:color w:val="auto"/>
              </w:rPr>
            </w:pPr>
          </w:p>
        </w:tc>
        <w:tc>
          <w:tcPr>
            <w:tcW w:w="6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8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280" w:type="dxa"/>
            <w:vAlign w:val="bottom"/>
            <w:vMerge w:val="restart"/>
          </w:tcPr>
          <w:p>
            <w:pPr>
              <w:ind w:left="6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180" w:type="dxa"/>
            <w:vAlign w:val="bottom"/>
            <w:gridSpan w:val="3"/>
            <w:vMerge w:val="continue"/>
          </w:tcPr>
          <w:p>
            <w:pPr>
              <w:spacing w:after="0"/>
              <w:rPr>
                <w:sz w:val="7"/>
                <w:szCs w:val="7"/>
                <w:color w:val="auto"/>
              </w:rPr>
            </w:pPr>
          </w:p>
        </w:tc>
        <w:tc>
          <w:tcPr>
            <w:tcW w:w="128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1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06/10/2026</w:t>
            </w:r>
          </w:p>
        </w:tc>
        <w:tc>
          <w:tcPr>
            <w:tcW w:w="18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w w:val="98"/>
              </w:rPr>
              <w:t>C/O CYTEK BIOSCIENCES, INC.</w:t>
            </w:r>
          </w:p>
        </w:tc>
        <w:tc>
          <w:tcPr>
            <w:tcW w:w="120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18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w w:val="98"/>
              </w:rPr>
              <w:t>47215 LAKEVIEW BOULEVARD</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94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FREMONT</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94538</w:t>
            </w:r>
          </w:p>
        </w:tc>
      </w:tr>
      <w:tr>
        <w:trPr>
          <w:trHeight w:val="149"/>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right"/>
              <w:ind w:right="263"/>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jc w:val="right"/>
              <w:ind w:right="241"/>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33,333</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80" w:type="dxa"/>
            <w:vAlign w:val="bottom"/>
          </w:tcPr>
          <w:p>
            <w:pPr>
              <w:jc w:val="right"/>
              <w:ind w:right="179"/>
              <w:spacing w:after="0" w:line="129" w:lineRule="exact"/>
              <w:rPr>
                <w:sz w:val="20"/>
                <w:szCs w:val="20"/>
                <w:color w:val="auto"/>
              </w:rPr>
            </w:pPr>
            <w:r>
              <w:rPr>
                <w:rFonts w:ascii="Times New Roman" w:cs="Times New Roman" w:eastAsia="Times New Roman" w:hAnsi="Times New Roman"/>
                <w:sz w:val="13"/>
                <w:szCs w:val="13"/>
                <w:color w:val="0000FF"/>
              </w:rPr>
              <w:t>06/10/2026</w:t>
            </w:r>
          </w:p>
        </w:tc>
        <w:tc>
          <w:tcPr>
            <w:tcW w:w="110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line="129" w:lineRule="exact"/>
              <w:rPr>
                <w:sz w:val="20"/>
                <w:szCs w:val="20"/>
                <w:color w:val="auto"/>
              </w:rPr>
            </w:pPr>
            <w:r>
              <w:rPr>
                <w:rFonts w:ascii="Times New Roman" w:cs="Times New Roman" w:eastAsia="Times New Roman" w:hAnsi="Times New Roman"/>
                <w:sz w:val="13"/>
                <w:szCs w:val="13"/>
                <w:color w:val="0000FF"/>
              </w:rPr>
              <w:t>33,333</w:t>
            </w:r>
          </w:p>
        </w:tc>
        <w:tc>
          <w:tcPr>
            <w:tcW w:w="2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tcPr>
          <w:p>
            <w:pPr>
              <w:ind w:left="28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line="129" w:lineRule="exact"/>
              <w:rPr>
                <w:sz w:val="20"/>
                <w:szCs w:val="20"/>
                <w:color w:val="auto"/>
              </w:rPr>
            </w:pPr>
            <w:r>
              <w:rPr>
                <w:rFonts w:ascii="Times New Roman" w:cs="Times New Roman" w:eastAsia="Times New Roman" w:hAnsi="Times New Roman"/>
                <w:sz w:val="13"/>
                <w:szCs w:val="13"/>
                <w:color w:val="0000FF"/>
              </w:rPr>
              <w:t>33,333</w:t>
            </w:r>
          </w:p>
        </w:tc>
        <w:tc>
          <w:tcPr>
            <w:tcW w:w="72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Director</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18,261</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ind w:right="163"/>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4.05</w:t>
            </w:r>
          </w:p>
        </w:tc>
        <w:tc>
          <w:tcPr>
            <w:tcW w:w="1080" w:type="dxa"/>
            <w:vAlign w:val="bottom"/>
          </w:tcPr>
          <w:p>
            <w:pPr>
              <w:jc w:val="right"/>
              <w:ind w:right="179"/>
              <w:spacing w:after="0" w:line="129" w:lineRule="exact"/>
              <w:rPr>
                <w:sz w:val="20"/>
                <w:szCs w:val="20"/>
                <w:color w:val="auto"/>
              </w:rPr>
            </w:pPr>
            <w:r>
              <w:rPr>
                <w:rFonts w:ascii="Times New Roman" w:cs="Times New Roman" w:eastAsia="Times New Roman" w:hAnsi="Times New Roman"/>
                <w:sz w:val="13"/>
                <w:szCs w:val="13"/>
                <w:color w:val="0000FF"/>
              </w:rPr>
              <w:t>06/10/2026</w:t>
            </w:r>
          </w:p>
        </w:tc>
        <w:tc>
          <w:tcPr>
            <w:tcW w:w="110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line="129" w:lineRule="exact"/>
              <w:rPr>
                <w:sz w:val="20"/>
                <w:szCs w:val="20"/>
                <w:color w:val="auto"/>
              </w:rPr>
            </w:pPr>
            <w:r>
              <w:rPr>
                <w:rFonts w:ascii="Times New Roman" w:cs="Times New Roman" w:eastAsia="Times New Roman" w:hAnsi="Times New Roman"/>
                <w:sz w:val="13"/>
                <w:szCs w:val="13"/>
                <w:color w:val="0000FF"/>
              </w:rPr>
              <w:t>18,261</w:t>
            </w:r>
          </w:p>
        </w:tc>
        <w:tc>
          <w:tcPr>
            <w:tcW w:w="2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20" w:type="dxa"/>
            <w:vAlign w:val="bottom"/>
          </w:tcPr>
          <w:p>
            <w:pPr>
              <w:jc w:val="right"/>
              <w:ind w:right="1"/>
              <w:spacing w:after="0" w:line="129" w:lineRule="exact"/>
              <w:rPr>
                <w:sz w:val="20"/>
                <w:szCs w:val="20"/>
                <w:color w:val="auto"/>
              </w:rPr>
            </w:pPr>
            <w:r>
              <w:rPr>
                <w:rFonts w:ascii="Times New Roman" w:cs="Times New Roman" w:eastAsia="Times New Roman" w:hAnsi="Times New Roman"/>
                <w:sz w:val="13"/>
                <w:szCs w:val="13"/>
                <w:color w:val="0000FF"/>
              </w:rPr>
              <w:t>06/10/2036</w:t>
            </w:r>
          </w:p>
        </w:tc>
        <w:tc>
          <w:tcPr>
            <w:tcW w:w="6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tcPr>
          <w:p>
            <w:pPr>
              <w:ind w:left="28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line="129" w:lineRule="exact"/>
              <w:rPr>
                <w:sz w:val="20"/>
                <w:szCs w:val="20"/>
                <w:color w:val="auto"/>
              </w:rPr>
            </w:pPr>
            <w:r>
              <w:rPr>
                <w:rFonts w:ascii="Times New Roman" w:cs="Times New Roman" w:eastAsia="Times New Roman" w:hAnsi="Times New Roman"/>
                <w:sz w:val="13"/>
                <w:szCs w:val="13"/>
                <w:color w:val="0000FF"/>
              </w:rPr>
              <w:t>18,261</w:t>
            </w:r>
          </w:p>
        </w:tc>
        <w:tc>
          <w:tcPr>
            <w:tcW w:w="72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(the "RSU Award") represents a contingent right to receive one share of the Issuer's common stock.</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100% of the shares subject to the RSU Award shall vest on the earlier of June 10, 2027 and the date of the Issuer's 2027 annual meeting of stockholders (provided such meeting is held in June 2027).</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100% of the shares subject to the option shall vest on the earlier of June 10, 2027 and the date of the Issuer's 2027 annual meeting of stockholders (provided such meeting is held in June 2027).</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Valerie Barnett, Attorney-in- </w:t>
      </w:r>
      <w:r>
        <w:rPr>
          <w:rFonts w:ascii="Times New Roman" w:cs="Times New Roman" w:eastAsia="Times New Roman" w:hAnsi="Times New Roman"/>
          <w:sz w:val="33"/>
          <w:szCs w:val="33"/>
          <w:color w:val="0000FF"/>
          <w:vertAlign w:val="subscript"/>
        </w:rPr>
        <w:t>06/12/2026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538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382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83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337252" TargetMode="External"/><Relationship Id="rId14" Type="http://schemas.openxmlformats.org/officeDocument/2006/relationships/hyperlink" Target="http://www.sec.gov/cgi-bin/browse-edgar?action=getcompany&amp;CIK=00018319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2026-06-12T18:29:25Z</dcterms:created>
  <dcterms:modified xsi:type="dcterms:W3CDTF">2026-06-12T18:29:25Z</dcterms:modified>
</cp:coreProperties>
</file>