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9"/>
          <w:szCs w:val="29"/>
          <w:b w:val="1"/>
          <w:bCs w:val="1"/>
          <w:color w:val="auto"/>
        </w:rPr>
        <w:t>UNITED STATES</w:t>
      </w:r>
    </w:p>
    <w:p>
      <w:pPr>
        <w:spacing w:after="0" w:line="15"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69"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-215265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920" w:right="1980" w:hanging="3899"/>
        <w:spacing w:after="0" w:line="238" w:lineRule="auto"/>
        <w:tabs>
          <w:tab w:leader="none" w:pos="4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jc w:val="center"/>
        <w:spacing w:after="0" w:line="212" w:lineRule="auto"/>
        <w:rPr>
          <w:sz w:val="20"/>
          <w:szCs w:val="20"/>
          <w:color w:val="auto"/>
        </w:rPr>
      </w:pPr>
      <w:r>
        <w:rPr>
          <w:rFonts w:ascii="Arial" w:cs="Arial" w:eastAsia="Arial" w:hAnsi="Arial"/>
          <w:sz w:val="18"/>
          <w:szCs w:val="18"/>
          <w:b w:val="1"/>
          <w:bCs w:val="1"/>
          <w:color w:val="auto"/>
        </w:rPr>
        <w:t>OR</w:t>
      </w:r>
    </w:p>
    <w:p>
      <w:pPr>
        <w:ind w:left="480" w:hanging="459"/>
        <w:spacing w:after="0" w:line="211" w:lineRule="auto"/>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w:t>
      </w:r>
    </w:p>
    <w:p>
      <w:pPr>
        <w:ind w:left="480"/>
        <w:spacing w:after="0" w:line="235" w:lineRule="auto"/>
        <w:tabs>
          <w:tab w:leader="none" w:pos="392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001-40632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CYTEK BIOSCIENCES, INC.</w:t>
      </w:r>
    </w:p>
    <w:p>
      <w:pPr>
        <w:spacing w:after="0" w:line="3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500" w:type="dxa"/>
            <w:vAlign w:val="bottom"/>
            <w:gridSpan w:val="3"/>
          </w:tcPr>
          <w:p>
            <w:pPr>
              <w:jc w:val="center"/>
              <w:ind w:left="1066"/>
              <w:spacing w:after="0"/>
              <w:rPr>
                <w:sz w:val="20"/>
                <w:szCs w:val="20"/>
                <w:color w:val="auto"/>
              </w:rPr>
            </w:pPr>
            <w:r>
              <w:rPr>
                <w:rFonts w:ascii="Arial" w:cs="Arial" w:eastAsia="Arial" w:hAnsi="Arial"/>
                <w:sz w:val="18"/>
                <w:szCs w:val="18"/>
                <w:b w:val="1"/>
                <w:bCs w:val="1"/>
                <w:color w:val="auto"/>
                <w:w w:val="91"/>
              </w:rPr>
              <w:t>Delaware</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500" w:type="dxa"/>
            <w:vAlign w:val="bottom"/>
          </w:tcPr>
          <w:p>
            <w:pPr>
              <w:jc w:val="right"/>
              <w:ind w:right="2306"/>
              <w:spacing w:after="0"/>
              <w:rPr>
                <w:sz w:val="20"/>
                <w:szCs w:val="20"/>
                <w:color w:val="auto"/>
              </w:rPr>
            </w:pPr>
            <w:r>
              <w:rPr>
                <w:rFonts w:ascii="Arial" w:cs="Arial" w:eastAsia="Arial" w:hAnsi="Arial"/>
                <w:sz w:val="18"/>
                <w:szCs w:val="18"/>
                <w:b w:val="1"/>
                <w:bCs w:val="1"/>
                <w:color w:val="auto"/>
              </w:rPr>
              <w:t>47-2547526</w:t>
            </w:r>
          </w:p>
        </w:tc>
        <w:tc>
          <w:tcPr>
            <w:tcW w:w="0" w:type="dxa"/>
            <w:vAlign w:val="bottom"/>
          </w:tcPr>
          <w:p>
            <w:pPr>
              <w:spacing w:after="0"/>
              <w:rPr>
                <w:sz w:val="1"/>
                <w:szCs w:val="1"/>
                <w:color w:val="auto"/>
              </w:rPr>
            </w:pPr>
          </w:p>
        </w:tc>
      </w:tr>
      <w:tr>
        <w:trPr>
          <w:trHeight w:val="122"/>
        </w:trPr>
        <w:tc>
          <w:tcPr>
            <w:tcW w:w="4500" w:type="dxa"/>
            <w:vAlign w:val="bottom"/>
            <w:gridSpan w:val="3"/>
          </w:tcPr>
          <w:p>
            <w:pPr>
              <w:jc w:val="center"/>
              <w:ind w:left="1046"/>
              <w:spacing w:after="0" w:line="123" w:lineRule="exact"/>
              <w:rPr>
                <w:sz w:val="20"/>
                <w:szCs w:val="20"/>
                <w:color w:val="auto"/>
              </w:rPr>
            </w:pPr>
            <w:r>
              <w:rPr>
                <w:rFonts w:ascii="Arial" w:cs="Arial" w:eastAsia="Arial" w:hAnsi="Arial"/>
                <w:sz w:val="13"/>
                <w:szCs w:val="13"/>
                <w:color w:val="auto"/>
                <w:w w:val="89"/>
              </w:rPr>
              <w:t>(State or other jurisdiction of</w:t>
            </w: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500" w:type="dxa"/>
            <w:vAlign w:val="bottom"/>
          </w:tcPr>
          <w:p>
            <w:pPr>
              <w:jc w:val="center"/>
              <w:ind w:right="1046"/>
              <w:spacing w:after="0" w:line="123" w:lineRule="exact"/>
              <w:rPr>
                <w:sz w:val="20"/>
                <w:szCs w:val="20"/>
                <w:color w:val="auto"/>
              </w:rPr>
            </w:pPr>
            <w:r>
              <w:rPr>
                <w:rFonts w:ascii="Arial" w:cs="Arial" w:eastAsia="Arial" w:hAnsi="Arial"/>
                <w:sz w:val="13"/>
                <w:szCs w:val="13"/>
                <w:color w:val="auto"/>
                <w:w w:val="90"/>
              </w:rPr>
              <w:t>(I.R.S. Employer</w:t>
            </w:r>
          </w:p>
        </w:tc>
        <w:tc>
          <w:tcPr>
            <w:tcW w:w="0" w:type="dxa"/>
            <w:vAlign w:val="bottom"/>
          </w:tcPr>
          <w:p>
            <w:pPr>
              <w:spacing w:after="0"/>
              <w:rPr>
                <w:sz w:val="1"/>
                <w:szCs w:val="1"/>
                <w:color w:val="auto"/>
              </w:rPr>
            </w:pPr>
          </w:p>
        </w:tc>
      </w:tr>
      <w:tr>
        <w:trPr>
          <w:trHeight w:val="130"/>
        </w:trPr>
        <w:tc>
          <w:tcPr>
            <w:tcW w:w="4500" w:type="dxa"/>
            <w:vAlign w:val="bottom"/>
            <w:gridSpan w:val="3"/>
          </w:tcPr>
          <w:p>
            <w:pPr>
              <w:jc w:val="center"/>
              <w:ind w:left="1066"/>
              <w:spacing w:after="0" w:line="130" w:lineRule="exact"/>
              <w:rPr>
                <w:sz w:val="20"/>
                <w:szCs w:val="20"/>
                <w:color w:val="auto"/>
              </w:rPr>
            </w:pPr>
            <w:r>
              <w:rPr>
                <w:rFonts w:ascii="Arial" w:cs="Arial" w:eastAsia="Arial" w:hAnsi="Arial"/>
                <w:sz w:val="13"/>
                <w:szCs w:val="13"/>
                <w:color w:val="auto"/>
                <w:w w:val="89"/>
              </w:rPr>
              <w:t>incorporation or organization)</w:t>
            </w: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500" w:type="dxa"/>
            <w:vAlign w:val="bottom"/>
          </w:tcPr>
          <w:p>
            <w:pPr>
              <w:jc w:val="center"/>
              <w:ind w:right="1046"/>
              <w:spacing w:after="0" w:line="130" w:lineRule="exact"/>
              <w:rPr>
                <w:sz w:val="20"/>
                <w:szCs w:val="20"/>
                <w:color w:val="auto"/>
              </w:rPr>
            </w:pPr>
            <w:r>
              <w:rPr>
                <w:rFonts w:ascii="Arial" w:cs="Arial" w:eastAsia="Arial" w:hAnsi="Arial"/>
                <w:sz w:val="13"/>
                <w:szCs w:val="13"/>
                <w:color w:val="auto"/>
                <w:w w:val="92"/>
              </w:rPr>
              <w:t>Identification No.)</w:t>
            </w:r>
          </w:p>
        </w:tc>
        <w:tc>
          <w:tcPr>
            <w:tcW w:w="0" w:type="dxa"/>
            <w:vAlign w:val="bottom"/>
          </w:tcPr>
          <w:p>
            <w:pPr>
              <w:spacing w:after="0"/>
              <w:rPr>
                <w:sz w:val="1"/>
                <w:szCs w:val="1"/>
                <w:color w:val="auto"/>
              </w:rPr>
            </w:pPr>
          </w:p>
        </w:tc>
      </w:tr>
      <w:tr>
        <w:trPr>
          <w:trHeight w:val="193"/>
        </w:trPr>
        <w:tc>
          <w:tcPr>
            <w:tcW w:w="4500" w:type="dxa"/>
            <w:vAlign w:val="bottom"/>
            <w:gridSpan w:val="3"/>
          </w:tcPr>
          <w:p>
            <w:pPr>
              <w:jc w:val="center"/>
              <w:ind w:left="1066"/>
              <w:spacing w:after="0" w:line="193" w:lineRule="exact"/>
              <w:rPr>
                <w:sz w:val="20"/>
                <w:szCs w:val="20"/>
                <w:color w:val="auto"/>
              </w:rPr>
            </w:pPr>
            <w:r>
              <w:rPr>
                <w:rFonts w:ascii="Arial" w:cs="Arial" w:eastAsia="Arial" w:hAnsi="Arial"/>
                <w:sz w:val="18"/>
                <w:szCs w:val="18"/>
                <w:b w:val="1"/>
                <w:bCs w:val="1"/>
                <w:color w:val="auto"/>
                <w:w w:val="92"/>
              </w:rPr>
              <w:t>47215 Lakeview Blvd. Fremont, California</w:t>
            </w: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500" w:type="dxa"/>
            <w:vAlign w:val="bottom"/>
          </w:tcPr>
          <w:p>
            <w:pPr>
              <w:jc w:val="right"/>
              <w:ind w:right="2506"/>
              <w:spacing w:after="0" w:line="193" w:lineRule="exact"/>
              <w:rPr>
                <w:sz w:val="20"/>
                <w:szCs w:val="20"/>
                <w:color w:val="auto"/>
              </w:rPr>
            </w:pPr>
            <w:r>
              <w:rPr>
                <w:rFonts w:ascii="Arial" w:cs="Arial" w:eastAsia="Arial" w:hAnsi="Arial"/>
                <w:sz w:val="18"/>
                <w:szCs w:val="18"/>
                <w:b w:val="1"/>
                <w:bCs w:val="1"/>
                <w:color w:val="auto"/>
              </w:rPr>
              <w:t>94538</w:t>
            </w:r>
          </w:p>
        </w:tc>
        <w:tc>
          <w:tcPr>
            <w:tcW w:w="0" w:type="dxa"/>
            <w:vAlign w:val="bottom"/>
          </w:tcPr>
          <w:p>
            <w:pPr>
              <w:spacing w:after="0"/>
              <w:rPr>
                <w:sz w:val="1"/>
                <w:szCs w:val="1"/>
                <w:color w:val="auto"/>
              </w:rPr>
            </w:pPr>
          </w:p>
        </w:tc>
      </w:tr>
      <w:tr>
        <w:trPr>
          <w:trHeight w:val="144"/>
        </w:trPr>
        <w:tc>
          <w:tcPr>
            <w:tcW w:w="4500" w:type="dxa"/>
            <w:vAlign w:val="bottom"/>
            <w:gridSpan w:val="3"/>
          </w:tcPr>
          <w:p>
            <w:pPr>
              <w:jc w:val="center"/>
              <w:ind w:left="1066"/>
              <w:spacing w:after="0" w:line="144" w:lineRule="exact"/>
              <w:rPr>
                <w:sz w:val="20"/>
                <w:szCs w:val="20"/>
                <w:color w:val="auto"/>
              </w:rPr>
            </w:pPr>
            <w:r>
              <w:rPr>
                <w:rFonts w:ascii="Arial" w:cs="Arial" w:eastAsia="Arial" w:hAnsi="Arial"/>
                <w:sz w:val="13"/>
                <w:szCs w:val="13"/>
                <w:color w:val="auto"/>
                <w:w w:val="89"/>
              </w:rPr>
              <w:t>(Address of principal executive offices)</w:t>
            </w: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500" w:type="dxa"/>
            <w:vAlign w:val="bottom"/>
          </w:tcPr>
          <w:p>
            <w:pPr>
              <w:jc w:val="center"/>
              <w:ind w:right="1026"/>
              <w:spacing w:after="0" w:line="144" w:lineRule="exact"/>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234"/>
        </w:trPr>
        <w:tc>
          <w:tcPr>
            <w:tcW w:w="11240" w:type="dxa"/>
            <w:vAlign w:val="bottom"/>
            <w:gridSpan w:val="7"/>
          </w:tcPr>
          <w:p>
            <w:pPr>
              <w:ind w:left="354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7"/>
                <w:szCs w:val="17"/>
                <w:b w:val="1"/>
                <w:bCs w:val="1"/>
                <w:color w:val="auto"/>
              </w:rPr>
              <w:t>(877) 922-9835</w:t>
            </w:r>
          </w:p>
        </w:tc>
        <w:tc>
          <w:tcPr>
            <w:tcW w:w="0" w:type="dxa"/>
            <w:vAlign w:val="bottom"/>
          </w:tcPr>
          <w:p>
            <w:pPr>
              <w:spacing w:after="0"/>
              <w:rPr>
                <w:sz w:val="1"/>
                <w:szCs w:val="1"/>
                <w:color w:val="auto"/>
              </w:rPr>
            </w:pPr>
          </w:p>
        </w:tc>
      </w:tr>
      <w:tr>
        <w:trPr>
          <w:trHeight w:val="189"/>
        </w:trPr>
        <w:tc>
          <w:tcPr>
            <w:tcW w:w="4500" w:type="dxa"/>
            <w:vAlign w:val="bottom"/>
            <w:gridSpan w:val="3"/>
            <w:vMerge w:val="restart"/>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1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500" w:type="dxa"/>
            <w:vAlign w:val="bottom"/>
            <w:gridSpan w:val="3"/>
            <w:vMerge w:val="continue"/>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9"/>
        </w:trPr>
        <w:tc>
          <w:tcPr>
            <w:tcW w:w="4500" w:type="dxa"/>
            <w:vAlign w:val="bottom"/>
            <w:gridSpan w:val="3"/>
          </w:tcPr>
          <w:p>
            <w:pPr>
              <w:ind w:left="1620"/>
              <w:spacing w:after="0"/>
              <w:rPr>
                <w:sz w:val="20"/>
                <w:szCs w:val="20"/>
                <w:color w:val="auto"/>
              </w:rPr>
            </w:pPr>
            <w:r>
              <w:rPr>
                <w:rFonts w:ascii="Arial" w:cs="Arial" w:eastAsia="Arial" w:hAnsi="Arial"/>
                <w:sz w:val="14"/>
                <w:szCs w:val="14"/>
                <w:color w:val="auto"/>
              </w:rPr>
              <w:t>Title of each class</w:t>
            </w:r>
          </w:p>
        </w:tc>
        <w:tc>
          <w:tcPr>
            <w:tcW w:w="2240" w:type="dxa"/>
            <w:vAlign w:val="bottom"/>
            <w:gridSpan w:val="3"/>
          </w:tcPr>
          <w:p>
            <w:pPr>
              <w:jc w:val="center"/>
              <w:ind w:right="760"/>
              <w:spacing w:after="0"/>
              <w:rPr>
                <w:sz w:val="20"/>
                <w:szCs w:val="20"/>
                <w:color w:val="auto"/>
              </w:rPr>
            </w:pPr>
            <w:r>
              <w:rPr>
                <w:rFonts w:ascii="Arial" w:cs="Arial" w:eastAsia="Arial" w:hAnsi="Arial"/>
                <w:sz w:val="14"/>
                <w:szCs w:val="14"/>
                <w:color w:val="auto"/>
                <w:w w:val="94"/>
              </w:rPr>
              <w:t>Trading Symbol(s)</w:t>
            </w:r>
          </w:p>
        </w:tc>
        <w:tc>
          <w:tcPr>
            <w:tcW w:w="4500" w:type="dxa"/>
            <w:vAlign w:val="bottom"/>
          </w:tcPr>
          <w:p>
            <w:pPr>
              <w:jc w:val="center"/>
              <w:ind w:right="466"/>
              <w:spacing w:after="0"/>
              <w:rPr>
                <w:sz w:val="20"/>
                <w:szCs w:val="20"/>
                <w:color w:val="auto"/>
              </w:rPr>
            </w:pPr>
            <w:r>
              <w:rPr>
                <w:rFonts w:ascii="Arial" w:cs="Arial" w:eastAsia="Arial" w:hAnsi="Arial"/>
                <w:sz w:val="14"/>
                <w:szCs w:val="14"/>
                <w:color w:val="auto"/>
                <w:w w:val="92"/>
              </w:rPr>
              <w:t>Name of each exchange on which registered</w:t>
            </w:r>
          </w:p>
        </w:tc>
        <w:tc>
          <w:tcPr>
            <w:tcW w:w="0" w:type="dxa"/>
            <w:vAlign w:val="bottom"/>
          </w:tcPr>
          <w:p>
            <w:pPr>
              <w:spacing w:after="0"/>
              <w:rPr>
                <w:sz w:val="1"/>
                <w:szCs w:val="1"/>
                <w:color w:val="auto"/>
              </w:rPr>
            </w:pPr>
          </w:p>
        </w:tc>
      </w:tr>
      <w:tr>
        <w:trPr>
          <w:trHeight w:val="192"/>
        </w:trPr>
        <w:tc>
          <w:tcPr>
            <w:tcW w:w="4280" w:type="dxa"/>
            <w:vAlign w:val="bottom"/>
            <w:tcBorders>
              <w:top w:val="single" w:sz="8" w:color="auto"/>
            </w:tcBorders>
          </w:tcPr>
          <w:p>
            <w:pPr>
              <w:ind w:left="60"/>
              <w:spacing w:after="0"/>
              <w:rPr>
                <w:sz w:val="20"/>
                <w:szCs w:val="20"/>
                <w:color w:val="auto"/>
              </w:rPr>
            </w:pPr>
            <w:r>
              <w:rPr>
                <w:rFonts w:ascii="Arial" w:cs="Arial" w:eastAsia="Arial" w:hAnsi="Arial"/>
                <w:sz w:val="15"/>
                <w:szCs w:val="15"/>
                <w:b w:val="1"/>
                <w:bCs w:val="1"/>
                <w:color w:val="auto"/>
              </w:rPr>
              <w:t>Common Stock, par value $0.001 per share</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CTKB</w:t>
            </w:r>
          </w:p>
        </w:tc>
        <w:tc>
          <w:tcPr>
            <w:tcW w:w="12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4500" w:type="dxa"/>
            <w:vAlign w:val="bottom"/>
            <w:tcBorders>
              <w:top w:val="single" w:sz="8" w:color="auto"/>
            </w:tcBorders>
          </w:tcPr>
          <w:p>
            <w:pPr>
              <w:jc w:val="center"/>
              <w:ind w:right="526"/>
              <w:spacing w:after="0"/>
              <w:rPr>
                <w:sz w:val="20"/>
                <w:szCs w:val="20"/>
                <w:color w:val="auto"/>
              </w:rPr>
            </w:pPr>
            <w:r>
              <w:rPr>
                <w:rFonts w:ascii="Arial" w:cs="Arial" w:eastAsia="Arial" w:hAnsi="Arial"/>
                <w:sz w:val="15"/>
                <w:szCs w:val="15"/>
                <w:b w:val="1"/>
                <w:bCs w:val="1"/>
                <w:color w:val="auto"/>
                <w:w w:val="93"/>
              </w:rPr>
              <w:t>The Nasdaq Global Select Market</w:t>
            </w:r>
          </w:p>
        </w:tc>
        <w:tc>
          <w:tcPr>
            <w:tcW w:w="0" w:type="dxa"/>
            <w:vAlign w:val="bottom"/>
          </w:tcPr>
          <w:p>
            <w:pPr>
              <w:spacing w:after="0"/>
              <w:rPr>
                <w:sz w:val="1"/>
                <w:szCs w:val="1"/>
                <w:color w:val="auto"/>
              </w:rPr>
            </w:pPr>
          </w:p>
        </w:tc>
      </w:tr>
    </w:tbl>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25" w:lineRule="exact"/>
        <w:rPr>
          <w:sz w:val="24"/>
          <w:szCs w:val="24"/>
          <w:color w:val="auto"/>
        </w:rPr>
      </w:pPr>
    </w:p>
    <w:p>
      <w:pPr>
        <w:ind w:right="3540"/>
        <w:spacing w:after="0" w:line="172"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right="120"/>
        <w:spacing w:after="0" w:line="16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6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80"/>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20" w:type="dxa"/>
        <w:tblCellMar>
          <w:top w:w="0" w:type="dxa"/>
          <w:left w:w="0" w:type="dxa"/>
          <w:bottom w:w="0" w:type="dxa"/>
          <w:right w:w="0" w:type="dxa"/>
        </w:tblCellMar>
      </w:tblPr>
      <w:tr>
        <w:trPr>
          <w:trHeight w:val="240"/>
        </w:trPr>
        <w:tc>
          <w:tcPr>
            <w:tcW w:w="19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4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40" w:type="dxa"/>
            <w:vAlign w:val="bottom"/>
          </w:tcPr>
          <w:p>
            <w:pPr>
              <w:ind w:left="3100"/>
              <w:spacing w:after="0"/>
              <w:rPr>
                <w:sz w:val="20"/>
                <w:szCs w:val="20"/>
                <w:color w:val="auto"/>
              </w:rPr>
            </w:pPr>
            <w:r>
              <w:rPr>
                <w:rFonts w:ascii="Arial" w:cs="Arial" w:eastAsia="Arial" w:hAnsi="Arial"/>
                <w:sz w:val="15"/>
                <w:szCs w:val="15"/>
                <w:color w:val="auto"/>
              </w:rPr>
              <w:t>Accelerated filer</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347"/>
        </w:trPr>
        <w:tc>
          <w:tcPr>
            <w:tcW w:w="1980" w:type="dxa"/>
            <w:vAlign w:val="bottom"/>
          </w:tcPr>
          <w:p>
            <w:pPr>
              <w:spacing w:after="0"/>
              <w:rPr>
                <w:sz w:val="20"/>
                <w:szCs w:val="20"/>
                <w:color w:val="auto"/>
              </w:rPr>
            </w:pPr>
            <w:r>
              <w:rPr>
                <w:rFonts w:ascii="Arial" w:cs="Arial" w:eastAsia="Arial" w:hAnsi="Arial"/>
                <w:sz w:val="15"/>
                <w:szCs w:val="15"/>
                <w:color w:val="auto"/>
              </w:rPr>
              <w:t>Non-accelerated filer</w:t>
            </w:r>
          </w:p>
        </w:tc>
        <w:tc>
          <w:tcPr>
            <w:tcW w:w="35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40" w:type="dxa"/>
            <w:vAlign w:val="bottom"/>
          </w:tcPr>
          <w:p>
            <w:pPr>
              <w:ind w:left="3100"/>
              <w:spacing w:after="0"/>
              <w:rPr>
                <w:sz w:val="20"/>
                <w:szCs w:val="20"/>
                <w:color w:val="auto"/>
              </w:rPr>
            </w:pPr>
            <w:r>
              <w:rPr>
                <w:rFonts w:ascii="Arial" w:cs="Arial" w:eastAsia="Arial" w:hAnsi="Arial"/>
                <w:sz w:val="15"/>
                <w:szCs w:val="15"/>
                <w:color w:val="auto"/>
              </w:rPr>
              <w:t>Smaller reporting company</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51"/>
        </w:trPr>
        <w:tc>
          <w:tcPr>
            <w:tcW w:w="198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5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4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315" w:lineRule="exact"/>
        <w:rPr>
          <w:sz w:val="24"/>
          <w:szCs w:val="24"/>
          <w:color w:val="auto"/>
        </w:rPr>
      </w:pPr>
    </w:p>
    <w:p>
      <w:pPr>
        <w:ind w:right="520"/>
        <w:spacing w:after="0" w:line="17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 w:lineRule="exact"/>
        <w:rPr>
          <w:sz w:val="24"/>
          <w:szCs w:val="24"/>
          <w:color w:val="auto"/>
        </w:rPr>
      </w:pPr>
    </w:p>
    <w:p>
      <w:pPr>
        <w:ind w:right="80"/>
        <w:spacing w:after="0" w:line="162" w:lineRule="exact"/>
        <w:rPr>
          <w:sz w:val="20"/>
          <w:szCs w:val="20"/>
          <w:color w:val="auto"/>
        </w:rPr>
      </w:pPr>
      <w:r>
        <w:rPr>
          <w:rFonts w:ascii="Arial" w:cs="Arial" w:eastAsia="Arial" w:hAnsi="Arial"/>
          <w:sz w:val="14"/>
          <w:szCs w:val="14"/>
          <w:color w:val="auto"/>
        </w:rPr>
        <w:t>The Registrant was not a public company as of June 30, 2021, the last business day of its most recently completed second fiscal quarter. As of July 23, 2021 (the date of the initial public offering of the Registrant’s shares of common stock), the aggregate market value of common stock held by non</w:t>
      </w:r>
      <w:r>
        <w:rPr>
          <w:rFonts w:ascii="MS PGothic" w:cs="MS PGothic" w:eastAsia="MS PGothic" w:hAnsi="MS PGothic"/>
          <w:sz w:val="14"/>
          <w:szCs w:val="14"/>
          <w:color w:val="auto"/>
        </w:rPr>
        <w:t>‑</w:t>
      </w:r>
      <w:r>
        <w:rPr>
          <w:rFonts w:ascii="Arial" w:cs="Arial" w:eastAsia="Arial" w:hAnsi="Arial"/>
          <w:sz w:val="14"/>
          <w:szCs w:val="14"/>
          <w:color w:val="auto"/>
        </w:rPr>
        <w:t>affiliates of the Registrant was approximately $2.0 billion (based on a closing price of $18.76 per share as reported by The Nasdaq Global Select Market on such date). For purposes of this calculation, shares of common stock beneficially owned by the Registrant’s officers, directors and certain stockholders as of July 23, 2021 have been excluded in that such persons may be deemed to be affiliates. This determination of affiliate status is not necessarily a conclusive determination for other purposes. The Registrant has no non</w:t>
      </w:r>
      <w:r>
        <w:rPr>
          <w:rFonts w:ascii="MS PGothic" w:cs="MS PGothic" w:eastAsia="MS PGothic" w:hAnsi="MS PGothic"/>
          <w:sz w:val="14"/>
          <w:szCs w:val="14"/>
          <w:color w:val="auto"/>
        </w:rPr>
        <w:t>‑</w:t>
      </w:r>
      <w:r>
        <w:rPr>
          <w:rFonts w:ascii="Arial" w:cs="Arial" w:eastAsia="Arial" w:hAnsi="Arial"/>
          <w:sz w:val="14"/>
          <w:szCs w:val="14"/>
          <w:color w:val="auto"/>
        </w:rPr>
        <w:t>voting common equity.</w:t>
      </w:r>
    </w:p>
    <w:p>
      <w:pPr>
        <w:spacing w:after="0" w:line="2"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11, 2022 was 134,076,836.</w:t>
      </w:r>
    </w:p>
    <w:p>
      <w:pPr>
        <w:spacing w:after="0" w:line="1"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1" w:lineRule="exact"/>
        <w:rPr>
          <w:sz w:val="24"/>
          <w:szCs w:val="24"/>
          <w:color w:val="auto"/>
        </w:rPr>
      </w:pPr>
    </w:p>
    <w:p>
      <w:pPr>
        <w:spacing w:after="0" w:line="248" w:lineRule="auto"/>
        <w:rPr>
          <w:sz w:val="20"/>
          <w:szCs w:val="20"/>
          <w:color w:val="auto"/>
        </w:rPr>
      </w:pPr>
      <w:r>
        <w:rPr>
          <w:rFonts w:ascii="Arial" w:cs="Arial" w:eastAsia="Arial" w:hAnsi="Arial"/>
          <w:sz w:val="14"/>
          <w:szCs w:val="14"/>
          <w:color w:val="auto"/>
        </w:rPr>
        <w:t>Portions of the Registrant’s Definitive Proxy Statement relating to the Registrant’s 2022 Annual Meeting of Stockholders are incorporated by reference into Part III of this Annual Report on Form 10-K where indicated. Such Definitive Proxy Statement will be filed with the Securities and Exchange Commission within 120 days after the end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437515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00" w:type="dxa"/>
            <w:vAlign w:val="bottom"/>
            <w:gridSpan w:val="9"/>
          </w:tcPr>
          <w:p>
            <w:pPr>
              <w:ind w:left="40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1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 I</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160" w:type="dxa"/>
            <w:vAlign w:val="bottom"/>
            <w:gridSpan w:val="3"/>
            <w:vMerge w:val="continue"/>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60" w:type="dxa"/>
            <w:vAlign w:val="bottom"/>
            <w:gridSpan w:val="3"/>
          </w:tcPr>
          <w:p>
            <w:pPr>
              <w:ind w:left="120"/>
              <w:spacing w:after="0" w:line="190" w:lineRule="exact"/>
              <w:rPr>
                <w:sz w:val="20"/>
                <w:szCs w:val="20"/>
                <w:color w:val="auto"/>
              </w:rPr>
            </w:pPr>
            <w:r>
              <w:rPr>
                <w:rFonts w:ascii="Arial" w:cs="Arial" w:eastAsia="Arial" w:hAnsi="Arial"/>
                <w:sz w:val="18"/>
                <w:szCs w:val="18"/>
                <w:color w:val="auto"/>
              </w:rPr>
              <w:t>Item 1.</w:t>
            </w:r>
          </w:p>
        </w:tc>
        <w:tc>
          <w:tcPr>
            <w:tcW w:w="9260" w:type="dxa"/>
            <w:vAlign w:val="bottom"/>
            <w:gridSpan w:val="20"/>
          </w:tcPr>
          <w:p>
            <w:pPr>
              <w:spacing w:after="0" w:line="190" w:lineRule="exact"/>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120"/>
              <w:spacing w:after="0" w:line="189" w:lineRule="exact"/>
              <w:rPr>
                <w:sz w:val="20"/>
                <w:szCs w:val="20"/>
                <w:color w:val="auto"/>
              </w:rPr>
            </w:pPr>
            <w:r>
              <w:rPr>
                <w:rFonts w:ascii="Arial" w:cs="Arial" w:eastAsia="Arial" w:hAnsi="Arial"/>
                <w:sz w:val="18"/>
                <w:szCs w:val="18"/>
                <w:color w:val="auto"/>
              </w:rPr>
              <w:t>Item 1A.</w:t>
            </w:r>
          </w:p>
        </w:tc>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11</w:t>
            </w:r>
          </w:p>
        </w:tc>
        <w:tc>
          <w:tcPr>
            <w:tcW w:w="0" w:type="dxa"/>
            <w:vAlign w:val="bottom"/>
          </w:tcPr>
          <w:p>
            <w:pPr>
              <w:spacing w:after="0" w:line="20" w:lineRule="exact"/>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9260" w:type="dxa"/>
            <w:vAlign w:val="bottom"/>
            <w:gridSpan w:val="20"/>
          </w:tcPr>
          <w:p>
            <w:pPr>
              <w:spacing w:after="0" w:line="169" w:lineRule="exact"/>
              <w:rPr>
                <w:rFonts w:ascii="Arial" w:cs="Arial" w:eastAsia="Arial" w:hAnsi="Arial"/>
                <w:sz w:val="18"/>
                <w:szCs w:val="18"/>
                <w:color w:val="0000FF"/>
              </w:rPr>
            </w:pPr>
            <w:hyperlink w:anchor="page15">
              <w:r>
                <w:rPr>
                  <w:rFonts w:ascii="Arial" w:cs="Arial" w:eastAsia="Arial" w:hAnsi="Arial"/>
                  <w:sz w:val="18"/>
                  <w:szCs w:val="18"/>
                  <w:color w:val="0000FF"/>
                </w:rPr>
                <w:t>Risk Factors</w:t>
              </w:r>
            </w:hyperlink>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120"/>
              <w:spacing w:after="0" w:line="189" w:lineRule="exact"/>
              <w:rPr>
                <w:sz w:val="20"/>
                <w:szCs w:val="20"/>
                <w:color w:val="auto"/>
              </w:rPr>
            </w:pPr>
            <w:r>
              <w:rPr>
                <w:rFonts w:ascii="Arial" w:cs="Arial" w:eastAsia="Arial" w:hAnsi="Arial"/>
                <w:sz w:val="18"/>
                <w:szCs w:val="18"/>
                <w:color w:val="auto"/>
              </w:rPr>
              <w:t>Item 1B.</w:t>
            </w:r>
          </w:p>
        </w:tc>
        <w:tc>
          <w:tcPr>
            <w:tcW w:w="7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340" w:type="dxa"/>
            <w:vAlign w:val="bottom"/>
            <w:gridSpan w:val="17"/>
            <w:vMerge w:val="restart"/>
          </w:tcPr>
          <w:p>
            <w:pPr>
              <w:spacing w:after="0" w:line="189" w:lineRule="exact"/>
              <w:rPr>
                <w:rFonts w:ascii="Arial" w:cs="Arial" w:eastAsia="Arial" w:hAnsi="Arial"/>
                <w:sz w:val="18"/>
                <w:szCs w:val="18"/>
                <w:color w:val="0000FF"/>
              </w:rPr>
            </w:pPr>
            <w:hyperlink w:anchor="page55">
              <w:r>
                <w:rPr>
                  <w:rFonts w:ascii="Arial" w:cs="Arial" w:eastAsia="Arial" w:hAnsi="Arial"/>
                  <w:sz w:val="18"/>
                  <w:szCs w:val="18"/>
                  <w:color w:val="0000FF"/>
                </w:rPr>
                <w:t>Staff Comments</w:t>
              </w:r>
            </w:hyperlink>
          </w:p>
        </w:tc>
        <w:tc>
          <w:tcPr>
            <w:tcW w:w="8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51</w:t>
            </w:r>
          </w:p>
        </w:tc>
        <w:tc>
          <w:tcPr>
            <w:tcW w:w="0" w:type="dxa"/>
            <w:vAlign w:val="bottom"/>
          </w:tcPr>
          <w:p>
            <w:pPr>
              <w:spacing w:after="0" w:line="20" w:lineRule="exact"/>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920" w:type="dxa"/>
            <w:vAlign w:val="bottom"/>
            <w:gridSpan w:val="3"/>
          </w:tcPr>
          <w:p>
            <w:pPr>
              <w:spacing w:after="0" w:line="169" w:lineRule="exact"/>
              <w:rPr>
                <w:rFonts w:ascii="Arial" w:cs="Arial" w:eastAsia="Arial" w:hAnsi="Arial"/>
                <w:sz w:val="18"/>
                <w:szCs w:val="18"/>
                <w:color w:val="0000FF"/>
                <w:w w:val="96"/>
              </w:rPr>
            </w:pPr>
            <w:hyperlink w:anchor="page55">
              <w:r>
                <w:rPr>
                  <w:rFonts w:ascii="Arial" w:cs="Arial" w:eastAsia="Arial" w:hAnsi="Arial"/>
                  <w:sz w:val="18"/>
                  <w:szCs w:val="18"/>
                  <w:color w:val="0000FF"/>
                  <w:w w:val="96"/>
                </w:rPr>
                <w:t>Unresolved</w:t>
              </w:r>
            </w:hyperlink>
          </w:p>
        </w:tc>
        <w:tc>
          <w:tcPr>
            <w:tcW w:w="8340" w:type="dxa"/>
            <w:vAlign w:val="bottom"/>
            <w:gridSpan w:val="17"/>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120"/>
              <w:spacing w:after="0" w:line="189" w:lineRule="exact"/>
              <w:rPr>
                <w:sz w:val="20"/>
                <w:szCs w:val="20"/>
                <w:color w:val="auto"/>
              </w:rPr>
            </w:pPr>
            <w:r>
              <w:rPr>
                <w:rFonts w:ascii="Arial" w:cs="Arial" w:eastAsia="Arial" w:hAnsi="Arial"/>
                <w:sz w:val="18"/>
                <w:szCs w:val="18"/>
                <w:color w:val="auto"/>
              </w:rPr>
              <w:t>Item 2.</w:t>
            </w:r>
          </w:p>
        </w:tc>
        <w:tc>
          <w:tcPr>
            <w:tcW w:w="7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180" w:type="dxa"/>
            <w:vAlign w:val="bottom"/>
            <w:vMerge w:val="restart"/>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51</w:t>
            </w:r>
          </w:p>
        </w:tc>
        <w:tc>
          <w:tcPr>
            <w:tcW w:w="0" w:type="dxa"/>
            <w:vAlign w:val="bottom"/>
          </w:tcPr>
          <w:p>
            <w:pPr>
              <w:spacing w:after="0" w:line="20" w:lineRule="exact"/>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2040" w:type="dxa"/>
            <w:vAlign w:val="bottom"/>
            <w:gridSpan w:val="8"/>
          </w:tcPr>
          <w:p>
            <w:pPr>
              <w:spacing w:after="0" w:line="169" w:lineRule="exact"/>
              <w:rPr>
                <w:rFonts w:ascii="Arial" w:cs="Arial" w:eastAsia="Arial" w:hAnsi="Arial"/>
                <w:sz w:val="18"/>
                <w:szCs w:val="18"/>
                <w:color w:val="0000FF"/>
              </w:rPr>
            </w:pPr>
            <w:hyperlink w:anchor="page55">
              <w:r>
                <w:rPr>
                  <w:rFonts w:ascii="Arial" w:cs="Arial" w:eastAsia="Arial" w:hAnsi="Arial"/>
                  <w:sz w:val="18"/>
                  <w:szCs w:val="18"/>
                  <w:color w:val="0000FF"/>
                </w:rPr>
                <w:t>Properties</w:t>
              </w:r>
            </w:hyperlink>
          </w:p>
        </w:tc>
        <w:tc>
          <w:tcPr>
            <w:tcW w:w="8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120"/>
              <w:spacing w:after="0" w:line="189" w:lineRule="exact"/>
              <w:rPr>
                <w:sz w:val="20"/>
                <w:szCs w:val="20"/>
                <w:color w:val="auto"/>
              </w:rPr>
            </w:pPr>
            <w:r>
              <w:rPr>
                <w:rFonts w:ascii="Arial" w:cs="Arial" w:eastAsia="Arial" w:hAnsi="Arial"/>
                <w:sz w:val="18"/>
                <w:szCs w:val="18"/>
                <w:color w:val="auto"/>
              </w:rPr>
              <w:t>Item 3.</w:t>
            </w:r>
          </w:p>
        </w:tc>
        <w:tc>
          <w:tcPr>
            <w:tcW w:w="7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51</w:t>
            </w:r>
          </w:p>
        </w:tc>
        <w:tc>
          <w:tcPr>
            <w:tcW w:w="0" w:type="dxa"/>
            <w:vAlign w:val="bottom"/>
          </w:tcPr>
          <w:p>
            <w:pPr>
              <w:spacing w:after="0" w:line="20" w:lineRule="exact"/>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9260" w:type="dxa"/>
            <w:vAlign w:val="bottom"/>
            <w:gridSpan w:val="20"/>
          </w:tcPr>
          <w:p>
            <w:pPr>
              <w:spacing w:after="0" w:line="169" w:lineRule="exact"/>
              <w:rPr>
                <w:rFonts w:ascii="Arial" w:cs="Arial" w:eastAsia="Arial" w:hAnsi="Arial"/>
                <w:sz w:val="18"/>
                <w:szCs w:val="18"/>
                <w:color w:val="0000FF"/>
              </w:rPr>
            </w:pPr>
            <w:hyperlink w:anchor="page55">
              <w:r>
                <w:rPr>
                  <w:rFonts w:ascii="Arial" w:cs="Arial" w:eastAsia="Arial" w:hAnsi="Arial"/>
                  <w:sz w:val="18"/>
                  <w:szCs w:val="18"/>
                  <w:color w:val="0000FF"/>
                </w:rPr>
                <w:t>Legal Proceedings</w:t>
              </w:r>
            </w:hyperlink>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120"/>
              <w:spacing w:after="0" w:line="189" w:lineRule="exact"/>
              <w:rPr>
                <w:sz w:val="20"/>
                <w:szCs w:val="20"/>
                <w:color w:val="auto"/>
              </w:rPr>
            </w:pPr>
            <w:r>
              <w:rPr>
                <w:rFonts w:ascii="Arial" w:cs="Arial" w:eastAsia="Arial" w:hAnsi="Arial"/>
                <w:sz w:val="18"/>
                <w:szCs w:val="18"/>
                <w:color w:val="auto"/>
              </w:rPr>
              <w:t>Item 4.</w:t>
            </w:r>
          </w:p>
        </w:tc>
        <w:tc>
          <w:tcPr>
            <w:tcW w:w="7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51</w:t>
            </w:r>
          </w:p>
        </w:tc>
        <w:tc>
          <w:tcPr>
            <w:tcW w:w="0" w:type="dxa"/>
            <w:vAlign w:val="bottom"/>
          </w:tcPr>
          <w:p>
            <w:pPr>
              <w:spacing w:after="0" w:line="20" w:lineRule="exact"/>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9260" w:type="dxa"/>
            <w:vAlign w:val="bottom"/>
            <w:gridSpan w:val="20"/>
          </w:tcPr>
          <w:p>
            <w:pPr>
              <w:spacing w:after="0" w:line="169" w:lineRule="exact"/>
              <w:rPr>
                <w:rFonts w:ascii="Arial" w:cs="Arial" w:eastAsia="Arial" w:hAnsi="Arial"/>
                <w:sz w:val="18"/>
                <w:szCs w:val="18"/>
                <w:color w:val="0000FF"/>
              </w:rPr>
            </w:pPr>
            <w:hyperlink w:anchor="page55">
              <w:r>
                <w:rPr>
                  <w:rFonts w:ascii="Arial" w:cs="Arial" w:eastAsia="Arial" w:hAnsi="Arial"/>
                  <w:sz w:val="18"/>
                  <w:szCs w:val="18"/>
                  <w:color w:val="0000FF"/>
                </w:rPr>
                <w:t>Mine Safety Disclosures</w:t>
              </w:r>
            </w:hyperlink>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gridSpan w:val="3"/>
          </w:tcPr>
          <w:p>
            <w:pPr>
              <w:ind w:left="120"/>
              <w:spacing w:after="0" w:line="190" w:lineRule="exact"/>
              <w:rPr>
                <w:sz w:val="20"/>
                <w:szCs w:val="20"/>
                <w:color w:val="auto"/>
              </w:rPr>
            </w:pPr>
            <w:r>
              <w:rPr>
                <w:rFonts w:ascii="Arial" w:cs="Arial" w:eastAsia="Arial" w:hAnsi="Arial"/>
                <w:sz w:val="18"/>
                <w:szCs w:val="18"/>
                <w:color w:val="auto"/>
              </w:rPr>
              <w:t>Item 5.</w:t>
            </w:r>
          </w:p>
        </w:tc>
        <w:tc>
          <w:tcPr>
            <w:tcW w:w="9260" w:type="dxa"/>
            <w:vAlign w:val="bottom"/>
            <w:gridSpan w:val="20"/>
          </w:tcPr>
          <w:p>
            <w:pPr>
              <w:spacing w:after="0" w:line="190" w:lineRule="exact"/>
              <w:rPr>
                <w:rFonts w:ascii="Arial" w:cs="Arial" w:eastAsia="Arial" w:hAnsi="Arial"/>
                <w:sz w:val="18"/>
                <w:szCs w:val="18"/>
                <w:color w:val="0000FF"/>
              </w:rPr>
            </w:pPr>
            <w:hyperlink w:anchor="page56">
              <w:r>
                <w:rPr>
                  <w:rFonts w:ascii="Arial" w:cs="Arial" w:eastAsia="Arial" w:hAnsi="Arial"/>
                  <w:sz w:val="18"/>
                  <w:szCs w:val="18"/>
                  <w:color w:val="0000FF"/>
                </w:rPr>
                <w:t>Market for Registrant’s Common Equity, Related Stockholder Matters and Issuer Purchases of Equity Securities</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120"/>
              <w:spacing w:after="0" w:line="189" w:lineRule="exact"/>
              <w:rPr>
                <w:sz w:val="20"/>
                <w:szCs w:val="20"/>
                <w:color w:val="auto"/>
              </w:rPr>
            </w:pPr>
            <w:r>
              <w:rPr>
                <w:rFonts w:ascii="Arial" w:cs="Arial" w:eastAsia="Arial" w:hAnsi="Arial"/>
                <w:sz w:val="18"/>
                <w:szCs w:val="18"/>
                <w:color w:val="auto"/>
              </w:rPr>
              <w:t>Item 6.</w:t>
            </w:r>
          </w:p>
        </w:tc>
        <w:tc>
          <w:tcPr>
            <w:tcW w:w="7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80" w:type="dxa"/>
            <w:vAlign w:val="bottom"/>
            <w:vMerge w:val="restart"/>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52</w:t>
            </w:r>
          </w:p>
        </w:tc>
        <w:tc>
          <w:tcPr>
            <w:tcW w:w="0" w:type="dxa"/>
            <w:vAlign w:val="bottom"/>
          </w:tcPr>
          <w:p>
            <w:pPr>
              <w:spacing w:after="0" w:line="20" w:lineRule="exact"/>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8080" w:type="dxa"/>
            <w:vAlign w:val="bottom"/>
            <w:gridSpan w:val="19"/>
          </w:tcPr>
          <w:p>
            <w:pPr>
              <w:spacing w:after="0" w:line="169" w:lineRule="exact"/>
              <w:rPr>
                <w:rFonts w:ascii="Arial" w:cs="Arial" w:eastAsia="Arial" w:hAnsi="Arial"/>
                <w:sz w:val="18"/>
                <w:szCs w:val="18"/>
                <w:color w:val="0000FF"/>
              </w:rPr>
            </w:pPr>
            <w:hyperlink w:anchor="page56">
              <w:r>
                <w:rPr>
                  <w:rFonts w:ascii="Arial" w:cs="Arial" w:eastAsia="Arial" w:hAnsi="Arial"/>
                  <w:sz w:val="18"/>
                  <w:szCs w:val="18"/>
                  <w:color w:val="0000FF"/>
                </w:rPr>
                <w:t>Reserved</w:t>
              </w:r>
            </w:hyperlink>
          </w:p>
        </w:tc>
        <w:tc>
          <w:tcPr>
            <w:tcW w:w="1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120"/>
              <w:spacing w:after="0" w:line="189" w:lineRule="exact"/>
              <w:rPr>
                <w:sz w:val="20"/>
                <w:szCs w:val="20"/>
                <w:color w:val="auto"/>
              </w:rPr>
            </w:pPr>
            <w:r>
              <w:rPr>
                <w:rFonts w:ascii="Arial" w:cs="Arial" w:eastAsia="Arial" w:hAnsi="Arial"/>
                <w:sz w:val="18"/>
                <w:szCs w:val="18"/>
                <w:color w:val="auto"/>
              </w:rPr>
              <w:t>Item 7.</w:t>
            </w:r>
          </w:p>
        </w:tc>
        <w:tc>
          <w:tcPr>
            <w:tcW w:w="70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53</w:t>
            </w:r>
          </w:p>
        </w:tc>
        <w:tc>
          <w:tcPr>
            <w:tcW w:w="0" w:type="dxa"/>
            <w:vAlign w:val="bottom"/>
          </w:tcPr>
          <w:p>
            <w:pPr>
              <w:spacing w:after="0" w:line="20" w:lineRule="exact"/>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9260" w:type="dxa"/>
            <w:vAlign w:val="bottom"/>
            <w:gridSpan w:val="20"/>
          </w:tcPr>
          <w:p>
            <w:pPr>
              <w:spacing w:after="0" w:line="169" w:lineRule="exact"/>
              <w:rPr>
                <w:rFonts w:ascii="Arial" w:cs="Arial" w:eastAsia="Arial" w:hAnsi="Arial"/>
                <w:sz w:val="18"/>
                <w:szCs w:val="18"/>
                <w:color w:val="0000FF"/>
              </w:rPr>
            </w:pPr>
            <w:hyperlink w:anchor="page57">
              <w:r>
                <w:rPr>
                  <w:rFonts w:ascii="Arial" w:cs="Arial" w:eastAsia="Arial" w:hAnsi="Arial"/>
                  <w:sz w:val="18"/>
                  <w:szCs w:val="18"/>
                  <w:color w:val="0000FF"/>
                </w:rPr>
                <w:t>Management’s Discussion and Analysis of Financial Condition and Results of Operations</w:t>
              </w:r>
            </w:hyperlink>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120"/>
              <w:spacing w:after="0" w:line="189" w:lineRule="exact"/>
              <w:rPr>
                <w:sz w:val="20"/>
                <w:szCs w:val="20"/>
                <w:color w:val="auto"/>
              </w:rPr>
            </w:pPr>
            <w:r>
              <w:rPr>
                <w:rFonts w:ascii="Arial" w:cs="Arial" w:eastAsia="Arial" w:hAnsi="Arial"/>
                <w:sz w:val="18"/>
                <w:szCs w:val="18"/>
                <w:color w:val="auto"/>
              </w:rPr>
              <w:t>Item 7A.</w:t>
            </w:r>
          </w:p>
        </w:tc>
        <w:tc>
          <w:tcPr>
            <w:tcW w:w="134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60" w:type="dxa"/>
            <w:vAlign w:val="bottom"/>
            <w:gridSpan w:val="2"/>
            <w:vMerge w:val="restart"/>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68</w:t>
            </w:r>
          </w:p>
        </w:tc>
        <w:tc>
          <w:tcPr>
            <w:tcW w:w="0" w:type="dxa"/>
            <w:vAlign w:val="bottom"/>
          </w:tcPr>
          <w:p>
            <w:pPr>
              <w:spacing w:after="0" w:line="20" w:lineRule="exact"/>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6460" w:type="dxa"/>
            <w:vAlign w:val="bottom"/>
            <w:gridSpan w:val="16"/>
          </w:tcPr>
          <w:p>
            <w:pPr>
              <w:spacing w:after="0" w:line="169" w:lineRule="exact"/>
              <w:rPr>
                <w:rFonts w:ascii="Arial" w:cs="Arial" w:eastAsia="Arial" w:hAnsi="Arial"/>
                <w:sz w:val="18"/>
                <w:szCs w:val="18"/>
                <w:color w:val="0000FF"/>
              </w:rPr>
            </w:pPr>
            <w:hyperlink w:anchor="page72">
              <w:r>
                <w:rPr>
                  <w:rFonts w:ascii="Arial" w:cs="Arial" w:eastAsia="Arial" w:hAnsi="Arial"/>
                  <w:sz w:val="18"/>
                  <w:szCs w:val="18"/>
                  <w:color w:val="0000FF"/>
                </w:rPr>
                <w:t>Quantitative and Qualitative Disclosures About Market Risk</w:t>
              </w:r>
            </w:hyperlink>
          </w:p>
        </w:tc>
        <w:tc>
          <w:tcPr>
            <w:tcW w:w="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120"/>
              <w:spacing w:after="0" w:line="189" w:lineRule="exact"/>
              <w:rPr>
                <w:sz w:val="20"/>
                <w:szCs w:val="20"/>
                <w:color w:val="auto"/>
              </w:rPr>
            </w:pPr>
            <w:r>
              <w:rPr>
                <w:rFonts w:ascii="Arial" w:cs="Arial" w:eastAsia="Arial" w:hAnsi="Arial"/>
                <w:sz w:val="18"/>
                <w:szCs w:val="18"/>
                <w:color w:val="auto"/>
              </w:rPr>
              <w:t>Item 8.</w:t>
            </w:r>
          </w:p>
        </w:tc>
        <w:tc>
          <w:tcPr>
            <w:tcW w:w="134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60" w:type="dxa"/>
            <w:vAlign w:val="bottom"/>
            <w:gridSpan w:val="2"/>
            <w:vMerge w:val="restart"/>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69</w:t>
            </w:r>
          </w:p>
        </w:tc>
        <w:tc>
          <w:tcPr>
            <w:tcW w:w="0" w:type="dxa"/>
            <w:vAlign w:val="bottom"/>
          </w:tcPr>
          <w:p>
            <w:pPr>
              <w:spacing w:after="0" w:line="20" w:lineRule="exact"/>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4360" w:type="dxa"/>
            <w:vAlign w:val="bottom"/>
            <w:gridSpan w:val="13"/>
          </w:tcPr>
          <w:p>
            <w:pPr>
              <w:spacing w:after="0" w:line="169" w:lineRule="exact"/>
              <w:rPr>
                <w:rFonts w:ascii="Arial" w:cs="Arial" w:eastAsia="Arial" w:hAnsi="Arial"/>
                <w:sz w:val="18"/>
                <w:szCs w:val="18"/>
                <w:color w:val="0000FF"/>
              </w:rPr>
            </w:pPr>
            <w:hyperlink w:anchor="page73">
              <w:r>
                <w:rPr>
                  <w:rFonts w:ascii="Arial" w:cs="Arial" w:eastAsia="Arial" w:hAnsi="Arial"/>
                  <w:sz w:val="18"/>
                  <w:szCs w:val="18"/>
                  <w:color w:val="0000FF"/>
                </w:rPr>
                <w:t>Financial Statements and Supplementary Data</w:t>
              </w:r>
            </w:hyperlink>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120"/>
              <w:spacing w:after="0" w:line="189" w:lineRule="exact"/>
              <w:rPr>
                <w:sz w:val="20"/>
                <w:szCs w:val="20"/>
                <w:color w:val="auto"/>
              </w:rPr>
            </w:pPr>
            <w:r>
              <w:rPr>
                <w:rFonts w:ascii="Arial" w:cs="Arial" w:eastAsia="Arial" w:hAnsi="Arial"/>
                <w:sz w:val="18"/>
                <w:szCs w:val="18"/>
                <w:color w:val="auto"/>
              </w:rPr>
              <w:t>Item 9.</w:t>
            </w:r>
          </w:p>
        </w:tc>
        <w:tc>
          <w:tcPr>
            <w:tcW w:w="134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97</w:t>
            </w:r>
          </w:p>
        </w:tc>
        <w:tc>
          <w:tcPr>
            <w:tcW w:w="0" w:type="dxa"/>
            <w:vAlign w:val="bottom"/>
          </w:tcPr>
          <w:p>
            <w:pPr>
              <w:spacing w:after="0" w:line="20" w:lineRule="exact"/>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9260" w:type="dxa"/>
            <w:vAlign w:val="bottom"/>
            <w:gridSpan w:val="20"/>
          </w:tcPr>
          <w:p>
            <w:pPr>
              <w:spacing w:after="0" w:line="169" w:lineRule="exact"/>
              <w:rPr>
                <w:rFonts w:ascii="Arial" w:cs="Arial" w:eastAsia="Arial" w:hAnsi="Arial"/>
                <w:sz w:val="18"/>
                <w:szCs w:val="18"/>
                <w:color w:val="0000FF"/>
              </w:rPr>
            </w:pPr>
            <w:hyperlink w:anchor="page101">
              <w:r>
                <w:rPr>
                  <w:rFonts w:ascii="Arial" w:cs="Arial" w:eastAsia="Arial" w:hAnsi="Arial"/>
                  <w:sz w:val="18"/>
                  <w:szCs w:val="18"/>
                  <w:color w:val="0000FF"/>
                </w:rPr>
                <w:t>Changes in and Disagreements With Accountants on Accounting and Financial Disclosure</w:t>
              </w:r>
            </w:hyperlink>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120"/>
              <w:spacing w:after="0" w:line="189" w:lineRule="exact"/>
              <w:rPr>
                <w:sz w:val="20"/>
                <w:szCs w:val="20"/>
                <w:color w:val="auto"/>
              </w:rPr>
            </w:pPr>
            <w:r>
              <w:rPr>
                <w:rFonts w:ascii="Arial" w:cs="Arial" w:eastAsia="Arial" w:hAnsi="Arial"/>
                <w:sz w:val="18"/>
                <w:szCs w:val="18"/>
                <w:color w:val="auto"/>
              </w:rPr>
              <w:t>Item 9A.</w:t>
            </w:r>
          </w:p>
        </w:tc>
        <w:tc>
          <w:tcPr>
            <w:tcW w:w="134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60" w:type="dxa"/>
            <w:vAlign w:val="bottom"/>
            <w:gridSpan w:val="2"/>
            <w:vMerge w:val="restart"/>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97</w:t>
            </w:r>
          </w:p>
        </w:tc>
        <w:tc>
          <w:tcPr>
            <w:tcW w:w="0" w:type="dxa"/>
            <w:vAlign w:val="bottom"/>
          </w:tcPr>
          <w:p>
            <w:pPr>
              <w:spacing w:after="0" w:line="20" w:lineRule="exact"/>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6520" w:type="dxa"/>
            <w:vAlign w:val="bottom"/>
            <w:gridSpan w:val="17"/>
          </w:tcPr>
          <w:p>
            <w:pPr>
              <w:spacing w:after="0" w:line="169" w:lineRule="exact"/>
              <w:rPr>
                <w:rFonts w:ascii="Arial" w:cs="Arial" w:eastAsia="Arial" w:hAnsi="Arial"/>
                <w:sz w:val="18"/>
                <w:szCs w:val="18"/>
                <w:color w:val="0000FF"/>
              </w:rPr>
            </w:pPr>
            <w:hyperlink w:anchor="page101">
              <w:r>
                <w:rPr>
                  <w:rFonts w:ascii="Arial" w:cs="Arial" w:eastAsia="Arial" w:hAnsi="Arial"/>
                  <w:sz w:val="18"/>
                  <w:szCs w:val="18"/>
                  <w:color w:val="0000FF"/>
                </w:rPr>
                <w:t>Controls and Procedures</w:t>
              </w:r>
            </w:hyperlink>
          </w:p>
        </w:tc>
        <w:tc>
          <w:tcPr>
            <w:tcW w:w="780" w:type="dxa"/>
            <w:vAlign w:val="bottom"/>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120"/>
              <w:spacing w:after="0" w:line="189" w:lineRule="exact"/>
              <w:rPr>
                <w:sz w:val="20"/>
                <w:szCs w:val="20"/>
                <w:color w:val="auto"/>
              </w:rPr>
            </w:pPr>
            <w:r>
              <w:rPr>
                <w:rFonts w:ascii="Arial" w:cs="Arial" w:eastAsia="Arial" w:hAnsi="Arial"/>
                <w:sz w:val="18"/>
                <w:szCs w:val="18"/>
                <w:color w:val="auto"/>
              </w:rPr>
              <w:t>Item 9B.</w:t>
            </w:r>
          </w:p>
        </w:tc>
        <w:tc>
          <w:tcPr>
            <w:tcW w:w="134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40" w:type="dxa"/>
            <w:vAlign w:val="bottom"/>
            <w:gridSpan w:val="2"/>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40" w:type="dxa"/>
            <w:vAlign w:val="bottom"/>
            <w:gridSpan w:val="2"/>
            <w:vMerge w:val="restart"/>
          </w:tcPr>
          <w:p>
            <w:pPr>
              <w:spacing w:after="0" w:line="20" w:lineRule="exact"/>
              <w:rPr>
                <w:sz w:val="1"/>
                <w:szCs w:val="1"/>
                <w:color w:val="auto"/>
              </w:rPr>
            </w:pPr>
          </w:p>
        </w:tc>
        <w:tc>
          <w:tcPr>
            <w:tcW w:w="800" w:type="dxa"/>
            <w:vAlign w:val="bottom"/>
            <w:gridSpan w:val="2"/>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1960" w:type="dxa"/>
            <w:vAlign w:val="bottom"/>
            <w:gridSpan w:val="2"/>
            <w:vMerge w:val="restart"/>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98</w:t>
            </w:r>
          </w:p>
        </w:tc>
        <w:tc>
          <w:tcPr>
            <w:tcW w:w="0" w:type="dxa"/>
            <w:vAlign w:val="bottom"/>
          </w:tcPr>
          <w:p>
            <w:pPr>
              <w:spacing w:after="0" w:line="20" w:lineRule="exact"/>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1780" w:type="dxa"/>
            <w:vAlign w:val="bottom"/>
            <w:gridSpan w:val="6"/>
          </w:tcPr>
          <w:p>
            <w:pPr>
              <w:spacing w:after="0" w:line="169" w:lineRule="exact"/>
              <w:rPr>
                <w:rFonts w:ascii="Arial" w:cs="Arial" w:eastAsia="Arial" w:hAnsi="Arial"/>
                <w:sz w:val="18"/>
                <w:szCs w:val="18"/>
                <w:color w:val="0000FF"/>
              </w:rPr>
            </w:pPr>
            <w:hyperlink w:anchor="page102">
              <w:r>
                <w:rPr>
                  <w:rFonts w:ascii="Arial" w:cs="Arial" w:eastAsia="Arial" w:hAnsi="Arial"/>
                  <w:sz w:val="18"/>
                  <w:szCs w:val="18"/>
                  <w:color w:val="0000FF"/>
                </w:rPr>
                <w:t>Other Information</w:t>
              </w:r>
            </w:hyperlink>
          </w:p>
        </w:tc>
        <w:tc>
          <w:tcPr>
            <w:tcW w:w="4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120"/>
              <w:spacing w:after="0" w:line="189" w:lineRule="exact"/>
              <w:rPr>
                <w:sz w:val="20"/>
                <w:szCs w:val="20"/>
                <w:color w:val="auto"/>
              </w:rPr>
            </w:pPr>
            <w:r>
              <w:rPr>
                <w:rFonts w:ascii="Arial" w:cs="Arial" w:eastAsia="Arial" w:hAnsi="Arial"/>
                <w:sz w:val="18"/>
                <w:szCs w:val="18"/>
                <w:color w:val="auto"/>
              </w:rPr>
              <w:t>Item 9C.</w:t>
            </w:r>
          </w:p>
        </w:tc>
        <w:tc>
          <w:tcPr>
            <w:tcW w:w="1340" w:type="dxa"/>
            <w:vAlign w:val="bottom"/>
            <w:tcBorders>
              <w:left w:val="single" w:sz="8" w:color="0000EE"/>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98</w:t>
            </w:r>
          </w:p>
        </w:tc>
        <w:tc>
          <w:tcPr>
            <w:tcW w:w="0" w:type="dxa"/>
            <w:vAlign w:val="bottom"/>
          </w:tcPr>
          <w:p>
            <w:pPr>
              <w:spacing w:after="0" w:line="20" w:lineRule="exact"/>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9260" w:type="dxa"/>
            <w:vAlign w:val="bottom"/>
            <w:gridSpan w:val="20"/>
          </w:tcPr>
          <w:p>
            <w:pPr>
              <w:spacing w:after="0" w:line="169" w:lineRule="exact"/>
              <w:rPr>
                <w:rFonts w:ascii="Arial" w:cs="Arial" w:eastAsia="Arial" w:hAnsi="Arial"/>
                <w:sz w:val="18"/>
                <w:szCs w:val="18"/>
                <w:color w:val="0000FF"/>
              </w:rPr>
            </w:pPr>
            <w:hyperlink w:anchor="page102">
              <w:r>
                <w:rPr>
                  <w:rFonts w:ascii="Arial" w:cs="Arial" w:eastAsia="Arial" w:hAnsi="Arial"/>
                  <w:sz w:val="18"/>
                  <w:szCs w:val="18"/>
                  <w:color w:val="0000FF"/>
                </w:rPr>
                <w:t>Disclosure Regarding Foreign Jurisdictions that Prevent Inspections</w:t>
              </w:r>
            </w:hyperlink>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gridSpan w:val="3"/>
          </w:tcPr>
          <w:p>
            <w:pPr>
              <w:ind w:left="120"/>
              <w:spacing w:after="0" w:line="190" w:lineRule="exact"/>
              <w:rPr>
                <w:sz w:val="20"/>
                <w:szCs w:val="20"/>
                <w:color w:val="auto"/>
              </w:rPr>
            </w:pPr>
            <w:r>
              <w:rPr>
                <w:rFonts w:ascii="Arial" w:cs="Arial" w:eastAsia="Arial" w:hAnsi="Arial"/>
                <w:sz w:val="18"/>
                <w:szCs w:val="18"/>
                <w:color w:val="auto"/>
              </w:rPr>
              <w:t>Item 10.</w:t>
            </w:r>
          </w:p>
        </w:tc>
        <w:tc>
          <w:tcPr>
            <w:tcW w:w="9260" w:type="dxa"/>
            <w:vAlign w:val="bottom"/>
            <w:gridSpan w:val="20"/>
          </w:tcPr>
          <w:p>
            <w:pPr>
              <w:spacing w:after="0" w:line="190" w:lineRule="exact"/>
              <w:rPr>
                <w:rFonts w:ascii="Arial" w:cs="Arial" w:eastAsia="Arial" w:hAnsi="Arial"/>
                <w:sz w:val="18"/>
                <w:szCs w:val="18"/>
                <w:color w:val="0000FF"/>
              </w:rPr>
            </w:pPr>
            <w:hyperlink w:anchor="page103">
              <w:r>
                <w:rPr>
                  <w:rFonts w:ascii="Arial" w:cs="Arial" w:eastAsia="Arial" w:hAnsi="Arial"/>
                  <w:sz w:val="18"/>
                  <w:szCs w:val="18"/>
                  <w:color w:val="0000FF"/>
                </w:rPr>
                <w:t>Directors, Executive Officers and Corporate Governance</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120"/>
              <w:spacing w:after="0" w:line="189" w:lineRule="exact"/>
              <w:rPr>
                <w:sz w:val="20"/>
                <w:szCs w:val="20"/>
                <w:color w:val="auto"/>
              </w:rPr>
            </w:pPr>
            <w:r>
              <w:rPr>
                <w:rFonts w:ascii="Arial" w:cs="Arial" w:eastAsia="Arial" w:hAnsi="Arial"/>
                <w:sz w:val="18"/>
                <w:szCs w:val="18"/>
                <w:color w:val="auto"/>
              </w:rPr>
              <w:t>Item 11.</w:t>
            </w:r>
          </w:p>
        </w:tc>
        <w:tc>
          <w:tcPr>
            <w:tcW w:w="1560" w:type="dxa"/>
            <w:vAlign w:val="bottom"/>
            <w:tcBorders>
              <w:left w:val="single" w:sz="8" w:color="0000EE"/>
            </w:tcBorders>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1960" w:type="dxa"/>
            <w:vAlign w:val="bottom"/>
            <w:gridSpan w:val="2"/>
            <w:vMerge w:val="restart"/>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99</w:t>
            </w:r>
          </w:p>
        </w:tc>
        <w:tc>
          <w:tcPr>
            <w:tcW w:w="0" w:type="dxa"/>
            <w:vAlign w:val="bottom"/>
          </w:tcPr>
          <w:p>
            <w:pPr>
              <w:spacing w:after="0" w:line="20" w:lineRule="exact"/>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4100" w:type="dxa"/>
            <w:vAlign w:val="bottom"/>
            <w:gridSpan w:val="12"/>
          </w:tcPr>
          <w:p>
            <w:pPr>
              <w:spacing w:after="0" w:line="169" w:lineRule="exact"/>
              <w:rPr>
                <w:rFonts w:ascii="Arial" w:cs="Arial" w:eastAsia="Arial" w:hAnsi="Arial"/>
                <w:sz w:val="18"/>
                <w:szCs w:val="18"/>
                <w:color w:val="0000FF"/>
              </w:rPr>
            </w:pPr>
            <w:hyperlink w:anchor="page103">
              <w:r>
                <w:rPr>
                  <w:rFonts w:ascii="Arial" w:cs="Arial" w:eastAsia="Arial" w:hAnsi="Arial"/>
                  <w:sz w:val="18"/>
                  <w:szCs w:val="18"/>
                  <w:color w:val="0000FF"/>
                </w:rPr>
                <w:t>Executive Compensation</w:t>
              </w:r>
            </w:hyperlink>
          </w:p>
        </w:tc>
        <w:tc>
          <w:tcPr>
            <w:tcW w:w="1360" w:type="dxa"/>
            <w:vAlign w:val="bottom"/>
            <w:gridSpan w:val="3"/>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120"/>
              <w:spacing w:after="0" w:line="189" w:lineRule="exact"/>
              <w:rPr>
                <w:sz w:val="20"/>
                <w:szCs w:val="20"/>
                <w:color w:val="auto"/>
              </w:rPr>
            </w:pPr>
            <w:r>
              <w:rPr>
                <w:rFonts w:ascii="Arial" w:cs="Arial" w:eastAsia="Arial" w:hAnsi="Arial"/>
                <w:sz w:val="18"/>
                <w:szCs w:val="18"/>
                <w:color w:val="auto"/>
              </w:rPr>
              <w:t>Item 12.</w:t>
            </w:r>
          </w:p>
        </w:tc>
        <w:tc>
          <w:tcPr>
            <w:tcW w:w="1560" w:type="dxa"/>
            <w:vAlign w:val="bottom"/>
            <w:tcBorders>
              <w:left w:val="single" w:sz="8" w:color="0000EE"/>
            </w:tcBorders>
            <w:gridSpan w:val="5"/>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7440" w:type="dxa"/>
            <w:vAlign w:val="bottom"/>
            <w:gridSpan w:val="13"/>
            <w:vMerge w:val="restart"/>
          </w:tcPr>
          <w:p>
            <w:pPr>
              <w:spacing w:after="0" w:line="189" w:lineRule="exact"/>
              <w:rPr>
                <w:rFonts w:ascii="Arial" w:cs="Arial" w:eastAsia="Arial" w:hAnsi="Arial"/>
                <w:sz w:val="18"/>
                <w:szCs w:val="18"/>
                <w:color w:val="0000FF"/>
              </w:rPr>
            </w:pPr>
            <w:hyperlink w:anchor="page103">
              <w:r>
                <w:rPr>
                  <w:rFonts w:ascii="Arial" w:cs="Arial" w:eastAsia="Arial" w:hAnsi="Arial"/>
                  <w:sz w:val="18"/>
                  <w:szCs w:val="18"/>
                  <w:color w:val="0000FF"/>
                </w:rPr>
                <w:t>Certain Beneficial Owners and Management and Related Stockholder Matters</w:t>
              </w:r>
            </w:hyperlink>
          </w:p>
        </w:tc>
        <w:tc>
          <w:tcPr>
            <w:tcW w:w="8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99</w:t>
            </w:r>
          </w:p>
        </w:tc>
        <w:tc>
          <w:tcPr>
            <w:tcW w:w="0" w:type="dxa"/>
            <w:vAlign w:val="bottom"/>
          </w:tcPr>
          <w:p>
            <w:pPr>
              <w:spacing w:after="0" w:line="20" w:lineRule="exact"/>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1820" w:type="dxa"/>
            <w:vAlign w:val="bottom"/>
            <w:gridSpan w:val="7"/>
          </w:tcPr>
          <w:p>
            <w:pPr>
              <w:spacing w:after="0" w:line="169" w:lineRule="exact"/>
              <w:rPr>
                <w:rFonts w:ascii="Arial" w:cs="Arial" w:eastAsia="Arial" w:hAnsi="Arial"/>
                <w:sz w:val="18"/>
                <w:szCs w:val="18"/>
                <w:color w:val="0000FF"/>
              </w:rPr>
            </w:pPr>
            <w:hyperlink w:anchor="page103">
              <w:r>
                <w:rPr>
                  <w:rFonts w:ascii="Arial" w:cs="Arial" w:eastAsia="Arial" w:hAnsi="Arial"/>
                  <w:sz w:val="18"/>
                  <w:szCs w:val="18"/>
                  <w:color w:val="0000FF"/>
                </w:rPr>
                <w:t>Security Ownership of</w:t>
              </w:r>
            </w:hyperlink>
          </w:p>
        </w:tc>
        <w:tc>
          <w:tcPr>
            <w:tcW w:w="7440" w:type="dxa"/>
            <w:vAlign w:val="bottom"/>
            <w:gridSpan w:val="13"/>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120"/>
              <w:spacing w:after="0" w:line="189" w:lineRule="exact"/>
              <w:rPr>
                <w:sz w:val="20"/>
                <w:szCs w:val="20"/>
                <w:color w:val="auto"/>
              </w:rPr>
            </w:pPr>
            <w:r>
              <w:rPr>
                <w:rFonts w:ascii="Arial" w:cs="Arial" w:eastAsia="Arial" w:hAnsi="Arial"/>
                <w:sz w:val="18"/>
                <w:szCs w:val="18"/>
                <w:color w:val="auto"/>
              </w:rPr>
              <w:t>Item 13.</w:t>
            </w:r>
          </w:p>
        </w:tc>
        <w:tc>
          <w:tcPr>
            <w:tcW w:w="1560" w:type="dxa"/>
            <w:vAlign w:val="bottom"/>
            <w:tcBorders>
              <w:left w:val="single" w:sz="8" w:color="0000EE"/>
            </w:tcBorders>
            <w:gridSpan w:val="5"/>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60" w:type="dxa"/>
            <w:vAlign w:val="bottom"/>
            <w:gridSpan w:val="2"/>
            <w:vMerge w:val="restart"/>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99</w:t>
            </w:r>
          </w:p>
        </w:tc>
        <w:tc>
          <w:tcPr>
            <w:tcW w:w="0" w:type="dxa"/>
            <w:vAlign w:val="bottom"/>
          </w:tcPr>
          <w:p>
            <w:pPr>
              <w:spacing w:after="0" w:line="20" w:lineRule="exact"/>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7300" w:type="dxa"/>
            <w:vAlign w:val="bottom"/>
            <w:gridSpan w:val="18"/>
          </w:tcPr>
          <w:p>
            <w:pPr>
              <w:spacing w:after="0" w:line="169" w:lineRule="exact"/>
              <w:rPr>
                <w:rFonts w:ascii="Arial" w:cs="Arial" w:eastAsia="Arial" w:hAnsi="Arial"/>
                <w:sz w:val="18"/>
                <w:szCs w:val="18"/>
                <w:color w:val="0000FF"/>
              </w:rPr>
            </w:pPr>
            <w:hyperlink w:anchor="page103">
              <w:r>
                <w:rPr>
                  <w:rFonts w:ascii="Arial" w:cs="Arial" w:eastAsia="Arial" w:hAnsi="Arial"/>
                  <w:sz w:val="18"/>
                  <w:szCs w:val="18"/>
                  <w:color w:val="0000FF"/>
                </w:rPr>
                <w:t>Certain Relationships and Related Transactions, and Director Independence</w:t>
              </w:r>
            </w:hyperlink>
          </w:p>
        </w:tc>
        <w:tc>
          <w:tcPr>
            <w:tcW w:w="19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120"/>
              <w:spacing w:after="0" w:line="189" w:lineRule="exact"/>
              <w:rPr>
                <w:sz w:val="20"/>
                <w:szCs w:val="20"/>
                <w:color w:val="auto"/>
              </w:rPr>
            </w:pPr>
            <w:r>
              <w:rPr>
                <w:rFonts w:ascii="Arial" w:cs="Arial" w:eastAsia="Arial" w:hAnsi="Arial"/>
                <w:sz w:val="18"/>
                <w:szCs w:val="18"/>
                <w:color w:val="auto"/>
              </w:rPr>
              <w:t>Item 14.</w:t>
            </w:r>
          </w:p>
        </w:tc>
        <w:tc>
          <w:tcPr>
            <w:tcW w:w="1560" w:type="dxa"/>
            <w:vAlign w:val="bottom"/>
            <w:tcBorders>
              <w:left w:val="single" w:sz="8" w:color="0000EE"/>
            </w:tcBorders>
            <w:gridSpan w:val="5"/>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800" w:type="dxa"/>
            <w:vAlign w:val="bottom"/>
            <w:gridSpan w:val="5"/>
            <w:vMerge w:val="restart"/>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99</w:t>
            </w:r>
          </w:p>
        </w:tc>
        <w:tc>
          <w:tcPr>
            <w:tcW w:w="0" w:type="dxa"/>
            <w:vAlign w:val="bottom"/>
          </w:tcPr>
          <w:p>
            <w:pPr>
              <w:spacing w:after="0" w:line="20" w:lineRule="exact"/>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5460" w:type="dxa"/>
            <w:vAlign w:val="bottom"/>
            <w:gridSpan w:val="15"/>
          </w:tcPr>
          <w:p>
            <w:pPr>
              <w:spacing w:after="0" w:line="169" w:lineRule="exact"/>
              <w:rPr>
                <w:rFonts w:ascii="Arial" w:cs="Arial" w:eastAsia="Arial" w:hAnsi="Arial"/>
                <w:sz w:val="18"/>
                <w:szCs w:val="18"/>
                <w:color w:val="0000FF"/>
              </w:rPr>
            </w:pPr>
            <w:hyperlink w:anchor="page103">
              <w:r>
                <w:rPr>
                  <w:rFonts w:ascii="Arial" w:cs="Arial" w:eastAsia="Arial" w:hAnsi="Arial"/>
                  <w:sz w:val="18"/>
                  <w:szCs w:val="18"/>
                  <w:color w:val="0000FF"/>
                </w:rPr>
                <w:t>Principal Accountant Fees and Services</w:t>
              </w:r>
            </w:hyperlink>
          </w:p>
        </w:tc>
        <w:tc>
          <w:tcPr>
            <w:tcW w:w="3800" w:type="dxa"/>
            <w:vAlign w:val="bottom"/>
            <w:gridSpan w:val="5"/>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gridSpan w:val="3"/>
          </w:tcPr>
          <w:p>
            <w:pPr>
              <w:ind w:left="120"/>
              <w:spacing w:after="0" w:line="190" w:lineRule="exact"/>
              <w:rPr>
                <w:sz w:val="20"/>
                <w:szCs w:val="20"/>
                <w:color w:val="auto"/>
              </w:rPr>
            </w:pPr>
            <w:r>
              <w:rPr>
                <w:rFonts w:ascii="Arial" w:cs="Arial" w:eastAsia="Arial" w:hAnsi="Arial"/>
                <w:sz w:val="18"/>
                <w:szCs w:val="18"/>
                <w:color w:val="auto"/>
              </w:rPr>
              <w:t>Item 15.</w:t>
            </w:r>
          </w:p>
        </w:tc>
        <w:tc>
          <w:tcPr>
            <w:tcW w:w="9260" w:type="dxa"/>
            <w:vAlign w:val="bottom"/>
            <w:gridSpan w:val="20"/>
          </w:tcPr>
          <w:p>
            <w:pPr>
              <w:spacing w:after="0" w:line="190" w:lineRule="exact"/>
              <w:rPr>
                <w:rFonts w:ascii="Arial" w:cs="Arial" w:eastAsia="Arial" w:hAnsi="Arial"/>
                <w:sz w:val="18"/>
                <w:szCs w:val="18"/>
                <w:color w:val="0000FF"/>
              </w:rPr>
            </w:pPr>
            <w:hyperlink w:anchor="page104">
              <w:r>
                <w:rPr>
                  <w:rFonts w:ascii="Arial" w:cs="Arial" w:eastAsia="Arial" w:hAnsi="Arial"/>
                  <w:sz w:val="18"/>
                  <w:szCs w:val="18"/>
                  <w:color w:val="0000FF"/>
                </w:rPr>
                <w:t>Exhibits and Financial Statement Schedules</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120"/>
              <w:spacing w:after="0" w:line="189" w:lineRule="exact"/>
              <w:rPr>
                <w:sz w:val="20"/>
                <w:szCs w:val="20"/>
                <w:color w:val="auto"/>
              </w:rPr>
            </w:pPr>
            <w:r>
              <w:rPr>
                <w:rFonts w:ascii="Arial" w:cs="Arial" w:eastAsia="Arial" w:hAnsi="Arial"/>
                <w:sz w:val="18"/>
                <w:szCs w:val="18"/>
                <w:color w:val="auto"/>
              </w:rPr>
              <w:t>Item 16</w:t>
            </w:r>
          </w:p>
        </w:tc>
        <w:tc>
          <w:tcPr>
            <w:tcW w:w="1560" w:type="dxa"/>
            <w:vAlign w:val="bottom"/>
            <w:tcBorders>
              <w:left w:val="single" w:sz="8" w:color="0000EE"/>
            </w:tcBorders>
            <w:gridSpan w:val="5"/>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100" w:type="dxa"/>
            <w:vAlign w:val="bottom"/>
            <w:gridSpan w:val="10"/>
            <w:vMerge w:val="restart"/>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102</w:t>
            </w:r>
          </w:p>
        </w:tc>
        <w:tc>
          <w:tcPr>
            <w:tcW w:w="0" w:type="dxa"/>
            <w:vAlign w:val="bottom"/>
          </w:tcPr>
          <w:p>
            <w:pPr>
              <w:spacing w:after="0" w:line="20" w:lineRule="exact"/>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3160" w:type="dxa"/>
            <w:vAlign w:val="bottom"/>
            <w:gridSpan w:val="10"/>
          </w:tcPr>
          <w:p>
            <w:pPr>
              <w:spacing w:after="0" w:line="169" w:lineRule="exact"/>
              <w:rPr>
                <w:rFonts w:ascii="Arial" w:cs="Arial" w:eastAsia="Arial" w:hAnsi="Arial"/>
                <w:sz w:val="18"/>
                <w:szCs w:val="18"/>
                <w:color w:val="0000FF"/>
              </w:rPr>
            </w:pPr>
            <w:hyperlink w:anchor="page106">
              <w:r>
                <w:rPr>
                  <w:rFonts w:ascii="Arial" w:cs="Arial" w:eastAsia="Arial" w:hAnsi="Arial"/>
                  <w:sz w:val="18"/>
                  <w:szCs w:val="18"/>
                  <w:color w:val="0000FF"/>
                </w:rPr>
                <w:t>Form 10-K Summary</w:t>
              </w:r>
            </w:hyperlink>
          </w:p>
        </w:tc>
        <w:tc>
          <w:tcPr>
            <w:tcW w:w="6100" w:type="dxa"/>
            <w:vAlign w:val="bottom"/>
            <w:gridSpan w:val="10"/>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040" w:type="dxa"/>
            <w:vAlign w:val="bottom"/>
            <w:gridSpan w:val="2"/>
          </w:tcPr>
          <w:p>
            <w:pPr>
              <w:spacing w:after="0" w:line="169" w:lineRule="exact"/>
              <w:rPr>
                <w:rFonts w:ascii="Arial" w:cs="Arial" w:eastAsia="Arial" w:hAnsi="Arial"/>
                <w:sz w:val="18"/>
                <w:szCs w:val="18"/>
                <w:color w:val="0000FF"/>
              </w:rPr>
            </w:pPr>
            <w:hyperlink w:anchor="page107">
              <w:r>
                <w:rPr>
                  <w:rFonts w:ascii="Arial" w:cs="Arial" w:eastAsia="Arial" w:hAnsi="Arial"/>
                  <w:sz w:val="18"/>
                  <w:szCs w:val="18"/>
                  <w:color w:val="0000FF"/>
                </w:rPr>
                <w:t>Signatures</w:t>
              </w:r>
            </w:hyperlink>
          </w:p>
        </w:tc>
        <w:tc>
          <w:tcPr>
            <w:tcW w:w="6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8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This Annual Report on Form 10-K contains forward-looking statements about us and our industry that involve substantial risks and uncertainties. All statements other than statements of historical facts contained in this Annual Report on Form 10-K, including statements regarding our future results of operations,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w:t>
      </w:r>
    </w:p>
    <w:p>
      <w:pPr>
        <w:spacing w:after="0" w:line="14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in the section titled “Risk Factors” and elsewhere in this Annual Report on Form 10-K, regarding, among other things:</w:t>
      </w:r>
    </w:p>
    <w:p>
      <w:pPr>
        <w:spacing w:after="0" w:line="161"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future growth;</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products, and our ability to serve those markets;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demand for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impact of the COVID-19 pandemic on our sales, business, financial condition and results of operations;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future growth of our sales and marketing organization;</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and our reliance on, third parties in connection with the commercialization of our products, including single-source suppliers and, in some cases, sole source suppliers;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and manufacture appropriate quantities of our products to meet commercial demand;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regulatory approval for our products or obtain regulatory approval for new products in the United States and in any foreign countries in which we make seek to do business;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research and development for existing products and any future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regulatory approval and commercialization of competing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hire senior management and key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JOBS Act;</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our corporate infrastructure, including our ability to remediate our existing material weaknesses and to design and maintain an effective system of internal controls;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 capital requirements; and</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products, as well as our ability to operate our business without infringing the intellectual property rights of others.</w:t>
      </w:r>
    </w:p>
    <w:p>
      <w:pPr>
        <w:spacing w:after="0" w:line="63"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These risks are not exhaustive. Other sections of this Annual Report on Form 10-K may include additional factors that could harm our business and financial performance. We operate in a very competitive and rapidly changing environment where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15"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operating results. These forward-looking statements speak only as of the date of this annual report.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both"/>
        <w:ind w:firstLine="509"/>
        <w:spacing w:after="0" w:line="284"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Annual Report on Form 10-K.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8"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Unless the context indicates otherwise, as used in this Annual Report on Form 10-K, the terms “Company,” “Cytek,” “Registrant,” “we,” “us” and “our” refer to Cytek Biosciences, Inc., a Delaware corporation, and its direct and indirect subsidiaries, taken as a whole.</w:t>
      </w:r>
    </w:p>
    <w:p>
      <w:pPr>
        <w:spacing w:after="0" w:line="15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“Cytek,” “SpectroFlo,” “Tonbo Biosciences,” “RedFluor,” “VioletFluor,” “Ghost Dye,” “Ready-Set-Flow!,” and “DxP Athena” are registered trademarks in the United States. “SpectroFlo” is also a registered trademark in Australia, the European Union, China and Canada. “ESP,” “Enhanced Small Particle,” “cFluor,” “FSP,” “Full Spectrum Profiling,” “Viadye,” “Spectrolearn,” Spectrosort,” and “Northern Lights” have pending trademark applications in the United States. All other service marks, trademarks and tradenames appearing in this Annual Report on Form 10-K are the property of their respective owners. We do not intend our use or display of other companies’ trade names, trademarks or service marks to imply a relationship with, or endorsement or sponsorship of us by, these other companies. Solely for convenience, the trademarks and tradenames referred to in this Annual Report on Form 10-K appear without the ® and ™ symbols, but those references are not intended to indicate, in any way, that we will not assert, to the fullest extent under applicable law, our rights, or the right of the applicable licensor to these trademarks and tradenames.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231F20"/>
        </w:rPr>
        <w:t>PART I.</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108" w:lineRule="exact"/>
        <w:rPr>
          <w:sz w:val="20"/>
          <w:szCs w:val="20"/>
          <w:color w:val="auto"/>
        </w:rPr>
      </w:pPr>
    </w:p>
    <w:p>
      <w:pPr>
        <w:jc w:val="both"/>
        <w:ind w:firstLine="584"/>
        <w:spacing w:after="0" w:line="287" w:lineRule="auto"/>
        <w:rPr>
          <w:sz w:val="20"/>
          <w:szCs w:val="20"/>
          <w:color w:val="auto"/>
        </w:rPr>
      </w:pPr>
      <w:r>
        <w:rPr>
          <w:rFonts w:ascii="Arial" w:cs="Arial" w:eastAsia="Arial" w:hAnsi="Arial"/>
          <w:sz w:val="16"/>
          <w:szCs w:val="16"/>
          <w:color w:val="231F20"/>
        </w:rPr>
        <w:t>We are a leading cell analysis solutions company advancing the next generation of cell analysis tools by leveraging novel technical approaches. Our goal is to become the premier cell analysis company through continued innovation that facilitates scientific advances in biomedical research and clinical applications. We believe our core instruments, the Aurora and Northern Lights systems, are the first full spectrum flow cytometers able to deliver high-resolution, high-content and high-sensitivity cell analysis by utilizing the full spectrum of fluorescence signatures from multiple lasers to distinguish fluorescent tags on single cells (“Full Spectrum Profiling” or “FSP”). Our novel approach harnesses the power of information within the entire spectrum of a fluorescent signal to achieve a higher level of multiplexing with exquisite sensitivity. Our patented FSP technology optimizes sensitivity and accuracy through its novel optical and electronic designs that utilize an innovative method of light detection and distribution. Our FSP platform includes instruments, reagents, software and services to provide a comprehensive and integrated suite of solutions for our customers. Since our first U.S. commercial launch in mid-2017 through December 31, 2021, we have sold and deployed over 1,000 instruments— primarily comprised of our Aurora and Northern Lights systems—to customers around the world, including the largest pharmaceutical companies, over 150 biopharma companies, leading academic research centers, and clinical research organizations (“CROs”). In June 2021, we commercially launched the Aurora cell sorter (“Aurora CS”), which leverages our FSP technology to further broaden our potential applications across cell analysis.</w:t>
      </w:r>
    </w:p>
    <w:p>
      <w:pPr>
        <w:spacing w:after="0" w:line="60" w:lineRule="exact"/>
        <w:rPr>
          <w:sz w:val="20"/>
          <w:szCs w:val="20"/>
          <w:color w:val="auto"/>
        </w:rPr>
      </w:pPr>
    </w:p>
    <w:p>
      <w:pPr>
        <w:jc w:val="both"/>
        <w:ind w:firstLine="584"/>
        <w:spacing w:after="0" w:line="270" w:lineRule="auto"/>
        <w:rPr>
          <w:sz w:val="20"/>
          <w:szCs w:val="20"/>
          <w:color w:val="auto"/>
        </w:rPr>
      </w:pPr>
      <w:r>
        <w:rPr>
          <w:rFonts w:ascii="Arial" w:cs="Arial" w:eastAsia="Arial" w:hAnsi="Arial"/>
          <w:sz w:val="17"/>
          <w:szCs w:val="17"/>
          <w:color w:val="231F20"/>
        </w:rPr>
        <w:t>Biological systems are highly complex, and scientists are challenged by the multitude of questions that remain unanswered. Analysis at the single-cell level is essential to understand these complex systems. Identifying the correct cell in the context of a given biological question can have profound implications for drug development and health care decisions. It is essential to correlate information derived from multiple cell analysis approaches and to translate what is known at the gene level to the actual cell function. There is growing demand for deep content through high dimensional cell analysis and for solutions that can provide a complete picture of cellular biological processes and interactions. To achieve this, scientists need to phenotype and isolate rare events or unique populations down to the single-cell through highly resolvable multi-dimensional cell analysis. While flow cytometry is a widely used tool for single-cell analysis, conventional flow cytometry, mass cytometry and early approaches to spectral flow cytometry technologies have historically been challenged due to limited dimensionality, sub-optimal resolution, low throughput, high cost for performance and/or significant technical expertise required to operate systems.</w:t>
      </w:r>
    </w:p>
    <w:p>
      <w:pPr>
        <w:spacing w:after="0" w:line="73" w:lineRule="exact"/>
        <w:rPr>
          <w:sz w:val="20"/>
          <w:szCs w:val="20"/>
          <w:color w:val="auto"/>
        </w:rPr>
      </w:pPr>
    </w:p>
    <w:p>
      <w:pPr>
        <w:jc w:val="both"/>
        <w:ind w:firstLine="584"/>
        <w:spacing w:after="0" w:line="273" w:lineRule="auto"/>
        <w:rPr>
          <w:sz w:val="20"/>
          <w:szCs w:val="20"/>
          <w:color w:val="auto"/>
        </w:rPr>
      </w:pPr>
      <w:r>
        <w:rPr>
          <w:rFonts w:ascii="Arial" w:cs="Arial" w:eastAsia="Arial" w:hAnsi="Arial"/>
          <w:sz w:val="17"/>
          <w:szCs w:val="17"/>
          <w:color w:val="231F20"/>
        </w:rPr>
        <w:t>Our FSP platform addresses the inherent limitations of other technologies by providing a higher density of information with greater sensitivity, more flexibility and increased efficiency, all at a lower cost for performance. Our patented FSP technology is designed to optimize sensitivity and accuracy through its novel optical and electronic designs that utilize an innovative method of light detection and distribution to a specifically selected number and type of detectors. This patented optics design enables researchers to effectively collect the full range of light emissions in an extremely compact space, resulting in higher resolution. Our platform also provides higher content by enabling development of highly complex assays with more than 40 different colors (individual fluorochromes) and thus supporting more than 40 biomarkers, all accessible within just a single tube.</w:t>
      </w:r>
    </w:p>
    <w:p>
      <w:pPr>
        <w:spacing w:after="0" w:line="70" w:lineRule="exact"/>
        <w:rPr>
          <w:sz w:val="20"/>
          <w:szCs w:val="20"/>
          <w:color w:val="auto"/>
        </w:rPr>
      </w:pPr>
    </w:p>
    <w:p>
      <w:pPr>
        <w:jc w:val="both"/>
        <w:ind w:firstLine="584"/>
        <w:spacing w:after="0" w:line="254" w:lineRule="auto"/>
        <w:rPr>
          <w:sz w:val="20"/>
          <w:szCs w:val="20"/>
          <w:color w:val="auto"/>
        </w:rPr>
      </w:pPr>
      <w:r>
        <w:rPr>
          <w:rFonts w:ascii="Arial" w:cs="Arial" w:eastAsia="Arial" w:hAnsi="Arial"/>
          <w:sz w:val="18"/>
          <w:szCs w:val="18"/>
          <w:color w:val="231F20"/>
        </w:rPr>
        <w:t>Our solutions have enabled researchers to make significant scientific advances in key areas of medical discovery (such as oncology, immunology and infectious diseases) in addition to empowering improved downstream cell analysis with complementary cell analysis technologies (such as next-generation sequencing (“NGS”)). We believe that our innovative FSP and targeted cell isolation technology has the potential to accelerate scientific discovery and have a profound impact on the understanding of cell biology, immunotherapy, and targeted therapeutic approaches (personalized medicine). Further, there has been a meaningful acceleration in the rate of publications generated to showcase our technology, with over 385 peer-reviewed articles published, including many prominent journals, across a wide range of applications including oncology, infectious diseases, immunology, immunotherapy and immuno-oncology.</w:t>
      </w:r>
    </w:p>
    <w:p>
      <w:pPr>
        <w:spacing w:after="0" w:line="87" w:lineRule="exact"/>
        <w:rPr>
          <w:sz w:val="20"/>
          <w:szCs w:val="20"/>
          <w:color w:val="auto"/>
        </w:rPr>
      </w:pPr>
    </w:p>
    <w:p>
      <w:pPr>
        <w:ind w:left="600"/>
        <w:spacing w:after="0"/>
        <w:rPr>
          <w:sz w:val="20"/>
          <w:szCs w:val="20"/>
          <w:color w:val="auto"/>
        </w:rPr>
      </w:pPr>
      <w:r>
        <w:rPr>
          <w:rFonts w:ascii="Arial" w:cs="Arial" w:eastAsia="Arial" w:hAnsi="Arial"/>
          <w:sz w:val="16"/>
          <w:szCs w:val="16"/>
          <w:color w:val="231F20"/>
        </w:rPr>
        <w:t>Our FSP platform was purpose-built to advance the next generation of cell analysis by delivering deep insights, high-throughputs and ease-of-use.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Our FSP platform is designed to offer the following key benefits:</w:t>
      </w:r>
    </w:p>
    <w:p>
      <w:pPr>
        <w:spacing w:after="0" w:line="103" w:lineRule="exact"/>
        <w:rPr>
          <w:sz w:val="20"/>
          <w:szCs w:val="20"/>
          <w:color w:val="auto"/>
        </w:rPr>
      </w:pPr>
    </w:p>
    <w:p>
      <w:pPr>
        <w:ind w:left="1020" w:right="20" w:hanging="503"/>
        <w:spacing w:after="0" w:line="261" w:lineRule="auto"/>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Ultra-sensitive: </w:t>
      </w:r>
      <w:r>
        <w:rPr>
          <w:rFonts w:ascii="Arial" w:cs="Arial" w:eastAsia="Arial" w:hAnsi="Arial"/>
          <w:sz w:val="18"/>
          <w:szCs w:val="18"/>
          <w:color w:val="231F20"/>
        </w:rPr>
        <w:t>resolve the most challenging cell populations (such as cells with high autofluorescence or low levels of expression of key</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biomarkers) by providing high-resolution data at the single-cell level with an optimized signal-to-noise ratio.</w:t>
      </w:r>
    </w:p>
    <w:p>
      <w:pPr>
        <w:spacing w:after="0" w:line="62" w:lineRule="exact"/>
        <w:rPr>
          <w:rFonts w:ascii="Arial" w:cs="Arial" w:eastAsia="Arial" w:hAnsi="Arial"/>
          <w:sz w:val="18"/>
          <w:szCs w:val="18"/>
          <w:color w:val="231F20"/>
        </w:rPr>
      </w:pPr>
    </w:p>
    <w:p>
      <w:pPr>
        <w:jc w:val="both"/>
        <w:ind w:left="1020" w:hanging="503"/>
        <w:spacing w:after="0" w:line="248" w:lineRule="auto"/>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Deep, high integrity content: </w:t>
      </w:r>
      <w:r>
        <w:rPr>
          <w:rFonts w:ascii="Arial" w:cs="Arial" w:eastAsia="Arial" w:hAnsi="Arial"/>
          <w:sz w:val="18"/>
          <w:szCs w:val="18"/>
          <w:color w:val="231F20"/>
        </w:rPr>
        <w:t>allow development of highly complex assays through access to more than 40 different colors and thus,</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supporting more than 40 biomarkers in a single tube without sacrificing precision and throughput to gain a deeper understanding of biological systems and arrive at faster and more accurate diagnoses in clinical settings.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ind w:left="1020" w:right="20" w:hanging="503"/>
        <w:spacing w:after="0" w:line="261" w:lineRule="auto"/>
        <w:tabs>
          <w:tab w:leader="none" w:pos="1020" w:val="left"/>
        </w:tabs>
        <w:numPr>
          <w:ilvl w:val="0"/>
          <w:numId w:val="5"/>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Flexible and compatible: </w:t>
      </w:r>
      <w:r>
        <w:rPr>
          <w:rFonts w:ascii="Arial" w:cs="Arial" w:eastAsia="Arial" w:hAnsi="Arial"/>
          <w:sz w:val="18"/>
          <w:szCs w:val="18"/>
          <w:color w:val="231F20"/>
        </w:rPr>
        <w:t>enable a single configuration across a wide range of reagents and applications, full backwards compatibility across</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panels, and greater leverage for downstream analysis with complementary technologies, including NGS.</w:t>
      </w:r>
    </w:p>
    <w:p>
      <w:pPr>
        <w:spacing w:after="0" w:line="62" w:lineRule="exact"/>
        <w:rPr>
          <w:rFonts w:ascii="Arial" w:cs="Arial" w:eastAsia="Arial" w:hAnsi="Arial"/>
          <w:sz w:val="18"/>
          <w:szCs w:val="18"/>
          <w:color w:val="231F20"/>
        </w:rPr>
      </w:pPr>
    </w:p>
    <w:p>
      <w:pPr>
        <w:ind w:left="1020" w:hanging="503"/>
        <w:spacing w:after="0" w:line="291" w:lineRule="auto"/>
        <w:tabs>
          <w:tab w:leader="none" w:pos="1020" w:val="left"/>
        </w:tabs>
        <w:numPr>
          <w:ilvl w:val="0"/>
          <w:numId w:val="5"/>
        </w:numPr>
        <w:rPr>
          <w:rFonts w:ascii="Arial" w:cs="Arial" w:eastAsia="Arial" w:hAnsi="Arial"/>
          <w:sz w:val="17"/>
          <w:szCs w:val="17"/>
          <w:color w:val="231F20"/>
        </w:rPr>
      </w:pPr>
      <w:r>
        <w:rPr>
          <w:rFonts w:ascii="Arial" w:cs="Arial" w:eastAsia="Arial" w:hAnsi="Arial"/>
          <w:sz w:val="17"/>
          <w:szCs w:val="17"/>
          <w:b w:val="1"/>
          <w:bCs w:val="1"/>
          <w:i w:val="1"/>
          <w:iCs w:val="1"/>
          <w:color w:val="231F20"/>
        </w:rPr>
        <w:t xml:space="preserve">Efficient and compact: </w:t>
      </w:r>
      <w:r>
        <w:rPr>
          <w:rFonts w:ascii="Arial" w:cs="Arial" w:eastAsia="Arial" w:hAnsi="Arial"/>
          <w:sz w:val="17"/>
          <w:szCs w:val="17"/>
          <w:color w:val="231F20"/>
        </w:rPr>
        <w:t>improve costs and save time while maintaining industry-leading performance and efficient workflows that limit</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consumables usage and reduce labor costs—all within a highly compact footprint minimizing space requirements for laboratories.</w:t>
      </w:r>
    </w:p>
    <w:p>
      <w:pPr>
        <w:spacing w:after="0" w:line="38" w:lineRule="exact"/>
        <w:rPr>
          <w:rFonts w:ascii="Arial" w:cs="Arial" w:eastAsia="Arial" w:hAnsi="Arial"/>
          <w:sz w:val="17"/>
          <w:szCs w:val="17"/>
          <w:color w:val="231F20"/>
        </w:rPr>
      </w:pPr>
    </w:p>
    <w:p>
      <w:pPr>
        <w:jc w:val="both"/>
        <w:ind w:left="1020" w:hanging="503"/>
        <w:spacing w:after="0" w:line="248" w:lineRule="auto"/>
        <w:tabs>
          <w:tab w:leader="none" w:pos="1020" w:val="left"/>
        </w:tabs>
        <w:numPr>
          <w:ilvl w:val="0"/>
          <w:numId w:val="5"/>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Integrated and intuitive: </w:t>
      </w:r>
      <w:r>
        <w:rPr>
          <w:rFonts w:ascii="Arial" w:cs="Arial" w:eastAsia="Arial" w:hAnsi="Arial"/>
          <w:sz w:val="18"/>
          <w:szCs w:val="18"/>
          <w:color w:val="231F20"/>
        </w:rPr>
        <w:t>provide fully-integrated workflows through a suite of solutions that include instruments, reagents and kits, software</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and services. Our proprietary tools and the intuitive functionality of our proprietary SpectroFlo® software coupled with a user-friendly interface allow for enhanced ease-of-use and minimal operator training.</w:t>
      </w:r>
    </w:p>
    <w:p>
      <w:pPr>
        <w:spacing w:after="0" w:line="74" w:lineRule="exact"/>
        <w:rPr>
          <w:sz w:val="20"/>
          <w:szCs w:val="20"/>
          <w:color w:val="auto"/>
        </w:rPr>
      </w:pPr>
    </w:p>
    <w:p>
      <w:pPr>
        <w:jc w:val="both"/>
        <w:ind w:firstLine="584"/>
        <w:spacing w:after="0" w:line="270" w:lineRule="auto"/>
        <w:rPr>
          <w:sz w:val="20"/>
          <w:szCs w:val="20"/>
          <w:color w:val="auto"/>
        </w:rPr>
      </w:pPr>
      <w:r>
        <w:rPr>
          <w:rFonts w:ascii="Arial" w:cs="Arial" w:eastAsia="Arial" w:hAnsi="Arial"/>
          <w:sz w:val="17"/>
          <w:szCs w:val="17"/>
          <w:color w:val="231F20"/>
        </w:rPr>
        <w:t>Our core instruments, the Aurora and Northern Lights systems, are full spectrum flow cytometers founded on our FSP platform technology. The Aurora system—our most advanced and comprehensive offering—is available with three to five lasers and is suitable for customers seeking to access more than 24 colors (with the ability to access more than 40 different colors and support more than 40 biomarkers), while our Northern Lights system—our entry-level offering—is available with one to three lasers and suitable for customers seeking to access a few colors to more than 24 colors. Both instruments are upgradeable based on the desired number of lasers. In June 2021, we commercially launched the Aurora CS, which leverages our FSP technology to rapidly isolate living cell populations from lower-to-higher complexity panels beyond 40 biomarkers. We believe the Aurora CS is the only cell sorter able to accommodate the same number of parameters with the same sensitivity as the Aurora cell analyzer system. Each system is supported by our highly intuitive, proprietary embedded SpectroFlo® software, our reagents, and our service offerings to provide a comprehensive, end-to-end platform of solutions for our customers.</w:t>
      </w:r>
    </w:p>
    <w:p>
      <w:pPr>
        <w:spacing w:after="0" w:line="73" w:lineRule="exact"/>
        <w:rPr>
          <w:sz w:val="20"/>
          <w:szCs w:val="20"/>
          <w:color w:val="auto"/>
        </w:rPr>
      </w:pPr>
    </w:p>
    <w:p>
      <w:pPr>
        <w:jc w:val="both"/>
        <w:ind w:firstLine="584"/>
        <w:spacing w:after="0" w:line="269" w:lineRule="auto"/>
        <w:rPr>
          <w:sz w:val="20"/>
          <w:szCs w:val="20"/>
          <w:color w:val="auto"/>
        </w:rPr>
      </w:pPr>
      <w:r>
        <w:rPr>
          <w:rFonts w:ascii="Arial" w:cs="Arial" w:eastAsia="Arial" w:hAnsi="Arial"/>
          <w:sz w:val="17"/>
          <w:szCs w:val="17"/>
          <w:color w:val="auto"/>
        </w:rPr>
        <w:t>Within the life sciences technology market, flow cytometry technologies currently provide solutions largely within cell proliferation, cell counting, cell identification, cell quality control and single-cell applications, representing an initial total addressable market of nearly $8 billion. However, we believe that, driven by enhanced capabilities, our FSP platform has the potential to capture an increasingly greater share of the broader cell analysis market, which according to industry sources is expected to grow from roughly $16 billion in 2019 to approximately $23 billion by 2024. Further, we believe our differentiated platform will enable us to expand the use of cell analysis into new markets, well beyond current applications addressed by prior flow cytometry technologies and other cell analysis technologies. Thus, we believe our potential total addressable market is larger than the current cell analysis market, which excludes new and existing markets addressable by our platform, such as applications within immunotherapy, immuno-oncology, bio-processing, infectious diseases, and immuno-deficiencies. In addition, the combination of our platform with complementary, downstream cell analysis technologies is expected to provide additional areas for new applications—for example, combining FSP technology with NGS has demonstrated an improved ability to predict leukemia relapse after therapy (such as minimal residual disease (“MRD”) testing) and served to support the use of our technology within personalized medicine. As our FSP platform is further validated through the continued acceleration of peer-reviewed publications in new applications, we expect our total addressable market to expand.</w:t>
      </w:r>
    </w:p>
    <w:p>
      <w:pPr>
        <w:spacing w:after="0" w:line="71" w:lineRule="exact"/>
        <w:rPr>
          <w:sz w:val="20"/>
          <w:szCs w:val="20"/>
          <w:color w:val="auto"/>
        </w:rPr>
      </w:pPr>
    </w:p>
    <w:p>
      <w:pPr>
        <w:jc w:val="both"/>
        <w:ind w:firstLine="584"/>
        <w:spacing w:after="0" w:line="254" w:lineRule="auto"/>
        <w:rPr>
          <w:sz w:val="20"/>
          <w:szCs w:val="20"/>
          <w:color w:val="auto"/>
        </w:rPr>
      </w:pPr>
      <w:r>
        <w:rPr>
          <w:rFonts w:ascii="Arial" w:cs="Arial" w:eastAsia="Arial" w:hAnsi="Arial"/>
          <w:sz w:val="18"/>
          <w:szCs w:val="18"/>
          <w:color w:val="231F20"/>
        </w:rPr>
        <w:t>We believe the combination of our people and our global reach across the United States, Europe and Asia will enable us to continue to execute on our growth strategies, stay ahead of competition and remain at the forefront of innovation in cell analysis. Our leadership team has extensive track records in the life sciences and technology sectors. As of December 31, 2021, we employed a multidisciplinary group of over 500 employees, with more than 160 advanced degrees, including over 60 PhDs and MDs, with expertise across optics, electronics, fluidics, computer sciences, chemistry, biology, and medical sciences. Our worldwide commercial team of more than 120 employees and our research and development team of more than 130 employees have significant expertise, industry experience and collaborative relationships with key opinion leaders (“KOLs”), industry leaders, innovators and potential customers.</w:t>
      </w:r>
    </w:p>
    <w:p>
      <w:pPr>
        <w:spacing w:after="0" w:line="87" w:lineRule="exact"/>
        <w:rPr>
          <w:sz w:val="20"/>
          <w:szCs w:val="20"/>
          <w:color w:val="auto"/>
        </w:rPr>
      </w:pPr>
    </w:p>
    <w:p>
      <w:pPr>
        <w:jc w:val="both"/>
        <w:ind w:firstLine="584"/>
        <w:spacing w:after="0" w:line="296" w:lineRule="auto"/>
        <w:rPr>
          <w:sz w:val="20"/>
          <w:szCs w:val="20"/>
          <w:color w:val="auto"/>
        </w:rPr>
      </w:pPr>
      <w:r>
        <w:rPr>
          <w:rFonts w:ascii="Arial" w:cs="Arial" w:eastAsia="Arial" w:hAnsi="Arial"/>
          <w:sz w:val="16"/>
          <w:szCs w:val="16"/>
          <w:color w:val="231F20"/>
        </w:rPr>
        <w:t>We have a long history of providing high-quality and efficient customer service and our product development efforts reflect our deep understanding of our customers’ needs. One of our key differentiators is our customer-facing technical team, which collaborates closely with our customers to identify and find solutions for unmet needs across the market. We collaborate closely with KOLs, generating relevant data and publications to demonstrate not only the feasibility, but also the quality of our FSP approach. We plan to continue executing on our strategy to accelerate our growth by driving adoption of our FSP solutions, inspiring innovation, investing in integrated workflow solutions, and driving application development and adoption in clinical markets.</w:t>
      </w:r>
    </w:p>
    <w:p>
      <w:pPr>
        <w:spacing w:after="0" w:line="53" w:lineRule="exact"/>
        <w:rPr>
          <w:sz w:val="20"/>
          <w:szCs w:val="20"/>
          <w:color w:val="auto"/>
        </w:rPr>
      </w:pPr>
    </w:p>
    <w:p>
      <w:pPr>
        <w:jc w:val="both"/>
        <w:ind w:firstLine="584"/>
        <w:spacing w:after="0" w:line="311" w:lineRule="auto"/>
        <w:rPr>
          <w:sz w:val="20"/>
          <w:szCs w:val="20"/>
          <w:color w:val="auto"/>
        </w:rPr>
      </w:pPr>
      <w:r>
        <w:rPr>
          <w:rFonts w:ascii="Arial" w:cs="Arial" w:eastAsia="Arial" w:hAnsi="Arial"/>
          <w:sz w:val="16"/>
          <w:szCs w:val="16"/>
          <w:color w:val="231F20"/>
        </w:rPr>
        <w:t>We believe our financial results reflect the significant market demand for our offerings and adoption of our FSP technology: our strong financial profile is differentiated by the combination of our scaled revenue base, high revenue growth and profitability. Our revenue for fiscal years 2021 and 2020 was $128.0 million and $92.8 million, respectively. We generated net income of $3.0 million and $19.4 million for fiscal years 2021 and 2020, respectively.</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231F20"/>
        </w:rPr>
        <w:t>Our Competitive Strengths</w:t>
      </w:r>
    </w:p>
    <w:p>
      <w:pPr>
        <w:spacing w:after="0" w:line="108" w:lineRule="exact"/>
        <w:rPr>
          <w:sz w:val="20"/>
          <w:szCs w:val="20"/>
          <w:color w:val="auto"/>
        </w:rPr>
      </w:pPr>
    </w:p>
    <w:p>
      <w:pPr>
        <w:ind w:firstLine="584"/>
        <w:spacing w:after="0" w:line="277" w:lineRule="auto"/>
        <w:rPr>
          <w:sz w:val="20"/>
          <w:szCs w:val="20"/>
          <w:color w:val="auto"/>
        </w:rPr>
      </w:pPr>
      <w:r>
        <w:rPr>
          <w:rFonts w:ascii="Arial" w:cs="Arial" w:eastAsia="Arial" w:hAnsi="Arial"/>
          <w:sz w:val="18"/>
          <w:szCs w:val="18"/>
          <w:color w:val="231F20"/>
        </w:rPr>
        <w:t>We aim to transform the cell analysis market by continuing to build upon our success as a leading platform of innovative FSP solutions by leveraging our key competitive strengths, including:</w:t>
      </w:r>
    </w:p>
    <w:p>
      <w:pPr>
        <w:spacing w:after="0" w:line="62" w:lineRule="exact"/>
        <w:rPr>
          <w:sz w:val="20"/>
          <w:szCs w:val="20"/>
          <w:color w:val="auto"/>
        </w:rPr>
      </w:pPr>
    </w:p>
    <w:p>
      <w:pPr>
        <w:ind w:left="1020" w:right="20" w:hanging="503"/>
        <w:spacing w:after="0" w:line="261" w:lineRule="auto"/>
        <w:tabs>
          <w:tab w:leader="none" w:pos="102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Our novel, patented FSP platform delivers high-resolution, high-content and high-sensitivity cell analysis by utilizing the full spectrum of fluorescent signatures.</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Our solutions address many of our customers’ unmet needs.</w:t>
      </w:r>
    </w:p>
    <w:p>
      <w:pPr>
        <w:spacing w:after="0" w:line="103" w:lineRule="exact"/>
        <w:rPr>
          <w:rFonts w:ascii="Arial" w:cs="Arial" w:eastAsia="Arial" w:hAnsi="Arial"/>
          <w:sz w:val="18"/>
          <w:szCs w:val="18"/>
          <w:color w:val="231F20"/>
        </w:rPr>
      </w:pPr>
    </w:p>
    <w:p>
      <w:pPr>
        <w:ind w:left="1020" w:hanging="503"/>
        <w:spacing w:after="0"/>
        <w:tabs>
          <w:tab w:leader="none" w:pos="102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Our complete FSP offering is available across a range of price points while consistently delivering high performance.</w:t>
      </w:r>
    </w:p>
    <w:p>
      <w:pPr>
        <w:spacing w:after="0" w:line="103" w:lineRule="exact"/>
        <w:rPr>
          <w:rFonts w:ascii="Arial" w:cs="Arial" w:eastAsia="Arial" w:hAnsi="Arial"/>
          <w:sz w:val="18"/>
          <w:szCs w:val="18"/>
          <w:color w:val="231F20"/>
        </w:rPr>
      </w:pPr>
    </w:p>
    <w:p>
      <w:pPr>
        <w:ind w:left="1020" w:hanging="503"/>
        <w:spacing w:after="0"/>
        <w:tabs>
          <w:tab w:leader="none" w:pos="102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Our diversified customer base and breadth of relationships and scientific validation.</w:t>
      </w:r>
    </w:p>
    <w:p>
      <w:pPr>
        <w:spacing w:after="0" w:line="103" w:lineRule="exact"/>
        <w:rPr>
          <w:rFonts w:ascii="Arial" w:cs="Arial" w:eastAsia="Arial" w:hAnsi="Arial"/>
          <w:sz w:val="18"/>
          <w:szCs w:val="18"/>
          <w:color w:val="231F20"/>
        </w:rPr>
      </w:pPr>
    </w:p>
    <w:p>
      <w:pPr>
        <w:ind w:left="1020" w:hanging="503"/>
        <w:spacing w:after="0"/>
        <w:tabs>
          <w:tab w:leader="none" w:pos="102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Our global scale and reach.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Strategy</w:t>
      </w:r>
    </w:p>
    <w:p>
      <w:pPr>
        <w:spacing w:after="0" w:line="108" w:lineRule="exact"/>
        <w:rPr>
          <w:sz w:val="20"/>
          <w:szCs w:val="20"/>
          <w:color w:val="auto"/>
        </w:rPr>
      </w:pPr>
    </w:p>
    <w:p>
      <w:pPr>
        <w:ind w:left="600"/>
        <w:spacing w:after="0"/>
        <w:rPr>
          <w:sz w:val="20"/>
          <w:szCs w:val="20"/>
          <w:color w:val="auto"/>
        </w:rPr>
      </w:pPr>
      <w:r>
        <w:rPr>
          <w:rFonts w:ascii="Arial" w:cs="Arial" w:eastAsia="Arial" w:hAnsi="Arial"/>
          <w:sz w:val="18"/>
          <w:szCs w:val="18"/>
          <w:color w:val="231F20"/>
        </w:rPr>
        <w:t>Our strategy includes the following core elements:</w:t>
      </w:r>
    </w:p>
    <w:p>
      <w:pPr>
        <w:spacing w:after="0" w:line="117" w:lineRule="exact"/>
        <w:rPr>
          <w:sz w:val="20"/>
          <w:szCs w:val="20"/>
          <w:color w:val="auto"/>
        </w:rPr>
      </w:pPr>
    </w:p>
    <w:p>
      <w:pPr>
        <w:jc w:val="both"/>
        <w:ind w:left="1020" w:hanging="503"/>
        <w:spacing w:after="0" w:line="262" w:lineRule="auto"/>
        <w:tabs>
          <w:tab w:leader="none" w:pos="1020" w:val="left"/>
        </w:tabs>
        <w:numPr>
          <w:ilvl w:val="0"/>
          <w:numId w:val="7"/>
        </w:numPr>
        <w:rPr>
          <w:rFonts w:ascii="Arial" w:cs="Arial" w:eastAsia="Arial" w:hAnsi="Arial"/>
          <w:sz w:val="17"/>
          <w:szCs w:val="17"/>
          <w:color w:val="231F20"/>
        </w:rPr>
      </w:pPr>
      <w:r>
        <w:rPr>
          <w:rFonts w:ascii="Arial" w:cs="Arial" w:eastAsia="Arial" w:hAnsi="Arial"/>
          <w:sz w:val="17"/>
          <w:szCs w:val="17"/>
          <w:b w:val="1"/>
          <w:bCs w:val="1"/>
          <w:i w:val="1"/>
          <w:iCs w:val="1"/>
          <w:color w:val="231F20"/>
        </w:rPr>
        <w:t xml:space="preserve">Accelerate adoption of our FSP solutions. </w:t>
      </w:r>
      <w:r>
        <w:rPr>
          <w:rFonts w:ascii="Arial" w:cs="Arial" w:eastAsia="Arial" w:hAnsi="Arial"/>
          <w:sz w:val="17"/>
          <w:szCs w:val="17"/>
          <w:color w:val="231F20"/>
        </w:rPr>
        <w:t>To continue driving adoption of our solutions and to support our leading global brand, we intend</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to further expand our sales infrastructure by hiring additional, highly qualified and reputable sales representatives, technical applications specialists and customer support staff, in addition to increasing marketing efforts. This investment will also support our entry into new markets as we rollout new solutions and applications and appropriately manage inbound interest from new customers.</w:t>
      </w:r>
    </w:p>
    <w:p>
      <w:pPr>
        <w:spacing w:after="0" w:line="64" w:lineRule="exact"/>
        <w:rPr>
          <w:rFonts w:ascii="Arial" w:cs="Arial" w:eastAsia="Arial" w:hAnsi="Arial"/>
          <w:sz w:val="17"/>
          <w:szCs w:val="17"/>
          <w:color w:val="231F20"/>
        </w:rPr>
      </w:pPr>
    </w:p>
    <w:p>
      <w:pPr>
        <w:jc w:val="both"/>
        <w:ind w:left="1020" w:hanging="503"/>
        <w:spacing w:after="0" w:line="294" w:lineRule="auto"/>
        <w:tabs>
          <w:tab w:leader="none" w:pos="1020" w:val="left"/>
        </w:tabs>
        <w:numPr>
          <w:ilvl w:val="0"/>
          <w:numId w:val="7"/>
        </w:numPr>
        <w:rPr>
          <w:rFonts w:ascii="Arial" w:cs="Arial" w:eastAsia="Arial" w:hAnsi="Arial"/>
          <w:sz w:val="16"/>
          <w:szCs w:val="16"/>
          <w:color w:val="231F20"/>
        </w:rPr>
      </w:pPr>
      <w:r>
        <w:rPr>
          <w:rFonts w:ascii="Arial" w:cs="Arial" w:eastAsia="Arial" w:hAnsi="Arial"/>
          <w:sz w:val="16"/>
          <w:szCs w:val="16"/>
          <w:b w:val="1"/>
          <w:bCs w:val="1"/>
          <w:i w:val="1"/>
          <w:iCs w:val="1"/>
          <w:color w:val="231F20"/>
        </w:rPr>
        <w:t xml:space="preserve">Continue to innovate and offer our customers best-in-class FSP solutions. </w:t>
      </w:r>
      <w:r>
        <w:rPr>
          <w:rFonts w:ascii="Arial" w:cs="Arial" w:eastAsia="Arial" w:hAnsi="Arial"/>
          <w:sz w:val="16"/>
          <w:szCs w:val="16"/>
          <w:color w:val="231F20"/>
        </w:rPr>
        <w:t>Our development efforts focus on value-additive features and</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enhancements to meet the growing needs of the cell analysis market. These efforts drive continued innovation across our proprietary reagents, software and services offerings, in addition to new instrumentation releases, such as the recently launched Aurora CS.</w:t>
      </w:r>
    </w:p>
    <w:p>
      <w:pPr>
        <w:spacing w:after="0" w:line="39" w:lineRule="exact"/>
        <w:rPr>
          <w:rFonts w:ascii="Arial" w:cs="Arial" w:eastAsia="Arial" w:hAnsi="Arial"/>
          <w:sz w:val="16"/>
          <w:szCs w:val="16"/>
          <w:color w:val="231F20"/>
        </w:rPr>
      </w:pPr>
    </w:p>
    <w:p>
      <w:pPr>
        <w:jc w:val="both"/>
        <w:ind w:left="1020" w:hanging="503"/>
        <w:spacing w:after="0" w:line="243" w:lineRule="auto"/>
        <w:tabs>
          <w:tab w:leader="none" w:pos="1020" w:val="left"/>
        </w:tabs>
        <w:numPr>
          <w:ilvl w:val="0"/>
          <w:numId w:val="7"/>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Invest in integrated workflow solutions to drive pull-through from our consumables and services. </w:t>
      </w:r>
      <w:r>
        <w:rPr>
          <w:rFonts w:ascii="Arial" w:cs="Arial" w:eastAsia="Arial" w:hAnsi="Arial"/>
          <w:sz w:val="18"/>
          <w:szCs w:val="18"/>
          <w:color w:val="231F20"/>
        </w:rPr>
        <w:t>Our overarching goal is to become a</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comprehensive solutions provider to our customers by delivering a fully-integrated offering of instruments, consumables, software and services enabled by our FSP technology. As we continue to penetrate our addressable markets, we can leverage our growing installed base to drive consumable pull-through and recurring revenue.</w:t>
      </w:r>
    </w:p>
    <w:p>
      <w:pPr>
        <w:spacing w:after="0" w:line="79" w:lineRule="exact"/>
        <w:rPr>
          <w:rFonts w:ascii="Arial" w:cs="Arial" w:eastAsia="Arial" w:hAnsi="Arial"/>
          <w:sz w:val="18"/>
          <w:szCs w:val="18"/>
          <w:color w:val="231F20"/>
        </w:rPr>
      </w:pPr>
    </w:p>
    <w:p>
      <w:pPr>
        <w:jc w:val="both"/>
        <w:ind w:left="1020" w:hanging="503"/>
        <w:spacing w:after="0" w:line="255" w:lineRule="auto"/>
        <w:tabs>
          <w:tab w:leader="none" w:pos="1020" w:val="left"/>
        </w:tabs>
        <w:numPr>
          <w:ilvl w:val="0"/>
          <w:numId w:val="7"/>
        </w:numPr>
        <w:rPr>
          <w:rFonts w:ascii="Arial" w:cs="Arial" w:eastAsia="Arial" w:hAnsi="Arial"/>
          <w:sz w:val="17"/>
          <w:szCs w:val="17"/>
          <w:color w:val="231F20"/>
        </w:rPr>
      </w:pPr>
      <w:r>
        <w:rPr>
          <w:rFonts w:ascii="Arial" w:cs="Arial" w:eastAsia="Arial" w:hAnsi="Arial"/>
          <w:sz w:val="17"/>
          <w:szCs w:val="17"/>
          <w:b w:val="1"/>
          <w:bCs w:val="1"/>
          <w:i w:val="1"/>
          <w:iCs w:val="1"/>
          <w:color w:val="231F20"/>
        </w:rPr>
        <w:t xml:space="preserve">Drive application development and adoption in clinical markets. </w:t>
      </w:r>
      <w:r>
        <w:rPr>
          <w:rFonts w:ascii="Arial" w:cs="Arial" w:eastAsia="Arial" w:hAnsi="Arial"/>
          <w:sz w:val="17"/>
          <w:szCs w:val="17"/>
          <w:color w:val="231F20"/>
        </w:rPr>
        <w:t>We are deeply committed to developing our platform’s applications within</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the clinical market, and in particular, within disease detection, diagnosis, and treatment monitoring. We also focus on areas where we can leverage the combination of our FSP platform with complementary cell analysis technologies (such as NGS) to produce differentiated outcomes with greater sensitivity, such as with MRD testing. We can provide insights to clinicians to facilitate personalized medicine for patients, as well as facilitate biopharma’s research and development efforts to develop the next-generation of targeted therapies. Our Northern Lights system has been approved for clinical use in the European Union and China and we plan to continue generating supporting publications and data, as well as pursue any required regulatory approvals for clinical use in the United States.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Market Opportunity and Industry Background</w:t>
      </w:r>
    </w:p>
    <w:p>
      <w:pPr>
        <w:spacing w:after="0" w:line="108" w:lineRule="exact"/>
        <w:rPr>
          <w:sz w:val="20"/>
          <w:szCs w:val="20"/>
          <w:color w:val="auto"/>
        </w:rPr>
      </w:pPr>
    </w:p>
    <w:p>
      <w:pPr>
        <w:jc w:val="both"/>
        <w:ind w:firstLine="584"/>
        <w:spacing w:after="0" w:line="268" w:lineRule="auto"/>
        <w:rPr>
          <w:sz w:val="20"/>
          <w:szCs w:val="20"/>
          <w:color w:val="auto"/>
        </w:rPr>
      </w:pPr>
      <w:r>
        <w:rPr>
          <w:rFonts w:ascii="Arial" w:cs="Arial" w:eastAsia="Arial" w:hAnsi="Arial"/>
          <w:sz w:val="17"/>
          <w:szCs w:val="17"/>
          <w:b w:val="1"/>
          <w:bCs w:val="1"/>
          <w:i w:val="1"/>
          <w:iCs w:val="1"/>
          <w:color w:val="231F20"/>
        </w:rPr>
        <w:t xml:space="preserve">Our market opportunity. </w:t>
      </w:r>
      <w:r>
        <w:rPr>
          <w:rFonts w:ascii="Arial" w:cs="Arial" w:eastAsia="Arial" w:hAnsi="Arial"/>
          <w:sz w:val="17"/>
          <w:szCs w:val="17"/>
          <w:color w:val="231F20"/>
        </w:rPr>
        <w:t>Within the life sciences technology market, flow cytometry technologies currently provide solutions, including cell</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proliferation, cell counting, cell identification, cell quality control and single- cell applications, largely within the global cell analysis market. However, we believe that the enhanced capabilities of our FSP platform relative to conventional flow cytometry (“CFCs”), mass cytometry and early approaches to spectral flow cytometry enable us to capture an increasingly greater share of the total addressable market by accessing the entire cell analysis market, which according to industry sources is expected to grow from roughly $16 billion in 2019 to approximately $23 billion by 2024. Further, we believe our differentiated platform will enable us to expand the use of cell analysis into new markets, well beyond current applications addressed by prior flow cytometry technologies and other cell analysis technologies. Thus, we believe our potential total addressable market is larger than the current cell analysis market, which excludes new and existing markets addressable by our platform, such as applications within immunotherapy, immuno-oncology, bio-processing, infectious diseases and immuno-deficiencies. In addition, the combination of our platform with complementary, downstream cell analysis technologies is expected to provide additional areas for new applications—for example, combining FSP technology with NGS has demonstrated an improved ability to predict leukemia relapse after therapy (such as MRD testing) and served to support the use of our technology within personalized medicine. As our FSP platform is further validated through the continued acceleration of peer-reviewed publications in new applications, we expect our total addressable market to expand.</w:t>
      </w:r>
    </w:p>
    <w:p>
      <w:pPr>
        <w:spacing w:after="0" w:line="78" w:lineRule="exact"/>
        <w:rPr>
          <w:sz w:val="20"/>
          <w:szCs w:val="20"/>
          <w:color w:val="auto"/>
        </w:rPr>
      </w:pPr>
    </w:p>
    <w:p>
      <w:pPr>
        <w:jc w:val="both"/>
        <w:ind w:firstLine="584"/>
        <w:spacing w:after="0" w:line="277" w:lineRule="auto"/>
        <w:rPr>
          <w:sz w:val="20"/>
          <w:szCs w:val="20"/>
          <w:color w:val="auto"/>
        </w:rPr>
      </w:pPr>
      <w:r>
        <w:rPr>
          <w:rFonts w:ascii="Arial" w:cs="Arial" w:eastAsia="Arial" w:hAnsi="Arial"/>
          <w:sz w:val="18"/>
          <w:szCs w:val="18"/>
          <w:b w:val="1"/>
          <w:bCs w:val="1"/>
          <w:i w:val="1"/>
          <w:iCs w:val="1"/>
          <w:color w:val="231F20"/>
        </w:rPr>
        <w:t xml:space="preserve">Complementary technologies to FSP and multi-omics applications. </w:t>
      </w:r>
      <w:r>
        <w:rPr>
          <w:rFonts w:ascii="Arial" w:cs="Arial" w:eastAsia="Arial" w:hAnsi="Arial"/>
          <w:sz w:val="18"/>
          <w:szCs w:val="18"/>
          <w:color w:val="231F20"/>
        </w:rPr>
        <w:t>Since our FSP platform provides highly complex data down to single-cell</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resolution at a rapid speed, it is inherently well-suited to drive more targeted and efficient downstream analyses for other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both"/>
        <w:spacing w:after="0" w:line="253" w:lineRule="auto"/>
        <w:rPr>
          <w:sz w:val="20"/>
          <w:szCs w:val="20"/>
          <w:color w:val="auto"/>
        </w:rPr>
      </w:pPr>
      <w:r>
        <w:rPr>
          <w:rFonts w:ascii="Arial" w:cs="Arial" w:eastAsia="Arial" w:hAnsi="Arial"/>
          <w:sz w:val="18"/>
          <w:szCs w:val="18"/>
          <w:color w:val="231F20"/>
        </w:rPr>
        <w:t>single-cell technologies, such as NGS, single-cell capture and sample preparation, high-resolution microscopy (such as mass imaging cytometry, super resolution microscopy, confocal microscopy and high-throughput screening platforms), and micro and optofluidic systems. FSP is highly complementary to single-cell genomics applications utilizing NGS as it can be used earlier in workflows to rapidly phenotype and isolate living cell populations to the single-cell level with highly multiplexed proteomic data. These cells can then be transferred from our instrument into NGS systems to correlate proteomic and genomic expression, which in turn enables researchers to develop novel drug targets for therapeutics and clinicians to drive outcomes for patients through more informed treatment decision-making. For example, a peer-reviewed article published in the Biology of Blood and Marrow Transplantation journal recognized that combining multiparameter flow cytometry with NGS resulted in an improved ability to predict leukemia relapse after therapy, demonstrating strong potential utility in the large and growing market for MRD testing. With MRD, end users require high sensitivity and standardization, which makes our FSP technology ideal in addressing these challenges. According to a global MRD testing market report by BIS Research in December 2020, flow cytometry technology has the largest market share in MRD testing among relevant technologies, including NGS, polymerase chain reaction and others.</w:t>
      </w:r>
    </w:p>
    <w:p>
      <w:pPr>
        <w:spacing w:after="0" w:line="84" w:lineRule="exact"/>
        <w:rPr>
          <w:sz w:val="20"/>
          <w:szCs w:val="20"/>
          <w:color w:val="auto"/>
        </w:rPr>
      </w:pPr>
    </w:p>
    <w:p>
      <w:pPr>
        <w:jc w:val="both"/>
        <w:ind w:firstLine="584"/>
        <w:spacing w:after="0" w:line="254" w:lineRule="auto"/>
        <w:rPr>
          <w:sz w:val="20"/>
          <w:szCs w:val="20"/>
          <w:color w:val="auto"/>
        </w:rPr>
      </w:pPr>
      <w:r>
        <w:rPr>
          <w:rFonts w:ascii="Arial" w:cs="Arial" w:eastAsia="Arial" w:hAnsi="Arial"/>
          <w:sz w:val="18"/>
          <w:szCs w:val="18"/>
          <w:b w:val="1"/>
          <w:bCs w:val="1"/>
          <w:i w:val="1"/>
          <w:iCs w:val="1"/>
          <w:color w:val="231F20"/>
        </w:rPr>
        <w:t xml:space="preserve">Importance of cell analysis at the single-cell level. </w:t>
      </w:r>
      <w:r>
        <w:rPr>
          <w:rFonts w:ascii="Arial" w:cs="Arial" w:eastAsia="Arial" w:hAnsi="Arial"/>
          <w:sz w:val="18"/>
          <w:szCs w:val="18"/>
          <w:color w:val="231F20"/>
        </w:rPr>
        <w:t>Due to the heterogeneity within tissues, understanding cellular biology, particularly at the</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single-cell level, is necessary to unravel mechanisms that might otherwise not be detectable in bulk assays. Deep cellular analysis is a key application that we expect to enable a new age of healthcare delivery, and in particular, personalized medicine. The global healthcare market requires advanced cell analysis technologies to research therapeutic and diagnostic solutions to address emerging and chronic infectious diseases, an aging population with a myriad of chronic diseases, and the need for more effective and targeted therapeutics. These primary market forces, among others, will drive the direction for cell analysis applications that provide new possibilities for novel drug development and improved patient outcomes through enhanced disease detection, diagnosis, and treatment monitoring.</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PRODUCTS</w:t>
      </w:r>
    </w:p>
    <w:p>
      <w:pPr>
        <w:spacing w:after="0" w:line="108" w:lineRule="exact"/>
        <w:rPr>
          <w:sz w:val="20"/>
          <w:szCs w:val="20"/>
          <w:color w:val="auto"/>
        </w:rPr>
      </w:pPr>
    </w:p>
    <w:p>
      <w:pPr>
        <w:jc w:val="both"/>
        <w:ind w:firstLine="584"/>
        <w:spacing w:after="0" w:line="263" w:lineRule="auto"/>
        <w:rPr>
          <w:sz w:val="20"/>
          <w:szCs w:val="20"/>
          <w:color w:val="auto"/>
        </w:rPr>
      </w:pPr>
      <w:r>
        <w:rPr>
          <w:rFonts w:ascii="Arial" w:cs="Arial" w:eastAsia="Arial" w:hAnsi="Arial"/>
          <w:sz w:val="18"/>
          <w:szCs w:val="18"/>
          <w:color w:val="231F20"/>
        </w:rPr>
        <w:t>We are a leading cell analysis solutions provider that develops compact, cost-effective full spectrum profiling instruments with high multiplexing capability, and we offer a wide range of services to support scientists and clinicians. Our products are used in the world’s most renowned pharmaceutical and clinical research organizations, as well as premier academic and research institutions.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Aurora and Northern Lights Systems</w:t>
      </w:r>
    </w:p>
    <w:p>
      <w:pPr>
        <w:spacing w:after="0" w:line="108" w:lineRule="exact"/>
        <w:rPr>
          <w:sz w:val="20"/>
          <w:szCs w:val="20"/>
          <w:color w:val="auto"/>
        </w:rPr>
      </w:pPr>
    </w:p>
    <w:p>
      <w:pPr>
        <w:jc w:val="both"/>
        <w:ind w:firstLine="584"/>
        <w:spacing w:after="0" w:line="254" w:lineRule="auto"/>
        <w:rPr>
          <w:sz w:val="20"/>
          <w:szCs w:val="20"/>
          <w:color w:val="auto"/>
        </w:rPr>
      </w:pPr>
      <w:r>
        <w:rPr>
          <w:rFonts w:ascii="Arial" w:cs="Arial" w:eastAsia="Arial" w:hAnsi="Arial"/>
          <w:sz w:val="18"/>
          <w:szCs w:val="18"/>
          <w:color w:val="231F20"/>
        </w:rPr>
        <w:t>Our Aurora and Northern Lights systems were commercially launched in June 2017 and October 2018, respectively. Both instruments are highly flexible, intuitive, and ultra-sensitive full spectrum flow cytometers, utilizing state-of-the-art optics and low-noise electronics to provide excellent sensitivity and resolution, allowing researchers to resolve rare cell populations that were previously challenging to resolve. The optics and electronics designs, combined with flat-top beam profiles and a unique vacuum fluidics system, translate to outstanding performance from low to high sample flow rate, analyzing up to 35,000 events per second with certain configurations. Additionally, our optical design and unmixing algorithm make the instrument amenable to a wide array of applications and fluorochrome options, all without needing to reconfigure the instrument hardware as would otherwise be required on a CFC.</w:t>
      </w:r>
    </w:p>
    <w:p>
      <w:pPr>
        <w:spacing w:after="0" w:line="87" w:lineRule="exact"/>
        <w:rPr>
          <w:sz w:val="20"/>
          <w:szCs w:val="20"/>
          <w:color w:val="auto"/>
        </w:rPr>
      </w:pPr>
    </w:p>
    <w:p>
      <w:pPr>
        <w:jc w:val="both"/>
        <w:ind w:firstLine="584"/>
        <w:spacing w:after="0" w:line="301" w:lineRule="auto"/>
        <w:rPr>
          <w:sz w:val="20"/>
          <w:szCs w:val="20"/>
          <w:color w:val="auto"/>
        </w:rPr>
      </w:pPr>
      <w:r>
        <w:rPr>
          <w:rFonts w:ascii="Arial" w:cs="Arial" w:eastAsia="Arial" w:hAnsi="Arial"/>
          <w:sz w:val="16"/>
          <w:szCs w:val="16"/>
          <w:color w:val="231F20"/>
        </w:rPr>
        <w:t>The Aurora system is available with three to five lasers and can detect more than 40 biomarkers in one sample tube. The Northern Lights system is available with one to three lasers and can detect more than 24 biomarkers in one sample tube. Both instruments are upgradeable based on the desired number of lasers, which drives greater or less access to biomarkers. In addition, both instruments incorporate our SpectroFlo® software, which offers an intuitive workflow from quality control to sample acquisition to data analysis, with technology- enabling tools that simplify running applications.</w:t>
      </w:r>
    </w:p>
    <w:p>
      <w:pPr>
        <w:spacing w:after="0" w:line="49" w:lineRule="exact"/>
        <w:rPr>
          <w:sz w:val="20"/>
          <w:szCs w:val="20"/>
          <w:color w:val="auto"/>
        </w:rPr>
      </w:pPr>
    </w:p>
    <w:p>
      <w:pPr>
        <w:jc w:val="both"/>
        <w:ind w:firstLine="584"/>
        <w:spacing w:after="0" w:line="277" w:lineRule="auto"/>
        <w:rPr>
          <w:sz w:val="20"/>
          <w:szCs w:val="20"/>
          <w:color w:val="auto"/>
        </w:rPr>
      </w:pPr>
      <w:r>
        <w:rPr>
          <w:rFonts w:ascii="Arial" w:cs="Arial" w:eastAsia="Arial" w:hAnsi="Arial"/>
          <w:sz w:val="18"/>
          <w:szCs w:val="18"/>
          <w:color w:val="231F20"/>
        </w:rPr>
        <w:t>Our Aurora and Northern Lights systems are used in the study of infectious diseases, immunology, immunotherapy, immuno-oncology, oncology, inflammation, and drug discovery.</w:t>
      </w:r>
    </w:p>
    <w:p>
      <w:pPr>
        <w:spacing w:after="0" w:line="62" w:lineRule="exact"/>
        <w:rPr>
          <w:sz w:val="20"/>
          <w:szCs w:val="20"/>
          <w:color w:val="auto"/>
        </w:rPr>
      </w:pPr>
    </w:p>
    <w:p>
      <w:pPr>
        <w:jc w:val="both"/>
        <w:ind w:firstLine="584"/>
        <w:spacing w:after="0" w:line="279" w:lineRule="auto"/>
        <w:rPr>
          <w:sz w:val="20"/>
          <w:szCs w:val="20"/>
          <w:color w:val="auto"/>
        </w:rPr>
      </w:pPr>
      <w:r>
        <w:rPr>
          <w:rFonts w:ascii="Arial" w:cs="Arial" w:eastAsia="Arial" w:hAnsi="Arial"/>
          <w:sz w:val="17"/>
          <w:szCs w:val="17"/>
          <w:color w:val="231F20"/>
        </w:rPr>
        <w:t>The Northern Lights CLC system was certified under the European Union In Vitro Diagnostic Medical Devices Directive (IVDD) in September 2020 and is registered as an in vitro diagnostic medical device under Northern Lights Clinical Flow Cytometer. The certification enables the Northern Lights CLC system to be sold into in vitro diagnostic laboratories in the European Union and in other countries around the world that accept this specific certification. The Northern Lights CLC system is also certified for in vitro diagnostic use as a Class II device in China.</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Aurora CS System</w:t>
      </w:r>
    </w:p>
    <w:p>
      <w:pPr>
        <w:spacing w:after="0" w:line="108" w:lineRule="exact"/>
        <w:rPr>
          <w:sz w:val="20"/>
          <w:szCs w:val="20"/>
          <w:color w:val="auto"/>
        </w:rPr>
      </w:pPr>
    </w:p>
    <w:p>
      <w:pPr>
        <w:jc w:val="both"/>
        <w:ind w:firstLine="584"/>
        <w:spacing w:after="0" w:line="257" w:lineRule="auto"/>
        <w:rPr>
          <w:sz w:val="20"/>
          <w:szCs w:val="20"/>
          <w:color w:val="auto"/>
        </w:rPr>
      </w:pPr>
      <w:r>
        <w:rPr>
          <w:rFonts w:ascii="Arial" w:cs="Arial" w:eastAsia="Arial" w:hAnsi="Arial"/>
          <w:sz w:val="18"/>
          <w:szCs w:val="18"/>
          <w:color w:val="231F20"/>
        </w:rPr>
        <w:t>Key to the discovery of unraveling cellular complexity is the ability to perform additional downstream genomic and proteomic studies on the specific subsets identified using high dimensional phenotyping approaches. Our Aurora CS was commercially launched in June 2021 and is the first highly flexible, intuitive and ultra-sensitive cell sorter that leverages the detection and sensitivity capabilities of our FSP technology to isolate living cell populations from lower to higher complexity panels beyond 40 biomarkers. Our FSP technology enables the processing of a tremendous amount of highly complex information to provide real- time unmixing and sorting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 w:name="page9"/>
    <w:bookmarkEnd w:id="8"/>
    <w:p>
      <w:pPr>
        <w:jc w:val="both"/>
        <w:spacing w:after="0" w:line="255" w:lineRule="auto"/>
        <w:rPr>
          <w:sz w:val="20"/>
          <w:szCs w:val="20"/>
          <w:color w:val="auto"/>
        </w:rPr>
      </w:pPr>
      <w:r>
        <w:rPr>
          <w:rFonts w:ascii="Arial" w:cs="Arial" w:eastAsia="Arial" w:hAnsi="Arial"/>
          <w:sz w:val="18"/>
          <w:szCs w:val="18"/>
          <w:color w:val="231F20"/>
        </w:rPr>
        <w:t>capabilities at the field-programmable gate array level. The implications are significant in terms of flexibility and user experience, including experiment workflow transportability and assay reproducibility, enabling a 40-biomarker assay to be run in both the Aurora and the Aurora CS systems, with similar results. With our technology, users can first identify cell populations and then isolate the live cells for downstream studies, such as single-cell RNA sequencing, proteomics, and cell biology. We believe this new technology will enable users to gain a deeper level of cell classification, take advantage of key trends and scientific expansion, and allow for greater applications in the research and clinical settings, such as with MRD, cell analysis and disease discovery.</w:t>
      </w:r>
    </w:p>
    <w:p>
      <w:pPr>
        <w:spacing w:after="0" w:line="84" w:lineRule="exact"/>
        <w:rPr>
          <w:sz w:val="20"/>
          <w:szCs w:val="20"/>
          <w:color w:val="auto"/>
        </w:rPr>
      </w:pPr>
    </w:p>
    <w:p>
      <w:pPr>
        <w:jc w:val="both"/>
        <w:ind w:right="20" w:firstLine="584"/>
        <w:spacing w:after="0" w:line="263" w:lineRule="auto"/>
        <w:rPr>
          <w:sz w:val="20"/>
          <w:szCs w:val="20"/>
          <w:color w:val="auto"/>
        </w:rPr>
      </w:pPr>
      <w:r>
        <w:rPr>
          <w:rFonts w:ascii="Arial" w:cs="Arial" w:eastAsia="Arial" w:hAnsi="Arial"/>
          <w:sz w:val="18"/>
          <w:szCs w:val="18"/>
          <w:color w:val="231F20"/>
        </w:rPr>
        <w:t>Unlike other high-capacity sorters, we believe the Aurora CS is the only cell sorter that can accommodate the same number of parameters with the same sensitivity as the Aurora system and isolate living cell populations of interest using the same panel and without having to alter the optical configuration, while also being able to sort panels designed for conventional analyzers.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Reagents and Kits</w:t>
      </w:r>
    </w:p>
    <w:p>
      <w:pPr>
        <w:spacing w:after="0" w:line="108" w:lineRule="exact"/>
        <w:rPr>
          <w:sz w:val="20"/>
          <w:szCs w:val="20"/>
          <w:color w:val="auto"/>
        </w:rPr>
      </w:pPr>
    </w:p>
    <w:p>
      <w:pPr>
        <w:jc w:val="both"/>
        <w:ind w:firstLine="584"/>
        <w:spacing w:after="0" w:line="227" w:lineRule="auto"/>
        <w:rPr>
          <w:sz w:val="20"/>
          <w:szCs w:val="20"/>
          <w:color w:val="auto"/>
        </w:rPr>
      </w:pPr>
      <w:r>
        <w:rPr>
          <w:rFonts w:ascii="Arial" w:cs="Arial" w:eastAsia="Arial" w:hAnsi="Arial"/>
          <w:sz w:val="17"/>
          <w:szCs w:val="17"/>
          <w:color w:val="231F20"/>
        </w:rPr>
        <w:t>We also have launched our reagent products to provide additional options for researchers and clinical laboratories when choosing which biomarkers to run together in a panel, particularly since our Aurora, Northern Lights and Aurora CS systems allow for more fluorochromes to be run together than was previously commercially available. Our technology was able to inform our fluorochrome development through the identification of areas within the spectrum for which there were currently no available fluorochrome options. Our cFluor</w:t>
      </w:r>
      <w:r>
        <w:rPr>
          <w:rFonts w:ascii="Arial" w:cs="Arial" w:eastAsia="Arial" w:hAnsi="Arial"/>
          <w:sz w:val="23"/>
          <w:szCs w:val="23"/>
          <w:color w:val="231F20"/>
          <w:vertAlign w:val="superscript"/>
        </w:rPr>
        <w:t>®</w:t>
      </w:r>
      <w:r>
        <w:rPr>
          <w:rFonts w:ascii="Arial" w:cs="Arial" w:eastAsia="Arial" w:hAnsi="Arial"/>
          <w:sz w:val="17"/>
          <w:szCs w:val="17"/>
          <w:color w:val="231F20"/>
        </w:rPr>
        <w:t xml:space="preserve"> reagents are fluorochrome conjugated antibodies used to identify cells of interest for analysis on our instruments. We offer and continue to develop cFluor</w:t>
      </w:r>
      <w:r>
        <w:rPr>
          <w:rFonts w:ascii="Arial" w:cs="Arial" w:eastAsia="Arial" w:hAnsi="Arial"/>
          <w:sz w:val="23"/>
          <w:szCs w:val="23"/>
          <w:color w:val="231F20"/>
          <w:vertAlign w:val="superscript"/>
        </w:rPr>
        <w:t>®</w:t>
      </w:r>
      <w:r>
        <w:rPr>
          <w:rFonts w:ascii="Arial" w:cs="Arial" w:eastAsia="Arial" w:hAnsi="Arial"/>
          <w:sz w:val="17"/>
          <w:szCs w:val="17"/>
          <w:color w:val="231F20"/>
        </w:rPr>
        <w:t xml:space="preserve"> immunoprofiling kits, which include the cFluor</w:t>
      </w:r>
      <w:r>
        <w:rPr>
          <w:rFonts w:ascii="Arial" w:cs="Arial" w:eastAsia="Arial" w:hAnsi="Arial"/>
          <w:sz w:val="23"/>
          <w:szCs w:val="23"/>
          <w:color w:val="231F20"/>
          <w:vertAlign w:val="superscript"/>
        </w:rPr>
        <w:t>®</w:t>
      </w:r>
      <w:r>
        <w:rPr>
          <w:rFonts w:ascii="Arial" w:cs="Arial" w:eastAsia="Arial" w:hAnsi="Arial"/>
          <w:sz w:val="17"/>
          <w:szCs w:val="17"/>
          <w:color w:val="231F20"/>
        </w:rPr>
        <w:t xml:space="preserve"> reagents and tools necessary to simplify the workflow from sample preparation to data analysis.</w:t>
      </w:r>
    </w:p>
    <w:p>
      <w:pPr>
        <w:spacing w:after="0" w:line="99" w:lineRule="exact"/>
        <w:rPr>
          <w:sz w:val="20"/>
          <w:szCs w:val="20"/>
          <w:color w:val="auto"/>
        </w:rPr>
      </w:pPr>
    </w:p>
    <w:p>
      <w:pPr>
        <w:jc w:val="both"/>
        <w:ind w:firstLine="584"/>
        <w:spacing w:after="0" w:line="257" w:lineRule="auto"/>
        <w:rPr>
          <w:sz w:val="20"/>
          <w:szCs w:val="20"/>
          <w:color w:val="auto"/>
        </w:rPr>
      </w:pPr>
      <w:r>
        <w:rPr>
          <w:rFonts w:ascii="Arial" w:cs="Arial" w:eastAsia="Arial" w:hAnsi="Arial"/>
          <w:sz w:val="18"/>
          <w:szCs w:val="18"/>
          <w:color w:val="231F20"/>
        </w:rPr>
        <w:t>In addition to our 14-color immunoprofiling kit launched in December 2020, which is designed to distinguish different subsets of T, B and natural killer (“TBNK”) cells, we launched our 25-color immunoprofiling assay in October 2021 to provide a turnkey solution for identifying major human immune subpopulations for TBNK cells, monocytes, dendritic cells, and basophils – all of which play important roles in the innate and adaptive immune response in various diseases. Both of these products are optimized for use with our Aurora system and designed to simplify the workflow for our customers.</w:t>
      </w:r>
    </w:p>
    <w:p>
      <w:pPr>
        <w:spacing w:after="0" w:line="80" w:lineRule="exact"/>
        <w:rPr>
          <w:sz w:val="20"/>
          <w:szCs w:val="20"/>
          <w:color w:val="auto"/>
        </w:rPr>
      </w:pPr>
    </w:p>
    <w:p>
      <w:pPr>
        <w:jc w:val="both"/>
        <w:ind w:firstLine="584"/>
        <w:spacing w:after="0" w:line="257" w:lineRule="auto"/>
        <w:rPr>
          <w:sz w:val="20"/>
          <w:szCs w:val="20"/>
          <w:color w:val="auto"/>
        </w:rPr>
      </w:pPr>
      <w:r>
        <w:rPr>
          <w:rFonts w:ascii="Arial" w:cs="Arial" w:eastAsia="Arial" w:hAnsi="Arial"/>
          <w:sz w:val="18"/>
          <w:szCs w:val="18"/>
          <w:color w:val="231F20"/>
        </w:rPr>
        <w:t>Our Class 1 registered single-color reagents are sold in China and we are evaluating 6-color reagent cocktails that identify and determine the percentages and absolute counts of TBNK cells in peripheral blood (“TBNK reagents”). The TBNK reagent clinical studies have been completed with data from 700 patients. We are currently planning to seek Class 3 registration with China National Medical Products Administration (NMPA). We expect these recent and planned reagent and application solutions to be a significant driver of our future reagent revenue and pull-through as our installed base of instruments grows.</w:t>
      </w:r>
    </w:p>
    <w:p>
      <w:pPr>
        <w:spacing w:after="0" w:line="80" w:lineRule="exact"/>
        <w:rPr>
          <w:sz w:val="20"/>
          <w:szCs w:val="20"/>
          <w:color w:val="auto"/>
        </w:rPr>
      </w:pPr>
    </w:p>
    <w:p>
      <w:pPr>
        <w:jc w:val="both"/>
        <w:ind w:firstLine="584"/>
        <w:spacing w:after="0" w:line="277" w:lineRule="auto"/>
        <w:rPr>
          <w:sz w:val="20"/>
          <w:szCs w:val="20"/>
          <w:color w:val="auto"/>
        </w:rPr>
      </w:pPr>
      <w:r>
        <w:rPr>
          <w:rFonts w:ascii="Arial" w:cs="Arial" w:eastAsia="Arial" w:hAnsi="Arial"/>
          <w:sz w:val="18"/>
          <w:szCs w:val="18"/>
          <w:color w:val="231F20"/>
        </w:rPr>
        <w:t xml:space="preserve">To help accelerate our overarching goal to become a comprehensive solutions provider to our customers, we acquired the reagents business of </w:t>
      </w:r>
      <w:r>
        <w:rPr>
          <w:rFonts w:ascii="Arial" w:cs="Arial" w:eastAsia="Arial" w:hAnsi="Arial"/>
          <w:sz w:val="18"/>
          <w:szCs w:val="18"/>
          <w:color w:val="000000"/>
        </w:rPr>
        <w:t xml:space="preserve">Tonbo Biotechnologies Corporation </w:t>
      </w:r>
      <w:r>
        <w:rPr>
          <w:rFonts w:ascii="Arial" w:cs="Arial" w:eastAsia="Arial" w:hAnsi="Arial"/>
          <w:sz w:val="18"/>
          <w:szCs w:val="18"/>
          <w:color w:val="231F20"/>
        </w:rPr>
        <w:t>in November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Automated Micro-Sampling System and Automated Sample Loader System</w:t>
      </w:r>
    </w:p>
    <w:p>
      <w:pPr>
        <w:spacing w:after="0" w:line="108" w:lineRule="exact"/>
        <w:rPr>
          <w:sz w:val="20"/>
          <w:szCs w:val="20"/>
          <w:color w:val="auto"/>
        </w:rPr>
      </w:pPr>
    </w:p>
    <w:p>
      <w:pPr>
        <w:jc w:val="both"/>
        <w:ind w:firstLine="584"/>
        <w:spacing w:after="0" w:line="291" w:lineRule="auto"/>
        <w:rPr>
          <w:sz w:val="20"/>
          <w:szCs w:val="20"/>
          <w:color w:val="auto"/>
        </w:rPr>
      </w:pPr>
      <w:r>
        <w:rPr>
          <w:rFonts w:ascii="Arial" w:cs="Arial" w:eastAsia="Arial" w:hAnsi="Arial"/>
          <w:sz w:val="16"/>
          <w:szCs w:val="16"/>
          <w:color w:val="231F20"/>
        </w:rPr>
        <w:t>Our Automated Micro-Sampling (“AMS”) system and Automated Sample Loader (“ASL”) system were commercially launched in 2018 and 2021, respectively. The AMS and ASL systems are automated plate loaders designed to integrate seamlessly into the Aurora and Northern Lights systems to increase sample throughput and add automation capabilities while using our FSP systems. The systems offer preset and fully customizable settings that allow the loader to be fine-tuned to each researcher’s experimental requirements. Their reliable 96-well plate acquisition solution maximizes productivity. The ASL also provides compatibility with 40-tube racks and suggested settings for each carrier type, which are fully customizable for unique applications and cell types to provide added versatility to researchers. Both systems have three throughput modes (high- throughput, default, low carryover) to meet changing customer priorities and provide optional automation capability for our Aurora and Northern Lights systems.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SpectroFlo® Software</w:t>
      </w:r>
    </w:p>
    <w:p>
      <w:pPr>
        <w:spacing w:after="0" w:line="108" w:lineRule="exact"/>
        <w:rPr>
          <w:sz w:val="20"/>
          <w:szCs w:val="20"/>
          <w:color w:val="auto"/>
        </w:rPr>
      </w:pPr>
    </w:p>
    <w:p>
      <w:pPr>
        <w:jc w:val="both"/>
        <w:ind w:firstLine="584"/>
        <w:spacing w:after="0" w:line="254" w:lineRule="auto"/>
        <w:rPr>
          <w:sz w:val="20"/>
          <w:szCs w:val="20"/>
          <w:color w:val="auto"/>
        </w:rPr>
      </w:pPr>
      <w:r>
        <w:rPr>
          <w:rFonts w:ascii="Arial" w:cs="Arial" w:eastAsia="Arial" w:hAnsi="Arial"/>
          <w:sz w:val="18"/>
          <w:szCs w:val="18"/>
          <w:color w:val="231F20"/>
        </w:rPr>
        <w:t>Our proprietary SpectroFlo® software is integrated into our systems and is unique in that it offers an intuitive workflow from quality control to data analysis for our Aurora and Northern Lights systems. The software was developed specifically to streamline assay setup, data acquisition and file export and includes an automated quality control module. With the ability to import a previously designed experiment template, users are able to quickly set up their experiments and there is no need to re-enter or recreate controls, acquisition criteria, reagent information or data analysis worksheets. With our SpectroFlo® software, users can conveniently and efficiently achieve live unmixing during acquisitions, autofluorescence extraction and obtain raw and unmixed FCS 3.1 files, the data standard for flow cytometry. With the SpectroFlo® experiment workflow, users can start an experiment and gain data in three simple guided steps.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Customer Support Tools</w:t>
      </w:r>
    </w:p>
    <w:p>
      <w:pPr>
        <w:spacing w:after="0" w:line="108" w:lineRule="exact"/>
        <w:rPr>
          <w:sz w:val="20"/>
          <w:szCs w:val="20"/>
          <w:color w:val="auto"/>
        </w:rPr>
      </w:pPr>
    </w:p>
    <w:p>
      <w:pPr>
        <w:jc w:val="both"/>
        <w:ind w:firstLine="584"/>
        <w:spacing w:after="0" w:line="263" w:lineRule="auto"/>
        <w:rPr>
          <w:sz w:val="20"/>
          <w:szCs w:val="20"/>
          <w:color w:val="auto"/>
        </w:rPr>
      </w:pPr>
      <w:r>
        <w:rPr>
          <w:rFonts w:ascii="Arial" w:cs="Arial" w:eastAsia="Arial" w:hAnsi="Arial"/>
          <w:sz w:val="18"/>
          <w:szCs w:val="18"/>
          <w:color w:val="231F20"/>
        </w:rPr>
        <w:t>We strive to continually innovate by developing new quantitative tools, which are integrated into our software or available to our customers on our website, to enable users to independently create high- color panels for use with our systems, to support efficient workflow solutions and to provide an intuitive user experience. As fluorochrome (color) selection is a key component of assay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 w:name="page10"/>
    <w:bookmarkEnd w:id="9"/>
    <w:p>
      <w:pPr>
        <w:jc w:val="both"/>
        <w:spacing w:after="0" w:line="271" w:lineRule="auto"/>
        <w:rPr>
          <w:sz w:val="20"/>
          <w:szCs w:val="20"/>
          <w:color w:val="auto"/>
        </w:rPr>
      </w:pPr>
      <w:r>
        <w:rPr>
          <w:rFonts w:ascii="Arial" w:cs="Arial" w:eastAsia="Arial" w:hAnsi="Arial"/>
          <w:sz w:val="17"/>
          <w:szCs w:val="17"/>
          <w:color w:val="231F20"/>
        </w:rPr>
        <w:t>development and optimization, our full spectrum viewer is a unique tool capable of displaying the full emission spectrum of a fluorochrome (emission at different wavelengths post-excitation with multiple lasers). Our FSP technology provides an in-depth understanding of the fluorescence emission characteristics of nearly every color available in the market and our full spectrum viewer provides users with comprehensive information regarding emission characteristics of the fluorochromes to optimize fluorochrome selection for assay development. As a complementary tool to our full spectrum viewer, we have developed the Similarity and the Complexity indices, which provide unique metrics for assessing fluorochrome compatibility within a panel. The Similarity index compares the emission spectrum of two dyes, identifying whether the dyes have unique characteristics or if the dyes are identical, which determines whether they can be used together to analyze a sample in a flow cytometry assay. The Complexity index is a metric that predicts how well a panel of colors will work in combination to minimize loss of resolution and sensitivity.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DxP Athena™</w:t>
      </w:r>
    </w:p>
    <w:p>
      <w:pPr>
        <w:spacing w:after="0" w:line="108" w:lineRule="exact"/>
        <w:rPr>
          <w:sz w:val="20"/>
          <w:szCs w:val="20"/>
          <w:color w:val="auto"/>
        </w:rPr>
      </w:pPr>
    </w:p>
    <w:p>
      <w:pPr>
        <w:jc w:val="both"/>
        <w:ind w:firstLine="584"/>
        <w:spacing w:after="0" w:line="257" w:lineRule="auto"/>
        <w:rPr>
          <w:sz w:val="20"/>
          <w:szCs w:val="20"/>
          <w:color w:val="auto"/>
        </w:rPr>
      </w:pPr>
      <w:r>
        <w:rPr>
          <w:rFonts w:ascii="Arial" w:cs="Arial" w:eastAsia="Arial" w:hAnsi="Arial"/>
          <w:sz w:val="18"/>
          <w:szCs w:val="18"/>
          <w:color w:val="231F20"/>
        </w:rPr>
        <w:t>Our DxP Athena conventional flow cytometry system commercially launched in 2016 and is currently available for sale only in China. It is certified for clinical use by China NMPA. The DxP Athena system incorporates DxP technology with efficient PMTs to enable high sensitivity and high resolution and our proprietary QbSure software to ensure optimal daily instrument performance. The system is available in multiple configurations with one to three lasers and up to 13 fluorescence detection channels. The automated monthly clean bleach cycle minimizes downtime, streamlines maintenance and encourages compliance.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SALES AND MARKETING</w:t>
      </w:r>
    </w:p>
    <w:p>
      <w:pPr>
        <w:spacing w:after="0" w:line="108" w:lineRule="exact"/>
        <w:rPr>
          <w:sz w:val="20"/>
          <w:szCs w:val="20"/>
          <w:color w:val="auto"/>
        </w:rPr>
      </w:pPr>
    </w:p>
    <w:p>
      <w:pPr>
        <w:jc w:val="both"/>
        <w:ind w:firstLine="584"/>
        <w:spacing w:after="0" w:line="259" w:lineRule="auto"/>
        <w:rPr>
          <w:sz w:val="20"/>
          <w:szCs w:val="20"/>
          <w:color w:val="auto"/>
        </w:rPr>
      </w:pPr>
      <w:r>
        <w:rPr>
          <w:rFonts w:ascii="Arial" w:cs="Arial" w:eastAsia="Arial" w:hAnsi="Arial"/>
          <w:sz w:val="18"/>
          <w:szCs w:val="18"/>
          <w:color w:val="231F20"/>
        </w:rPr>
        <w:t>We distribute our products through our direct sales force and support organizations located in North America, Europe, China and several countries in the Asia-Pacific region, and through distributors or sales agents in several countries in Europe, Latin America, the Middle East and the Asia-Pacific region. Our sales and marketing efforts are targeted at academic and governmental institutions, CROs, pharmaceutical and biotechnology companies and clinical laboratories focused on single-cell analysis.</w:t>
      </w:r>
    </w:p>
    <w:p>
      <w:pPr>
        <w:spacing w:after="0" w:line="79" w:lineRule="exact"/>
        <w:rPr>
          <w:sz w:val="20"/>
          <w:szCs w:val="20"/>
          <w:color w:val="auto"/>
        </w:rPr>
      </w:pPr>
    </w:p>
    <w:p>
      <w:pPr>
        <w:jc w:val="both"/>
        <w:ind w:firstLine="584"/>
        <w:spacing w:after="0" w:line="275" w:lineRule="auto"/>
        <w:rPr>
          <w:sz w:val="20"/>
          <w:szCs w:val="20"/>
          <w:color w:val="auto"/>
        </w:rPr>
      </w:pPr>
      <w:r>
        <w:rPr>
          <w:rFonts w:ascii="Arial" w:cs="Arial" w:eastAsia="Arial" w:hAnsi="Arial"/>
          <w:sz w:val="17"/>
          <w:szCs w:val="17"/>
          <w:color w:val="231F20"/>
        </w:rPr>
        <w:t>Our sales process often involves interactions and demonstrations with multiple people within an organization. Some potential customers conduct in-depth evaluations of the system, including running experiments on our system and competing systems. In addition, in many countries outside of North America, sales to academic or governmental institutions require participation in a tender process involving preparation of extensive documentation and a lengthy review process. As a result of these factors and the budget cycles of our customers, the sales cycle on our instrument, the time from initial contact with a customer to our receipt of a purchase order, can be six months or longer.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MANUFACTURING AND SUPPLY</w:t>
      </w:r>
    </w:p>
    <w:p>
      <w:pPr>
        <w:spacing w:after="0" w:line="108" w:lineRule="exact"/>
        <w:rPr>
          <w:sz w:val="20"/>
          <w:szCs w:val="20"/>
          <w:color w:val="auto"/>
        </w:rPr>
      </w:pPr>
    </w:p>
    <w:p>
      <w:pPr>
        <w:jc w:val="both"/>
        <w:ind w:firstLine="584"/>
        <w:spacing w:after="0" w:line="259" w:lineRule="auto"/>
        <w:rPr>
          <w:sz w:val="20"/>
          <w:szCs w:val="20"/>
          <w:color w:val="auto"/>
        </w:rPr>
      </w:pPr>
      <w:r>
        <w:rPr>
          <w:rFonts w:ascii="Arial" w:cs="Arial" w:eastAsia="Arial" w:hAnsi="Arial"/>
          <w:sz w:val="17"/>
          <w:szCs w:val="17"/>
          <w:color w:val="231F20"/>
        </w:rPr>
        <w:t>Our manufacturing operations are located in Fremont and San Diego, California and Wuxi, China. We commenced manufacturing operations in Fremont, California in 2015. Our Fremont facility maintains ISO 9001 certification and manufactures our Aurora and Aurora CS systems, as well as our reagents and spare parts. Our Wuxi manufacturing facility commenced operations in 2017 and maintains ISO 9001 and ISO 13485 certification. Our Wuxi facility manufactures our Northern Lights and Athena instruments, reagents and spare parts and delivers certain instruments to our Fremont facilities for final assembly and testing. Our instruments and reagents for clinical use are currently manufactured only in our Wuxi facility.</w:t>
      </w:r>
    </w:p>
    <w:p>
      <w:pPr>
        <w:spacing w:after="0" w:line="66" w:lineRule="exact"/>
        <w:rPr>
          <w:sz w:val="20"/>
          <w:szCs w:val="20"/>
          <w:color w:val="auto"/>
        </w:rPr>
      </w:pPr>
    </w:p>
    <w:p>
      <w:pPr>
        <w:jc w:val="both"/>
        <w:ind w:firstLine="584"/>
        <w:spacing w:after="0" w:line="241" w:lineRule="auto"/>
        <w:rPr>
          <w:sz w:val="20"/>
          <w:szCs w:val="20"/>
          <w:color w:val="auto"/>
        </w:rPr>
      </w:pPr>
      <w:r>
        <w:rPr>
          <w:rFonts w:ascii="Arial" w:cs="Arial" w:eastAsia="Arial" w:hAnsi="Arial"/>
          <w:sz w:val="18"/>
          <w:szCs w:val="18"/>
          <w:color w:val="231F20"/>
        </w:rPr>
        <w:t>We established the manufacturing facility in Wuxi, China to take advantage of the skilled workforce, supplier and partner network, lower operating costs and available government support. We are able to hire skilled employees from China’s existing in vitro diagnostic and optical product industry. China also has a broad network of potential suppliers and partners for our manufacturing operations and we are able to locally source a large portion of the raw materials required for our manufacturing processes. We have received incentive grants from the local Wuxi government for research, development, and manufacturing.</w:t>
      </w:r>
    </w:p>
    <w:p>
      <w:pPr>
        <w:spacing w:after="0" w:line="81" w:lineRule="exact"/>
        <w:rPr>
          <w:sz w:val="20"/>
          <w:szCs w:val="20"/>
          <w:color w:val="auto"/>
        </w:rPr>
      </w:pPr>
    </w:p>
    <w:p>
      <w:pPr>
        <w:jc w:val="both"/>
        <w:ind w:firstLine="584"/>
        <w:spacing w:after="0" w:line="284" w:lineRule="auto"/>
        <w:rPr>
          <w:sz w:val="20"/>
          <w:szCs w:val="20"/>
          <w:color w:val="auto"/>
        </w:rPr>
      </w:pPr>
      <w:r>
        <w:rPr>
          <w:rFonts w:ascii="Arial" w:cs="Arial" w:eastAsia="Arial" w:hAnsi="Arial"/>
          <w:sz w:val="16"/>
          <w:szCs w:val="16"/>
          <w:color w:val="231F20"/>
        </w:rPr>
        <w:t>We believe that having dual sources for our core products would help mitigate the potential impact of a production disruption at any one of our facilities to ensure a reliable and stable supply chain and product availability for our customers. We relocated our Fremont headquarters and manufacturing facility in October 2021 to provide us with capacity expansion capability that would be sufficient to support our growth. We expect that our existing manufacturing capacity for instrumentation and reagents will be sufficient to meet our anticipated needs for at least the next several years.</w:t>
      </w:r>
    </w:p>
    <w:p>
      <w:pPr>
        <w:spacing w:after="0" w:line="47" w:lineRule="exact"/>
        <w:rPr>
          <w:sz w:val="20"/>
          <w:szCs w:val="20"/>
          <w:color w:val="auto"/>
        </w:rPr>
      </w:pPr>
    </w:p>
    <w:p>
      <w:pPr>
        <w:jc w:val="both"/>
        <w:ind w:firstLine="584"/>
        <w:spacing w:after="0" w:line="276" w:lineRule="auto"/>
        <w:rPr>
          <w:sz w:val="20"/>
          <w:szCs w:val="20"/>
          <w:color w:val="auto"/>
        </w:rPr>
      </w:pPr>
      <w:r>
        <w:rPr>
          <w:rFonts w:ascii="Arial" w:cs="Arial" w:eastAsia="Arial" w:hAnsi="Arial"/>
          <w:sz w:val="16"/>
          <w:szCs w:val="16"/>
          <w:color w:val="231F20"/>
        </w:rPr>
        <w:t>We rely on a limited number of suppliers for certain components and materials used in our systems. Key components in our products that are supplied by sole or limited source suppliers include certain lasers, semiconductors and mechanical components that are used in our optical, electrical and fluidic subassemblies. While we are in the process of qualifying additional sources of supply, qualifications can take 12 to 24 months and, in some cases, longer. If we were to lose one or more of our sole or limited source suppliers, it would take significant time and effort to qualify alternative suppliers. With respect to many of our suppliers, we are neither a major customer, nor do we have long term supply contracts. These suppliers may therefore give other customers’ needs higher priority than ours, and we may not be able to obtain adequate supply in a timely manner or on commercially reasonable terms.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231F20"/>
        </w:rPr>
        <w:t>COMPETITION</w:t>
      </w:r>
    </w:p>
    <w:p>
      <w:pPr>
        <w:spacing w:after="0" w:line="108" w:lineRule="exact"/>
        <w:rPr>
          <w:sz w:val="20"/>
          <w:szCs w:val="20"/>
          <w:color w:val="auto"/>
        </w:rPr>
      </w:pPr>
    </w:p>
    <w:p>
      <w:pPr>
        <w:jc w:val="both"/>
        <w:ind w:firstLine="584"/>
        <w:spacing w:after="0" w:line="271" w:lineRule="auto"/>
        <w:rPr>
          <w:sz w:val="20"/>
          <w:szCs w:val="20"/>
          <w:color w:val="auto"/>
        </w:rPr>
      </w:pPr>
      <w:r>
        <w:rPr>
          <w:rFonts w:ascii="Arial" w:cs="Arial" w:eastAsia="Arial" w:hAnsi="Arial"/>
          <w:sz w:val="16"/>
          <w:szCs w:val="16"/>
          <w:color w:val="231F20"/>
        </w:rPr>
        <w:t>We face significant competition from within the life sciences tools market. We currently compete with established and emerging life sciences companies developing or commercializing flow cytometry and mass cytometry instruments, as well as other companies that design, manufacture and market instruments, consumables, reagent kits and software for, among other applications, cell analysis, immunophenotyping, cell sorting and/or provide services related to the same. Our direct competitors include Agilent Technologies, Beckman Coulter (Danaher Corporation), Becton, Dickinson and Company, Bio-Rad Laboratories, Fluidigm Corporation, Miltenyi Biotec, Sony Biotechnology (Sony Corporation) and Thermo Fisher Scientific. Our target customers may also elect to develop their workflows on CFCs, or using traditional methods, rather than implementing our platform and may decide to stop using our platform. In addition, there are many large, established companies in the life sciences tools market that we do not currently compete with but that could develop instruments, tools or other products that will compete with us in the future. These companies have substantially greater financial and other resources than us, including larger research and development staff or more established marketing and sales forces.</w:t>
      </w:r>
    </w:p>
    <w:p>
      <w:pPr>
        <w:spacing w:after="0" w:line="142" w:lineRule="exact"/>
        <w:rPr>
          <w:sz w:val="20"/>
          <w:szCs w:val="20"/>
          <w:color w:val="auto"/>
        </w:rPr>
      </w:pPr>
    </w:p>
    <w:p>
      <w:pPr>
        <w:jc w:val="both"/>
        <w:ind w:firstLine="584"/>
        <w:spacing w:after="0" w:line="248" w:lineRule="auto"/>
        <w:rPr>
          <w:sz w:val="20"/>
          <w:szCs w:val="20"/>
          <w:color w:val="auto"/>
        </w:rPr>
      </w:pPr>
      <w:r>
        <w:rPr>
          <w:rFonts w:ascii="Arial" w:cs="Arial" w:eastAsia="Arial" w:hAnsi="Arial"/>
          <w:sz w:val="18"/>
          <w:szCs w:val="18"/>
          <w:color w:val="231F20"/>
        </w:rPr>
        <w:t>For further discussion of the risks we face relating to competition, see the section titled “Risk factors— Risks Related to Our Business and Strategy —The market for cell analysis technologies and life sciences tools, including flow cytometry, is highly competitive, and if we cannot compete successfully with our competitors, we may be unable to increase or sustain our revenue, or achieve and sustain profitability.”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INTELLECTUAL PROPERTY</w:t>
      </w:r>
    </w:p>
    <w:p>
      <w:pPr>
        <w:spacing w:after="0" w:line="108" w:lineRule="exact"/>
        <w:rPr>
          <w:sz w:val="20"/>
          <w:szCs w:val="20"/>
          <w:color w:val="auto"/>
        </w:rPr>
      </w:pPr>
    </w:p>
    <w:p>
      <w:pPr>
        <w:jc w:val="both"/>
        <w:ind w:firstLine="584"/>
        <w:spacing w:after="0" w:line="270" w:lineRule="auto"/>
        <w:rPr>
          <w:sz w:val="20"/>
          <w:szCs w:val="20"/>
          <w:color w:val="auto"/>
        </w:rPr>
      </w:pPr>
      <w:r>
        <w:rPr>
          <w:rFonts w:ascii="Arial" w:cs="Arial" w:eastAsia="Arial" w:hAnsi="Arial"/>
          <w:sz w:val="16"/>
          <w:szCs w:val="16"/>
          <w:color w:val="231F20"/>
        </w:rPr>
        <w:t>Our commercial success depends in part on our ability to obtain and maintain patent and other proprietary protection for our commercially important technology, inventions and know-how; to defend and enforce our parents; to operate without infringing, misappropriating or violating our proprietary rights. We have developed our own portfolio of issued patents and patent applications directed at our core and system level technology, including claims directed to methods and apparatus of flow cytometers and cell sorters with excitation, fluidics, emission, mechanical, magnetic, electronics, bio-safety and temperature control technology in configurations of our Aurora, Aurora CS, Northern Lights and Northern Lights CLC systems. We generally seek patent protection in the United States, Japan, China and selected countries of the European Union, such as France, Germany and the United Kingdom. Notwithstanding these efforts, we cannot be sure that patents will be granted with respect to any patent applications we have filed or may license or file in the future, and we cannot be sure that any patents we own or license or patents that may be licensed or granted to us in the future will not be challenged, invalidated or circumvented or that such patents will be commercially useful in protecting our technology. For more information regarding the risks related to our intellectual property, please see “Risk Factors—Risks Related to Our Intellectual Property.”</w:t>
      </w:r>
    </w:p>
    <w:p>
      <w:pPr>
        <w:spacing w:after="0" w:line="144" w:lineRule="exact"/>
        <w:rPr>
          <w:sz w:val="20"/>
          <w:szCs w:val="20"/>
          <w:color w:val="auto"/>
        </w:rPr>
      </w:pPr>
    </w:p>
    <w:p>
      <w:pPr>
        <w:jc w:val="both"/>
        <w:ind w:firstLine="584"/>
        <w:spacing w:after="0" w:line="253" w:lineRule="auto"/>
        <w:rPr>
          <w:sz w:val="20"/>
          <w:szCs w:val="20"/>
          <w:color w:val="auto"/>
        </w:rPr>
      </w:pPr>
      <w:r>
        <w:rPr>
          <w:rFonts w:ascii="Arial" w:cs="Arial" w:eastAsia="Arial" w:hAnsi="Arial"/>
          <w:sz w:val="17"/>
          <w:szCs w:val="17"/>
          <w:color w:val="231F20"/>
        </w:rPr>
        <w:t>As of December 31, 2021, we own ten issued U.S. utility patents and one issued Japan utility patent. We have 34 pending utility patent applications, including 18 utility patent applications in the United States, six utility patent applications in the European Union, six utility patent applications in China and four utility patent applications in Japan. In April 2021, we filed two different provisional patent applications in the United States directed to technology integrated into our cell sorter. In November 2021, we filed a provisional patent application in the United States directed to scattered light detection technology. Assuming all maintenance fees are paid, the U.S. issued patents are expected to naturally expire between years 2023 and 2038.Patents covering intellectual property relating to design specific technologies invented by our researchers in Shanghai and Wuxi, China are filed in China and owned by our China subsidiaries, respectively. As of December 31, 2021, our Shanghai subsidiary owns 14 issued utility patents and has 9 pending invention patent applications, and our Wuxi subsidiary owns 19 issued patents and has 16 pending patent applications, including nine pending utility patent applications and seven pending invention patent applications.</w:t>
      </w:r>
    </w:p>
    <w:p>
      <w:pPr>
        <w:spacing w:after="0" w:line="143" w:lineRule="exact"/>
        <w:rPr>
          <w:sz w:val="20"/>
          <w:szCs w:val="20"/>
          <w:color w:val="auto"/>
        </w:rPr>
      </w:pPr>
    </w:p>
    <w:p>
      <w:pPr>
        <w:jc w:val="both"/>
        <w:ind w:firstLine="578"/>
        <w:spacing w:after="0" w:line="286" w:lineRule="auto"/>
        <w:rPr>
          <w:sz w:val="20"/>
          <w:szCs w:val="20"/>
          <w:color w:val="auto"/>
        </w:rPr>
      </w:pPr>
      <w:r>
        <w:rPr>
          <w:rFonts w:ascii="Arial" w:cs="Arial" w:eastAsia="Arial" w:hAnsi="Arial"/>
          <w:sz w:val="16"/>
          <w:szCs w:val="16"/>
          <w:color w:val="231F20"/>
        </w:rPr>
        <w:t>To our knowledge, there are no third party claims or contested proceedings with the issued patents or pending patent applications other than the ordinary course proceedings with pending patent applications before the respective patent offices. However, the patent positions of companies like ours are generally uncertain and involve complex legal and factual questions. Our patents may not enable us to obtain or keep any competitive advantage. Our pending U.S. and foreign patent applications may not issue as patents or may not issue in a form that will be advantageous to us. Any patents we have obtained or do obtain may be challenged by re-examination, opposition or other administrative proceeding, or may be challenged in litigation, and such challenges could result in a determination that the patent is invalid. In addition, competitors may be able to design alternative methods or devices that avoid infringement of our patents. Furthermore, numerous U.S. and foreign-issued patents and patent applications owned by third parties exist in the fields in which our products compete. Because patent applications can take many years to publish, there may be applications unknown to us, which may result in issued patents that our existing or future products or technologies may be alleged to infringe. To the extent our intellectual property protection offers inadequate protection, or is found to be invalid,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 Furthermore, the laws of some foreign countries may not protect our intellectual property rights to the same extent as do the laws of the United States.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 w:name="page12"/>
    <w:bookmarkEnd w:id="11"/>
    <w:p>
      <w:pPr>
        <w:jc w:val="both"/>
        <w:ind w:firstLine="578"/>
        <w:spacing w:after="0" w:line="296" w:lineRule="auto"/>
        <w:rPr>
          <w:sz w:val="20"/>
          <w:szCs w:val="20"/>
          <w:color w:val="auto"/>
        </w:rPr>
      </w:pPr>
      <w:r>
        <w:rPr>
          <w:rFonts w:ascii="Arial" w:cs="Arial" w:eastAsia="Arial" w:hAnsi="Arial"/>
          <w:sz w:val="16"/>
          <w:szCs w:val="16"/>
          <w:color w:val="231F20"/>
        </w:rPr>
        <w:t>In addition to pursuing patents on our technology, we have taken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w:t>
      </w:r>
    </w:p>
    <w:p>
      <w:pPr>
        <w:spacing w:after="0" w:line="134" w:lineRule="exact"/>
        <w:rPr>
          <w:sz w:val="20"/>
          <w:szCs w:val="20"/>
          <w:color w:val="auto"/>
        </w:rPr>
      </w:pPr>
    </w:p>
    <w:p>
      <w:pPr>
        <w:jc w:val="both"/>
        <w:ind w:firstLine="578"/>
        <w:spacing w:after="0" w:line="270" w:lineRule="auto"/>
        <w:rPr>
          <w:sz w:val="20"/>
          <w:szCs w:val="20"/>
          <w:color w:val="auto"/>
        </w:rPr>
      </w:pPr>
      <w:r>
        <w:rPr>
          <w:rFonts w:ascii="Arial" w:cs="Arial" w:eastAsia="Arial" w:hAnsi="Arial"/>
          <w:sz w:val="17"/>
          <w:szCs w:val="17"/>
          <w:color w:val="231F20"/>
        </w:rPr>
        <w:t>Our commercial success may depend in part on our non-infringement of the patents or proprietary rights of third parties. Third parties have asserted and may assert in the future that we are employing their proprietary technology without authorization. Competitors may assert that our products infringe their intellectual property rights as part of a business strategy to impede our successful entry into those markets and there has been substantial litigation regarding patent and other intellectual property rights in the medical device industry. In addition, our competitors and others may have patents or may in the future obtain patents and claim that use of our products infringes these patents. We could incur substantial costs and divert the attention of our management and technical personnel in defending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obtain one or more licenses from third parties, or be prohibited from selling certain products. We may not be able to obtain these licenses at a reasonable cost, if at all.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AGREEMENTS, LICENSES AND COLLABORATIONS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Biotium, Inc. Supply and License Agreement</w:t>
      </w:r>
    </w:p>
    <w:p>
      <w:pPr>
        <w:spacing w:after="0" w:line="108" w:lineRule="exact"/>
        <w:rPr>
          <w:sz w:val="20"/>
          <w:szCs w:val="20"/>
          <w:color w:val="auto"/>
        </w:rPr>
      </w:pPr>
    </w:p>
    <w:p>
      <w:pPr>
        <w:jc w:val="both"/>
        <w:ind w:firstLine="578"/>
        <w:spacing w:after="0" w:line="258" w:lineRule="auto"/>
        <w:rPr>
          <w:sz w:val="20"/>
          <w:szCs w:val="20"/>
          <w:color w:val="auto"/>
        </w:rPr>
      </w:pPr>
      <w:r>
        <w:rPr>
          <w:rFonts w:ascii="Arial" w:cs="Arial" w:eastAsia="Arial" w:hAnsi="Arial"/>
          <w:sz w:val="18"/>
          <w:szCs w:val="18"/>
          <w:color w:val="231F20"/>
        </w:rPr>
        <w:t>On September 1, 2020, we entered into a Supply and License Agreement with Biotium, Inc. (“Biotium”) pursuant to which Biotium agreed to supply, and we obtained a worldwide, non-exclusive license to market and</w:t>
      </w:r>
    </w:p>
    <w:p>
      <w:pPr>
        <w:spacing w:after="0" w:line="1" w:lineRule="exact"/>
        <w:rPr>
          <w:sz w:val="20"/>
          <w:szCs w:val="20"/>
          <w:color w:val="auto"/>
        </w:rPr>
      </w:pPr>
    </w:p>
    <w:p>
      <w:pPr>
        <w:jc w:val="both"/>
        <w:ind w:firstLine="47"/>
        <w:spacing w:after="0" w:line="268" w:lineRule="auto"/>
        <w:rPr>
          <w:sz w:val="20"/>
          <w:szCs w:val="20"/>
          <w:color w:val="auto"/>
        </w:rPr>
      </w:pPr>
      <w:r>
        <w:rPr>
          <w:rFonts w:ascii="Arial" w:cs="Arial" w:eastAsia="Arial" w:hAnsi="Arial"/>
          <w:sz w:val="17"/>
          <w:szCs w:val="17"/>
          <w:color w:val="231F20"/>
        </w:rPr>
        <w:t>resell to our customers and distributors, certain Biotium products to conjugate proteins and/or antibodies and to use such conjugates as a component in our cFluor reagent products, for research and analyte specific reagents (as defined by 21 CFR 864.4020) use only (the “Field of Use”) (the “Biotium Agreement”). In consideration for such rights, we paid Biotium an upfront fee of $20,000 and will pay Biotium royalties at a mid-to-high single digit percentage rate on worldwide net sales on licensed products within the Field of Use. The Biotium Agreement terminates on the expiration of the last to expire of the valid claims of the Biotium patents subject to the Biotium Agreement. Either party may terminate the Biotium Agreement for the other party’s bankruptcy or uncured material breach or if no Biotium product is purchased for an extended period; however, if such termination is by Biotium, we will have the opportunity to make a purchase following written notice from Biotium to avoid such termination. Our license under the Biotium Agreement does not include diagnostic use, which may be added through an amendment and additional payment to Biotium.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Becton, Dickinson and Company Settlement, License and Equity Issuance Agreement</w:t>
      </w:r>
    </w:p>
    <w:p>
      <w:pPr>
        <w:spacing w:after="0" w:line="108" w:lineRule="exact"/>
        <w:rPr>
          <w:sz w:val="20"/>
          <w:szCs w:val="20"/>
          <w:color w:val="auto"/>
        </w:rPr>
      </w:pPr>
    </w:p>
    <w:p>
      <w:pPr>
        <w:jc w:val="both"/>
        <w:ind w:firstLine="584"/>
        <w:spacing w:after="0" w:line="253" w:lineRule="auto"/>
        <w:rPr>
          <w:sz w:val="20"/>
          <w:szCs w:val="20"/>
          <w:color w:val="auto"/>
        </w:rPr>
      </w:pPr>
      <w:r>
        <w:rPr>
          <w:rFonts w:ascii="Arial" w:cs="Arial" w:eastAsia="Arial" w:hAnsi="Arial"/>
          <w:sz w:val="17"/>
          <w:szCs w:val="17"/>
          <w:color w:val="231F20"/>
        </w:rPr>
        <w:t>On February 13, 2018, BD filed a lawsuit against us alleging trade secret misappropriation and copyright infringement. On October 6, 2020, we entered into a Settlement, License and Equity Issuance Agreement with BD pursuant to which we and BD agreed to a mutual release of all claims against each other as of the date thereof (the “BD Agreement”). As part of the settlement, BD granted us a non-exclusive, irrevocable, perpetual, worldwide, and non-transferrable license to certain BD patents and covenanted that it would not enforce, or permit or encourage the enforcement of BD patents against us or our affiliates in connection with the development, manufacture, use, importation, offer for sale or sale of our then-current instruments. In exchange, we agreed that we and our affiliates would not dispute or challenge in a legal proceeding the validity, enforceability or scope of the applicable BD patent claims and agreed to make certain payments to BD, including (i) a one-time upfront payment of $2.0 million, (ii) a low single digit royalty payment for ten years, based on net sales of certain of our products, (iii) a $6.0 million milestone payment upon the occurrence of a certain sales threshold, and (iv) a specified payment upon the closing of a change of control transaction, if any. We also issued 2,087,545 shares of our common stock to BD during the year ended December 31, 2020 in connection with the BD settlement.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Coherent NA, Inc. Supply Agreement</w:t>
      </w:r>
    </w:p>
    <w:p>
      <w:pPr>
        <w:spacing w:after="0" w:line="108" w:lineRule="exact"/>
        <w:rPr>
          <w:sz w:val="20"/>
          <w:szCs w:val="20"/>
          <w:color w:val="auto"/>
        </w:rPr>
      </w:pPr>
    </w:p>
    <w:p>
      <w:pPr>
        <w:jc w:val="both"/>
        <w:ind w:firstLine="584"/>
        <w:spacing w:after="0" w:line="257" w:lineRule="auto"/>
        <w:rPr>
          <w:sz w:val="20"/>
          <w:szCs w:val="20"/>
          <w:color w:val="auto"/>
        </w:rPr>
      </w:pPr>
      <w:r>
        <w:rPr>
          <w:rFonts w:ascii="Arial" w:cs="Arial" w:eastAsia="Arial" w:hAnsi="Arial"/>
          <w:sz w:val="17"/>
          <w:szCs w:val="17"/>
          <w:color w:val="231F20"/>
        </w:rPr>
        <w:t>On August 25, 2021, we and Cytek (Wuxi) Biosciences Co., Ltd, our Wuxi, China subsidiary, entered into a Supply Agreement (the “Coherent Agreement”) with Coherent NA, Inc. (“Coherent”) pursuant to which Coherent agreed to sell and supply to us, on a non-exclusive basis, laser products manufactured by Coherent. We provide Coherent with rolling forecasts of our anticipated orders, which are non-binding. We do not have a minimum purchase obligation pursuant to the Coherent Agreement. The Coherent Agreement has an initial term of three years and will automatically renew for a subsequent one-year period unless either party provides written notice of non-renewal at least four (4) months prior to the expiration of the initial term. The Coherent Agreement may be terminated prior to the end of its term upon the occurrence of certain specified events.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231F20"/>
        </w:rPr>
        <w:t>HUMAN CAPITAL RESOURCES</w:t>
      </w:r>
    </w:p>
    <w:p>
      <w:pPr>
        <w:spacing w:after="0" w:line="108" w:lineRule="exact"/>
        <w:rPr>
          <w:sz w:val="20"/>
          <w:szCs w:val="20"/>
          <w:color w:val="auto"/>
        </w:rPr>
      </w:pPr>
    </w:p>
    <w:p>
      <w:pPr>
        <w:jc w:val="both"/>
        <w:ind w:firstLine="584"/>
        <w:spacing w:after="0"/>
        <w:rPr>
          <w:sz w:val="20"/>
          <w:szCs w:val="20"/>
          <w:color w:val="auto"/>
        </w:rPr>
      </w:pPr>
      <w:r>
        <w:rPr>
          <w:rFonts w:ascii="Arial" w:cs="Arial" w:eastAsia="Arial" w:hAnsi="Arial"/>
          <w:sz w:val="18"/>
          <w:szCs w:val="18"/>
          <w:color w:val="231F20"/>
        </w:rPr>
        <w:t>We are focused on developing innovative products to meet unmet market needs and maintaining a diverse and inclusive work environment where employees are respected and encouraged to share their unique perspectives and ideas. As of December 31, 2021, we had 502 employees, of which 496 are full-time employees, including 134 employees in research and development, 122 employees in sales and marketing, 195 employees in manufacturing and operations, and 51 employees in general and administrative. We believe that the success of our business will depend, in part, on our ability to attract and retain qualified personnel. Our employees are neither represented by a labor union nor party to a collective bargaining agreement and we believe that we have strong employee relations.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Culture and Values</w:t>
      </w:r>
    </w:p>
    <w:p>
      <w:pPr>
        <w:spacing w:after="0" w:line="108" w:lineRule="exact"/>
        <w:rPr>
          <w:sz w:val="20"/>
          <w:szCs w:val="20"/>
          <w:color w:val="auto"/>
        </w:rPr>
      </w:pPr>
    </w:p>
    <w:p>
      <w:pPr>
        <w:jc w:val="both"/>
        <w:ind w:firstLine="578"/>
        <w:spacing w:after="0" w:line="279" w:lineRule="auto"/>
        <w:rPr>
          <w:sz w:val="20"/>
          <w:szCs w:val="20"/>
          <w:color w:val="auto"/>
        </w:rPr>
      </w:pPr>
      <w:r>
        <w:rPr>
          <w:rFonts w:ascii="Arial" w:cs="Arial" w:eastAsia="Arial" w:hAnsi="Arial"/>
          <w:sz w:val="17"/>
          <w:szCs w:val="17"/>
          <w:color w:val="231F20"/>
        </w:rPr>
        <w:t>We seek to maintain high ethical standards and a culture that values honesty, integrity, accountability and transparency in all that we do. We are committed to our employees and to the communities we serve worldwide. It is our philosophy to foster open communication and our employees are encouraged to provide input on ways to improve our business strategy and tactics, work environment and organization. We believe that our ability to provide employees with a dynamic environment and professional growth opportunities drives a culture embedded in our values.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Business Ethics</w:t>
      </w:r>
    </w:p>
    <w:p>
      <w:pPr>
        <w:spacing w:after="0" w:line="108" w:lineRule="exact"/>
        <w:rPr>
          <w:sz w:val="20"/>
          <w:szCs w:val="20"/>
          <w:color w:val="auto"/>
        </w:rPr>
      </w:pPr>
    </w:p>
    <w:p>
      <w:pPr>
        <w:jc w:val="both"/>
        <w:ind w:firstLine="578"/>
        <w:spacing w:after="0" w:line="259" w:lineRule="auto"/>
        <w:rPr>
          <w:sz w:val="20"/>
          <w:szCs w:val="20"/>
          <w:color w:val="auto"/>
        </w:rPr>
      </w:pPr>
      <w:r>
        <w:rPr>
          <w:rFonts w:ascii="Arial" w:cs="Arial" w:eastAsia="Arial" w:hAnsi="Arial"/>
          <w:sz w:val="18"/>
          <w:szCs w:val="18"/>
          <w:color w:val="231F20"/>
        </w:rPr>
        <w:t>We are committed to conducting our business activities with employees, consultants, vendors, customers, communities and stockholders with integrity and fairness and in accordance with the highest ethical standards. We believe that our conduct has a direct impact on our reputation, our brand and our stakeholders. We are focused on ensuring that our legal, compliance and risk mitigation protocols further enhance our ability to comport ourselves with the highest levels of ethical standards.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Talent Attraction, Retention and Engagement</w:t>
      </w:r>
    </w:p>
    <w:p>
      <w:pPr>
        <w:spacing w:after="0" w:line="108" w:lineRule="exact"/>
        <w:rPr>
          <w:sz w:val="20"/>
          <w:szCs w:val="20"/>
          <w:color w:val="auto"/>
        </w:rPr>
      </w:pPr>
    </w:p>
    <w:p>
      <w:pPr>
        <w:jc w:val="both"/>
        <w:ind w:firstLine="578"/>
        <w:spacing w:after="0" w:line="275" w:lineRule="auto"/>
        <w:rPr>
          <w:sz w:val="20"/>
          <w:szCs w:val="20"/>
          <w:color w:val="auto"/>
        </w:rPr>
      </w:pPr>
      <w:r>
        <w:rPr>
          <w:rFonts w:ascii="Arial" w:cs="Arial" w:eastAsia="Arial" w:hAnsi="Arial"/>
          <w:sz w:val="17"/>
          <w:szCs w:val="17"/>
          <w:color w:val="231F20"/>
        </w:rPr>
        <w:t>By focusing on individual performance, as well as teamwork and collaboration, we believe that we foster an environment that helps employees excel as individuals and as team members. To further engage and incentivize our workforce, we offer programs and avenues for support, motivation and professional development. For example, we utilize both instructor-led training and online learning to deliver proprietary, targeted training courses designed to position our commercial organization as the leading cell analysis solutions provider. For our talent pipeline development, we work closely with individual business functions to provide training and hands-on support for managers and leaders.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Compensation Philosophy</w:t>
      </w:r>
    </w:p>
    <w:p>
      <w:pPr>
        <w:spacing w:after="0" w:line="108" w:lineRule="exact"/>
        <w:rPr>
          <w:sz w:val="20"/>
          <w:szCs w:val="20"/>
          <w:color w:val="auto"/>
        </w:rPr>
      </w:pPr>
    </w:p>
    <w:p>
      <w:pPr>
        <w:jc w:val="both"/>
        <w:ind w:firstLine="578"/>
        <w:spacing w:after="0" w:line="277" w:lineRule="auto"/>
        <w:rPr>
          <w:sz w:val="20"/>
          <w:szCs w:val="20"/>
          <w:color w:val="auto"/>
        </w:rPr>
      </w:pPr>
      <w:r>
        <w:rPr>
          <w:rFonts w:ascii="Arial" w:cs="Arial" w:eastAsia="Arial" w:hAnsi="Arial"/>
          <w:sz w:val="18"/>
          <w:szCs w:val="18"/>
          <w:color w:val="231F20"/>
        </w:rPr>
        <w:t>We strive to provide comprehensive compensation, including cash, equity, benefits and services that attract, motivate and retain exceptional employees. Compensation is driven by local market conditions, internal equity and employee performance.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Health and Wellness</w:t>
      </w:r>
    </w:p>
    <w:p>
      <w:pPr>
        <w:spacing w:after="0" w:line="108"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231F20"/>
        </w:rPr>
        <w:t>We offer a comprehensive package including: 401(k) plan with a company-match component, medical, dental and vision insurance, life insurance, short-and long-term disability insurance, 18 paid vacation days per year or flexible time off (depending on employee level), paid days for illness and family emergencies, and health savings and flexible spending accounts.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GOVERNMENT REGULATIONS</w:t>
      </w:r>
    </w:p>
    <w:p>
      <w:pPr>
        <w:spacing w:after="0" w:line="108" w:lineRule="exact"/>
        <w:rPr>
          <w:sz w:val="20"/>
          <w:szCs w:val="20"/>
          <w:color w:val="auto"/>
        </w:rPr>
      </w:pPr>
    </w:p>
    <w:p>
      <w:pPr>
        <w:jc w:val="both"/>
        <w:ind w:firstLine="584"/>
        <w:spacing w:after="0" w:line="255" w:lineRule="auto"/>
        <w:rPr>
          <w:sz w:val="20"/>
          <w:szCs w:val="20"/>
          <w:color w:val="auto"/>
        </w:rPr>
      </w:pPr>
      <w:r>
        <w:rPr>
          <w:rFonts w:ascii="Arial" w:cs="Arial" w:eastAsia="Arial" w:hAnsi="Arial"/>
          <w:sz w:val="18"/>
          <w:szCs w:val="18"/>
          <w:color w:val="231F20"/>
        </w:rPr>
        <w:t>Our worldwide business activities are subject to various laws, rules, and regulations of the United States as well as of foreign governments. Compliance with these laws, rules, and regulations has not had a material effect upon our capital expenditures, results of operations, or competitive position, and we do not currently anticipate material capital expenditures for environmental control facilities. Nevertheless, compliance with existing or future governmental regulations, including, but not limited to, those pertaining to global trade, business acquisitions, consumer and data protection, employee health and safety, and taxes, could have a material impact on our business in subsequent periods. Refer to “Item 1A. Risk Factors” for a discussion of these potential impacts.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ENVIRONMENTAL MATTERS</w:t>
      </w:r>
    </w:p>
    <w:p>
      <w:pPr>
        <w:spacing w:after="0" w:line="108" w:lineRule="exact"/>
        <w:rPr>
          <w:sz w:val="20"/>
          <w:szCs w:val="20"/>
          <w:color w:val="auto"/>
        </w:rPr>
      </w:pPr>
    </w:p>
    <w:p>
      <w:pPr>
        <w:jc w:val="both"/>
        <w:ind w:firstLine="584"/>
        <w:spacing w:after="0" w:line="276" w:lineRule="auto"/>
        <w:rPr>
          <w:sz w:val="20"/>
          <w:szCs w:val="20"/>
          <w:color w:val="auto"/>
        </w:rPr>
      </w:pPr>
      <w:r>
        <w:rPr>
          <w:rFonts w:ascii="Arial" w:cs="Arial" w:eastAsia="Arial" w:hAnsi="Arial"/>
          <w:sz w:val="16"/>
          <w:szCs w:val="16"/>
          <w:color w:val="231F20"/>
        </w:rPr>
        <w:t>Our research and development and manufacturing processes involve the controlled use of hazardous materials, including flammables, toxics, corrosives and biologics. Our research operations produce hazardous biological and chemical waste products. We seek to comply with applicable laws regarding the handling and disposal of such materials. Given the small volume of such materials used or generated at our facilities, we do not expect our compliance efforts to have a material effect on our capital expenditures, earnings and competitive position. However, we cannot eliminate the risk of accidental contamination or discharge and any resultant injury from these materials. We do not currently maintain separate environmental liability coverage and any such contamination or discharge could result in significant cost to us in penalties, damages and suspension of our operations.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231F20"/>
        </w:rPr>
        <w:t>Corporate Information</w:t>
      </w:r>
    </w:p>
    <w:p>
      <w:pPr>
        <w:spacing w:after="0" w:line="189" w:lineRule="exact"/>
        <w:rPr>
          <w:sz w:val="20"/>
          <w:szCs w:val="20"/>
          <w:color w:val="auto"/>
        </w:rPr>
      </w:pPr>
    </w:p>
    <w:p>
      <w:pPr>
        <w:ind w:firstLine="584"/>
        <w:spacing w:after="0" w:line="291" w:lineRule="auto"/>
        <w:rPr>
          <w:sz w:val="20"/>
          <w:szCs w:val="20"/>
          <w:color w:val="auto"/>
        </w:rPr>
      </w:pPr>
      <w:r>
        <w:rPr>
          <w:rFonts w:ascii="Arial" w:cs="Arial" w:eastAsia="Arial" w:hAnsi="Arial"/>
          <w:sz w:val="16"/>
          <w:szCs w:val="16"/>
          <w:color w:val="231F20"/>
        </w:rPr>
        <w:t>We were incorporated under the laws of the state of Delaware in December 2014 under the name Cytoville, Inc. In August 2015, we changed our name to Cytek Biosciences, Inc. Our principal executive offices are located at 47215 Lakeview Blvd., Fremont, California 94538. Our telephone number is</w:t>
      </w:r>
    </w:p>
    <w:p>
      <w:pPr>
        <w:ind w:firstLine="8"/>
        <w:spacing w:after="0" w:line="323" w:lineRule="auto"/>
        <w:tabs>
          <w:tab w:leader="none" w:pos="435" w:val="left"/>
        </w:tabs>
        <w:numPr>
          <w:ilvl w:val="0"/>
          <w:numId w:val="8"/>
        </w:numPr>
        <w:rPr>
          <w:rFonts w:ascii="Arial" w:cs="Arial" w:eastAsia="Arial" w:hAnsi="Arial"/>
          <w:sz w:val="16"/>
          <w:szCs w:val="16"/>
          <w:color w:val="231F20"/>
        </w:rPr>
      </w:pPr>
      <w:r>
        <w:rPr>
          <w:rFonts w:ascii="Arial" w:cs="Arial" w:eastAsia="Arial" w:hAnsi="Arial"/>
          <w:sz w:val="16"/>
          <w:szCs w:val="16"/>
          <w:color w:val="231F20"/>
        </w:rPr>
        <w:t>922-9835. Our website is www.cytekbio.com. Information contained on, or that can be accessed through, our website is not incorporated by reference into this Annual Report on Form 10-K, and you should not consider information on our website to be part of this Annual Report on Form 10-K.</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4" w:name="page15"/>
    <w:bookmarkEnd w:id="14"/>
    <w:p>
      <w:pPr>
        <w:ind w:left="2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310" w:lineRule="exact"/>
        <w:rPr>
          <w:sz w:val="20"/>
          <w:szCs w:val="20"/>
          <w:color w:val="auto"/>
        </w:rPr>
      </w:pPr>
    </w:p>
    <w:p>
      <w:pPr>
        <w:jc w:val="both"/>
        <w:ind w:firstLine="578"/>
        <w:spacing w:after="0" w:line="254" w:lineRule="auto"/>
        <w:rPr>
          <w:sz w:val="20"/>
          <w:szCs w:val="20"/>
          <w:color w:val="auto"/>
        </w:rPr>
      </w:pPr>
      <w:r>
        <w:rPr>
          <w:rFonts w:ascii="Arial" w:cs="Arial" w:eastAsia="Arial" w:hAnsi="Arial"/>
          <w:sz w:val="18"/>
          <w:szCs w:val="18"/>
          <w:i w:val="1"/>
          <w:iCs w:val="1"/>
          <w:color w:val="auto"/>
        </w:rPr>
        <w:t>Our operations and financial results are subject to numerous risks and uncertainties, including those described below, which may have a material and adverse effect on our business, results of operations, cash flows, financial conditions, and the trading price of our common stock. The risks and uncertainties described below are not the only ones facing us. Additional risks and uncertainties not presently known to us or that we currently deem immaterial also may impair our business operations. You should consider these risks and uncertainties carefully, together with all of the other information included or incorporated by reference in this Annual Report on Form 10-K. If any of the following risks actually occur, our business, financial condition, results of operations and future prospects could be materially and adversely affected. You should not interpret our disclosure of any of the following risks to imply that such risks have not already materialized.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16" w:lineRule="exact"/>
        <w:rPr>
          <w:sz w:val="20"/>
          <w:szCs w:val="20"/>
          <w:color w:val="auto"/>
        </w:rPr>
      </w:pPr>
    </w:p>
    <w:p>
      <w:pPr>
        <w:jc w:val="both"/>
        <w:ind w:firstLine="584"/>
        <w:spacing w:after="0" w:line="257" w:lineRule="auto"/>
        <w:rPr>
          <w:sz w:val="20"/>
          <w:szCs w:val="20"/>
          <w:color w:val="auto"/>
        </w:rPr>
      </w:pPr>
      <w:r>
        <w:rPr>
          <w:rFonts w:ascii="Arial" w:cs="Arial" w:eastAsia="Arial" w:hAnsi="Arial"/>
          <w:sz w:val="18"/>
          <w:szCs w:val="18"/>
          <w:color w:val="auto"/>
        </w:rPr>
        <w:t>We may be unable for many reasons, including those that are beyond our control, to implement our business strategy successfully. Below is a summary of material factors that make an investment in our shares of common stock speculative or risky. Importantly, this summary does not address all of the risks and uncertainties that we face. Additional discussion of the risks and uncertainties summarized in this risk factor summary, as well as other risks and uncertainties that we face, immediately follows this risk factor summary. The below risk factor summary is qualified in its entirety by that more complete discussion of such risks and uncertainties.</w:t>
      </w:r>
    </w:p>
    <w:p>
      <w:pPr>
        <w:spacing w:after="0" w:line="80" w:lineRule="exact"/>
        <w:rPr>
          <w:sz w:val="20"/>
          <w:szCs w:val="20"/>
          <w:color w:val="auto"/>
        </w:rPr>
      </w:pPr>
    </w:p>
    <w:p>
      <w:pPr>
        <w:ind w:left="1020" w:right="20" w:hanging="503"/>
        <w:spacing w:after="0" w:line="291"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a limited operating history and only recently launched our commercial products, which may make it difficult to evaluate the prospects for our future viability and predict our future performance. We have limited experience marketing and selling our products.</w:t>
      </w:r>
    </w:p>
    <w:p>
      <w:pPr>
        <w:spacing w:after="0" w:line="38" w:lineRule="exact"/>
        <w:rPr>
          <w:rFonts w:ascii="Arial" w:cs="Arial" w:eastAsia="Arial" w:hAnsi="Arial"/>
          <w:sz w:val="17"/>
          <w:szCs w:val="17"/>
          <w:color w:val="auto"/>
        </w:rPr>
      </w:pPr>
    </w:p>
    <w:p>
      <w:pPr>
        <w:jc w:val="both"/>
        <w:ind w:left="1020" w:hanging="503"/>
        <w:spacing w:after="0" w:line="294"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are highly dependent on a limited number of product offerings. Our revenue has been primarily generated from sales of our core Aurora and Northern Light systems, which require a substantial sales cycle and are prone to quarterly fluctuations in revenue. Our future success depends on our ability to develop and successfully introduce new and enhanced products that meet the needs of our customers.</w:t>
      </w:r>
    </w:p>
    <w:p>
      <w:pPr>
        <w:spacing w:after="0" w:line="39" w:lineRule="exact"/>
        <w:rPr>
          <w:rFonts w:ascii="Arial" w:cs="Arial" w:eastAsia="Arial" w:hAnsi="Arial"/>
          <w:sz w:val="16"/>
          <w:szCs w:val="16"/>
          <w:color w:val="auto"/>
        </w:rPr>
      </w:pPr>
    </w:p>
    <w:p>
      <w:pPr>
        <w:jc w:val="both"/>
        <w:ind w:left="1020" w:hanging="503"/>
        <w:spacing w:after="0" w:line="239"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 On August 25, 2021, we and Cytek (Wuxi) Biosciences Co., Ltd, our China subsidiary (the “Subsidiary”), entered into a Supply Agreement (the “Coherent Agreement”) with Coherent NA, Inc. (“Coherent”). Pursuant to the Coherent Agreement, Coherent has agreed to sell and supply to us and the Subsidiary, on a non-exclusive basis, laser products manufactured by Coherent. Other than the Coherent Agreement, we do not currently have long-term supply contracts with our sole and single source suppliers of key components.</w:t>
      </w:r>
    </w:p>
    <w:p>
      <w:pPr>
        <w:spacing w:after="0" w:line="8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results of operations will be harmed if we are unable to accurately forecast customer demand for our products and manage our inventory.</w:t>
      </w:r>
    </w:p>
    <w:p>
      <w:pPr>
        <w:spacing w:after="0" w:line="126" w:lineRule="exact"/>
        <w:rPr>
          <w:rFonts w:ascii="Arial" w:cs="Arial" w:eastAsia="Arial" w:hAnsi="Arial"/>
          <w:sz w:val="16"/>
          <w:szCs w:val="16"/>
          <w:color w:val="auto"/>
        </w:rPr>
      </w:pPr>
    </w:p>
    <w:p>
      <w:pPr>
        <w:jc w:val="both"/>
        <w:ind w:left="1020" w:hanging="503"/>
        <w:spacing w:after="0" w:line="262"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business is dependent on adoption of our products by academic and government institutions, clinical research organizations, pharmaceutical companies and clinical laboratories for their research and development activities focused on cell analysis. If academic and government institutions, clinical research organizations, pharmaceutical companies and clinical laboratories are unwilling to adopt our products, it will negatively affect our business, financial condition, prospects and results of operations.</w:t>
      </w:r>
    </w:p>
    <w:p>
      <w:pPr>
        <w:spacing w:after="0" w:line="64" w:lineRule="exact"/>
        <w:rPr>
          <w:rFonts w:ascii="Arial" w:cs="Arial" w:eastAsia="Arial" w:hAnsi="Arial"/>
          <w:sz w:val="17"/>
          <w:szCs w:val="17"/>
          <w:color w:val="auto"/>
        </w:rPr>
      </w:pPr>
    </w:p>
    <w:p>
      <w:pPr>
        <w:ind w:left="1020" w:right="20" w:hanging="50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manufacture our products in high-quality commercial quantities successfully and consistently to meet demand, our growth will be limited.</w:t>
      </w:r>
    </w:p>
    <w:p>
      <w:pPr>
        <w:spacing w:after="0" w:line="62"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future success is dependent upon our ability to increase penetration in our existing markets and expand into adjacent markets. If we are unable to successfully expand our commercial operations, including hiring additional qualified sales representatives, technical applications specialists and customer support staff, our business may be adversely affected.</w:t>
      </w:r>
    </w:p>
    <w:p>
      <w:pPr>
        <w:spacing w:after="0" w:line="73" w:lineRule="exact"/>
        <w:rPr>
          <w:rFonts w:ascii="Arial" w:cs="Arial" w:eastAsia="Arial" w:hAnsi="Arial"/>
          <w:sz w:val="18"/>
          <w:szCs w:val="18"/>
          <w:color w:val="auto"/>
        </w:rPr>
      </w:pPr>
    </w:p>
    <w:p>
      <w:pPr>
        <w:jc w:val="both"/>
        <w:ind w:left="1020" w:hanging="503"/>
        <w:spacing w:after="0" w:line="24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and our suppliers are subject to ongoing regulatory obligations and continued regulatory review, which may result in significant additional expense and subject us to penalties if we fail to comply with applicable regulatory requirements. Our products may become subject to more onerous regulation by the FDA or other regulatory agencies in the future, which could increase our costs and delay or prevent sales of our products or commercialization of new products and product enhancements.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5" w:name="page16"/>
    <w:bookmarkEnd w:id="15"/>
    <w:p>
      <w:pPr>
        <w:jc w:val="both"/>
        <w:ind w:left="1020" w:hanging="503"/>
        <w:spacing w:after="0" w:line="259"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Concentration of ownership of our common stock among our executive officers, directors and principal stockholders may prevent new investors from influencing significant corporate decisions. Based on shares outstanding as of December 31, 2021, our executive officers, directors and current beneficial owners of 5% or more of our common stock, in the aggregate, beneficially owned approximately 42.3% of our common stock. These stockholders, acting together, will be able to significantly influence all matters requiring stockholder approval, including the election and removal of directors and any merger or other significant corporate transactions.</w:t>
      </w:r>
    </w:p>
    <w:p>
      <w:pPr>
        <w:spacing w:after="0" w:line="65" w:lineRule="exact"/>
        <w:rPr>
          <w:rFonts w:ascii="Arial" w:cs="Arial" w:eastAsia="Arial" w:hAnsi="Arial"/>
          <w:sz w:val="17"/>
          <w:szCs w:val="17"/>
          <w:color w:val="auto"/>
        </w:rPr>
      </w:pPr>
    </w:p>
    <w:p>
      <w:pPr>
        <w:jc w:val="both"/>
        <w:ind w:left="1020" w:hanging="503"/>
        <w:spacing w:after="0" w:line="24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p>
    <w:p>
      <w:pPr>
        <w:spacing w:after="0" w:line="79" w:lineRule="exact"/>
        <w:rPr>
          <w:rFonts w:ascii="Arial" w:cs="Arial" w:eastAsia="Arial" w:hAnsi="Arial"/>
          <w:sz w:val="18"/>
          <w:szCs w:val="18"/>
          <w:color w:val="auto"/>
        </w:rPr>
      </w:pPr>
    </w:p>
    <w:p>
      <w:pPr>
        <w:ind w:left="1020" w:right="20" w:hanging="503"/>
        <w:spacing w:after="0" w:line="291"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business currently depends significantly on research and development spending by academic institutions and government-owned institutions, a reduction in which could limit demand for our solutions and adversely affect our business and operating results.</w:t>
      </w:r>
    </w:p>
    <w:p>
      <w:pPr>
        <w:spacing w:after="0" w:line="38"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International operations and expansion of our international business exposes us to business, regulatory, political, operational, financial and economic risks associated with doing business outside of the United States.</w:t>
      </w:r>
    </w:p>
    <w:p>
      <w:pPr>
        <w:spacing w:after="0" w:line="62" w:lineRule="exact"/>
        <w:rPr>
          <w:rFonts w:ascii="Arial" w:cs="Arial" w:eastAsia="Arial" w:hAnsi="Arial"/>
          <w:sz w:val="18"/>
          <w:szCs w:val="18"/>
          <w:color w:val="auto"/>
        </w:rPr>
      </w:pPr>
    </w:p>
    <w:p>
      <w:pPr>
        <w:jc w:val="both"/>
        <w:ind w:left="1020" w:hanging="503"/>
        <w:spacing w:after="0" w:line="262"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market for cell analysis technologies and life sciences tools, including flow cytometry, is rapidly evolving and highly competitive. 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64" w:lineRule="exact"/>
        <w:rPr>
          <w:rFonts w:ascii="Arial" w:cs="Arial" w:eastAsia="Arial" w:hAnsi="Arial"/>
          <w:sz w:val="17"/>
          <w:szCs w:val="17"/>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our products do not perform as expected, our operating results, reputation and business will suffer.</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expand or leverage the number of peer-reviewed articles published using data generated by our products or otherwise increase brand awareness, the demand for our products and our business may be adversely affected.</w:t>
      </w:r>
    </w:p>
    <w:p>
      <w:pPr>
        <w:spacing w:after="0" w:line="62" w:lineRule="exact"/>
        <w:rPr>
          <w:rFonts w:ascii="Arial" w:cs="Arial" w:eastAsia="Arial" w:hAnsi="Arial"/>
          <w:sz w:val="18"/>
          <w:szCs w:val="18"/>
          <w:color w:val="auto"/>
        </w:rPr>
      </w:pPr>
    </w:p>
    <w:p>
      <w:pPr>
        <w:ind w:left="1020" w:hanging="503"/>
        <w:spacing w:after="0" w:line="324"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16" w:lineRule="exact"/>
        <w:rPr>
          <w:rFonts w:ascii="Arial" w:cs="Arial" w:eastAsia="Arial" w:hAnsi="Arial"/>
          <w:sz w:val="16"/>
          <w:szCs w:val="16"/>
          <w:color w:val="auto"/>
        </w:rPr>
      </w:pPr>
    </w:p>
    <w:p>
      <w:pPr>
        <w:jc w:val="both"/>
        <w:ind w:left="1020" w:hanging="503"/>
        <w:spacing w:after="0" w:line="248"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p>
    <w:p>
      <w:pPr>
        <w:spacing w:after="0" w:line="73"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w:t>
      </w:r>
    </w:p>
    <w:p>
      <w:pPr>
        <w:spacing w:after="0" w:line="7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which makes our future operating results difficult to predict and could cause our operating results to fall below expectations or any guidance we may provide.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existing operations, develop our products and/or expand our operations.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COVID-19 pandemic has had and could continue to have an adverse impact on our business, operations, and the markets and communities in which we, our partners, and customers operate.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162"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We have a limited operating history and only recently launched our commercial products, which may make it difficult to evaluate the prospects for our future viability and predict our future performance. We have limited experience marketing and selling our products.</w:t>
      </w:r>
    </w:p>
    <w:p>
      <w:pPr>
        <w:spacing w:after="0" w:line="39" w:lineRule="exact"/>
        <w:rPr>
          <w:sz w:val="20"/>
          <w:szCs w:val="20"/>
          <w:color w:val="auto"/>
        </w:rPr>
      </w:pPr>
    </w:p>
    <w:p>
      <w:pPr>
        <w:jc w:val="both"/>
        <w:ind w:firstLine="578"/>
        <w:spacing w:after="0" w:line="290" w:lineRule="auto"/>
        <w:rPr>
          <w:sz w:val="20"/>
          <w:szCs w:val="20"/>
          <w:color w:val="auto"/>
        </w:rPr>
      </w:pPr>
      <w:r>
        <w:rPr>
          <w:rFonts w:ascii="Arial" w:cs="Arial" w:eastAsia="Arial" w:hAnsi="Arial"/>
          <w:sz w:val="16"/>
          <w:szCs w:val="16"/>
          <w:color w:val="auto"/>
        </w:rPr>
        <w:t>We have a limited operating history and may encounter unforeseen expenses, difficulties, complications, delays and other known and unknown obstacles. We launched our first core commercial product, the Aurora system, in June 2017. Our limited commercial and operating history makes it difficult to evaluate our current business and predict our future performance. Although we have experienced significant revenue growth in recent periods, any assessment of our future revenue, profitability or prediction about our future success or viability is subject to significant uncertainty. We have encountered in the past, and will encounter in the future, risks and uncertainties frequently experienced by growing companies with limited operating histories in emerging and rapidly changing industries, including scaling up our infrastructure and headcount.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materially and adversely affected.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6" w:name="page17"/>
    <w:bookmarkEnd w:id="16"/>
    <w:p>
      <w:pPr>
        <w:jc w:val="both"/>
        <w:spacing w:after="0" w:line="261" w:lineRule="auto"/>
        <w:rPr>
          <w:sz w:val="20"/>
          <w:szCs w:val="20"/>
          <w:color w:val="auto"/>
        </w:rPr>
      </w:pPr>
      <w:r>
        <w:rPr>
          <w:rFonts w:ascii="Arial" w:cs="Arial" w:eastAsia="Arial" w:hAnsi="Arial"/>
          <w:sz w:val="18"/>
          <w:szCs w:val="18"/>
          <w:b w:val="1"/>
          <w:bCs w:val="1"/>
          <w:i w:val="1"/>
          <w:iCs w:val="1"/>
          <w:color w:val="auto"/>
        </w:rPr>
        <w:t>We are highly dependent on a limited number of product offerings. Our revenue has been primarily generated from sale of our core Aurora and Northern Lights systems, which require a substantial sales cycle and are prone to quarterly fluctuations in revenue.</w:t>
      </w:r>
    </w:p>
    <w:p>
      <w:pPr>
        <w:spacing w:after="0" w:line="63" w:lineRule="exact"/>
        <w:rPr>
          <w:sz w:val="20"/>
          <w:szCs w:val="20"/>
          <w:color w:val="auto"/>
        </w:rPr>
      </w:pPr>
    </w:p>
    <w:p>
      <w:pPr>
        <w:jc w:val="both"/>
        <w:ind w:firstLine="578"/>
        <w:spacing w:after="0" w:line="289" w:lineRule="auto"/>
        <w:rPr>
          <w:sz w:val="20"/>
          <w:szCs w:val="20"/>
          <w:color w:val="auto"/>
        </w:rPr>
      </w:pPr>
      <w:r>
        <w:rPr>
          <w:rFonts w:ascii="Arial" w:cs="Arial" w:eastAsia="Arial" w:hAnsi="Arial"/>
          <w:sz w:val="16"/>
          <w:szCs w:val="16"/>
          <w:color w:val="auto"/>
        </w:rPr>
        <w:t>Our Aurora system was commercially launched in June 2017, our Northern Lights system was commercially launched in October 2018 and our Aurora CS was first commercially shipped in June 2021. Sales of the Aurora and Northern Lights systems together accounted for a substantial portion of our revenue for the periods presented. We expect that, for at least the foreseeable future, sales of our Aurora and Northern Lights systems will continue to account for a substantial portion of our revenue. The sales cycle for our flow cytometer instruments is slow and can take up to six months or longer to complete. As a result of this lengthy and unpredictable sales cycle, we will be prone to quarterly fluctuations in our revenue as sales of the Aurora and Northern Lights systems are expected to continue to comprise a significant component of our revenue. Additionally, we experience seasonality in our business, with revenue in the fourth quarter typically being higher as a result of higher sales volume due to marketing campaign closing activity. Quarterly fluctuations may make it difficult for us to predict our future operating results. Consequently, comparisons of our operating results on a period-to-period basis may not be meaningful. Investors should not rely on our past results as an indication of our future performance.</w:t>
      </w:r>
    </w:p>
    <w:p>
      <w:pPr>
        <w:spacing w:after="0" w:line="139" w:lineRule="exact"/>
        <w:rPr>
          <w:sz w:val="20"/>
          <w:szCs w:val="20"/>
          <w:color w:val="auto"/>
        </w:rPr>
      </w:pPr>
    </w:p>
    <w:p>
      <w:pPr>
        <w:jc w:val="both"/>
        <w:ind w:firstLine="578"/>
        <w:spacing w:after="0" w:line="259" w:lineRule="auto"/>
        <w:rPr>
          <w:sz w:val="20"/>
          <w:szCs w:val="20"/>
          <w:color w:val="auto"/>
        </w:rPr>
      </w:pPr>
      <w:r>
        <w:rPr>
          <w:rFonts w:ascii="Arial" w:cs="Arial" w:eastAsia="Arial" w:hAnsi="Arial"/>
          <w:sz w:val="18"/>
          <w:szCs w:val="18"/>
          <w:color w:val="auto"/>
        </w:rPr>
        <w:t>As a result of variability and unpredictability, we may also fail to meet the expectations of industry or financial analysts or investors for any period. If our revenue or operating results fall short of the expectations of analysts or investors or any guidance we may provide, or if the guidance we provide falls short of the expectations of analysts or investors, the price of our common stock could decline substantially. Such a stock price decline could occur even when we have met or exceeded any previously publicly stated guidance we may have provided.</w:t>
      </w:r>
    </w:p>
    <w:p>
      <w:pPr>
        <w:spacing w:after="0" w:line="14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currently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w:t>
      </w:r>
    </w:p>
    <w:p>
      <w:pPr>
        <w:spacing w:after="0" w:line="74" w:lineRule="exact"/>
        <w:rPr>
          <w:sz w:val="20"/>
          <w:szCs w:val="20"/>
          <w:color w:val="auto"/>
        </w:rPr>
      </w:pPr>
    </w:p>
    <w:p>
      <w:pPr>
        <w:jc w:val="both"/>
        <w:ind w:firstLine="578"/>
        <w:spacing w:after="0" w:line="286" w:lineRule="auto"/>
        <w:rPr>
          <w:sz w:val="20"/>
          <w:szCs w:val="20"/>
          <w:color w:val="auto"/>
        </w:rPr>
      </w:pPr>
      <w:r>
        <w:rPr>
          <w:rFonts w:ascii="Arial" w:cs="Arial" w:eastAsia="Arial" w:hAnsi="Arial"/>
          <w:sz w:val="16"/>
          <w:szCs w:val="16"/>
          <w:color w:val="auto"/>
        </w:rPr>
        <w:t>We have sourced and will continue to source certain components of the Aurora, Northern Lights and Aurora CS systems from a limited number of suppliers and, in some cases, sole source suppliers. Key components in our products that are supplied by sole or single source suppliers include certain lasers, semiconductors and mechanical components that are used in our optical, electrical and fluidic subassemblies. On August 25, 2021, we and our China Subsidiary entered into the Coherent Agreement with Coherent. Pursuant to the Coherent Agreement, Coherent has agreed to sell and supply to us and the Subsidiary, on a non-exclusive basis, laser products manufactured by Coherent. We and the Subsidiary provide Coherent with rolling forecasts of our and the Subsidiary’s anticipated orders, which are non-binding. Purchase orders submitted by us and the Subsidiary pursuant to the terms of the Coherent Agreement will be deemed accepted upon written acknowledgement of acceptance by Coherent. Other than the Coherent Agreement, we do not currently have long-term supply contracts with our sole and single source suppliers of key components. Additionally, we believe we are not a major customer to most of our suppliers. Our suppliers may therefore give other customers’ needs higher priority than ours, and we may not be able to obtain adequate supply in a timely manner or on commercially reasonable terms. While we are in the process of qualifying additional sources of supply, qualifications can take 12 to 24 months and, in some cases, longer. If we were to lose one or more of our sole or single source suppliers, it would take significant time and effort to qualify alternative suppliers, if available. Moreover, in the event that we transition to a new supplier, particularly from any of our single source suppliers, doing so could be time-consuming and expensive, may result in interruptions in our ability to supply our products to the market and could affect the performance of our products, resulting in increased costs and negative customer perception.</w:t>
      </w:r>
    </w:p>
    <w:p>
      <w:pPr>
        <w:spacing w:after="0" w:line="144" w:lineRule="exact"/>
        <w:rPr>
          <w:sz w:val="20"/>
          <w:szCs w:val="20"/>
          <w:color w:val="auto"/>
        </w:rPr>
      </w:pPr>
    </w:p>
    <w:p>
      <w:pPr>
        <w:jc w:val="both"/>
        <w:ind w:firstLine="578"/>
        <w:spacing w:after="0" w:line="271" w:lineRule="auto"/>
        <w:rPr>
          <w:sz w:val="20"/>
          <w:szCs w:val="20"/>
          <w:color w:val="auto"/>
        </w:rPr>
      </w:pPr>
      <w:r>
        <w:rPr>
          <w:rFonts w:ascii="Arial" w:cs="Arial" w:eastAsia="Arial" w:hAnsi="Arial"/>
          <w:sz w:val="17"/>
          <w:szCs w:val="17"/>
          <w:color w:val="auto"/>
        </w:rPr>
        <w:t>Although we believe that we have stable relationships with our existing suppliers, we cannot assure you that we will be able to secure a stable supply of components materials going forward. In the event that any adverse developments occur with our suppliers, in particular for those products that are sole-sourced, or if any of our suppliers modifies any of the components they supply to us, our ability to supply our products may be temporarily or permanently interrupted. Obtaining substitute components could be difficult, time and resource-consuming and costly. Also, there can be no assurance that we will be able to secure a supply of alternative components at reasonable prices without experiencing interruptions in our business operations. In addition, quarantines, shelter-in-place and similar government orders related to the COVID-19 pandemic or other infectious disease outbreaks, or the perception that such orders, shutdowns or other restrictions on the conduct of business operations could occur, could impact the suppliers upon which we rely, or the availability or cost of materials, which could disrupt the supply chain for our products.</w:t>
      </w:r>
    </w:p>
    <w:p>
      <w:pPr>
        <w:spacing w:after="0" w:line="138"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In addition, we cannot assure you that our suppliers have obtained and will be able to obtain or maintain all licenses, permits and approvals necessary for their operations or comply with all applicable laws and regulations, and failure to do so by them may lead to interruption in their business operations, which in turn may result in shortages of components supplied to us.</w:t>
      </w:r>
    </w:p>
    <w:p>
      <w:pPr>
        <w:spacing w:after="0" w:line="157"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Supply interruptions have in the past arisen and could arise in the future from effects of the COVID-19 pandemic, shortages of raw materials, labor disputes or weather conditions affecting products or shipments, transportation disruptions, adjustments to our inventory levels or other factors within and beyond our control, and such supply interruption risk is increased by the limited number 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 w:name="page18"/>
    <w:bookmarkEnd w:id="17"/>
    <w:p>
      <w:pPr>
        <w:jc w:val="both"/>
        <w:spacing w:after="0" w:line="255" w:lineRule="auto"/>
        <w:rPr>
          <w:sz w:val="20"/>
          <w:szCs w:val="20"/>
          <w:color w:val="auto"/>
        </w:rPr>
      </w:pPr>
      <w:r>
        <w:rPr>
          <w:rFonts w:ascii="Arial" w:cs="Arial" w:eastAsia="Arial" w:hAnsi="Arial"/>
          <w:sz w:val="18"/>
          <w:szCs w:val="18"/>
          <w:color w:val="auto"/>
        </w:rPr>
        <w:t>suppliers for certain of the components we use in our products. Our failure to maintain a continued supply of components that meets our quality control requirements for any reason, including changes to or termination of our agreements with key suppliers, or to enter into new agreements with other suppliers, particularly in the case of single or sole source suppliers, could result in the loss of access to important components and materials used in our products and impact our ability to manufacture and sell our products. Any delay or interruption in the supply of our materials could delay or suspend sales of our products and increase the costs of manufacturing our products, which could have an adverse effect on our business,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results of operations will be harmed if we are unable to accurately forecast customer demand for our products and manage our inventory.</w:t>
      </w:r>
    </w:p>
    <w:p>
      <w:pPr>
        <w:spacing w:after="0" w:line="127" w:lineRule="exact"/>
        <w:rPr>
          <w:sz w:val="20"/>
          <w:szCs w:val="20"/>
          <w:color w:val="auto"/>
        </w:rPr>
      </w:pPr>
    </w:p>
    <w:p>
      <w:pPr>
        <w:jc w:val="both"/>
        <w:ind w:firstLine="578"/>
        <w:spacing w:after="0" w:line="255" w:lineRule="auto"/>
        <w:rPr>
          <w:sz w:val="20"/>
          <w:szCs w:val="20"/>
          <w:color w:val="auto"/>
        </w:rPr>
      </w:pPr>
      <w:r>
        <w:rPr>
          <w:rFonts w:ascii="Arial" w:cs="Arial" w:eastAsia="Arial" w:hAnsi="Arial"/>
          <w:sz w:val="18"/>
          <w:szCs w:val="18"/>
          <w:color w:val="auto"/>
        </w:rPr>
        <w:t>To ensure adequate supply of our instruments and other products, we must forecast the inventory needs of our current and prospective customers, and manufacture our products based on our estimates of future demand. Our ability to accurately forecast demand for our products could be negatively affected by many factors, many of which are beyond our control, including our failure to accurately manage our expansion strategy, product introductions by competitors, an increase or decrease in customer demand for our products or for products of our competitors, our failure to accurately forecast market acceptance of new products, changes in general market conditions, including as a result of the COVID-19 pandemic, seasonal demands, regulatory matters or weakening of general economic conditions.</w:t>
      </w:r>
    </w:p>
    <w:p>
      <w:pPr>
        <w:spacing w:after="0" w:line="152" w:lineRule="exact"/>
        <w:rPr>
          <w:sz w:val="20"/>
          <w:szCs w:val="20"/>
          <w:color w:val="auto"/>
        </w:rPr>
      </w:pPr>
    </w:p>
    <w:p>
      <w:pPr>
        <w:jc w:val="both"/>
        <w:ind w:firstLine="578"/>
        <w:spacing w:after="0" w:line="269" w:lineRule="auto"/>
        <w:rPr>
          <w:sz w:val="20"/>
          <w:szCs w:val="20"/>
          <w:color w:val="auto"/>
        </w:rPr>
      </w:pPr>
      <w:r>
        <w:rPr>
          <w:rFonts w:ascii="Arial" w:cs="Arial" w:eastAsia="Arial" w:hAnsi="Arial"/>
          <w:sz w:val="17"/>
          <w:szCs w:val="17"/>
          <w:color w:val="auto"/>
        </w:rPr>
        <w:t>We seek to maintain sufficient levels of inventory of our instruments and other products to protect ourselves from supply interruptions. We rely in part on our support organizations and distributors to supply forecasts of anticipated product orders in their respective territories. If we fail to accurately estimate customer demand for our products, our inventory forecasts may be inaccurate, resulting in shortages or excesses of inventory. Inventory levels in excess of customer demand may result in inventory write-downs or write-offs, which would cause our gross margin to be adversely affected and negatively impact our business, prospects, financial condition and results of operations. Conversely, if we underestimate customer demand for our products, we may not be able to deliver products in a timely manner or at all, and this could result in reduced revenue and damage to our reputation and customer relationships. In addition, if we experience a significant increase in demand, we may not have adequate manufacturing capacity to meet such demand, and additional supplies may not be available when required on terms that are acceptable to us, or at all, or suppliers may not be able to allocate sufficient capacity to meet our increased requirements, all of which would negatively affect our business, financial condition and results of operations. If we are unable to meet customer demand, we could lose our existing customers or lose our ability to acquire new customers, which would also negatively impact our business, financial condition and results of operations.</w:t>
      </w:r>
    </w:p>
    <w:p>
      <w:pPr>
        <w:spacing w:after="0" w:line="15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have limited experience manufacturing our products and if we are unable to manufacture our products in high-quality commercial quantities successfully and consistently to meet demand, our growth will be limited.</w:t>
      </w:r>
    </w:p>
    <w:p>
      <w:pPr>
        <w:spacing w:after="0" w:line="63" w:lineRule="exact"/>
        <w:rPr>
          <w:sz w:val="20"/>
          <w:szCs w:val="20"/>
          <w:color w:val="auto"/>
        </w:rPr>
      </w:pPr>
    </w:p>
    <w:p>
      <w:pPr>
        <w:jc w:val="both"/>
        <w:ind w:firstLine="578"/>
        <w:spacing w:after="0" w:line="275" w:lineRule="auto"/>
        <w:rPr>
          <w:sz w:val="20"/>
          <w:szCs w:val="20"/>
          <w:color w:val="auto"/>
        </w:rPr>
      </w:pPr>
      <w:r>
        <w:rPr>
          <w:rFonts w:ascii="Arial" w:cs="Arial" w:eastAsia="Arial" w:hAnsi="Arial"/>
          <w:sz w:val="17"/>
          <w:szCs w:val="17"/>
          <w:color w:val="auto"/>
        </w:rPr>
        <w:t>We have limited experience manufacturing our products. We currently manufacture our instruments and reagents at our manufacturing facilities in Fremont, California, and Wuxi, China, and reagents at our facility in San Diego, California. To manufacture our products in the quantities that we believe will be required to meet the currently anticipated market demand beyond the next several years, we will need to increase manufacturing capacity, which will involve significant challenges and may require additional quality controls and regulatory approvals. We may not successfully complete any required increase to existing manufacturing capacity in a timely manner, or at all.</w:t>
      </w:r>
    </w:p>
    <w:p>
      <w:pPr>
        <w:spacing w:after="0" w:line="136" w:lineRule="exact"/>
        <w:rPr>
          <w:sz w:val="20"/>
          <w:szCs w:val="20"/>
          <w:color w:val="auto"/>
        </w:rPr>
      </w:pPr>
    </w:p>
    <w:p>
      <w:pPr>
        <w:jc w:val="both"/>
        <w:ind w:firstLine="578"/>
        <w:spacing w:after="0" w:line="296" w:lineRule="auto"/>
        <w:rPr>
          <w:sz w:val="20"/>
          <w:szCs w:val="20"/>
          <w:color w:val="auto"/>
        </w:rPr>
      </w:pPr>
      <w:r>
        <w:rPr>
          <w:rFonts w:ascii="Arial" w:cs="Arial" w:eastAsia="Arial" w:hAnsi="Arial"/>
          <w:sz w:val="16"/>
          <w:szCs w:val="16"/>
          <w:color w:val="auto"/>
        </w:rPr>
        <w:t>If there is a disruption to our manufacturing operations, we will have no other means of producing our products until we resolve such issues with our manufacturing facilities, develop alternative manufacturing facilities, or contract with third-party manufacturers capable of producing our products. Additionally, any damage to or destruction of our manufacturing facilities or equipment may significantly impair our ability to manufacture products on a timely basis. There may also be unforeseen occurrences that increase our costs, such as increased prices of the components of our products, changes to labor costs or less favorable terms with third-party suppliers. There can be no assurance that we will not encounter such problems in the future.</w:t>
      </w:r>
    </w:p>
    <w:p>
      <w:pPr>
        <w:spacing w:after="0" w:line="134" w:lineRule="exact"/>
        <w:rPr>
          <w:sz w:val="20"/>
          <w:szCs w:val="20"/>
          <w:color w:val="auto"/>
        </w:rPr>
      </w:pPr>
    </w:p>
    <w:p>
      <w:pPr>
        <w:jc w:val="both"/>
        <w:ind w:firstLine="578"/>
        <w:spacing w:after="0" w:line="255" w:lineRule="auto"/>
        <w:rPr>
          <w:sz w:val="20"/>
          <w:szCs w:val="20"/>
          <w:color w:val="auto"/>
        </w:rPr>
      </w:pPr>
      <w:r>
        <w:rPr>
          <w:rFonts w:ascii="Arial" w:cs="Arial" w:eastAsia="Arial" w:hAnsi="Arial"/>
          <w:sz w:val="18"/>
          <w:szCs w:val="18"/>
          <w:color w:val="auto"/>
        </w:rPr>
        <w:t>If we are unable to manufacture products consistently and in sufficient quantities to meet anticipated customer demand, our business, financial condition, results of operations and prospects would be harmed. As we continue to scale the commercial production of our products and increase our manufacturing capacity, we may encounter quality issues that could result in product defects, errors or recalls. Manufacturing delays related to quality control could negatively impact our ability to bring our products to market, harm our reputation and decrease our revenue. Any defects, errors or recalls could be expensive and generate negative publicity, which could impair our ability to market or sell our products, and adversely affect our results of operations.</w:t>
      </w:r>
    </w:p>
    <w:p>
      <w:pPr>
        <w:spacing w:after="0" w:line="152"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In addition, the introduction of new products may require the development of new manufacturing sites, processes or procedures as well as new suppliers. Developing new processes and negotiating supply agreements can be very time consuming, and any unexpected difficulty in doing so could delay the introduction of a product.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i w:val="1"/>
          <w:iCs w:val="1"/>
          <w:color w:val="auto"/>
        </w:rPr>
        <w:t>Our future success is dependent upon our ability to increase penetration in our existing markets and expand into adjacent markets.</w:t>
      </w:r>
    </w:p>
    <w:p>
      <w:pPr>
        <w:spacing w:after="0" w:line="115" w:lineRule="exact"/>
        <w:rPr>
          <w:sz w:val="20"/>
          <w:szCs w:val="20"/>
          <w:color w:val="auto"/>
        </w:rPr>
      </w:pPr>
    </w:p>
    <w:p>
      <w:pPr>
        <w:jc w:val="both"/>
        <w:ind w:firstLine="578"/>
        <w:spacing w:after="0" w:line="293" w:lineRule="auto"/>
        <w:rPr>
          <w:sz w:val="20"/>
          <w:szCs w:val="20"/>
          <w:color w:val="auto"/>
        </w:rPr>
      </w:pPr>
      <w:r>
        <w:rPr>
          <w:rFonts w:ascii="Arial" w:cs="Arial" w:eastAsia="Arial" w:hAnsi="Arial"/>
          <w:sz w:val="16"/>
          <w:szCs w:val="16"/>
          <w:color w:val="auto"/>
        </w:rPr>
        <w:t>Our customer base includes academic and government institutions, pharmaceutical and biotechnology companies, clinical research organizations and clinical laboratories focused on cell analysis. Approximately 46% and 49% of our revenue came from sales to academic and government-owned institutions and 54% and 51% of our revenue came from sales to pharmaceutical and biotechnology companies, distributors and CROs in the year ended December 31, 2021 and 2020, respectively. Our success will depend upon our ability to increase our market penetration. We cannot guarantee that we will be able to further penetrate our existing markets or that these markets will be able to sustain our current and future product and service offerings. Any failure to increase penetration in our existing markets would adversely affect our ability to improve our operating results.</w:t>
      </w:r>
    </w:p>
    <w:p>
      <w:pPr>
        <w:spacing w:after="0" w:line="137" w:lineRule="exact"/>
        <w:rPr>
          <w:sz w:val="20"/>
          <w:szCs w:val="20"/>
          <w:color w:val="auto"/>
        </w:rPr>
      </w:pPr>
    </w:p>
    <w:p>
      <w:pPr>
        <w:jc w:val="both"/>
        <w:ind w:firstLine="578"/>
        <w:spacing w:after="0" w:line="253" w:lineRule="auto"/>
        <w:rPr>
          <w:sz w:val="20"/>
          <w:szCs w:val="20"/>
          <w:color w:val="auto"/>
        </w:rPr>
      </w:pPr>
      <w:r>
        <w:rPr>
          <w:rFonts w:ascii="Arial" w:cs="Arial" w:eastAsia="Arial" w:hAnsi="Arial"/>
          <w:sz w:val="18"/>
          <w:szCs w:val="18"/>
          <w:color w:val="auto"/>
        </w:rPr>
        <w:t xml:space="preserve">Our success will also depend on our ability to further expand into adjacent markets, such as immunotherapy, immuno-oncology, bio-processing, infectious diseases and immune-deficiencies, as well as areas outside of healthcare, such as marine biology and alternative biofuels and other environmental fields. For example,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or approval of a pre-market approval application from the FDA. Our failure to further expand in adjacent markets and attract new customers could adversely affect our ability to improve our operating results.</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Our business is dependent on adoption of our products by academic and government institutions, clinical research organizations, pharmaceutical companies and clinical laboratories for their research and development activities focused on cell analysis. If academic and government institutions, clinical research organizations, pharmaceutical companies and clinical laboratories are unwilling to change current practices to adopt our products, it will negatively affect our business, financial condition, prospects and results of operations.</w:t>
      </w:r>
    </w:p>
    <w:p>
      <w:pPr>
        <w:spacing w:after="0" w:line="64" w:lineRule="exact"/>
        <w:rPr>
          <w:sz w:val="20"/>
          <w:szCs w:val="20"/>
          <w:color w:val="auto"/>
        </w:rPr>
      </w:pPr>
    </w:p>
    <w:p>
      <w:pPr>
        <w:jc w:val="both"/>
        <w:ind w:firstLine="578"/>
        <w:spacing w:after="0" w:line="257" w:lineRule="auto"/>
        <w:rPr>
          <w:sz w:val="20"/>
          <w:szCs w:val="20"/>
          <w:color w:val="auto"/>
        </w:rPr>
      </w:pPr>
      <w:r>
        <w:rPr>
          <w:rFonts w:ascii="Arial" w:cs="Arial" w:eastAsia="Arial" w:hAnsi="Arial"/>
          <w:sz w:val="18"/>
          <w:szCs w:val="18"/>
          <w:color w:val="auto"/>
        </w:rPr>
        <w:t>Our primary strategy to grow our revenue is to take a stepwise approach to market our products across key stakeholders in flow cytometry and cell analysis, such as academic and government institutions, clinical research organizations, pharmaceutical companies and clinical laboratories. While the number of customers using our products has increased in recent years, many academic and government institutions, clinical research organizations, pharmaceutical companies and clinical laboratories have not yet adopted our products, and such institutions and companies may choose not to adopt our products for a number of reasons, including:</w:t>
      </w:r>
    </w:p>
    <w:p>
      <w:pPr>
        <w:spacing w:after="0" w:line="161" w:lineRule="exact"/>
        <w:rPr>
          <w:sz w:val="20"/>
          <w:szCs w:val="20"/>
          <w:color w:val="auto"/>
        </w:rPr>
      </w:pPr>
    </w:p>
    <w:p>
      <w:pPr>
        <w:ind w:left="102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inadequate recruiting or training of talented sales force in existing and new markets to facilitate outreach and further adoption and awareness of our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lack of experience with our products for cell analysis;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perceived inadequacy of evidence supporting benefits or cost-effectiveness of our products over existing alternatives;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liability risks generally associated with the use of new products and processes;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training required to use new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or delay in the research and development activities using our products as a result of the COVID-19 pandemic;</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competing products and alternatives;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introduction of other novel alternative products for cell analysis.</w:t>
      </w:r>
    </w:p>
    <w:p>
      <w:pPr>
        <w:spacing w:after="0" w:line="306" w:lineRule="exact"/>
        <w:rPr>
          <w:sz w:val="20"/>
          <w:szCs w:val="20"/>
          <w:color w:val="auto"/>
        </w:rPr>
      </w:pPr>
    </w:p>
    <w:p>
      <w:pPr>
        <w:jc w:val="both"/>
        <w:ind w:firstLine="578"/>
        <w:spacing w:after="0" w:line="257" w:lineRule="auto"/>
        <w:rPr>
          <w:sz w:val="20"/>
          <w:szCs w:val="20"/>
          <w:color w:val="auto"/>
        </w:rPr>
      </w:pPr>
      <w:r>
        <w:rPr>
          <w:rFonts w:ascii="Arial" w:cs="Arial" w:eastAsia="Arial" w:hAnsi="Arial"/>
          <w:sz w:val="18"/>
          <w:szCs w:val="18"/>
          <w:color w:val="auto"/>
        </w:rPr>
        <w:t>We believe that educating notable industry KOLs, representatives of academic and government institutions, clinical research organizations, pharmaceutical companies and clinical laboratories, about the merits and benefits of our products for flow cytometry and cell analysis is one of key elements of increasing the adoption of our products. If these institutions and companies do not adopt our products for any reason, including those listed above, our ability to execute our growth strategy will be impaired, and it will negatively affect our business, financial condition, prospects and results of operations.</w:t>
      </w:r>
    </w:p>
    <w:p>
      <w:pPr>
        <w:spacing w:after="0" w:line="1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business currently depends significantly on research and development spending by academic and government-owned institutions, a reduction in which could limit demand for our solutions and adversely affect our business and operating results.</w:t>
      </w:r>
    </w:p>
    <w:p>
      <w:pPr>
        <w:spacing w:after="0" w:line="63"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Approximately 46% and 49% of our revenue came from sales to academic and government-owned institutions in the year ended December 31, 2021 and 2020, respectively. Much of their funding was, in turn, provided by various state, federal and foreign government agencies. In the near term, we expect that a large portion of our revenue will continue to be derived from sales to academic and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 w:name="page20"/>
    <w:bookmarkEnd w:id="19"/>
    <w:p>
      <w:pPr>
        <w:spacing w:after="0" w:line="277" w:lineRule="auto"/>
        <w:rPr>
          <w:sz w:val="20"/>
          <w:szCs w:val="20"/>
          <w:color w:val="auto"/>
        </w:rPr>
      </w:pPr>
      <w:r>
        <w:rPr>
          <w:rFonts w:ascii="Arial" w:cs="Arial" w:eastAsia="Arial" w:hAnsi="Arial"/>
          <w:sz w:val="18"/>
          <w:szCs w:val="18"/>
          <w:color w:val="auto"/>
        </w:rPr>
        <w:t>government-owned institutions. As a result, the demand for our solutions may depend upon the research and development budgets of these customers, which are impacted by factors beyond our control, such as:</w:t>
      </w:r>
    </w:p>
    <w:p>
      <w:pPr>
        <w:spacing w:after="0" w:line="143"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 including as a result of the COVID-19 pandemic;</w:t>
      </w:r>
    </w:p>
    <w:p>
      <w:pPr>
        <w:spacing w:after="0" w:line="103" w:lineRule="exact"/>
        <w:rPr>
          <w:rFonts w:ascii="Arial" w:cs="Arial" w:eastAsia="Arial" w:hAnsi="Arial"/>
          <w:sz w:val="18"/>
          <w:szCs w:val="18"/>
          <w:color w:val="auto"/>
        </w:rPr>
      </w:pPr>
    </w:p>
    <w:p>
      <w:pPr>
        <w:ind w:left="1020" w:hanging="503"/>
        <w:spacing w:after="0" w:line="291"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to programs that provide funding to research laboratories, hospitals and related institutions, including changes in the amount of funds allocated to different areas of research or changes that have the effect of increasing the length of the funding process;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macroeconomic conditions and the political climate;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scientists’ and customers’ opinions of the utility of new products or services;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regulatory environment;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differences in budgetary cycles;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competitor product offerings or pricing;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market-driven pressures to consolidate operations and reduce costs;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acceptance of relatively new technologies, such as ours.</w:t>
      </w:r>
    </w:p>
    <w:p>
      <w:pPr>
        <w:spacing w:after="0" w:line="104" w:lineRule="exact"/>
        <w:rPr>
          <w:sz w:val="20"/>
          <w:szCs w:val="20"/>
          <w:color w:val="auto"/>
        </w:rPr>
      </w:pPr>
    </w:p>
    <w:p>
      <w:pPr>
        <w:jc w:val="both"/>
        <w:ind w:firstLine="578"/>
        <w:spacing w:after="0" w:line="269" w:lineRule="auto"/>
        <w:rPr>
          <w:sz w:val="20"/>
          <w:szCs w:val="20"/>
          <w:color w:val="auto"/>
        </w:rPr>
      </w:pPr>
      <w:r>
        <w:rPr>
          <w:rFonts w:ascii="Arial" w:cs="Arial" w:eastAsia="Arial" w:hAnsi="Arial"/>
          <w:sz w:val="17"/>
          <w:szCs w:val="17"/>
          <w:color w:val="auto"/>
        </w:rPr>
        <w:t>In addition, various state, federal and foreign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solutions. For example, congressional appropriations to the National Institutes of Health (the “NIH”) have generally increased year-over-year in recent years, but the NIH also experiences occasional year-over-year decreases in appropriations. There is no guarantee that NIH appropriations will not decrease or halt in the future. A decrease in the amount or halt of, or delay in the approval of, appropriations to NIH or other similar United States or foreign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solutions. Our operating results may fluctuate substantially due to any such reductions and delays. Any decrease in our customers’ budgets or expenditures, or in the size, scope or frequency of their capital or operating expenditures, could materially and adversely affect our business, operating results and financial condition.</w:t>
      </w:r>
    </w:p>
    <w:p>
      <w:pPr>
        <w:spacing w:after="0" w:line="141" w:lineRule="exact"/>
        <w:rPr>
          <w:sz w:val="20"/>
          <w:szCs w:val="20"/>
          <w:color w:val="auto"/>
        </w:rPr>
      </w:pPr>
    </w:p>
    <w:p>
      <w:pPr>
        <w:jc w:val="both"/>
        <w:ind w:firstLine="36"/>
        <w:spacing w:after="0" w:line="356" w:lineRule="auto"/>
        <w:rPr>
          <w:sz w:val="20"/>
          <w:szCs w:val="20"/>
          <w:color w:val="auto"/>
        </w:rPr>
      </w:pPr>
      <w:r>
        <w:rPr>
          <w:rFonts w:ascii="Arial" w:cs="Arial" w:eastAsia="Arial" w:hAnsi="Arial"/>
          <w:sz w:val="15"/>
          <w:szCs w:val="15"/>
          <w:b w:val="1"/>
          <w:bCs w:val="1"/>
          <w:i w:val="1"/>
          <w:iCs w:val="1"/>
          <w:color w:val="auto"/>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p>
    <w:p>
      <w:pPr>
        <w:spacing w:after="0" w:line="1" w:lineRule="exact"/>
        <w:rPr>
          <w:sz w:val="20"/>
          <w:szCs w:val="20"/>
          <w:color w:val="auto"/>
        </w:rPr>
      </w:pPr>
    </w:p>
    <w:p>
      <w:pPr>
        <w:jc w:val="both"/>
        <w:ind w:firstLine="578"/>
        <w:spacing w:after="0" w:line="255" w:lineRule="auto"/>
        <w:rPr>
          <w:sz w:val="20"/>
          <w:szCs w:val="20"/>
          <w:color w:val="auto"/>
        </w:rPr>
      </w:pPr>
      <w:r>
        <w:rPr>
          <w:rFonts w:ascii="Arial" w:cs="Arial" w:eastAsia="Arial" w:hAnsi="Arial"/>
          <w:sz w:val="18"/>
          <w:szCs w:val="18"/>
          <w:color w:val="auto"/>
        </w:rPr>
        <w:t>In addition to selling our products through our direct sales force and support organizations in North America, Europe, China, and several countries in the Asia-Pacific region, we sell our products through third-party distributors or sales agents in certain countries in Europe, Latin America, the Middle East and the Asia-Pacific region. If current or future distributors do not perform adequately or effectively or fail to obtain or maintain any required regulatory approvals, we may not realize long-term international revenue growth and our business, operating results and financial condition may be harmed. We have limited control over our distributors, which may not commit the necessary resources to market our products to the level of our expectations.</w:t>
      </w:r>
    </w:p>
    <w:p>
      <w:pPr>
        <w:spacing w:after="0" w:line="165" w:lineRule="exact"/>
        <w:rPr>
          <w:sz w:val="20"/>
          <w:szCs w:val="20"/>
          <w:color w:val="auto"/>
        </w:rPr>
      </w:pPr>
    </w:p>
    <w:p>
      <w:pPr>
        <w:jc w:val="both"/>
        <w:ind w:firstLine="578"/>
        <w:spacing w:after="0" w:line="259" w:lineRule="auto"/>
        <w:rPr>
          <w:sz w:val="20"/>
          <w:szCs w:val="20"/>
          <w:color w:val="auto"/>
        </w:rPr>
      </w:pPr>
      <w:r>
        <w:rPr>
          <w:rFonts w:ascii="Arial" w:cs="Arial" w:eastAsia="Arial" w:hAnsi="Arial"/>
          <w:sz w:val="18"/>
          <w:szCs w:val="18"/>
          <w:color w:val="auto"/>
        </w:rPr>
        <w:t>We intend to continue to grow our business internationally and to do so we may choose to partner with additional distributors to maximize the commercial opportunity for our products. There is no guarantee that we will be successful in attracting or retaining desirable sales and distribution partners or that we will be able to enter into such arrangements on favorable terms, which could affect our ability to expand into or further penetrate certain geographies and adversely impact our business, operating results and financial condition.</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International operations and expansion of our international business exposes us to business, regulatory, political, operational, financial and economic risks associated with doing business outside of the United States.</w:t>
      </w:r>
    </w:p>
    <w:p>
      <w:pPr>
        <w:spacing w:after="0" w:line="63" w:lineRule="exact"/>
        <w:rPr>
          <w:sz w:val="20"/>
          <w:szCs w:val="20"/>
          <w:color w:val="auto"/>
        </w:rPr>
      </w:pPr>
    </w:p>
    <w:p>
      <w:pPr>
        <w:jc w:val="both"/>
        <w:ind w:firstLine="578"/>
        <w:spacing w:after="0" w:line="259" w:lineRule="auto"/>
        <w:rPr>
          <w:sz w:val="20"/>
          <w:szCs w:val="20"/>
          <w:color w:val="auto"/>
        </w:rPr>
      </w:pPr>
      <w:r>
        <w:rPr>
          <w:rFonts w:ascii="Arial" w:cs="Arial" w:eastAsia="Arial" w:hAnsi="Arial"/>
          <w:sz w:val="18"/>
          <w:szCs w:val="18"/>
          <w:color w:val="auto"/>
        </w:rPr>
        <w:t>We currently have significant international operations and our business strategy incorporates further international expansion. We currently maintain relationships with distributors and suppliers outside of the United States and may in the future enter into new distributor and supplier relationships outside of the United States. In addition, we currently have manufacturing operations in both the United States and China. Doing business internationally involves a number of risks, including: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0" w:name="page21"/>
    <w:bookmarkEnd w:id="20"/>
    <w:p>
      <w:pPr>
        <w:ind w:left="1020" w:hanging="503"/>
        <w:spacing w:after="0" w:line="324"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multiple, conflicting and changing laws and regulations such as privacy regulations, tax laws, export and import restrictions, tariffs, economic sanctions and embargoes, employment laws, regulatory requirements and other governmental approvals, permits and licenses;</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by us or our distributors to obtain approvals to conduct our business in various countries;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differing intellectual property rights;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complexities and difficulties in obtaining intellectual property protection, enforcing our intellectual property and defending against third party intellectual property claims;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logistics and regulations associated with shipping systems and parts and components for our products, as well as transportation delays;</w:t>
      </w:r>
    </w:p>
    <w:p>
      <w:pPr>
        <w:spacing w:after="0" w:line="115"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travel restrictions that limit the ability of marketing, presales, sales, services and support teams to service customers, including those resulting from the COVID-19 pandemic;</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international trade disputes that could result in tariffs and other protective measures;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 and</w:t>
      </w:r>
    </w:p>
    <w:p>
      <w:pPr>
        <w:spacing w:after="0" w:line="62" w:lineRule="exact"/>
        <w:rPr>
          <w:rFonts w:ascii="Arial" w:cs="Arial" w:eastAsia="Arial" w:hAnsi="Arial"/>
          <w:sz w:val="18"/>
          <w:szCs w:val="18"/>
          <w:color w:val="auto"/>
        </w:rPr>
      </w:pPr>
    </w:p>
    <w:p>
      <w:pPr>
        <w:ind w:left="1020" w:right="20" w:hanging="503"/>
        <w:spacing w:after="0" w:line="324"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regulatory and compliance risks that relate to maintaining accurate information and control over sales and distributors’ activities that may fall within the purview of the U.S. Foreign Corrupt Practices Act (the “FCPA”), its books and records provisions, or its anti-bribery provisions.</w:t>
      </w:r>
    </w:p>
    <w:p>
      <w:pPr>
        <w:spacing w:after="0" w:line="16" w:lineRule="exact"/>
        <w:rPr>
          <w:sz w:val="20"/>
          <w:szCs w:val="20"/>
          <w:color w:val="auto"/>
        </w:rPr>
      </w:pPr>
    </w:p>
    <w:p>
      <w:pPr>
        <w:jc w:val="both"/>
        <w:ind w:firstLine="578"/>
        <w:spacing w:after="0" w:line="257"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business, financial condition, results of operations and prospects. In addition, certain international markets are subject to significant political and economic uncertainty, including, for example, the effect of the withdrawal of the United Kingdom from the European Union. Significant political and economic developments in international markets in which we currently or intend to operate, or the perception that any of them could occur, creates further challenges for operating in these markets in addition to creating instability in global economic conditions.</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The market for cell analysis technologies and life sciences tools, including flow cytometry, is highly competitive, and if we cannot compete successfully with our competitors, we may be unable to increase or sustain our revenue, or achieve and sustain profitability.</w:t>
      </w:r>
    </w:p>
    <w:p>
      <w:pPr>
        <w:spacing w:after="0" w:line="39" w:lineRule="exact"/>
        <w:rPr>
          <w:sz w:val="20"/>
          <w:szCs w:val="20"/>
          <w:color w:val="auto"/>
        </w:rPr>
      </w:pPr>
    </w:p>
    <w:p>
      <w:pPr>
        <w:jc w:val="both"/>
        <w:ind w:firstLine="578"/>
        <w:spacing w:after="0" w:line="269" w:lineRule="auto"/>
        <w:rPr>
          <w:sz w:val="20"/>
          <w:szCs w:val="20"/>
          <w:color w:val="auto"/>
        </w:rPr>
      </w:pPr>
      <w:r>
        <w:rPr>
          <w:rFonts w:ascii="Arial" w:cs="Arial" w:eastAsia="Arial" w:hAnsi="Arial"/>
          <w:sz w:val="17"/>
          <w:szCs w:val="17"/>
          <w:color w:val="auto"/>
        </w:rPr>
        <w:t>We face significant competition in the cell analysis and life sciences tools markets. We currently compete with both established and early stage life sciences technology companies that design, manufacture and market conventional flow cytometry (“CFCs”), spectral flow cytometry and mass cytometry instruments, consumables and software for cell analysis and/or provide services related to the same. An increasing number of applications for cell analysis, and more particularly flow cytometry, is leading to more companies offering competitive products and services. Our competitors include Agilent Technologies, Beckman Coulter (Danaher Corporation), Becton, Dickinson and Company (“BD”), Bio-Rad Laboratories, Fluidigm Corporation, Miltenyi Biotec, Sony Biotechnology (Sony Corporation), and Thermo Fisher Scientific. Our target customers may also elect to develop their workflows using other technologies rather than implementing our platform or existing customers may decide to stop using our platform. In addition, there are many large, established companies in the life sciences tools market that could develop instruments or other products that will compete with us in the future. These large, established companies have substantially greater financial and other resources than us, including larger research and development staff or more established marketing and sales forces.</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competitors and potential competitors may enjoy a number of competitive advantages over us, including:</w:t>
      </w:r>
    </w:p>
    <w:p>
      <w:pPr>
        <w:spacing w:after="0" w:line="198"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operating histories;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larger customer bases;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brand recognition and market penetration;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financial resources and capabilities;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technological and research and development resources;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larger intellectual property portfolios;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1" w:name="page22"/>
    <w:bookmarkEnd w:id="21"/>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better system reliability and robustness;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selling and marketing capabilities;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104" w:lineRule="exact"/>
        <w:rPr>
          <w:sz w:val="20"/>
          <w:szCs w:val="20"/>
          <w:color w:val="auto"/>
        </w:rPr>
      </w:pPr>
    </w:p>
    <w:p>
      <w:pPr>
        <w:jc w:val="both"/>
        <w:ind w:firstLine="578"/>
        <w:spacing w:after="0" w:line="272" w:lineRule="auto"/>
        <w:rPr>
          <w:sz w:val="20"/>
          <w:szCs w:val="20"/>
          <w:color w:val="auto"/>
        </w:rPr>
      </w:pPr>
      <w:r>
        <w:rPr>
          <w:rFonts w:ascii="Arial" w:cs="Arial" w:eastAsia="Arial" w:hAnsi="Arial"/>
          <w:sz w:val="17"/>
          <w:szCs w:val="17"/>
          <w:color w:val="auto"/>
        </w:rPr>
        <w:t>In addition, competitors may be acquired by, receive investments from or enter into other commercial relationships with larger, well-established and well-financed companies. Our competitors and potential competitors may be able to respond more quickly to changes in customer requirements, devote greater resources to the development, promotion and sale of their products and services than we can, secure key components from suppliers on more favorable terms, adopt more aggressive pricing policies or sell their products or offer services competitive with our products at prices and margins designed to win significant levels of market share. We may not be able to compete effectively against these organizations. If we are unable to compete successfully against current and future competitors, we may be unable to increase market adoption and sales of our products, which could negatively impact our business, financial condition, results of operations and prospects.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develop and successfully introduce new and enhanced products that meet the needs of our customers.</w:t>
      </w:r>
    </w:p>
    <w:p>
      <w:pPr>
        <w:spacing w:after="0" w:line="138" w:lineRule="exact"/>
        <w:rPr>
          <w:sz w:val="20"/>
          <w:szCs w:val="20"/>
          <w:color w:val="auto"/>
        </w:rPr>
      </w:pPr>
    </w:p>
    <w:p>
      <w:pPr>
        <w:jc w:val="both"/>
        <w:ind w:firstLine="578"/>
        <w:spacing w:after="0" w:line="273" w:lineRule="auto"/>
        <w:rPr>
          <w:sz w:val="20"/>
          <w:szCs w:val="20"/>
          <w:color w:val="auto"/>
        </w:rPr>
      </w:pPr>
      <w:r>
        <w:rPr>
          <w:rFonts w:ascii="Arial" w:cs="Arial" w:eastAsia="Arial" w:hAnsi="Arial"/>
          <w:sz w:val="17"/>
          <w:szCs w:val="17"/>
          <w:color w:val="auto"/>
        </w:rPr>
        <w:t>Our current products include instruments, consumables and services to advance high-content and high-sensitivity cell analysis by utilizing our full spectrum profiling (“FSP”) technology. We cannot assure you that the market for our current products will continue to generate significant or consistent demand. Demand for our current products could be significantly diminished by competitive technologies or products that replace them or render them obsolete or less desirable. Accordingly, we must continue to invest in research and development to develop competitive products and enabling services. Restrictions resulting from the COVID-19 pandemic have had a negative impact on the work on some of our research and development programs due to the inability of some personnel being able to work in our applicable regional facilities.</w:t>
      </w:r>
    </w:p>
    <w:p>
      <w:pPr>
        <w:spacing w:after="0" w:line="137" w:lineRule="exact"/>
        <w:rPr>
          <w:sz w:val="20"/>
          <w:szCs w:val="20"/>
          <w:color w:val="auto"/>
        </w:rPr>
      </w:pPr>
    </w:p>
    <w:p>
      <w:pPr>
        <w:jc w:val="both"/>
        <w:ind w:firstLine="578"/>
        <w:spacing w:after="0" w:line="296" w:lineRule="auto"/>
        <w:rPr>
          <w:sz w:val="20"/>
          <w:szCs w:val="20"/>
          <w:color w:val="auto"/>
        </w:rPr>
      </w:pPr>
      <w:r>
        <w:rPr>
          <w:rFonts w:ascii="Arial" w:cs="Arial" w:eastAsia="Arial" w:hAnsi="Arial"/>
          <w:sz w:val="16"/>
          <w:szCs w:val="16"/>
          <w:color w:val="auto"/>
        </w:rPr>
        <w:t>Our future success depends on our ability to anticipate our customers’ needs and develop new products and enhance current products and services to address those needs. Introduction of new products and product enhancements will require that we effectively transfer production processes from research and development to manufacturing and coordinate our efforts with those of our suppliers to achieve the desired level of production. If we fail to transfer production processes effectively, develop product enhancements or introduce new products or enabling services in sufficient quantities to meet the needs of our customers, or effectively coordinate with our suppliers, our net sales may be reduced and our business would be harmed.</w:t>
      </w:r>
    </w:p>
    <w:p>
      <w:pPr>
        <w:spacing w:after="0" w:line="134" w:lineRule="exact"/>
        <w:rPr>
          <w:sz w:val="20"/>
          <w:szCs w:val="20"/>
          <w:color w:val="auto"/>
        </w:rPr>
      </w:pPr>
    </w:p>
    <w:p>
      <w:pPr>
        <w:jc w:val="both"/>
        <w:ind w:firstLine="578"/>
        <w:spacing w:after="0" w:line="301" w:lineRule="auto"/>
        <w:rPr>
          <w:sz w:val="20"/>
          <w:szCs w:val="20"/>
          <w:color w:val="auto"/>
        </w:rPr>
      </w:pPr>
      <w:r>
        <w:rPr>
          <w:rFonts w:ascii="Arial" w:cs="Arial" w:eastAsia="Arial" w:hAnsi="Arial"/>
          <w:sz w:val="16"/>
          <w:szCs w:val="16"/>
          <w:color w:val="auto"/>
        </w:rPr>
        <w:t>The commercial success of all of our products and services will depend upon their acceptance by the life sciences and biopharmaceutical industries. Some of the products and services that we are developing are based upon new technologies or approaches. As a result, there can be no assurance that these new products and services, even if successfully developed and introduced, will be accepted by customers. If customers do not adopt our new products, services and technologies, our results of operations may suffer and, as a result, the market price of our common stock may decline.</w:t>
      </w:r>
    </w:p>
    <w:p>
      <w:pPr>
        <w:spacing w:after="0" w:line="1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74" w:lineRule="exact"/>
        <w:rPr>
          <w:sz w:val="20"/>
          <w:szCs w:val="20"/>
          <w:color w:val="auto"/>
        </w:rPr>
      </w:pPr>
    </w:p>
    <w:p>
      <w:pPr>
        <w:jc w:val="both"/>
        <w:ind w:firstLine="578"/>
        <w:spacing w:after="0" w:line="290" w:lineRule="auto"/>
        <w:rPr>
          <w:sz w:val="20"/>
          <w:szCs w:val="20"/>
          <w:color w:val="auto"/>
        </w:rPr>
      </w:pPr>
      <w:r>
        <w:rPr>
          <w:rFonts w:ascii="Arial" w:cs="Arial" w:eastAsia="Arial" w:hAnsi="Arial"/>
          <w:sz w:val="16"/>
          <w:szCs w:val="16"/>
          <w:color w:val="auto"/>
        </w:rPr>
        <w:t>We currently sell our products primarily in the cell analysis market, which is characterized by significant enhancements and evolving industry and regulatory standards. As a result, our customers’ needs are rapidly evolving. If we do not appropriately innovate and offer our customers comprehensive solutions and otherwise invest in new technologies, our offerings may become less desirable in the markets we serve, and our customers could move to new technologies offered by our competitors or make products themselves. Without the timely introduction of new instruments, consumables, software, services and enhancements, our offerings may become less competitive over time, in which case our competitive position and operating results could suffer. Accordingly, we focus significant efforts and resources on the development and identification of new products and applications to further drive adoption of our platform. To the extent we fail to timely introduce new and innovative products, offer enhancements to our existing products, adequately predict our customers’ needs or fail to obtain desired levels of market acceptance, our business may suffer and our operating results could be adversely affected.</w:t>
      </w:r>
    </w:p>
    <w:p>
      <w:pPr>
        <w:spacing w:after="0" w:line="138" w:lineRule="exact"/>
        <w:rPr>
          <w:sz w:val="20"/>
          <w:szCs w:val="20"/>
          <w:color w:val="auto"/>
        </w:rPr>
      </w:pPr>
    </w:p>
    <w:p>
      <w:pPr>
        <w:jc w:val="both"/>
        <w:ind w:firstLine="578"/>
        <w:spacing w:after="0" w:line="257" w:lineRule="auto"/>
        <w:rPr>
          <w:sz w:val="20"/>
          <w:szCs w:val="20"/>
          <w:color w:val="auto"/>
        </w:rPr>
      </w:pPr>
      <w:r>
        <w:rPr>
          <w:rFonts w:ascii="Arial" w:cs="Arial" w:eastAsia="Arial" w:hAnsi="Arial"/>
          <w:sz w:val="18"/>
          <w:szCs w:val="18"/>
          <w:color w:val="auto"/>
        </w:rPr>
        <w:t>We believe our products have potential applications across a wide range of markets and we have targeted certain markets in which we believe our technology has significant advantages, or for which we believe we have a higher probability of success or revenue opportunity. For example, we are committed to developing our platform’s applications within the clinical market, and in particular, within disease detection, diagnosis, and treatment monitoring. We seek to maintain a process of prioritization and resource allocation among our programs to maintain a balance between advancing near-term opportunities and exploring additional markets and use cases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2" w:name="page23"/>
    <w:bookmarkEnd w:id="22"/>
    <w:p>
      <w:pPr>
        <w:jc w:val="both"/>
        <w:spacing w:after="0" w:line="254" w:lineRule="auto"/>
        <w:rPr>
          <w:sz w:val="20"/>
          <w:szCs w:val="20"/>
          <w:color w:val="auto"/>
        </w:rPr>
      </w:pPr>
      <w:r>
        <w:rPr>
          <w:rFonts w:ascii="Arial" w:cs="Arial" w:eastAsia="Arial" w:hAnsi="Arial"/>
          <w:sz w:val="18"/>
          <w:szCs w:val="18"/>
          <w:color w:val="auto"/>
        </w:rPr>
        <w:t>for our technology. However, due to the significant resources required for the development of products or services for new markets, we must make decisions on which markets to pursue and the amount of resources to allocate to each. Our decisions concerning the allocation of research, development, collaboration, management and financial resources toward particular markets, products or services may not lead to the development of any viable products or services and may divert resources away from better opportunities. Similarly, our potential decisions to delay, terminate or collaborate with third parties in respect of certain markets may subsequently also prove to be suboptimal and could cause us to miss valuable opportunities. In particular, if we are unable to accelerate adoption of our FSP solutions, it could slow or stop our business growth and negatively impact our business, financial condition, results of operations and prospects.</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New product development involves a lengthy and complex process and we may be unable to develop or commercialize products on a timely basis, or at all.</w:t>
      </w:r>
    </w:p>
    <w:p>
      <w:pPr>
        <w:spacing w:after="0" w:line="63" w:lineRule="exact"/>
        <w:rPr>
          <w:sz w:val="20"/>
          <w:szCs w:val="20"/>
          <w:color w:val="auto"/>
        </w:rPr>
      </w:pPr>
    </w:p>
    <w:p>
      <w:pPr>
        <w:jc w:val="both"/>
        <w:ind w:firstLine="578"/>
        <w:spacing w:after="0" w:line="279" w:lineRule="auto"/>
        <w:rPr>
          <w:sz w:val="20"/>
          <w:szCs w:val="20"/>
          <w:color w:val="auto"/>
        </w:rPr>
      </w:pPr>
      <w:r>
        <w:rPr>
          <w:rFonts w:ascii="Arial" w:cs="Arial" w:eastAsia="Arial" w:hAnsi="Arial"/>
          <w:sz w:val="17"/>
          <w:szCs w:val="17"/>
          <w:color w:val="auto"/>
        </w:rPr>
        <w:t>Products from our research and development programs will take time and considerable resources to develop, and may include improvements or changes to our current products, and we may not be able to complete development and commercialization of new or enhanced products on a timely basis, or at all. There can be no assurance that our research and development efforts will produce commercially viable products and solutions and before we can commercialize any new products, we will need to expend significant funds to, for example:</w:t>
      </w:r>
    </w:p>
    <w:p>
      <w:pPr>
        <w:spacing w:after="0" w:line="131"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 substantial research and development;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necessary regulatory approval;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further develop and scale our laboratory, engineering and manufacturing processes to accommodate different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source and enter into agreements with new suppliers;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further develop and scale our infrastructure.</w:t>
      </w:r>
    </w:p>
    <w:p>
      <w:pPr>
        <w:spacing w:after="0" w:line="104" w:lineRule="exact"/>
        <w:rPr>
          <w:sz w:val="20"/>
          <w:szCs w:val="20"/>
          <w:color w:val="auto"/>
        </w:rPr>
      </w:pPr>
    </w:p>
    <w:p>
      <w:pPr>
        <w:jc w:val="both"/>
        <w:ind w:firstLine="578"/>
        <w:spacing w:after="0" w:line="277" w:lineRule="auto"/>
        <w:rPr>
          <w:sz w:val="20"/>
          <w:szCs w:val="20"/>
          <w:color w:val="auto"/>
        </w:rPr>
      </w:pPr>
      <w:r>
        <w:rPr>
          <w:rFonts w:ascii="Arial" w:cs="Arial" w:eastAsia="Arial" w:hAnsi="Arial"/>
          <w:sz w:val="18"/>
          <w:szCs w:val="18"/>
          <w:color w:val="auto"/>
        </w:rPr>
        <w:t>Our product development processes involve a high degree of risk, and these efforts may be delayed or fail for many reasons, including failure of the product to perform as expected and failure to reliably demonstrate the advantages of the product.</w:t>
      </w:r>
    </w:p>
    <w:p>
      <w:pPr>
        <w:spacing w:after="0" w:line="143"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Even if we are successful in developing new products, it will require us to make significant additional investments in marketing and selling resources to commercialize any such products. As a result, we may be unsuccessful in commercializing new products that we develop, which could adversely affect our business, financial condition, results of operations and prospects.</w:t>
      </w:r>
    </w:p>
    <w:p>
      <w:pPr>
        <w:spacing w:after="0" w:line="1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Our FSP systems are complex in design and may contain defects that are not detected until deployed by our customers, which could increase our costs and reduce our net sales. If our products do not perform as expected or the reliability of the technology on which our products and services are based is questioned, our operating results, reputation and business will suffer.</w:t>
      </w:r>
    </w:p>
    <w:p>
      <w:pPr>
        <w:spacing w:after="0" w:line="74" w:lineRule="exact"/>
        <w:rPr>
          <w:sz w:val="20"/>
          <w:szCs w:val="20"/>
          <w:color w:val="auto"/>
        </w:rPr>
      </w:pPr>
    </w:p>
    <w:p>
      <w:pPr>
        <w:jc w:val="both"/>
        <w:ind w:firstLine="578"/>
        <w:spacing w:after="0" w:line="253" w:lineRule="auto"/>
        <w:rPr>
          <w:sz w:val="20"/>
          <w:szCs w:val="20"/>
          <w:color w:val="auto"/>
        </w:rPr>
      </w:pPr>
      <w:r>
        <w:rPr>
          <w:rFonts w:ascii="Arial" w:cs="Arial" w:eastAsia="Arial" w:hAnsi="Arial"/>
          <w:sz w:val="18"/>
          <w:szCs w:val="18"/>
          <w:color w:val="auto"/>
        </w:rPr>
        <w:t>Our success depends on our ability to provide reliable, high quality products that enable high-content and high-sensitivity cell analysis through flexible, efficient and cost-effective solutions. Our FSP systems are complex in design and involve a highly complex and precise manufacturing process. As a result of the technological complexity of our systems, changes in our or our suppliers’ manufacturing processes or the inadvertent use of defective materials by us or our suppliers could result in an adverse effect on our ability to achieve acceptable manufacturing yields and product reliability. To the extent that we do not achieve and maintain our projected yields or product reliability, our business, operating results, financial condition and customer relationships would be adversely affected. We provide warranties on a majority of our product sales, and reserves for estimated warranty costs are recorded during the period of sale. The determination of such reserves requires us to make estimates of failure rates and expected costs to repair or replace the products under warranty. We typically establish warranty reserves based on historical warranty costs for each product line. If actual repair and replacement costs differ significantly from our estimates, adjustments to cost of sales may be required in future periods which could have an adverse effect on our results of operations.</w:t>
      </w:r>
    </w:p>
    <w:p>
      <w:pPr>
        <w:spacing w:after="0" w:line="167"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Our customers may discover defects in our products after the products have been fully installed and operated. In addition, some of our products include components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143"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customers or orders;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costs of warranty expenses;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attract new customers;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3" w:name="page24"/>
    <w:bookmarkEnd w:id="23"/>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development, engineering and manufacturing resources;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actions by governmental authorities;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legal actions by our customers.</w:t>
      </w:r>
    </w:p>
    <w:p>
      <w:pPr>
        <w:spacing w:after="0" w:line="185" w:lineRule="exact"/>
        <w:rPr>
          <w:sz w:val="20"/>
          <w:szCs w:val="20"/>
          <w:color w:val="auto"/>
        </w:rPr>
      </w:pPr>
    </w:p>
    <w:p>
      <w:pPr>
        <w:jc w:val="both"/>
        <w:ind w:firstLine="578"/>
        <w:spacing w:after="0" w:line="257" w:lineRule="auto"/>
        <w:rPr>
          <w:sz w:val="20"/>
          <w:szCs w:val="20"/>
          <w:color w:val="auto"/>
        </w:rPr>
      </w:pPr>
      <w:r>
        <w:rPr>
          <w:rFonts w:ascii="Arial" w:cs="Arial" w:eastAsia="Arial" w:hAnsi="Arial"/>
          <w:sz w:val="18"/>
          <w:szCs w:val="18"/>
          <w:color w:val="auto"/>
        </w:rPr>
        <w:t>We believe that customers in our target markets are likely to be particularly sensitive to product defects and errors. Our reputation and the public image of our products, services and technologies may be impaired if our products or services fail to perform as expected. If our products do not perform, or are perceived to not have performed, as expected or favorably in comparison to competitive products, our operating results, reputation, and business will suffer, and we may also be subject to legal claims arising from product limitations, errors, or inaccuracies. Any of the foregoing could have an adverse effect on our business, financial condition and results of operations.</w:t>
      </w:r>
    </w:p>
    <w:p>
      <w:pPr>
        <w:spacing w:after="0" w:line="147" w:lineRule="exact"/>
        <w:rPr>
          <w:sz w:val="20"/>
          <w:szCs w:val="20"/>
          <w:color w:val="auto"/>
        </w:rPr>
      </w:pPr>
    </w:p>
    <w:p>
      <w:pPr>
        <w:jc w:val="both"/>
        <w:ind w:firstLine="578"/>
        <w:spacing w:after="0" w:line="275" w:lineRule="auto"/>
        <w:rPr>
          <w:sz w:val="20"/>
          <w:szCs w:val="20"/>
          <w:color w:val="auto"/>
        </w:rPr>
      </w:pPr>
      <w:r>
        <w:rPr>
          <w:rFonts w:ascii="Arial" w:cs="Arial" w:eastAsia="Arial" w:hAnsi="Arial"/>
          <w:sz w:val="17"/>
          <w:szCs w:val="17"/>
          <w:color w:val="auto"/>
        </w:rPr>
        <w:t>Although our products are tested prior to shipment, defects or errors could nonetheless occur. Our operating results depend on our ability to execute and, when necessary, improve our quality management strategy and systems and our ability to effectively train and maintain our employee base with respect to quality management. A failure of our quality control systems could result in problems with facility operations or preparation or provision of products. In each case, such problems could arise for a variety of reasons, including equipment malfunction, failure to follow specific protocols and procedures, problems with raw materials or environmental factors and damage to, or loss of, manufacturing operations.</w:t>
      </w:r>
    </w:p>
    <w:p>
      <w:pPr>
        <w:spacing w:after="0" w:line="149" w:lineRule="exact"/>
        <w:rPr>
          <w:sz w:val="20"/>
          <w:szCs w:val="20"/>
          <w:color w:val="auto"/>
        </w:rPr>
      </w:pPr>
    </w:p>
    <w:p>
      <w:pPr>
        <w:jc w:val="both"/>
        <w:ind w:firstLine="578"/>
        <w:spacing w:after="0" w:line="290" w:lineRule="auto"/>
        <w:rPr>
          <w:sz w:val="20"/>
          <w:szCs w:val="20"/>
          <w:color w:val="auto"/>
        </w:rPr>
      </w:pPr>
      <w:r>
        <w:rPr>
          <w:rFonts w:ascii="Arial" w:cs="Arial" w:eastAsia="Arial" w:hAnsi="Arial"/>
          <w:sz w:val="16"/>
          <w:szCs w:val="16"/>
          <w:color w:val="auto"/>
        </w:rPr>
        <w:t>We provide a one-year assurance-type warranty on our instruments. Existing and future warranties place us at the risk of incurring future repair and/or replacement costs. At the time revenue is recognized, we establish an accrual for estimated warranty expenses based on historical data and trends of product reliability and costs of repairing and replacing defective products. We exercise judgment in estimating the expected product warranty costs, using data such as the actual and projected product failure rates, estimated repair costs, freight, material, labor and overhead costs. While we believe that historical experience provides a reliable basis for estimating such warranty cost, unforeseen quality issues or component failure rates could result in future costs in excess of such estimates, or alternatively, improved quality and reliability in our products and consumables could result in actual expenses that are below those currently estimated. As of December 31, 2021, we had accrued approximately $1.8 million in expenses relating to product warranty accruals. Substantial amounts of warranty claims could have an adverse effect on our business, financial condition and results of operations.</w:t>
      </w:r>
    </w:p>
    <w:p>
      <w:pPr>
        <w:spacing w:after="0" w:line="125"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Even after any underlying concerns or problems are resolved, any lingering concerns in our target markets regarding our technology or any manufacturing defects or performance errors in our products or services could continue to result in lost revenue, delayed market acceptance, damage to our reputation and claims against us.</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Shipping is a critical part of our business and any changes in our shipping arrangements or damages or losses sustained during shipping could adversely affect our business, financial condition, results of operations and prospects.</w:t>
      </w:r>
    </w:p>
    <w:p>
      <w:pPr>
        <w:spacing w:after="0" w:line="63" w:lineRule="exact"/>
        <w:rPr>
          <w:sz w:val="20"/>
          <w:szCs w:val="20"/>
          <w:color w:val="auto"/>
        </w:rPr>
      </w:pPr>
    </w:p>
    <w:p>
      <w:pPr>
        <w:jc w:val="both"/>
        <w:ind w:firstLine="578"/>
        <w:spacing w:after="0" w:line="287" w:lineRule="auto"/>
        <w:rPr>
          <w:sz w:val="20"/>
          <w:szCs w:val="20"/>
          <w:color w:val="auto"/>
        </w:rPr>
      </w:pPr>
      <w:r>
        <w:rPr>
          <w:rFonts w:ascii="Arial" w:cs="Arial" w:eastAsia="Arial" w:hAnsi="Arial"/>
          <w:sz w:val="16"/>
          <w:szCs w:val="16"/>
          <w:color w:val="auto"/>
        </w:rPr>
        <w:t>We currently rely on third-party vendors for our shipping. If we are not able to negotiate acceptable pricing and other terms with these entities or they experience performance problems or other difficulties, it could negatively impact our operating results and our customers’ experience. Additionally, our manufacturing operations in Fremont and San Diego, California, and Wuxi, China require global shipping services which are subject to certain factors outside of our control, such as delays passing through customs and disruptions to global shipping routes. We have also experienced shipping delays and difficulties due to the COVID-19 pandemic and may again experience such delays or difficulties due to future quarantines, shelter-in-place and similar government orders related to the COVID-19 pandemic or other infectious disease outbreaks or natural disasters. Moreover, there is no guarantee that our systems will not become damaged or lost in transit, and we have experienced, and expect to continue to experience, delivery difficulties. If a system is damaged in transit, it may result in a substantial delay in the fulfillment of the customer’s order, and depending on the type and extent of the damage and whether the incident is covered by insurance, it may result in customer dissatisfaction and a substantial financial loss for us. If our products are not delivered in a timely fashion or are lost during the delivery process, our customers could also become dissatisfied and cease using our products or services, which would adversely affect our business, financial condition, results of operations and prospects. Additionally, delays in shipping could have an adverse impact on our ability to recognize revenue in a timely manner, which could have an adverse impact on our quarterly results of operations.</w:t>
      </w:r>
    </w:p>
    <w:p>
      <w:pPr>
        <w:spacing w:after="0" w:line="1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are unable to successfully expand our commercial operations, including hiring additional qualified sales representatives, technical applications specialists and customer support staff, our business may be adversely affected.</w:t>
      </w:r>
    </w:p>
    <w:p>
      <w:pPr>
        <w:spacing w:after="0" w:line="63" w:lineRule="exact"/>
        <w:rPr>
          <w:sz w:val="20"/>
          <w:szCs w:val="20"/>
          <w:color w:val="auto"/>
        </w:rPr>
      </w:pPr>
    </w:p>
    <w:p>
      <w:pPr>
        <w:jc w:val="both"/>
        <w:ind w:firstLine="578"/>
        <w:spacing w:after="0" w:line="259" w:lineRule="auto"/>
        <w:rPr>
          <w:sz w:val="20"/>
          <w:szCs w:val="20"/>
          <w:color w:val="auto"/>
        </w:rPr>
      </w:pPr>
      <w:r>
        <w:rPr>
          <w:rFonts w:ascii="Arial" w:cs="Arial" w:eastAsia="Arial" w:hAnsi="Arial"/>
          <w:sz w:val="18"/>
          <w:szCs w:val="18"/>
          <w:color w:val="auto"/>
        </w:rPr>
        <w:t>Our future sales will depend, in large part, on our ability to develop and substantially expand our sales infrastructure, particularly as we enter into new markets, rollout new solutions and applications and manage inbound interest from new customers. We distribute our products through our direct sales force and support organizations located in North America, Europe, China, and several countries in the Asia-Pacific region, and through distributors or sales agents in several countries in Europe, Latin America, the Middle East and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4" w:name="page25"/>
    <w:bookmarkEnd w:id="24"/>
    <w:p>
      <w:pPr>
        <w:jc w:val="both"/>
        <w:spacing w:after="0" w:line="259" w:lineRule="auto"/>
        <w:rPr>
          <w:sz w:val="20"/>
          <w:szCs w:val="20"/>
          <w:color w:val="auto"/>
        </w:rPr>
      </w:pPr>
      <w:r>
        <w:rPr>
          <w:rFonts w:ascii="Arial" w:cs="Arial" w:eastAsia="Arial" w:hAnsi="Arial"/>
          <w:sz w:val="18"/>
          <w:szCs w:val="18"/>
          <w:color w:val="auto"/>
        </w:rPr>
        <w:t>Asia-Pacific region. Our sales and marketing efforts are targeted at academic and governmental institutions, pharmaceutical and biotechnology companies, clinical research organizations and clinical laboratories focused on cell analysis. To continue driving adoption of our solutions and to support our global brand, we will need to further expand our sales infrastructure by hiring additional, highly qualified and reputable sales representatives, technical applications specialists and customer support staff, in addition to increasing advertising efforts.</w:t>
      </w:r>
    </w:p>
    <w:p>
      <w:pPr>
        <w:spacing w:after="0" w:line="160" w:lineRule="exact"/>
        <w:rPr>
          <w:sz w:val="20"/>
          <w:szCs w:val="20"/>
          <w:color w:val="auto"/>
        </w:rPr>
      </w:pPr>
    </w:p>
    <w:p>
      <w:pPr>
        <w:jc w:val="both"/>
        <w:ind w:firstLine="578"/>
        <w:spacing w:after="0" w:line="293" w:lineRule="auto"/>
        <w:rPr>
          <w:sz w:val="20"/>
          <w:szCs w:val="20"/>
          <w:color w:val="auto"/>
        </w:rPr>
      </w:pPr>
      <w:r>
        <w:rPr>
          <w:rFonts w:ascii="Arial" w:cs="Arial" w:eastAsia="Arial" w:hAnsi="Arial"/>
          <w:sz w:val="16"/>
          <w:szCs w:val="16"/>
          <w:color w:val="auto"/>
        </w:rPr>
        <w:t>Identifying and recruiting qualified personnel with sufficient industry experience and training them requires significant time, expense and attention. We have limited experience in training our personnel to successfully market and sell our products. If we provide inadequate training, fail to increase our sales and marketing capabilities or fail to develop broad brand awareness in a cost-effective manner, our business may be harmed. In addition, if our efforts to expand do not generate a corresponding increase in revenue or result in a decrease in our operating margin, our financial results will be adversely impacted. If we are unable to hire, develop and retain talented sales personnel or if new sales personnel are unable to achieve desired productivity levels in a reasonable period of time, we may not be able to realize the expected benefits of this investment or increase our revenue.</w:t>
      </w:r>
    </w:p>
    <w:p>
      <w:pPr>
        <w:spacing w:after="0" w:line="124" w:lineRule="exact"/>
        <w:rPr>
          <w:sz w:val="20"/>
          <w:szCs w:val="20"/>
          <w:color w:val="auto"/>
        </w:rPr>
      </w:pPr>
    </w:p>
    <w:p>
      <w:pPr>
        <w:jc w:val="both"/>
        <w:ind w:firstLine="578"/>
        <w:spacing w:after="0" w:line="272" w:lineRule="auto"/>
        <w:rPr>
          <w:sz w:val="20"/>
          <w:szCs w:val="20"/>
          <w:color w:val="auto"/>
        </w:rPr>
      </w:pPr>
      <w:r>
        <w:rPr>
          <w:rFonts w:ascii="Arial" w:cs="Arial" w:eastAsia="Arial" w:hAnsi="Arial"/>
          <w:sz w:val="17"/>
          <w:szCs w:val="17"/>
          <w:color w:val="auto"/>
        </w:rPr>
        <w:t>Additionally, our technical applications specialists work closely with researchers and clinicians to optimize and implement new panels and applications to meet their specific needs. Hiring these highly skilled specialists is competitive due to the limited number of people available with the necessary scientific and technical backgrounds and ability to understand our products at a technical level, and training such individuals requires significant time, expense and attention. Furthermore, we face intense competition in the labor market for such highly skilled specialists from competitors in our industry as well as competition from companies in other industries. To effectively support current and potential customers, we will need to hire, maintain, train and grow the number of our technical application specialists and customer support staff. If we are unable to maintain, attract, train or retain the number of qualified support personnel that our business needs, our business and prospects will suffer.</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are unable to expand or leverage the number of peer-reviewed articles published using data generated by our products or otherwise increase brand awareness, the demand for our products and our business may be adversely affected.</w:t>
      </w:r>
    </w:p>
    <w:p>
      <w:pPr>
        <w:spacing w:after="0" w:line="63" w:lineRule="exact"/>
        <w:rPr>
          <w:sz w:val="20"/>
          <w:szCs w:val="20"/>
          <w:color w:val="auto"/>
        </w:rPr>
      </w:pPr>
    </w:p>
    <w:p>
      <w:pPr>
        <w:jc w:val="both"/>
        <w:ind w:firstLine="578"/>
        <w:spacing w:after="0" w:line="270" w:lineRule="auto"/>
        <w:rPr>
          <w:sz w:val="20"/>
          <w:szCs w:val="20"/>
          <w:color w:val="auto"/>
        </w:rPr>
      </w:pPr>
      <w:r>
        <w:rPr>
          <w:rFonts w:ascii="Arial" w:cs="Arial" w:eastAsia="Arial" w:hAnsi="Arial"/>
          <w:sz w:val="17"/>
          <w:szCs w:val="17"/>
          <w:color w:val="auto"/>
        </w:rPr>
        <w:t>We rely on a significant base of peer-reviewed publications to showcase and validate the importance and application of our technology in academic and clinical research settings. To date, there have been more than 385 peer-reviewed articles published, including many published in prominent journals, using data generated by our technology across a wide range of key scientific research areas, including immunology and inflammation, infectious diseases, immuno-oncology, oncology and others. We believe that expanding the base of these publications, and otherwise developing and maintaining awareness of our brand in a cost-effective manner is critical to achieving broad acceptance of our solutions and attracting new customers. Such publications and other brand promotion activities may not generate customer awareness or increase revenue and, even if they do, any increase in revenue may not offset the costs and expenses we incur in building our brand. If we fail to successfully promote, maintain and protect our brand, we may fail to attract or retain the customers necessary to realize a sufficient return on our brand-building efforts, or to achieve the widespread brand awareness that is critical for broad customer adoption of our solutions.</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63" w:lineRule="exact"/>
        <w:rPr>
          <w:sz w:val="20"/>
          <w:szCs w:val="20"/>
          <w:color w:val="auto"/>
        </w:rPr>
      </w:pPr>
    </w:p>
    <w:p>
      <w:pPr>
        <w:jc w:val="both"/>
        <w:ind w:firstLine="578"/>
        <w:spacing w:after="0" w:line="275" w:lineRule="auto"/>
        <w:rPr>
          <w:sz w:val="20"/>
          <w:szCs w:val="20"/>
          <w:color w:val="auto"/>
        </w:rPr>
      </w:pPr>
      <w:r>
        <w:rPr>
          <w:rFonts w:ascii="Arial" w:cs="Arial" w:eastAsia="Arial" w:hAnsi="Arial"/>
          <w:sz w:val="17"/>
          <w:szCs w:val="17"/>
          <w:color w:val="auto"/>
        </w:rPr>
        <w:t>We are highly dependent on our senior management team and key personnel. Our success will depend on our ability to retain senior management and to attract and retain qualified personnel in the future, including sales, marketing, scientific and technical professionals, and to integrate current and additional personnel in all departments. The loss of members of our senior management, sales, marketing, scientific and technical professionals could result in lower than expected sales and delays in product development. If we are not successful in attracting and retaining highly qualified personnel, it would have a negative impact on our business, financial condition and results of operations.</w:t>
      </w:r>
    </w:p>
    <w:p>
      <w:pPr>
        <w:spacing w:after="0" w:line="149" w:lineRule="exact"/>
        <w:rPr>
          <w:sz w:val="20"/>
          <w:szCs w:val="20"/>
          <w:color w:val="auto"/>
        </w:rPr>
      </w:pPr>
    </w:p>
    <w:p>
      <w:pPr>
        <w:jc w:val="both"/>
        <w:ind w:firstLine="578"/>
        <w:spacing w:after="0" w:line="293" w:lineRule="auto"/>
        <w:rPr>
          <w:sz w:val="20"/>
          <w:szCs w:val="20"/>
          <w:color w:val="auto"/>
        </w:rPr>
      </w:pPr>
      <w:r>
        <w:rPr>
          <w:rFonts w:ascii="Arial" w:cs="Arial" w:eastAsia="Arial" w:hAnsi="Arial"/>
          <w:sz w:val="16"/>
          <w:szCs w:val="16"/>
          <w:color w:val="auto"/>
        </w:rPr>
        <w:t>Competition for skilled personnel in our market is intense and may limit our ability to hire and retain highly qualified personnel on acceptable terms, or at all. To induce valuable employees to remain at our company, in addition to salary and cash incentives, we have issued, and will in the future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they may terminate their employment with us on short notice. Our employment arrangements with our employees provide for at-will employment, which means that any of our employees could leave our employment at any time, with or without notice.</w:t>
      </w:r>
    </w:p>
    <w:p>
      <w:pPr>
        <w:spacing w:after="0" w:line="124"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Many of the other cell analysis technology companies that we compete against for qualified personnel have greater financial and other resources, different risk profiles and a longer history in the industry than we do. They may also provide more diverse opportunities, better chances for career advancement and higher compensation. Some of these characteristics are more appealing to high quality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5" w:name="page26"/>
    <w:bookmarkEnd w:id="25"/>
    <w:p>
      <w:pPr>
        <w:jc w:val="both"/>
        <w:spacing w:after="0" w:line="308" w:lineRule="auto"/>
        <w:rPr>
          <w:sz w:val="20"/>
          <w:szCs w:val="20"/>
          <w:color w:val="auto"/>
        </w:rPr>
      </w:pPr>
      <w:r>
        <w:rPr>
          <w:rFonts w:ascii="Arial" w:cs="Arial" w:eastAsia="Arial" w:hAnsi="Arial"/>
          <w:sz w:val="17"/>
          <w:szCs w:val="17"/>
          <w:color w:val="auto"/>
        </w:rPr>
        <w:t>candidates than what we can offer. Further, if we hire employees from competitors or other companies, their former employers may attempt to assert that these employees or we have breached legal obligations, resulting in a diversion of our time and resources and, potentially, damages.</w:t>
      </w:r>
    </w:p>
    <w:p>
      <w:pPr>
        <w:spacing w:after="0" w:line="119" w:lineRule="exact"/>
        <w:rPr>
          <w:sz w:val="20"/>
          <w:szCs w:val="20"/>
          <w:color w:val="auto"/>
        </w:rPr>
      </w:pPr>
    </w:p>
    <w:p>
      <w:pPr>
        <w:jc w:val="both"/>
        <w:ind w:firstLine="578"/>
        <w:spacing w:after="0" w:line="255" w:lineRule="auto"/>
        <w:rPr>
          <w:sz w:val="20"/>
          <w:szCs w:val="20"/>
          <w:color w:val="auto"/>
        </w:rPr>
      </w:pPr>
      <w:r>
        <w:rPr>
          <w:rFonts w:ascii="Arial" w:cs="Arial" w:eastAsia="Arial" w:hAnsi="Arial"/>
          <w:sz w:val="18"/>
          <w:szCs w:val="18"/>
          <w:color w:val="auto"/>
        </w:rPr>
        <w:t>In addition, job candidates and existing employees often consider the value of the equity awards they receive in connection with their employment. If the perceived benefits of our stock awards decline, either because we are a public company or for other reasons, it may harm our ability to recruit and retain highly skilled employees. Many of our employees have become or will soon become vested in a substantial amount of their equity awards. Our employees may be more likely to leave us if the equity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w:t>
      </w:r>
    </w:p>
    <w:p>
      <w:pPr>
        <w:spacing w:after="0" w:line="152"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Our future success also depends on our ability to continue to attract and retain additional executive officers and other key employees as we expand our business and operations. If we fail to attract new personnel or fail to retain and motivate our current personnel, it will negatively affect our business, financial condition and results of operations.</w:t>
      </w:r>
    </w:p>
    <w:p>
      <w:pPr>
        <w:spacing w:after="0" w:line="157"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b w:val="1"/>
          <w:bCs w:val="1"/>
          <w:i w:val="1"/>
          <w:iCs w:val="1"/>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16"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As of December 31, 2021, we had 496 full-time employees. As our sales and marketing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143"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while complying with our contractual obligations to contractors and other third parties;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04" w:lineRule="exact"/>
        <w:rPr>
          <w:sz w:val="20"/>
          <w:szCs w:val="20"/>
          <w:color w:val="auto"/>
        </w:rPr>
      </w:pPr>
    </w:p>
    <w:p>
      <w:pPr>
        <w:jc w:val="both"/>
        <w:ind w:firstLine="578"/>
        <w:spacing w:after="0" w:line="287" w:lineRule="auto"/>
        <w:rPr>
          <w:sz w:val="20"/>
          <w:szCs w:val="20"/>
          <w:color w:val="auto"/>
        </w:rPr>
      </w:pPr>
      <w:r>
        <w:rPr>
          <w:rFonts w:ascii="Arial" w:cs="Arial" w:eastAsia="Arial" w:hAnsi="Arial"/>
          <w:sz w:val="16"/>
          <w:szCs w:val="16"/>
          <w:color w:val="auto"/>
        </w:rPr>
        <w:t>Since our inception, we have experienced growth and anticipate further growth in our business operations both inside and outside the United States. This future growth could strain our organizational, administrative and operational infrastructure, including quality control, operational, finance, customer service and sales organization management. We expect to continue to increase our headcount and to hire more specialized personnel in the future as we grow our business. We will need to continue to hire, train and manage additional qualified scientists, engineers, technical personnel and sales and marketing staff and improve and maintain our products to properly manage our growth. Rapid expansion in personnel could mean that less experienced people develop, market and sell our products, which could result in inefficiencies and unanticipated costs, reduced quality and disruptions to our operations. If our new hires perform poorly, if we are unsuccessful in hiring, training, managing and integrating these new employees or if we are not successful in retaining our employees, our business may be harmed. We may not be able to maintain the quality or expected turnaround times of our products, or satisfy customer demand as it grows.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efficient and effective manner could adversely affect our operations.</w:t>
      </w:r>
    </w:p>
    <w:p>
      <w:pPr>
        <w:spacing w:after="0" w:line="14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w:t>
      </w:r>
    </w:p>
    <w:p>
      <w:pPr>
        <w:spacing w:after="0" w:line="74" w:lineRule="exact"/>
        <w:rPr>
          <w:sz w:val="20"/>
          <w:szCs w:val="20"/>
          <w:color w:val="auto"/>
        </w:rPr>
      </w:pPr>
    </w:p>
    <w:p>
      <w:pPr>
        <w:jc w:val="both"/>
        <w:ind w:firstLine="578"/>
        <w:spacing w:after="0" w:line="272" w:lineRule="auto"/>
        <w:rPr>
          <w:sz w:val="20"/>
          <w:szCs w:val="20"/>
          <w:color w:val="auto"/>
        </w:rPr>
      </w:pPr>
      <w:r>
        <w:rPr>
          <w:rFonts w:ascii="Arial" w:cs="Arial" w:eastAsia="Arial" w:hAnsi="Arial"/>
          <w:sz w:val="17"/>
          <w:szCs w:val="17"/>
          <w:color w:val="auto"/>
        </w:rPr>
        <w:t>Prior to our initial public offering ("IPO") in July 2021, we were a private company with limited accounting personnel to adequately execute our accounting processes to address our internal control over financial reporting. In connection with our financial statement close process for the years ended December 31, 2019 and 2020, we identified material weaknesses associated with our control environment and control activities components of the Committee of Sponsoring Organizations (“COSO”) framework related to (i) the lack of sufficient qualified personnel within its accounting and IT function and (ii) establishing policies and procedures to identify, select and apply GAAP in order to ensure that transactions were being appropriately recorded; and the design of appropriate control activities over information technology systems and financial and reporting processes necessary to ensure the accuracy of financial reporting and the preparation of financial statements.</w:t>
      </w:r>
    </w:p>
    <w:p>
      <w:pPr>
        <w:spacing w:after="0" w:line="137" w:lineRule="exact"/>
        <w:rPr>
          <w:sz w:val="20"/>
          <w:szCs w:val="20"/>
          <w:color w:val="auto"/>
        </w:rPr>
      </w:pPr>
    </w:p>
    <w:p>
      <w:pPr>
        <w:jc w:val="both"/>
        <w:ind w:firstLine="578"/>
        <w:spacing w:after="0" w:line="277"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its financial statements would not be prevented or detected on a timely basis.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These deficiencies could result in additional material misstatements to our consolidated financial statements that could not be prevented or detected on a timely basis.</w:t>
      </w:r>
    </w:p>
    <w:p>
      <w:pPr>
        <w:spacing w:after="0" w:line="143" w:lineRule="exact"/>
        <w:rPr>
          <w:sz w:val="20"/>
          <w:szCs w:val="20"/>
          <w:color w:val="auto"/>
        </w:rPr>
      </w:pPr>
    </w:p>
    <w:p>
      <w:pPr>
        <w:jc w:val="both"/>
        <w:ind w:firstLine="578"/>
        <w:spacing w:after="0" w:line="254" w:lineRule="auto"/>
        <w:rPr>
          <w:sz w:val="20"/>
          <w:szCs w:val="20"/>
          <w:color w:val="auto"/>
        </w:rPr>
      </w:pPr>
      <w:r>
        <w:rPr>
          <w:rFonts w:ascii="Arial" w:cs="Arial" w:eastAsia="Arial" w:hAnsi="Arial"/>
          <w:sz w:val="18"/>
          <w:szCs w:val="18"/>
          <w:color w:val="auto"/>
        </w:rPr>
        <w:t>We cannot be certain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In addition, neither our management nor an independent registered public accounting firm has performed an evaluation of our internal control over financial reporting because no such evaluation has been previously required. If we are unable to successfully remediate our existing or any future material weaknesses in our internal control over financial reporting, or identify any additional material weaknesses, the accuracy and timing of our financial reporting may be negatively impacted,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raise additional capital to fund our existing operations, develop our products and/or expand our operations.</w:t>
      </w:r>
    </w:p>
    <w:p>
      <w:pPr>
        <w:spacing w:after="0" w:line="104" w:lineRule="exact"/>
        <w:rPr>
          <w:sz w:val="20"/>
          <w:szCs w:val="20"/>
          <w:color w:val="auto"/>
        </w:rPr>
      </w:pPr>
    </w:p>
    <w:p>
      <w:pPr>
        <w:jc w:val="both"/>
        <w:ind w:firstLine="578"/>
        <w:spacing w:after="0" w:line="259" w:lineRule="auto"/>
        <w:rPr>
          <w:sz w:val="20"/>
          <w:szCs w:val="20"/>
          <w:color w:val="auto"/>
        </w:rPr>
      </w:pPr>
      <w:r>
        <w:rPr>
          <w:rFonts w:ascii="Arial" w:cs="Arial" w:eastAsia="Arial" w:hAnsi="Arial"/>
          <w:sz w:val="18"/>
          <w:szCs w:val="18"/>
          <w:color w:val="auto"/>
        </w:rPr>
        <w:t>Based on our current planned operations, we expect that our existing cash will enable us to fund our operating expenses for at least 12 months from the date hereof. However, if our available cash balances and anticipated cash flow from operations are insufficient to satisfy our liquidity requirements or otherwise, we may seek to issue equity or convertible debt securities, enter into a credit facility or another form of third-party funding, seek other debt financing or enter into collaborations or licensing arrangements.</w:t>
      </w:r>
    </w:p>
    <w:p>
      <w:pPr>
        <w:spacing w:after="0" w:line="160" w:lineRule="exact"/>
        <w:rPr>
          <w:sz w:val="20"/>
          <w:szCs w:val="20"/>
          <w:color w:val="auto"/>
        </w:rPr>
      </w:pPr>
    </w:p>
    <w:p>
      <w:pPr>
        <w:jc w:val="both"/>
        <w:ind w:right="20" w:firstLine="578"/>
        <w:spacing w:after="0" w:line="311" w:lineRule="auto"/>
        <w:rPr>
          <w:sz w:val="20"/>
          <w:szCs w:val="20"/>
          <w:color w:val="auto"/>
        </w:rPr>
      </w:pPr>
      <w:r>
        <w:rPr>
          <w:rFonts w:ascii="Arial" w:cs="Arial" w:eastAsia="Arial" w:hAnsi="Arial"/>
          <w:sz w:val="16"/>
          <w:szCs w:val="16"/>
          <w:color w:val="auto"/>
        </w:rPr>
        <w:t>We may consider raising additional capital in the future to expand our business, to pursue strategic investments, to take advantage of financing opportunities or for other reasons, including to further scale up our manufacturing of our products, to increase our sales and marketing efforts to drive market adoption of our products and address competitive developments, and to finance capital expenditures and general and administrative expenses.</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present and future funding requirements will depend on many factors, some of which are beyond our control, including:</w:t>
      </w:r>
    </w:p>
    <w:p>
      <w:pPr>
        <w:spacing w:after="0" w:line="198"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achieve and maintain revenue growth;</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expanding our operations, including our sales and marketing efforts;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rate of progress in launching and commercializing new products, and the cost of the sales and marketing activities associated with, establishing adoption of our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rate of progress in, and cost of research and development activities associated with, products in research and development;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cost of and delays in product development as a result of any regulatory oversight applicable to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associated with any product recall that may occur;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related to domestic and international expansion;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attaining, defending and enforcing our intellectual property rights;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and timing of any other collaborative, licensing and other arrangements that we may establish.</w:t>
      </w:r>
    </w:p>
    <w:p>
      <w:pPr>
        <w:spacing w:after="0" w:line="171" w:lineRule="exact"/>
        <w:rPr>
          <w:sz w:val="20"/>
          <w:szCs w:val="20"/>
          <w:color w:val="auto"/>
        </w:rPr>
      </w:pPr>
    </w:p>
    <w:p>
      <w:pPr>
        <w:jc w:val="both"/>
        <w:ind w:firstLine="578"/>
        <w:spacing w:after="0" w:line="254" w:lineRule="auto"/>
        <w:rPr>
          <w:sz w:val="20"/>
          <w:szCs w:val="20"/>
          <w:color w:val="auto"/>
        </w:rPr>
      </w:pPr>
      <w:r>
        <w:rPr>
          <w:rFonts w:ascii="Arial" w:cs="Arial" w:eastAsia="Arial" w:hAnsi="Arial"/>
          <w:sz w:val="18"/>
          <w:szCs w:val="18"/>
          <w:color w:val="auto"/>
        </w:rPr>
        <w:t>Additional funding may not be available on acceptable terms, or at all.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If we raise additional funds through other third-party funding, collaborations agreements, strategic alliances, licensing arrangements or marketing and distribution arrangements, we may have to relinquish valuable rights to our technologies, future revenue streams, research programs or products or grant licenses on terms that may not be favorable to us.</w:t>
      </w:r>
    </w:p>
    <w:p>
      <w:pPr>
        <w:spacing w:after="0" w:line="168" w:lineRule="exact"/>
        <w:rPr>
          <w:sz w:val="20"/>
          <w:szCs w:val="20"/>
          <w:color w:val="auto"/>
        </w:rPr>
      </w:pPr>
    </w:p>
    <w:p>
      <w:pPr>
        <w:jc w:val="both"/>
        <w:ind w:firstLine="578"/>
        <w:spacing w:after="0" w:line="259" w:lineRule="auto"/>
        <w:rPr>
          <w:sz w:val="20"/>
          <w:szCs w:val="20"/>
          <w:color w:val="auto"/>
        </w:rPr>
      </w:pPr>
      <w:r>
        <w:rPr>
          <w:rFonts w:ascii="Arial" w:cs="Arial" w:eastAsia="Arial" w:hAnsi="Arial"/>
          <w:sz w:val="18"/>
          <w:szCs w:val="18"/>
          <w:color w:val="auto"/>
        </w:rPr>
        <w:t>In addition, our ability to raise additional funds may be adversely impacted by potential worsening global economic conditions and the disruptions to, and volatility in, the credit and financial markets in the United States and worldwide resulting from the COVID-19 pandemic, any resurgence, and actions taken to slow its spread, including severely diminished liquidity and credit availability, declines in consumer confidence, declines in economic growth, increases in unemployment rates, and uncertainty about economic stability. If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7" w:name="page28"/>
    <w:bookmarkEnd w:id="27"/>
    <w:p>
      <w:pPr>
        <w:jc w:val="both"/>
        <w:spacing w:after="0" w:line="257" w:lineRule="auto"/>
        <w:rPr>
          <w:sz w:val="20"/>
          <w:szCs w:val="20"/>
          <w:color w:val="auto"/>
        </w:rPr>
      </w:pPr>
      <w:r>
        <w:rPr>
          <w:rFonts w:ascii="Arial" w:cs="Arial" w:eastAsia="Arial" w:hAnsi="Arial"/>
          <w:sz w:val="18"/>
          <w:szCs w:val="18"/>
          <w:color w:val="auto"/>
        </w:rPr>
        <w:t>the equity and credit markets deteriorate, it may make any necessary debt or equity financing more difficult, more costly and more dilutive. If we are unable to raise additional capital in sufficient amounts or on terms acceptable to us, we may have to significantly delay, scale back or discontinue the development, manufacturing or commercialization of our products, or other research and development initiatives. If this were to occur, our ability to grow and support our business and to respond to market challenges could be significantly limited, which could have an adverse effect on our business, financial condition and results of operations.</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63" w:lineRule="exact"/>
        <w:rPr>
          <w:sz w:val="20"/>
          <w:szCs w:val="20"/>
          <w:color w:val="auto"/>
        </w:rPr>
      </w:pPr>
    </w:p>
    <w:p>
      <w:pPr>
        <w:jc w:val="both"/>
        <w:ind w:firstLine="578"/>
        <w:spacing w:after="0" w:line="277"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30"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of demand for any of our products, which may vary significantly;</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manufacturing, regulatory approval and commercialization activities relating to our products, which may change from time to time;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size, seasonality and customer mix of the cell analysis market;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and marketing efforts and expenses;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rate at which we grow our sales force and the speed at which newly-hired salespeople become effective;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productivity of our sales force;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our distribution partners in selling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positive or negative coverage in the media or publications of our products or competitive products;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manufacturing our products, which may vary depending on the quantity of production and the terms of our arrangements with our suppliers;</w:t>
      </w:r>
    </w:p>
    <w:p>
      <w:pPr>
        <w:spacing w:after="0" w:line="62" w:lineRule="exact"/>
        <w:rPr>
          <w:rFonts w:ascii="Arial" w:cs="Arial" w:eastAsia="Arial" w:hAnsi="Arial"/>
          <w:sz w:val="18"/>
          <w:szCs w:val="18"/>
          <w:color w:val="auto"/>
        </w:rPr>
      </w:pPr>
    </w:p>
    <w:p>
      <w:pPr>
        <w:ind w:left="1020" w:right="20" w:hanging="503"/>
        <w:spacing w:after="0" w:line="291"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degree of competition in our industry and any change in the competitive landscape of our industry, including the introduction of new products or enhancements or technologies by us or others in the cell analysis market and competition-related pricing pressures;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 or applications;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03" w:lineRule="exact"/>
        <w:rPr>
          <w:rFonts w:ascii="Arial" w:cs="Arial" w:eastAsia="Arial" w:hAnsi="Arial"/>
          <w:sz w:val="18"/>
          <w:szCs w:val="18"/>
          <w:color w:val="auto"/>
        </w:rPr>
      </w:pPr>
    </w:p>
    <w:p>
      <w:pPr>
        <w:ind w:left="1020" w:right="20" w:hanging="503"/>
        <w:spacing w:after="0" w:line="291"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disruptions to our business and operations or to the business and operations of our suppliers, distributors, and other third parties with whom we conduct business resulting from the COVID-19 pandemic or other widespread health crises such as the COVID-19 pandemic;</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shipping delays due to customs requirements, disruptions to global shipping routes and due to the COVID-19 pandemic;</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global financial crises and economic downturns, including those caused by widespread public health crises; and</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144" w:lineRule="exact"/>
        <w:rPr>
          <w:sz w:val="20"/>
          <w:szCs w:val="20"/>
          <w:color w:val="auto"/>
        </w:rPr>
      </w:pPr>
    </w:p>
    <w:p>
      <w:pPr>
        <w:jc w:val="both"/>
        <w:ind w:firstLine="578"/>
        <w:spacing w:after="0" w:line="273" w:lineRule="auto"/>
        <w:rPr>
          <w:sz w:val="20"/>
          <w:szCs w:val="20"/>
          <w:color w:val="auto"/>
        </w:rPr>
      </w:pPr>
      <w:r>
        <w:rPr>
          <w:rFonts w:ascii="Arial" w:cs="Arial" w:eastAsia="Arial" w:hAnsi="Arial"/>
          <w:sz w:val="17"/>
          <w:szCs w:val="17"/>
          <w:color w:val="auto"/>
        </w:rPr>
        <w:t>The cumulative effects of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sizes of the markets for our products may be smaller than we estimate.</w:t>
      </w:r>
    </w:p>
    <w:p>
      <w:pPr>
        <w:spacing w:after="0" w:line="104" w:lineRule="exact"/>
        <w:rPr>
          <w:sz w:val="20"/>
          <w:szCs w:val="20"/>
          <w:color w:val="auto"/>
        </w:rPr>
      </w:pPr>
    </w:p>
    <w:p>
      <w:pPr>
        <w:jc w:val="both"/>
        <w:ind w:firstLine="578"/>
        <w:spacing w:after="0" w:line="259" w:lineRule="auto"/>
        <w:rPr>
          <w:sz w:val="20"/>
          <w:szCs w:val="20"/>
          <w:color w:val="auto"/>
        </w:rPr>
      </w:pPr>
      <w:r>
        <w:rPr>
          <w:rFonts w:ascii="Arial" w:cs="Arial" w:eastAsia="Arial" w:hAnsi="Arial"/>
          <w:sz w:val="18"/>
          <w:szCs w:val="18"/>
          <w:color w:val="auto"/>
        </w:rPr>
        <w:t>Within the life sciences technology market, flow cytometry technologies currently provide solutions largely within cell proliferation, cell counting, cell identification, cell quality control and single-cell applications, representing an initial total addressable market (“TAM”) of nearly $8 billion. However, we believe that the enhanced capabilities of our FSP platform has the potential to capture an increasingly greater share of the broader cell analysis TAM. Our Northern Lights system has been approved for clinical use in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8" w:name="page29"/>
    <w:bookmarkEnd w:id="28"/>
    <w:p>
      <w:pPr>
        <w:jc w:val="both"/>
        <w:spacing w:after="0" w:line="268" w:lineRule="auto"/>
        <w:rPr>
          <w:sz w:val="20"/>
          <w:szCs w:val="20"/>
          <w:color w:val="auto"/>
        </w:rPr>
      </w:pPr>
      <w:r>
        <w:rPr>
          <w:rFonts w:ascii="Arial" w:cs="Arial" w:eastAsia="Arial" w:hAnsi="Arial"/>
          <w:sz w:val="17"/>
          <w:szCs w:val="17"/>
          <w:color w:val="auto"/>
        </w:rPr>
        <w:t xml:space="preserve">European Union and China.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or approval of a pre-market approval application from the FDA. Further, we believe our differentiated platform will enable us to expand the use of cell analysis into new markets, well beyond current applications addressed by prior flow cytometry technologies and other cell analysis technologies. While we believe our assumptions and the data underlying our estimates are reasonable, we have not independently verified the accuracy of the third-party data on which we have based our assumptions and estimates, and these assumptions and estimates may not be correct and significantly different than actual market sizes, and the conditions supporting our assumptions or estimates may change at any time, including as a result of factors outside our control, thereby reducing the predictive accuracy of these underlying factors. If the actual number of customers who would benefit from our products, the price at which we can sell products or the annual addressable market for our products is smaller than we have estimated, it may impair our sales growth and have an adverse impact on our business, financial condition and results of operations.</w:t>
      </w:r>
    </w:p>
    <w:p>
      <w:pPr>
        <w:spacing w:after="0" w:line="159" w:lineRule="exact"/>
        <w:rPr>
          <w:sz w:val="20"/>
          <w:szCs w:val="20"/>
          <w:color w:val="auto"/>
        </w:rPr>
      </w:pPr>
    </w:p>
    <w:p>
      <w:pPr>
        <w:jc w:val="both"/>
        <w:ind w:firstLine="578"/>
        <w:spacing w:after="0" w:line="257" w:lineRule="auto"/>
        <w:rPr>
          <w:sz w:val="20"/>
          <w:szCs w:val="20"/>
          <w:color w:val="auto"/>
        </w:rPr>
      </w:pPr>
      <w:r>
        <w:rPr>
          <w:rFonts w:ascii="Arial" w:cs="Arial" w:eastAsia="Arial" w:hAnsi="Arial"/>
          <w:sz w:val="18"/>
          <w:szCs w:val="18"/>
          <w:color w:val="auto"/>
        </w:rPr>
        <w:t>In addition, our growth strategy involves launching new solutions and expanding sales of existing solutions into new markets and geographies in which we have limited experience. For example, we intend to develop our platform’s applications within the clinical market, and in particular, within disease detection, diagnosis, and treatment monitoring. Sales of new or existing solutions into new market opportunities may take several years to develop and mature, and we cannot be certain that these market opportunities will develop as we expect. As a result, the sizes of the annual total addressable market for new markets and new products are even more difficult to predict.</w:t>
      </w:r>
    </w:p>
    <w:p>
      <w:pPr>
        <w:spacing w:after="0" w:line="1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If we were to be sued for product liability, we could face substantial liabilities that exceed our resources, limit sales of our existing products and limit commercialization of any products that we may develop.</w:t>
      </w:r>
    </w:p>
    <w:p>
      <w:pPr>
        <w:spacing w:after="0" w:line="63" w:lineRule="exact"/>
        <w:rPr>
          <w:sz w:val="20"/>
          <w:szCs w:val="20"/>
          <w:color w:val="auto"/>
        </w:rPr>
      </w:pPr>
    </w:p>
    <w:p>
      <w:pPr>
        <w:jc w:val="both"/>
        <w:ind w:firstLine="578"/>
        <w:spacing w:after="0" w:line="255" w:lineRule="auto"/>
        <w:rPr>
          <w:sz w:val="20"/>
          <w:szCs w:val="20"/>
          <w:color w:val="auto"/>
        </w:rPr>
      </w:pPr>
      <w:r>
        <w:rPr>
          <w:rFonts w:ascii="Arial" w:cs="Arial" w:eastAsia="Arial" w:hAnsi="Arial"/>
          <w:sz w:val="18"/>
          <w:szCs w:val="18"/>
          <w:color w:val="auto"/>
        </w:rPr>
        <w:t>The marketing, sale and use of our products could lead to the filing of product liability claims where someone may allege that our products identified inaccurate or incomplete information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If we cannot successfully defend ourselves against product liability claims, we will incur substantial liabilities and reputational harm. In addition, regardless of merit or eventual outcome, product liability claims may result in:</w:t>
      </w:r>
    </w:p>
    <w:p>
      <w:pPr>
        <w:spacing w:after="0" w:line="165"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litigation costs;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commercialize our products or new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damage to our business reputation;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recalls or withdrawals from the market;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sales;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termination of existing agreements by our partners and potential partners failing to partner with us.</w:t>
      </w:r>
    </w:p>
    <w:p>
      <w:pPr>
        <w:spacing w:after="0" w:line="171"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w:t>
      </w:r>
    </w:p>
    <w:p>
      <w:pPr>
        <w:spacing w:after="0" w:line="157" w:lineRule="exact"/>
        <w:rPr>
          <w:sz w:val="20"/>
          <w:szCs w:val="20"/>
          <w:color w:val="auto"/>
        </w:rPr>
      </w:pPr>
    </w:p>
    <w:p>
      <w:pPr>
        <w:jc w:val="both"/>
        <w:ind w:firstLine="578"/>
        <w:spacing w:after="0" w:line="275" w:lineRule="auto"/>
        <w:rPr>
          <w:sz w:val="20"/>
          <w:szCs w:val="20"/>
          <w:color w:val="auto"/>
        </w:rPr>
      </w:pPr>
      <w:r>
        <w:rPr>
          <w:rFonts w:ascii="Arial" w:cs="Arial" w:eastAsia="Arial" w:hAnsi="Arial"/>
          <w:sz w:val="17"/>
          <w:szCs w:val="17"/>
          <w:color w:val="auto"/>
        </w:rPr>
        <w:t>While we may attempt to manage our product liability exposure by proactively recalling or withdrawing from the market any defective products, any recall or market withdrawal of our products may delay the supply of those products to our customers and may impact our reputation. We may not be successful in initiating appropriate market recall or market withdrawal efforts that may be required in the future and these efforts may not have the intended effect of preventing product malfunctions and the accompanying product liability that may result. Such recalls and withdrawals may also harm our reputation with customers, which could negatively affect our business, financial condition and results of operations.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Litigation and other legal proceedings may harm our business.</w:t>
      </w:r>
    </w:p>
    <w:p>
      <w:pPr>
        <w:spacing w:after="0" w:line="104" w:lineRule="exact"/>
        <w:rPr>
          <w:sz w:val="20"/>
          <w:szCs w:val="20"/>
          <w:color w:val="auto"/>
        </w:rPr>
      </w:pPr>
    </w:p>
    <w:p>
      <w:pPr>
        <w:jc w:val="both"/>
        <w:ind w:firstLine="578"/>
        <w:spacing w:after="0" w:line="270" w:lineRule="auto"/>
        <w:rPr>
          <w:sz w:val="20"/>
          <w:szCs w:val="20"/>
          <w:color w:val="auto"/>
        </w:rPr>
      </w:pPr>
      <w:r>
        <w:rPr>
          <w:rFonts w:ascii="Arial" w:cs="Arial" w:eastAsia="Arial" w:hAnsi="Arial"/>
          <w:sz w:val="17"/>
          <w:szCs w:val="17"/>
          <w:color w:val="auto"/>
        </w:rPr>
        <w:t>We have been, and may become, involved in legal proceedings relating to patent and other intellectual property matters, product liability claims, employee claims, tort or contract claims, federal or state regulatory investigations, securities class actions and other legal proceedings or investigations, which could have a negative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harm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15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A pandemic, epidemic or outbreak of an infectious disease in the United States or worldwide could adversely affect our business. The COVID-19 pandemic has had and could continue to have an adverse impact on our business, operations, and the markets and communities in which we, our partners, and customers operate.</w:t>
      </w:r>
    </w:p>
    <w:p>
      <w:pPr>
        <w:spacing w:after="0" w:line="74" w:lineRule="exact"/>
        <w:rPr>
          <w:sz w:val="20"/>
          <w:szCs w:val="20"/>
          <w:color w:val="auto"/>
        </w:rPr>
      </w:pPr>
    </w:p>
    <w:p>
      <w:pPr>
        <w:jc w:val="both"/>
        <w:ind w:firstLine="578"/>
        <w:spacing w:after="0" w:line="270" w:lineRule="auto"/>
        <w:rPr>
          <w:sz w:val="20"/>
          <w:szCs w:val="20"/>
          <w:color w:val="auto"/>
        </w:rPr>
      </w:pPr>
      <w:r>
        <w:rPr>
          <w:rFonts w:ascii="Arial" w:cs="Arial" w:eastAsia="Arial" w:hAnsi="Arial"/>
          <w:sz w:val="17"/>
          <w:szCs w:val="17"/>
          <w:color w:val="auto"/>
        </w:rPr>
        <w:t>If a pandemic, epidemic or outbreak of an infectious disease occurs in the United States or worldwide, our business may be adversely affected. The COVID-19 pandemic has caused general business disruption worldwide beginning in January 2020. As a result of the COVID-19 pandemic, we temporarily closed our headquarters and other offices, and our non-essential employees and contractors continue to work remotely. We also implemented travel restrictions and other significant changes in how we operate our business. The operations of our partners and customers have likewise been altered. While the duration and extent of the COVID-19 pandemic depends on future developments and potential resurgences that cannot be accurately predicted at this time, such as the extent and effectiveness of containment actions and available vaccines, the pandemic has had an adverse effect on the global economy and the ultimate societal and economic impact of the COVID-19 pandemic remains unknown. The potential impact and duration of the COVID-19 pandemic on the global economy and our business are difficult to assess or predict, due in part to new variant strains of the virus and the degree of their vaccine resistance. Potential impacts, some of which we have already experienced, include:</w:t>
      </w:r>
    </w:p>
    <w:p>
      <w:pPr>
        <w:spacing w:after="0" w:line="140" w:lineRule="exact"/>
        <w:rPr>
          <w:sz w:val="20"/>
          <w:szCs w:val="20"/>
          <w:color w:val="auto"/>
        </w:rPr>
      </w:pPr>
    </w:p>
    <w:p>
      <w:pPr>
        <w:jc w:val="both"/>
        <w:ind w:left="1020" w:hanging="503"/>
        <w:spacing w:after="0" w:line="270"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customer prospects and our existing customers may experience slowdowns in their businesses, and our academic institution customers may experience decreases in government funding of research and development, which in turn may result in reduced demand for our products, lengthening of sales cycles, loss of customers, difficulties in collections, and inaccurate inventory forecasting;</w:t>
      </w:r>
    </w:p>
    <w:p>
      <w:pPr>
        <w:spacing w:after="0" w:line="55"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 of or delays in receiving supplies from the third parties we rely on to manufacture components to our products, which may impair our ability sell our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 of or delays in installation of our products for our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 of or delays in the shipments of purchased products to customers or to our distribution partners;</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employee productivity and morale, with increased employee attrition and risk of a cyberattack resulting from our employees working from home;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disruptions and significant costs to our growth planning, such as for facilities and international expansion;</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in fully returning to work from our facilities around the world, including changes to the workplace, such as space planning, food service, and amenities;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legal liability for safe workplace claims;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critical vendors or third-party partners, which may go out of business; and</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continued cancellation of in-person marketing events, including industry conferences, and prolonged delays in our ability to reschedule or conduct in-person marketing events and other sales and marketing activities.</w:t>
      </w:r>
    </w:p>
    <w:p>
      <w:pPr>
        <w:spacing w:after="0" w:line="265"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The impact of any of the foregoing, individually or collectively, could adversely affect our business, financial condition, and results of operations. Moreover, to the extent the COVID-19 pandemic adversely affects our business, financial condition, and results of operations, it may also have the effect of heightening many of the other risks described in this “Risk Factors” section.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0" w:name="page31"/>
    <w:bookmarkEnd w:id="30"/>
    <w:p>
      <w:pPr>
        <w:jc w:val="both"/>
        <w:spacing w:after="0" w:line="248" w:lineRule="auto"/>
        <w:rPr>
          <w:sz w:val="20"/>
          <w:szCs w:val="20"/>
          <w:color w:val="auto"/>
        </w:rPr>
      </w:pPr>
      <w:r>
        <w:rPr>
          <w:rFonts w:ascii="Arial" w:cs="Arial" w:eastAsia="Arial" w:hAnsi="Arial"/>
          <w:sz w:val="18"/>
          <w:szCs w:val="18"/>
          <w:b w:val="1"/>
          <w:bCs w:val="1"/>
          <w:i w:val="1"/>
          <w:iCs w:val="1"/>
          <w:color w:val="auto"/>
        </w:rPr>
        <w:t>If our security measures, or those maintained on our behalf, are compromised now, or in the future, or the security, confidentiality, integrity or availability of our information technology, software, services, networks, communications or data is compromised, limited or fails, this could have a material adverse effect on our business, financial condition and results of operations.</w:t>
      </w:r>
    </w:p>
    <w:p>
      <w:pPr>
        <w:spacing w:after="0" w:line="74" w:lineRule="exact"/>
        <w:rPr>
          <w:sz w:val="20"/>
          <w:szCs w:val="20"/>
          <w:color w:val="auto"/>
        </w:rPr>
      </w:pPr>
    </w:p>
    <w:p>
      <w:pPr>
        <w:jc w:val="both"/>
        <w:ind w:firstLine="584"/>
        <w:spacing w:after="0" w:line="241" w:lineRule="auto"/>
        <w:rPr>
          <w:sz w:val="20"/>
          <w:szCs w:val="20"/>
          <w:color w:val="auto"/>
        </w:rPr>
      </w:pPr>
      <w:r>
        <w:rPr>
          <w:rFonts w:ascii="Arial" w:cs="Arial" w:eastAsia="Arial" w:hAnsi="Arial"/>
          <w:sz w:val="18"/>
          <w:szCs w:val="18"/>
          <w:color w:val="auto"/>
        </w:rPr>
        <w:t>In the ordinary course of our business, we may collect, use, store, safeguard, disclose, share, transfer, secure and otherwise process (collectively, “Process” or “Processing”) proprietary, confidential and sensitive data, including personal data (such as key-coded data, health information and other special categories of personal data), intellectual property, trade secrets and proprietary business information owned or controlled by ourselves, our customers and other parties (collectively “Sensitive Information”). We may rely upon third parties (such as service providers) for our data processing– related activities. We may share or receive sensitive data with or from third parties.</w:t>
      </w:r>
    </w:p>
    <w:p>
      <w:pPr>
        <w:spacing w:after="0" w:line="162" w:lineRule="exact"/>
        <w:rPr>
          <w:sz w:val="20"/>
          <w:szCs w:val="20"/>
          <w:color w:val="auto"/>
        </w:rPr>
      </w:pPr>
    </w:p>
    <w:p>
      <w:pPr>
        <w:jc w:val="both"/>
        <w:ind w:firstLine="584"/>
        <w:spacing w:after="0" w:line="269" w:lineRule="auto"/>
        <w:rPr>
          <w:sz w:val="20"/>
          <w:szCs w:val="20"/>
          <w:color w:val="auto"/>
        </w:rPr>
      </w:pPr>
      <w:r>
        <w:rPr>
          <w:rFonts w:ascii="Arial" w:cs="Arial" w:eastAsia="Arial" w:hAnsi="Arial"/>
          <w:sz w:val="16"/>
          <w:szCs w:val="16"/>
          <w:color w:val="auto"/>
        </w:rPr>
        <w:t>We face a variety of evolving threats, which could cause security incidents. Cyberattacks, malicious internet-based activity, and online and offline fraud are prevalent and continue to increase. These threats are becoming increasingly difficult to detect. These threats come from a variety of sources. In addition to traditional computer “hackers,” threat actors, personnel (such as through theft or misuse), sophisticated nation-states, and nation-state-supported actors now engage in attacks. We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and other similar threats. Ransomware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The COVID-19 pandemic and our remote workforce poses increased risks to our information technology systems and data, as more of our employees work from home, utilizing network connections outside our premises.</w:t>
      </w:r>
    </w:p>
    <w:p>
      <w:pPr>
        <w:spacing w:after="0" w:line="131" w:lineRule="exact"/>
        <w:rPr>
          <w:sz w:val="20"/>
          <w:szCs w:val="20"/>
          <w:color w:val="auto"/>
        </w:rPr>
      </w:pPr>
    </w:p>
    <w:p>
      <w:pPr>
        <w:jc w:val="both"/>
        <w:ind w:firstLine="584"/>
        <w:spacing w:after="0" w:line="268" w:lineRule="auto"/>
        <w:rPr>
          <w:sz w:val="20"/>
          <w:szCs w:val="20"/>
          <w:color w:val="auto"/>
        </w:rPr>
      </w:pPr>
      <w:r>
        <w:rPr>
          <w:rFonts w:ascii="Arial" w:cs="Arial" w:eastAsia="Arial" w:hAnsi="Arial"/>
          <w:sz w:val="16"/>
          <w:szCs w:val="16"/>
          <w:color w:val="auto"/>
        </w:rPr>
        <w:t>Any of the previously identified or similar threats could cause a security incident. A security incident could result in unauthorized, unlawful, or accidental acquisition, modification, destruction, loss, alteration, encryption, disclosure of, or access to data. A security incident could disrupt our ability (and that of third parties upon whom we rely) to provide our platform. We may expend significant resources or modify our business activities in an effort to protect against security incidents. Certain data privacy and security obligations may require us to implement and maintain specific security measures, industry-standard or reasonable security measures to protect our information technology systems and data. 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Applicable data privacy and security obligations may require us to notify relevant stakeholders of security incidents.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data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products and services, deter new customers from purchasing our products and services, and negatively impact our ability to grow and operate our business.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71" w:lineRule="exact"/>
        <w:rPr>
          <w:sz w:val="20"/>
          <w:szCs w:val="20"/>
          <w:color w:val="auto"/>
        </w:rPr>
      </w:pPr>
    </w:p>
    <w:p>
      <w:pPr>
        <w:jc w:val="both"/>
        <w:ind w:firstLine="584"/>
        <w:spacing w:after="0" w:line="272" w:lineRule="auto"/>
        <w:rPr>
          <w:sz w:val="20"/>
          <w:szCs w:val="20"/>
          <w:color w:val="auto"/>
        </w:rPr>
      </w:pPr>
      <w:r>
        <w:rPr>
          <w:rFonts w:ascii="Arial" w:cs="Arial" w:eastAsia="Arial" w:hAnsi="Arial"/>
          <w:sz w:val="16"/>
          <w:szCs w:val="16"/>
          <w:color w:val="auto"/>
        </w:rPr>
        <w:t>Our operations (including our manufacturing operations) and the operations of our distribution partners could be subject to earthquakes, power shortages, telecommunications failures, water shortages, floods, hurricanes, typhoons, fires, extreme weather conditions, medical epidemics and pandemics, including the COVID-19 pandemic, and other natural or man-made disasters or business interruptions, for which we are predominantly self-insured. Our ability to obtain components for our products could be disrupted if the operations of our suppliers were affected by a man-made or natural disaster or other business interruption, including interruptions related to the COVID-19 pandemic. In addition, our corporate headquarters is located in Fremont, California and one of our reagents manufacturing facilities is located in San Diego, California, near major earthquake faults and fire zones, and the ultimate impact on us for being located near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41" w:lineRule="exact"/>
        <w:rPr>
          <w:sz w:val="20"/>
          <w:szCs w:val="20"/>
          <w:color w:val="auto"/>
        </w:rPr>
      </w:pPr>
    </w:p>
    <w:p>
      <w:pPr>
        <w:jc w:val="both"/>
        <w:ind w:firstLine="584"/>
        <w:spacing w:after="0" w:line="241" w:lineRule="auto"/>
        <w:rPr>
          <w:sz w:val="20"/>
          <w:szCs w:val="20"/>
          <w:color w:val="auto"/>
        </w:rPr>
      </w:pPr>
      <w:r>
        <w:rPr>
          <w:rFonts w:ascii="Arial" w:cs="Arial" w:eastAsia="Arial" w:hAnsi="Arial"/>
          <w:sz w:val="18"/>
          <w:szCs w:val="18"/>
          <w:color w:val="auto"/>
        </w:rPr>
        <w:t>We manufacture our products at our manufacturing facilities located in Fremont and San Diego, California, and Wuxi, China, and we rely on various suppliers in the United States, China and other countries. Should our manufacturing facilities or the facilities of our suppliers be damaged or destroyed by natural or man-made disasters, such as earthquakes, fires or other events, or should events such as political unrest unfold, it could take months to relocate or rebuild, during which time our manufacturing and the operations of our suppliers would cease or be delayed and our products may be unavailable. Moreover, the use of a new facility or new manufacturing,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1" w:name="page32"/>
    <w:bookmarkEnd w:id="31"/>
    <w:p>
      <w:pPr>
        <w:jc w:val="both"/>
        <w:spacing w:after="0" w:line="239" w:lineRule="auto"/>
        <w:rPr>
          <w:sz w:val="20"/>
          <w:szCs w:val="20"/>
          <w:color w:val="auto"/>
        </w:rPr>
      </w:pPr>
      <w:r>
        <w:rPr>
          <w:rFonts w:ascii="Arial" w:cs="Arial" w:eastAsia="Arial" w:hAnsi="Arial"/>
          <w:sz w:val="18"/>
          <w:szCs w:val="18"/>
          <w:color w:val="auto"/>
        </w:rPr>
        <w:t>quality control, or environmental control equipment or systems generally requires FDA review and approval. Because of the time required to authorize manufacturing in a new facility under FDA and non-U.S. regulatory requirements, we may not be able to resume production on a timely basis even if we are able to replace production capacity in the event we lose our manufacturing capacity. The inability to perform our manufacturing activities, combined with our limited inventory of materials and components and manufactured products, or the inability of our suppliers to continue their operations, may cause us to be unable to meet customer demand or harm our reputation, and we may be unable to reestablish relationships with such customers in the future. Consequently, a catastrophic event or business interruption at our manufacturing facilities or at our suppliers’ facilities could harm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policies are expensive and protect us only from some business risks, which leaves us exposed to significant uninsured liabilities.</w:t>
      </w:r>
    </w:p>
    <w:p>
      <w:pPr>
        <w:spacing w:after="0" w:line="127" w:lineRule="exact"/>
        <w:rPr>
          <w:sz w:val="20"/>
          <w:szCs w:val="20"/>
          <w:color w:val="auto"/>
        </w:rPr>
      </w:pPr>
    </w:p>
    <w:p>
      <w:pPr>
        <w:jc w:val="both"/>
        <w:ind w:firstLine="584"/>
        <w:spacing w:after="0" w:line="252" w:lineRule="auto"/>
        <w:rPr>
          <w:sz w:val="20"/>
          <w:szCs w:val="20"/>
          <w:color w:val="auto"/>
        </w:rPr>
      </w:pPr>
      <w:r>
        <w:rPr>
          <w:rFonts w:ascii="Arial" w:cs="Arial" w:eastAsia="Arial" w:hAnsi="Arial"/>
          <w:sz w:val="17"/>
          <w:szCs w:val="17"/>
          <w:color w:val="auto"/>
        </w:rPr>
        <w:t>We do not carry insurance for all categories of risk that our business may encounter. Although we have general and product liability insurance that we believe is appropriate, this insurance is subject to deductibles and coverage limitations. Our current product liability insurance may not continue to be available to us on acceptable terms, if at all, and, if available, coverage may not be adequate to protect us against any future product liability claims. If we are unable to obtain insurance at an acceptable cost or on acceptable terms or otherwise protect against potential product liability claims, we could be exposed to significant liabilities. A product liability claim, recall or other claim with respect to uninsured liabilities or for amounts in excess of insured liabilities could negatively affect our business, financial condition and results of operations. We do not carry specific hazardous waste insurance coverage, and our property, casualty and general liability insurance policies specifically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could be suspended. Although we carry cyber insurance, the coverage may not be sufficient to cover our losses in the event of a Security Breach. Additionally, no assurance can be given that such policies can be retained on acceptable terms or that litigation will not occur following an insurance claim.</w:t>
      </w:r>
    </w:p>
    <w:p>
      <w:pPr>
        <w:spacing w:after="0" w:line="145" w:lineRule="exact"/>
        <w:rPr>
          <w:sz w:val="20"/>
          <w:szCs w:val="20"/>
          <w:color w:val="auto"/>
        </w:rPr>
      </w:pPr>
    </w:p>
    <w:p>
      <w:pPr>
        <w:jc w:val="both"/>
        <w:ind w:firstLine="578"/>
        <w:spacing w:after="0" w:line="296" w:lineRule="auto"/>
        <w:rPr>
          <w:sz w:val="20"/>
          <w:szCs w:val="20"/>
          <w:color w:val="auto"/>
        </w:rPr>
      </w:pPr>
      <w:r>
        <w:rPr>
          <w:rFonts w:ascii="Arial" w:cs="Arial" w:eastAsia="Arial" w:hAnsi="Arial"/>
          <w:sz w:val="16"/>
          <w:szCs w:val="16"/>
          <w:color w:val="auto"/>
        </w:rPr>
        <w:t>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spacing w:after="0" w:line="13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use hazardous biological materials that require considerable expertise for handling, storage and disposal and may result in claims against us. We and third parties with whom we contract must comply with environmental laws and regulations, which can be expensive and restrict how we do business, and could expose us to liability if our use of such hazardous materials cause injury.</w:t>
      </w:r>
    </w:p>
    <w:p>
      <w:pPr>
        <w:spacing w:after="0" w:line="74" w:lineRule="exact"/>
        <w:rPr>
          <w:sz w:val="20"/>
          <w:szCs w:val="20"/>
          <w:color w:val="auto"/>
        </w:rPr>
      </w:pPr>
    </w:p>
    <w:p>
      <w:pPr>
        <w:jc w:val="both"/>
        <w:ind w:firstLine="578"/>
        <w:spacing w:after="0" w:line="271" w:lineRule="auto"/>
        <w:rPr>
          <w:sz w:val="20"/>
          <w:szCs w:val="20"/>
          <w:color w:val="auto"/>
        </w:rPr>
      </w:pPr>
      <w:r>
        <w:rPr>
          <w:rFonts w:ascii="Arial" w:cs="Arial" w:eastAsia="Arial" w:hAnsi="Arial"/>
          <w:sz w:val="17"/>
          <w:szCs w:val="17"/>
          <w:color w:val="auto"/>
        </w:rPr>
        <w:t>Our research and development and manufacturing processes involve the controlled use of hazardous materials, including flammables, toxics, corrosives and biologics. Our research operations produce hazardous biological and chemical waste products, and we largely contract with third parties for the disposal of these products. Federal, state and local laws and regulations govern the use, generation, manufacture, storage, handling and disposal of these materials and wastes. We are subject to periodic inspections by federal, state and local authorities to ensure compliance with applicable laws. Compliance with applicable environmental laws and regulations is expensive, and current or future environmental laws and regulations may restrict our operations. If we do not comply with applicable regulations, we may be subject to fines and penalties. In the event of accidental contamination or injury from these materials or wastes, we could be liable for damages or penalized with fines in an amount exceeding our resources and our operations could be suspended or otherwise adversely affected.</w:t>
      </w:r>
    </w:p>
    <w:p>
      <w:pPr>
        <w:spacing w:after="0" w:line="138" w:lineRule="exact"/>
        <w:rPr>
          <w:sz w:val="20"/>
          <w:szCs w:val="20"/>
          <w:color w:val="auto"/>
        </w:rPr>
      </w:pPr>
    </w:p>
    <w:p>
      <w:pPr>
        <w:jc w:val="both"/>
        <w:ind w:firstLine="578"/>
        <w:spacing w:after="0" w:line="269" w:lineRule="auto"/>
        <w:rPr>
          <w:sz w:val="20"/>
          <w:szCs w:val="20"/>
          <w:color w:val="auto"/>
        </w:rPr>
      </w:pPr>
      <w:r>
        <w:rPr>
          <w:rFonts w:ascii="Arial" w:cs="Arial" w:eastAsia="Arial" w:hAnsi="Arial"/>
          <w:sz w:val="17"/>
          <w:szCs w:val="17"/>
          <w:color w:val="auto"/>
        </w:rPr>
        <w:t>In addition, because our product contains metals and electronic components which are purchased from third-party vendors, we may be required under rules promulgated by the U.S. Securities and Exchange Commission ("SEC") governing disclosure of the use of “conflict minerals” (tin, tungsten, tantalum and gold) to determine whether those minerals are necessary to the functionality or production of our products and, if so, conduct a country of origin inquiry with respect to all such minerals. If any such minerals may have originated in the Democratic Republic of the Congo, or DRC, or any of its adjoining countries, or covered countries, then we must conduct diligence on the source and chain of custody of those conflict minerals to determine if they originated in one of the covered countries and, if so, whether they financed or benefited armed groups in the covered countries. Disclosures relating to the products that may contain conflict minerals, the country of origin of those minerals and whether they are “DRC conflict free” must be provided in a Form SD (and accompanying conflict minerals report, if required, to disclose the diligence undertaken by us in sourcing the minerals and our conclusions relating to such diligence). If we are required to submit a conflict minerals report, that report must be audited by an independent auditor pursuant to existing government auditing standards. Compliance with this disclosure rule may be very time-consuming for our management and personnel (as well as time-consuming for our suppliers) and could involve the expenditure of significant amounts of money by us and them. Disclosures mandated by this rule, which can be perceived by the market to be “negative,”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color w:val="auto"/>
        </w:rPr>
        <w:t>may cause customers to refuse to purchase our products. The cost of compliance with the rule could adversely affect our results of operations.</w:t>
      </w:r>
    </w:p>
    <w:p>
      <w:pPr>
        <w:spacing w:after="0" w:line="210" w:lineRule="exact"/>
        <w:rPr>
          <w:sz w:val="20"/>
          <w:szCs w:val="20"/>
          <w:color w:val="auto"/>
        </w:rPr>
      </w:pPr>
    </w:p>
    <w:p>
      <w:pPr>
        <w:jc w:val="both"/>
        <w:ind w:firstLine="578"/>
        <w:spacing w:after="0" w:line="259" w:lineRule="auto"/>
        <w:rPr>
          <w:sz w:val="20"/>
          <w:szCs w:val="20"/>
          <w:color w:val="auto"/>
        </w:rPr>
      </w:pPr>
      <w:r>
        <w:rPr>
          <w:rFonts w:ascii="Arial" w:cs="Arial" w:eastAsia="Arial" w:hAnsi="Arial"/>
          <w:sz w:val="18"/>
          <w:szCs w:val="18"/>
          <w:color w:val="auto"/>
        </w:rPr>
        <w:t>Furthermore, environmental laws and regulations are complex, change frequently and have tended to become more stringent. We cannot predict the impact of such changes and cannot be certain of our future compliance. We do not currently maintain separate environmental liability coverage and any accidental contamination or discharge or any resultant injury from these materials could result in significant cost to us in penalties, damages and suspension of our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received funding under the Coronavirus Aid, Relief and Economic Security Act, or the CARES Act.</w:t>
      </w:r>
    </w:p>
    <w:p>
      <w:pPr>
        <w:spacing w:after="0" w:line="104" w:lineRule="exact"/>
        <w:rPr>
          <w:sz w:val="20"/>
          <w:szCs w:val="20"/>
          <w:color w:val="auto"/>
        </w:rPr>
      </w:pPr>
    </w:p>
    <w:p>
      <w:pPr>
        <w:jc w:val="both"/>
        <w:ind w:firstLine="578"/>
        <w:spacing w:after="0" w:line="257" w:lineRule="auto"/>
        <w:rPr>
          <w:sz w:val="20"/>
          <w:szCs w:val="20"/>
          <w:color w:val="auto"/>
        </w:rPr>
      </w:pPr>
      <w:r>
        <w:rPr>
          <w:rFonts w:ascii="Arial" w:cs="Arial" w:eastAsia="Arial" w:hAnsi="Arial"/>
          <w:sz w:val="18"/>
          <w:szCs w:val="18"/>
          <w:color w:val="auto"/>
        </w:rPr>
        <w:t>In June 2020, we executed a note in favor of Wells Fargo Bank, National Association, evidencing an unsecured loan, (“PPP loan”), in the aggregate principal amount of $4.1 million, which was made pursuant to the Paycheck Protection Program, or the PPP. The PPP was established under the CARES Act, which was enacted on March 27, 2020, and is administered by the U.S. Small Business Administration, or the SBA. We have used all of the proceeds from the loan to retain employees, maintain payroll and make lease and utility payments and expect to repay the PPP loan in the second quarter of 2021. On May 4, 2021, we fully repaid the PPP loan.</w:t>
      </w:r>
    </w:p>
    <w:p>
      <w:pPr>
        <w:spacing w:after="0" w:line="161" w:lineRule="exact"/>
        <w:rPr>
          <w:sz w:val="20"/>
          <w:szCs w:val="20"/>
          <w:color w:val="auto"/>
        </w:rPr>
      </w:pPr>
    </w:p>
    <w:p>
      <w:pPr>
        <w:jc w:val="both"/>
        <w:ind w:firstLine="578"/>
        <w:spacing w:after="0" w:line="272" w:lineRule="auto"/>
        <w:rPr>
          <w:sz w:val="20"/>
          <w:szCs w:val="20"/>
          <w:color w:val="auto"/>
        </w:rPr>
      </w:pPr>
      <w:r>
        <w:rPr>
          <w:rFonts w:ascii="Arial" w:cs="Arial" w:eastAsia="Arial" w:hAnsi="Arial"/>
          <w:sz w:val="17"/>
          <w:szCs w:val="17"/>
          <w:color w:val="auto"/>
        </w:rPr>
        <w:t>The PPP loan application required us to certify, among other things, that the current economic uncertainty made the PPP loan request necessary to support our ongoing operations. In 2020, the SBA, in consultation with the Department of Treasury, issued new guidance requiring borrowers to consider their ability to access other sources of liquidity before certifying in their loan applications that current economic uncertainty makes this loan request necessary to support the ongoing operations. We made the certification in good faith after analyzing our financial situation and access to capital and believe that we satisfied all eligibility criteria for the PPP loan. However, the SBA guidance and criteria are subject to interpretation, including by the new Biden Administration, and if we are found to have been ineligible, we could be subject to significant penalties. If we become subject to penalties, it could result in harm to our business, results of operation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foreign currency exchange risk.</w:t>
      </w:r>
    </w:p>
    <w:p>
      <w:pPr>
        <w:spacing w:after="0" w:line="104" w:lineRule="exact"/>
        <w:rPr>
          <w:sz w:val="20"/>
          <w:szCs w:val="20"/>
          <w:color w:val="auto"/>
        </w:rPr>
      </w:pPr>
    </w:p>
    <w:p>
      <w:pPr>
        <w:jc w:val="both"/>
        <w:ind w:firstLine="578"/>
        <w:spacing w:after="0" w:line="254" w:lineRule="auto"/>
        <w:rPr>
          <w:sz w:val="20"/>
          <w:szCs w:val="20"/>
          <w:color w:val="auto"/>
        </w:rPr>
      </w:pPr>
      <w:r>
        <w:rPr>
          <w:rFonts w:ascii="Arial" w:cs="Arial" w:eastAsia="Arial" w:hAnsi="Arial"/>
          <w:sz w:val="18"/>
          <w:szCs w:val="18"/>
          <w:color w:val="auto"/>
        </w:rPr>
        <w:t>A substantial amount of our revenues is derived from international operations, and we anticipate that a significant portion of our sales will continue to come from outside the United States in the future. The revenues we report with respect to our operations outside the United States may be adversely affected by fluctuations in foreign currency exchange rates. See the section titled “Management’s Discussion and Analysis of Financial Condition and Results of Operations” for additional information on the financial impact of exchange rate fluctuations and the ways and extent to which we may attempt to address any impact. Any hedging activities we engage in may only offset a portion of the adverse financial impact resulting from unfavorable changes in foreign currency exchange rates. We cannot predict with any certainty changes in foreign currency exchange rates or the degree to which we can mitigate these risks.</w:t>
      </w:r>
    </w:p>
    <w:p>
      <w:pPr>
        <w:spacing w:after="0" w:line="168"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We may acquire other businesses or form other joint ventures or make investments in other companies or technologies that could negatively affect our operating results, dilute our stockholders’ ownership, increase our debt or cause us to incur significant expense.</w:t>
      </w:r>
    </w:p>
    <w:p>
      <w:pPr>
        <w:spacing w:after="0" w:line="39" w:lineRule="exact"/>
        <w:rPr>
          <w:sz w:val="20"/>
          <w:szCs w:val="20"/>
          <w:color w:val="auto"/>
        </w:rPr>
      </w:pPr>
    </w:p>
    <w:p>
      <w:pPr>
        <w:jc w:val="both"/>
        <w:ind w:firstLine="578"/>
        <w:spacing w:after="0" w:line="288" w:lineRule="auto"/>
        <w:rPr>
          <w:sz w:val="20"/>
          <w:szCs w:val="20"/>
          <w:color w:val="auto"/>
        </w:rPr>
      </w:pPr>
      <w:r>
        <w:rPr>
          <w:rFonts w:ascii="Arial" w:cs="Arial" w:eastAsia="Arial" w:hAnsi="Arial"/>
          <w:sz w:val="16"/>
          <w:szCs w:val="16"/>
          <w:color w:val="auto"/>
        </w:rPr>
        <w:t>Although we currently have no agreements or commitments to complete any such transactions, we may pursue acquisitions of businesses and assets in the future. We also may pursue strategic alliances and additional joint ventures that leverage products and industry experience to expand our offerings or distribution. We have limited experience with acquiring other companies and forming strategic partnerships.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the incurrence of debt, contingent liabilities or future write-offs of intangible assets or goodwill, any of which could have an adverse effect on our financial condition, results of operations and cash flows. In addition, any pursuit of an acquisition and any potential integration of an acquired company also may disrupt ongoing operations and divert management attention and resources that we would otherwise focus on developing our existing business. We may experience losses related to investments in other companies, which could have a negative effect on our results of operations and financial condition. We may not realize the anticipated benefits of any acquisition, technology license, strategic alliance or joint venture.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Risks Related to Government Regulation and Our Industry</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Our products may become subject to more onerous regulation by the FDA or other regulatory agencies in the future, which could increase our costs and delay or prevent sales of our products or commercialization of new products and product enhancements, thereby materially and adversely affecting our business, financial condition, results of operations and prospects.</w:t>
      </w:r>
    </w:p>
    <w:p>
      <w:pPr>
        <w:spacing w:after="0" w:line="141" w:lineRule="exact"/>
        <w:rPr>
          <w:sz w:val="20"/>
          <w:szCs w:val="20"/>
          <w:color w:val="auto"/>
        </w:rPr>
      </w:pPr>
    </w:p>
    <w:p>
      <w:pPr>
        <w:jc w:val="both"/>
        <w:ind w:firstLine="578"/>
        <w:spacing w:after="0" w:line="287" w:lineRule="auto"/>
        <w:rPr>
          <w:sz w:val="20"/>
          <w:szCs w:val="20"/>
          <w:color w:val="auto"/>
        </w:rPr>
      </w:pPr>
      <w:r>
        <w:rPr>
          <w:rFonts w:ascii="Arial" w:cs="Arial" w:eastAsia="Arial" w:hAnsi="Arial"/>
          <w:sz w:val="16"/>
          <w:szCs w:val="16"/>
          <w:color w:val="auto"/>
        </w:rPr>
        <w:t>Currently, our Northern Lights CLC system is available for clinical use in only China and the European Union. Our Aurora and Northern Lights systems are otherwise available to customers as research-use-only (“RUO”) products. RUO products are regulated by the FDA as medical devices. Although medical devices are subject to stringent FDA oversight, products that are intended for RUO and are labeled as RUO are exempt from compliance with most FDA requirements, including premarket clearance or approval, manufacturing requirements and others. A product labeled RUO but which is actually intended for clinical diagnostic use may be viewed by the FDA as adulterated and misbranded under the Federal Food, Drug, and Cosmetic Act (“FDCA”), and subject to FDA enforcement action. The FDA has indicated that when determining the intended use of a product labeled RUO, the FDA will consider the totality of the circumstances surrounding distribution and use of the product, including how the product is marketed and to whom. The FDA could disagree with our assessment that our products are properly marketed as RUOs, or could conclude that products labeled as RUO are actually intended for clinical diagnostic use, and could take enforcement action against us, including requiring us to stop distribution of our products until we are in compliance with applicable regulations, which would reduce our revenue, increase our costs and adversely affect our business, prospects, results of operations and financial condition. In the event that the FDA requires us to obtain marketing authorization of our RUO products in the future, there can be no assurance that the FDA will grant any clearance or approval requested by us in a timely manner, or at all.</w:t>
      </w:r>
    </w:p>
    <w:p>
      <w:pPr>
        <w:spacing w:after="0" w:line="141" w:lineRule="exact"/>
        <w:rPr>
          <w:sz w:val="20"/>
          <w:szCs w:val="20"/>
          <w:color w:val="auto"/>
        </w:rPr>
      </w:pPr>
    </w:p>
    <w:p>
      <w:pPr>
        <w:jc w:val="both"/>
        <w:ind w:firstLine="578"/>
        <w:spacing w:after="0" w:line="268" w:lineRule="auto"/>
        <w:rPr>
          <w:sz w:val="20"/>
          <w:szCs w:val="20"/>
          <w:color w:val="auto"/>
        </w:rPr>
      </w:pPr>
      <w:r>
        <w:rPr>
          <w:rFonts w:ascii="Arial" w:cs="Arial" w:eastAsia="Arial" w:hAnsi="Arial"/>
          <w:sz w:val="17"/>
          <w:szCs w:val="17"/>
          <w:color w:val="auto"/>
        </w:rPr>
        <w:t>As part of our growth strategy, we plan to seek approval to offer our Aurora and Northern Lights systems for clinical use in the United States and in other countries. In the United States, before we can market a new medical device, or a new use of, new claim for or significant modification to an existing product, we must first receive either clearance under Section 510(k) of the FDCA, or approval of a premarket approval application from the FDA, unless an exemption applies. The process of obtaining approval or clearance from the FDA for new products, or with respect to enhancements or modifications to existing products, could take a significant period of time, require the expenditure of substantial resources, involve rigorous pre-clinical and clinical testing, require changes to products or result in limitations on the indicated uses of products. There can be no assurance that we will receive the required approvals or clearances for any new products or for modifications to our existing products on a timely basis or that any approval or clearance will not be subsequently withdrawn or conditioned upon extensive post-market study requirements. Moreover, even if we receive FDA clearance or approval of new products or modifications to existing products, we will be required to comply with extensive regulations relating to the development, research, clearance, approval, distribution, marketing, advertising and promotion, manufacture, adverse event reporting, recordkeeping, import and export of such products, which may substantially increase our operating costs and have a material impact on our business, profits and results of operations.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approvals, resulting in prohibitions on sales of our products, and in the most serious cases, criminal penalties. Occurrence of any of the foregoing could harm our reputation, business, financial condition, results of operations and prospects.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and our suppliers are subject to ongoing regulatory obligations and continued regulatory review, which may result in significant additional expense and subject us to penalties if we fail to comply with applicable regulatory requirements.</w:t>
      </w:r>
    </w:p>
    <w:p>
      <w:pPr>
        <w:spacing w:after="0" w:line="63" w:lineRule="exact"/>
        <w:rPr>
          <w:sz w:val="20"/>
          <w:szCs w:val="20"/>
          <w:color w:val="auto"/>
        </w:rPr>
      </w:pPr>
    </w:p>
    <w:p>
      <w:pPr>
        <w:jc w:val="both"/>
        <w:ind w:firstLine="578"/>
        <w:spacing w:after="0" w:line="272" w:lineRule="auto"/>
        <w:rPr>
          <w:sz w:val="20"/>
          <w:szCs w:val="20"/>
          <w:color w:val="auto"/>
        </w:rPr>
      </w:pPr>
      <w:r>
        <w:rPr>
          <w:rFonts w:ascii="Arial" w:cs="Arial" w:eastAsia="Arial" w:hAnsi="Arial"/>
          <w:sz w:val="17"/>
          <w:szCs w:val="17"/>
          <w:color w:val="auto"/>
        </w:rPr>
        <w:t>Any medical device we market will be subject to continued regulatory review, oversight, requirements, and periodic inspections by the FDA and other domestic and foreign regulatory bodies. In particular, unless exempt, we and our suppliers are required to comply with the FDA’s Quality System Regulation (“QSR”) and other regulations enforced outside the United States which cover the manufacture of our products and the methods and documentation of the design, testing, production, control, quality assurance, labeling, packaging, storage and shipping of medical devices.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150"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customer notifications for repair, replacement or refunds;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4" w:name="page35"/>
    <w:bookmarkEnd w:id="34"/>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PMA approval of new products or modified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510(k) clearances on PMA approvals that have already been granted;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85"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If any of these actions were to occur, our reputation would be harmed and our product sales and profitability would be adversely impacted.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43" w:lineRule="exact"/>
        <w:rPr>
          <w:sz w:val="20"/>
          <w:szCs w:val="20"/>
          <w:color w:val="auto"/>
        </w:rPr>
      </w:pPr>
    </w:p>
    <w:p>
      <w:pPr>
        <w:jc w:val="both"/>
        <w:ind w:firstLine="584"/>
        <w:spacing w:after="0" w:line="241" w:lineRule="auto"/>
        <w:rPr>
          <w:sz w:val="20"/>
          <w:szCs w:val="20"/>
          <w:color w:val="auto"/>
        </w:rPr>
      </w:pPr>
      <w:r>
        <w:rPr>
          <w:rFonts w:ascii="Arial" w:cs="Arial" w:eastAsia="Arial" w:hAnsi="Arial"/>
          <w:sz w:val="18"/>
          <w:szCs w:val="18"/>
          <w:color w:val="auto"/>
        </w:rPr>
        <w:t>Later discovery of previously unknown problems with our products, including manufacturing problems, or failure to comply with regulatory requirements such as the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162" w:lineRule="exact"/>
        <w:rPr>
          <w:sz w:val="20"/>
          <w:szCs w:val="20"/>
          <w:color w:val="auto"/>
        </w:rPr>
      </w:pPr>
    </w:p>
    <w:p>
      <w:pPr>
        <w:jc w:val="both"/>
        <w:ind w:firstLine="584"/>
        <w:spacing w:after="0" w:line="24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spacing w:after="0" w:line="147" w:lineRule="exact"/>
        <w:rPr>
          <w:sz w:val="20"/>
          <w:szCs w:val="20"/>
          <w:color w:val="auto"/>
        </w:rPr>
      </w:pPr>
    </w:p>
    <w:p>
      <w:pPr>
        <w:jc w:val="both"/>
        <w:spacing w:after="0" w:line="356" w:lineRule="auto"/>
        <w:rPr>
          <w:sz w:val="20"/>
          <w:szCs w:val="20"/>
          <w:color w:val="auto"/>
        </w:rPr>
      </w:pPr>
      <w:r>
        <w:rPr>
          <w:rFonts w:ascii="Arial" w:cs="Arial" w:eastAsia="Arial" w:hAnsi="Arial"/>
          <w:sz w:val="15"/>
          <w:szCs w:val="15"/>
          <w:b w:val="1"/>
          <w:bCs w:val="1"/>
          <w:i w:val="1"/>
          <w:iCs w:val="1"/>
          <w:color w:val="auto"/>
        </w:rPr>
        <w:t>Our products or any component thereof may be subject to product recalls in the future. A recall of our products, either voluntarily or at the direction of the FDA or another governmental authority, or the discovery of serious safety issues with our products, could have a significant adverse impact on us.</w:t>
      </w:r>
    </w:p>
    <w:p>
      <w:pPr>
        <w:spacing w:after="0" w:line="1" w:lineRule="exact"/>
        <w:rPr>
          <w:sz w:val="20"/>
          <w:szCs w:val="20"/>
          <w:color w:val="auto"/>
        </w:rPr>
      </w:pPr>
    </w:p>
    <w:p>
      <w:pPr>
        <w:jc w:val="both"/>
        <w:ind w:firstLine="584"/>
        <w:spacing w:after="0" w:line="252" w:lineRule="auto"/>
        <w:rPr>
          <w:sz w:val="20"/>
          <w:szCs w:val="20"/>
          <w:color w:val="auto"/>
        </w:rPr>
      </w:pPr>
      <w:r>
        <w:rPr>
          <w:rFonts w:ascii="Arial" w:cs="Arial" w:eastAsia="Arial" w:hAnsi="Arial"/>
          <w:sz w:val="17"/>
          <w:szCs w:val="17"/>
          <w:color w:val="auto"/>
        </w:rPr>
        <w:t>The FDA has the authority to require the recall of commercialized products that are subject to FDA regulation. Manufacturers may, under their own initiative, recall a product if any deficiency is found. For reportable corrections and removals, companies are required to make additional periodic submissions to the FDA after initiating the recall, and often engage with the FDA on their recall strategy prior to initiating the recall. A government-mandated or voluntary recall by us or one of our distributors could occur as a result of an unacceptable health risk, component failures, failures in laboratory processes, malfunctions, manufacturing errors, design or labeling defects, or other deficiencies and issues. Recalls of any of our products would divert managerial and financial resources and adversely affect our business, results of operations, financial condition and reputation. We may also be subject to liability claims, be required to bear other costs or take other actions that may negatively impact our future sales and our ability to generate profits. Companies are also required to maintain certain records of corrections and removals, even if these do not require reporting to the FDA. We may initiate voluntary recalls involving our products. A recall announcement by us could harm our reputation with customers and negatively affect our business, financial condition, and results of operations. In addition, the FDA or other agency could take enforcement action for failing to report the recalls when they were conducted.</w:t>
      </w:r>
    </w:p>
    <w:p>
      <w:pPr>
        <w:spacing w:after="0" w:line="159" w:lineRule="exact"/>
        <w:rPr>
          <w:sz w:val="20"/>
          <w:szCs w:val="20"/>
          <w:color w:val="auto"/>
        </w:rPr>
      </w:pPr>
    </w:p>
    <w:p>
      <w:pPr>
        <w:jc w:val="both"/>
        <w:ind w:firstLine="584"/>
        <w:spacing w:after="0" w:line="241" w:lineRule="auto"/>
        <w:rPr>
          <w:sz w:val="20"/>
          <w:szCs w:val="20"/>
          <w:color w:val="auto"/>
        </w:rPr>
      </w:pPr>
      <w:r>
        <w:rPr>
          <w:rFonts w:ascii="Arial" w:cs="Arial" w:eastAsia="Arial" w:hAnsi="Arial"/>
          <w:sz w:val="18"/>
          <w:szCs w:val="18"/>
          <w:color w:val="auto"/>
        </w:rPr>
        <w:t>If we initiate a recall, including a correction or removal, for one of our products, issue a safety alert, or undertake a field action or recall to reduce a health risk, this could lead to increased scrutiny by the FDA, other governmental and regulatory enforcement bodies, and our customers regarding the quality and safety of our products, and to negative publicity, including FDA alerts, press releases, or administrative or judicial actions. Furthermore, the submission of these reports could be used against us by competitors and cause customers to delay purchase decisions or cancel orders, which would harm our reputation.</w:t>
      </w:r>
    </w:p>
    <w:p>
      <w:pPr>
        <w:spacing w:after="0" w:line="14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The misuse or off-label use of our products may harm our reputation in the marketplace, or result in injuries that lead to product liability suits, which could be costly to our business. Moreover, we could be subject to FDA sanctions if we are deemed to have engaged in off-label promotion.</w:t>
      </w:r>
    </w:p>
    <w:p>
      <w:pPr>
        <w:spacing w:after="0" w:line="16" w:lineRule="exact"/>
        <w:rPr>
          <w:sz w:val="20"/>
          <w:szCs w:val="20"/>
          <w:color w:val="auto"/>
        </w:rPr>
      </w:pPr>
    </w:p>
    <w:p>
      <w:pPr>
        <w:jc w:val="both"/>
        <w:ind w:firstLine="578"/>
        <w:spacing w:after="0" w:line="254" w:lineRule="auto"/>
        <w:rPr>
          <w:sz w:val="20"/>
          <w:szCs w:val="20"/>
          <w:color w:val="auto"/>
        </w:rPr>
      </w:pPr>
      <w:r>
        <w:rPr>
          <w:rFonts w:ascii="Arial" w:cs="Arial" w:eastAsia="Arial" w:hAnsi="Arial"/>
          <w:sz w:val="18"/>
          <w:szCs w:val="18"/>
          <w:color w:val="auto"/>
        </w:rPr>
        <w:t>Our promotional materials and training methods must comply with FDA and other applicable laws and regulations, including the prohibition on the promotion of an RUO device or medical device for an indication that has not been approved or cleared by the FDA, referred to as an off-label use. We cannot prevent our customers from using our products for off-label uses, including in laboratory developed tests for clinical use. If the FDA determines that our promotional materials constitute the unlawful promotion of an off-label use, it could subject us to regulatory or enforcement actions, including civil money penalties, criminal fines and penalties, and exclusion from participation in federal health programs, among others. Other federal, state or foreign governmental authorities might also take action if they consider our promotion or training materials to constitute promotion of an off-label use, which could result in significant fines or penalties under other statutory authorities. In that event, our reputation could be damaged and the use of our products in the marketplace could be diminished.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5" w:name="page36"/>
    <w:bookmarkEnd w:id="35"/>
    <w:p>
      <w:pPr>
        <w:jc w:val="both"/>
        <w:ind w:firstLine="578"/>
        <w:spacing w:after="0" w:line="259" w:lineRule="auto"/>
        <w:rPr>
          <w:sz w:val="20"/>
          <w:szCs w:val="20"/>
          <w:color w:val="auto"/>
        </w:rPr>
      </w:pPr>
      <w:r>
        <w:rPr>
          <w:rFonts w:ascii="Arial" w:cs="Arial" w:eastAsia="Arial" w:hAnsi="Arial"/>
          <w:sz w:val="18"/>
          <w:szCs w:val="18"/>
          <w:color w:val="auto"/>
        </w:rPr>
        <w:t>Furthermore, off-label uses of our products may lead to performance issues or produce erroneous results, which could harm our reputation in the marketplace and increase the risk of product liability. Product liability claims are expensive to defend and could divert our management’s attention from our primary business and result in substantial damage awards against us. Any of these events could harm our business, results of operations and financial condition.</w:t>
      </w:r>
    </w:p>
    <w:p>
      <w:pPr>
        <w:spacing w:after="0" w:line="16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Changes in tariffs or other government trade policies may materially adversely affect our business and results of operations, including by reducing demand for our products.</w:t>
      </w:r>
    </w:p>
    <w:p>
      <w:pPr>
        <w:spacing w:after="0" w:line="63" w:lineRule="exact"/>
        <w:rPr>
          <w:sz w:val="20"/>
          <w:szCs w:val="20"/>
          <w:color w:val="auto"/>
        </w:rPr>
      </w:pPr>
    </w:p>
    <w:p>
      <w:pPr>
        <w:jc w:val="both"/>
        <w:ind w:firstLine="578"/>
        <w:spacing w:after="0" w:line="268" w:lineRule="auto"/>
        <w:rPr>
          <w:sz w:val="20"/>
          <w:szCs w:val="20"/>
          <w:color w:val="auto"/>
        </w:rPr>
      </w:pPr>
      <w:r>
        <w:rPr>
          <w:rFonts w:ascii="Arial" w:cs="Arial" w:eastAsia="Arial" w:hAnsi="Arial"/>
          <w:sz w:val="17"/>
          <w:szCs w:val="17"/>
          <w:color w:val="auto"/>
        </w:rPr>
        <w:t>The imposition of tariffs and trade restrictions as a result of international trade disputes or changes in trade policies may adversely affect our sales and profitability. For example, in 2018 and 2019, the U.S. government imposed and proposed, among other actions, new or higher tariffs on specified imported products originating from China in response to what it characterized as unfair trade practices, and China responded by imposing and proposing new or higher tariffs on specified U.S. products. There can be no assurance that a broader trade agreement will be successfully negotiated between the United States and China to reduce or eliminate these tariffs. These tariffs, and the related geopolitical uncertainty between the United States and China, may cause decreased demand for our products, which could have a material adverse effect on our business and results of operations. For example, certain of our foreign customers may respond to the imposition of tariffs or threat of tariffs on products we produce by delaying purchase orders or purchasing products from our competitors. Ongoing international trade disputes and changes in trade policies could also impact economic activity and lead to a general contraction of customer demand. In addition, tariffs on components that we may import from China or other nations will adversely affect our profitability unless we are able to exclude such components from the tariffs or we raise prices for our products, which may result in our products becoming less attractive relative to products offered by our competitors. Future actions or escalations by either the United States or China that affect trade relations may also negatively affect our business, or that of our suppliers or customers, and we cannot provide any assurances as to whether such actions will occur or the form that they may take. To the extent that our sales or profitability are negatively affected by any such tariffs or other trade actions, our business and results of operations may be materially adversely affected.</w:t>
      </w:r>
    </w:p>
    <w:p>
      <w:pPr>
        <w:spacing w:after="0" w:line="14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are subject to governmental export controls that could impair our ability to compete in international markets due to licensing requirements and subject us to liability if we are not in compliance with applicable laws.</w:t>
      </w:r>
    </w:p>
    <w:p>
      <w:pPr>
        <w:spacing w:after="0" w:line="63" w:lineRule="exact"/>
        <w:rPr>
          <w:sz w:val="20"/>
          <w:szCs w:val="20"/>
          <w:color w:val="auto"/>
        </w:rPr>
      </w:pPr>
    </w:p>
    <w:p>
      <w:pPr>
        <w:jc w:val="both"/>
        <w:ind w:firstLine="578"/>
        <w:spacing w:after="0" w:line="271" w:lineRule="auto"/>
        <w:rPr>
          <w:sz w:val="20"/>
          <w:szCs w:val="20"/>
          <w:color w:val="auto"/>
        </w:rPr>
      </w:pPr>
      <w:r>
        <w:rPr>
          <w:rFonts w:ascii="Arial" w:cs="Arial" w:eastAsia="Arial" w:hAnsi="Arial"/>
          <w:sz w:val="17"/>
          <w:szCs w:val="17"/>
          <w:color w:val="auto"/>
        </w:rPr>
        <w:t>Exports of our products are subject to export controls and sanctions laws and regulations imposed by the U.S. government and administered by the U.S. Departments of State, Commerce, and Treasury. U.S. export control laws may require a license or other authorization to export products to certain destinations and end users. In addition, U.S. economic sanctions laws include restrictions or prohibitions on the sale or supply of certain products and services to U.S. embargoed or sanctioned countries, governments, persons and entities. Obtaining export licenses can be difficult, costly and time-consuming and we may not always be successful in obtaining necessary export licenses, and our failure to obtain required export approval for our products or limitations on our ability to export or sell our products imposed by export control or sanctions laws may harm our revenues and adversely affect our business, financial condition, and results of operations. Noncompliance with these laws could have negative consequences, including government investigations, penalties and reputational harm.</w:t>
      </w:r>
    </w:p>
    <w:p>
      <w:pPr>
        <w:spacing w:after="0" w:line="15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We are subject to stringent and changing data privacy and security laws, regulations and standards as well as policies, contracts and other obligations related to data privacy and security. Our actual or perceived failure to comply with such obligations could lead to government enforcement actions (that could include fines and penalties), a disruption of our business or commercialization of our products, private litigation, harm to our reputation, or other adverse effects on our business or prospects.</w:t>
      </w:r>
    </w:p>
    <w:p>
      <w:pPr>
        <w:spacing w:after="0" w:line="80" w:lineRule="exact"/>
        <w:rPr>
          <w:sz w:val="20"/>
          <w:szCs w:val="20"/>
          <w:color w:val="auto"/>
        </w:rPr>
      </w:pPr>
    </w:p>
    <w:p>
      <w:pPr>
        <w:jc w:val="both"/>
        <w:ind w:firstLine="584"/>
        <w:spacing w:after="0" w:line="270" w:lineRule="auto"/>
        <w:rPr>
          <w:sz w:val="20"/>
          <w:szCs w:val="20"/>
          <w:color w:val="auto"/>
        </w:rPr>
      </w:pPr>
      <w:r>
        <w:rPr>
          <w:rFonts w:ascii="Arial" w:cs="Arial" w:eastAsia="Arial" w:hAnsi="Arial"/>
          <w:sz w:val="17"/>
          <w:szCs w:val="17"/>
          <w:color w:val="auto"/>
        </w:rPr>
        <w:t>In the course of our operations, we process an increasing volume of personal data, including from our employees and third parties with whom we conduct business. Accordingly, we are, and may increasingly become, subject to various data privacy and security laws, the number and scope of which are changing, subject to differing applications and interpretations, may be inconsistent among jurisdictions, and may conflict with each other.</w:t>
      </w:r>
    </w:p>
    <w:p>
      <w:pPr>
        <w:spacing w:after="0" w:line="123" w:lineRule="exact"/>
        <w:rPr>
          <w:sz w:val="20"/>
          <w:szCs w:val="20"/>
          <w:color w:val="auto"/>
        </w:rPr>
      </w:pPr>
    </w:p>
    <w:p>
      <w:pPr>
        <w:jc w:val="both"/>
        <w:ind w:firstLine="584"/>
        <w:spacing w:after="0" w:line="253" w:lineRule="auto"/>
        <w:rPr>
          <w:sz w:val="20"/>
          <w:szCs w:val="20"/>
          <w:color w:val="auto"/>
        </w:rPr>
      </w:pPr>
      <w:r>
        <w:rPr>
          <w:rFonts w:ascii="Arial" w:cs="Arial" w:eastAsia="Arial" w:hAnsi="Arial"/>
          <w:sz w:val="17"/>
          <w:szCs w:val="17"/>
          <w:color w:val="auto"/>
        </w:rPr>
        <w:t>In the United States, federal, state, and local governments have enacted numerous data privacy and security laws, including data breach notification laws, personal data privacy and security laws, and consumer protection laws.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The California Consumer Privacy Act of 2018 (“CCPA”) imposes obligations on businesses to which it applies. These obligations include, but are not limited to, providing specific disclosures in privacy notices and affording California residents certain rights related to their personal data. The CCPA allows for statutory fines for noncompliance (up to $7,500 per violation). In addition, it is anticipated that the California Privacy Rights Act of 2020 (“CPRA”), effective January 1, 2023, will expand the CCPA. For example, the CPRA establishes a new California Privacy Protection Agency to implement and enforce the CCPA (as amended), which could increase the risk of an enforcement action. Other states have enacted data privacy and security laws. For example, Virginia passed the Consumer Data Protection Act, and Colorado passed the Colorado Privacy Act, both of which differ from</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6" w:name="page37"/>
    <w:bookmarkEnd w:id="36"/>
    <w:p>
      <w:pPr>
        <w:jc w:val="both"/>
        <w:spacing w:after="0" w:line="248" w:lineRule="auto"/>
        <w:rPr>
          <w:sz w:val="20"/>
          <w:szCs w:val="20"/>
          <w:color w:val="auto"/>
        </w:rPr>
      </w:pPr>
      <w:r>
        <w:rPr>
          <w:rFonts w:ascii="Arial" w:cs="Arial" w:eastAsia="Arial" w:hAnsi="Arial"/>
          <w:sz w:val="18"/>
          <w:szCs w:val="18"/>
          <w:color w:val="auto"/>
        </w:rPr>
        <w:t>the CPRA and become effective in 2023. If we become subject to new data privacy and 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w:t>
      </w:r>
    </w:p>
    <w:p>
      <w:pPr>
        <w:spacing w:after="0" w:line="155" w:lineRule="exact"/>
        <w:rPr>
          <w:sz w:val="20"/>
          <w:szCs w:val="20"/>
          <w:color w:val="auto"/>
        </w:rPr>
      </w:pPr>
    </w:p>
    <w:p>
      <w:pPr>
        <w:jc w:val="both"/>
        <w:ind w:firstLine="584"/>
        <w:spacing w:after="0" w:line="252" w:lineRule="auto"/>
        <w:rPr>
          <w:sz w:val="20"/>
          <w:szCs w:val="20"/>
          <w:color w:val="auto"/>
        </w:rPr>
      </w:pPr>
      <w:r>
        <w:rPr>
          <w:rFonts w:ascii="Arial" w:cs="Arial" w:eastAsia="Arial" w:hAnsi="Arial"/>
          <w:sz w:val="17"/>
          <w:szCs w:val="17"/>
          <w:color w:val="auto"/>
        </w:rPr>
        <w:t>Outside the United States, an increasing number of laws, regulations, and industry standards apply to data privacy and security. For example, the European Union’s General Data Protection Regulation (“EU GDPR”) and the United Kingdom’s General Data Protection Regulation (“UK GDPR”) impose strict requirements for processing the personal data of individuals located, respectively within the European Economic Area (“EEA”) and the United Kingdom (“UK”). For example, under the EU GDPR, government regulators may impose temporary or definitive bans on data processing, as well as fines of up to 20 million euros or 4% of annual global revenue, whichever is greater. Further, individuals may initiate litigation related to our processing of their personal data. Other countries outside of Europe have enacted or are considering enacting similar comprehensive data privacy and security laws and regulations, which could increase the cost and complexity of delivering our services and operating our business. For example, China’s cybersecurity law, which took effect in June 2017, and the Personal Information Protection Law, which took effect on November 1, 2021, broadly regulate data privacy and security practices and their applicability and scope are evolving and aspects of the law are uncertain. As another example, Canada has enacted the Personal Information Protection and Electronic Documents Act and Canada’s Anti-Spam Legislation, which broadly regulate the Processing of personal data and imposes compliance obligations and penalties comparable to those of European data privacy and security laws. Complying with these and other similar laws and regulations (to the extent applicable) may cause us to incur substantial operational costs or require us to change our business practices, and could lead to material fines, penalties and liability.</w:t>
      </w:r>
    </w:p>
    <w:p>
      <w:pPr>
        <w:spacing w:after="0" w:line="140" w:lineRule="exact"/>
        <w:rPr>
          <w:sz w:val="20"/>
          <w:szCs w:val="20"/>
          <w:color w:val="auto"/>
        </w:rPr>
      </w:pPr>
    </w:p>
    <w:p>
      <w:pPr>
        <w:jc w:val="both"/>
        <w:ind w:firstLine="584"/>
        <w:spacing w:after="0" w:line="267" w:lineRule="auto"/>
        <w:rPr>
          <w:sz w:val="20"/>
          <w:szCs w:val="20"/>
          <w:color w:val="auto"/>
        </w:rPr>
      </w:pPr>
      <w:r>
        <w:rPr>
          <w:rFonts w:ascii="Arial" w:cs="Arial" w:eastAsia="Arial" w:hAnsi="Arial"/>
          <w:sz w:val="16"/>
          <w:szCs w:val="16"/>
          <w:color w:val="auto"/>
        </w:rPr>
        <w:t>In addition, many jurisdictions have enacted data localization laws and cross-border persona data transfer laws. These laws may make it more difficult for us to transfer personal data across jurisdictions, which could impede our business. Certain jurisdictions have enacted data localization laws and cross-border personal data transfer laws. For example, absent appropriate safeguards or other circumstances, the EU GDPR generally restricts the transfer of personal data to countries outside of the EEA, such as the United States, which the European Commission does not consider to provide an adequate level of data privacy and security. The European Commission released a set of Standard Contractual Clauses that are designed to be a mechanism by which entities can transfer personal data out of the EEA to jurisdictions that the European Commission has not found to provide an adequate level of protection. Currently, these Standard Contractual clauses are a valid mechanism to transfer personal data outside of the EEA. The Standard Contractual Clauses, however, require parties that rely upon that legal mechanism to comply with additional obligations, such as conducting transfer impact assessments to determine whether additional security measures are necessary to protect the at-issue personal data. Moreover, due to potential legal challenges, there exists some uncertainty regarding whether the Standard Contractual Clauses will remain a valid mechanism for transfers of personal data out of the EEA. In addition, laws in Switzerland and the UK similarly restrict transfers of personal data outside of those jurisdictions to countries such as the United States of America that do not provide an adequate level of personal data protection. In addition to European restrictions on cross-border transfers of personal data, other jurisdictions have enacted or are considering similar cross-border personal data transfer laws and local personal data residency laws, any of which could increase the cost and complexity of doing business. If we cannot implement a valid compliance mechanism for cross-border data privacy and security transfers, we may face increased exposure to regulatory actions, substantial fines, and injunctions against processing or transferring personal data from Europe or elsewhere. The inability to import personal data to the United States could significantly and negatively impact our business operations, including by limiting our ability to collaborate with parties that are subject to European and other data privacy and security laws or requiring us to increase our personal data processing capabilities in Europe and/or elsewhere at significant expense.</w:t>
      </w:r>
    </w:p>
    <w:p>
      <w:pPr>
        <w:spacing w:after="0" w:line="150" w:lineRule="exact"/>
        <w:rPr>
          <w:sz w:val="20"/>
          <w:szCs w:val="20"/>
          <w:color w:val="auto"/>
        </w:rPr>
      </w:pPr>
    </w:p>
    <w:p>
      <w:pPr>
        <w:jc w:val="both"/>
        <w:ind w:firstLine="584"/>
        <w:spacing w:after="0" w:line="239" w:lineRule="auto"/>
        <w:rPr>
          <w:sz w:val="20"/>
          <w:szCs w:val="20"/>
          <w:color w:val="auto"/>
        </w:rPr>
      </w:pPr>
      <w:r>
        <w:rPr>
          <w:rFonts w:ascii="Arial" w:cs="Arial" w:eastAsia="Arial" w:hAnsi="Arial"/>
          <w:sz w:val="18"/>
          <w:szCs w:val="18"/>
          <w:color w:val="auto"/>
        </w:rPr>
        <w:t>Privacy advocates and industry groups have proposed, and may propose in the future, standards with which we are legally or contractually bound to comply. For example, we are also/may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 We may also rely on vendors to process payment card data, and those vendors may be subject to PCI DSS, and our business may be negatively affected if our vendors are fined or suffer other consequences as a result of PCI DSS noncompliance.</w:t>
      </w:r>
    </w:p>
    <w:p>
      <w:pPr>
        <w:spacing w:after="0" w:line="150" w:lineRule="exact"/>
        <w:rPr>
          <w:sz w:val="20"/>
          <w:szCs w:val="20"/>
          <w:color w:val="auto"/>
        </w:rPr>
      </w:pPr>
    </w:p>
    <w:p>
      <w:pPr>
        <w:jc w:val="both"/>
        <w:ind w:firstLine="584"/>
        <w:spacing w:after="0" w:line="272" w:lineRule="auto"/>
        <w:rPr>
          <w:sz w:val="20"/>
          <w:szCs w:val="20"/>
          <w:color w:val="auto"/>
        </w:rPr>
      </w:pPr>
      <w:r>
        <w:rPr>
          <w:rFonts w:ascii="Arial" w:cs="Arial" w:eastAsia="Arial" w:hAnsi="Arial"/>
          <w:sz w:val="16"/>
          <w:szCs w:val="16"/>
          <w:color w:val="auto"/>
        </w:rPr>
        <w:t>Our obligations related to data privacy and security are quickly changing in an increasingly stringent fashion.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These obligations may necessitate changes to our information technologies, systems, and practices and to those of any third parties that process personal data on our behalf. In addition, these obligations may require us to change our business model. 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impact our compliance posture. If we fail, or are perceived to have failed, to address or comply with data privacy and security obligations, we could face significant consequences. These consequences may include, but are not limited to, government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7" w:name="page38"/>
    <w:bookmarkEnd w:id="37"/>
    <w:p>
      <w:pPr>
        <w:jc w:val="both"/>
        <w:spacing w:after="0"/>
        <w:rPr>
          <w:sz w:val="20"/>
          <w:szCs w:val="20"/>
          <w:color w:val="auto"/>
        </w:rPr>
      </w:pPr>
      <w:r>
        <w:rPr>
          <w:rFonts w:ascii="Arial" w:cs="Arial" w:eastAsia="Arial" w:hAnsi="Arial"/>
          <w:sz w:val="18"/>
          <w:szCs w:val="18"/>
          <w:color w:val="auto"/>
        </w:rPr>
        <w:t>enforcement actions (e.g., investigations, fines, penalties, audits, inspections, and similar), litigation (including class-related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are subject to U.S. and certain foreign anti-corruption and anti-money laundering laws and regulations. We can face criminal liability and other serious consequences for violations, which can harm our business.</w:t>
      </w:r>
    </w:p>
    <w:p>
      <w:pPr>
        <w:spacing w:after="0" w:line="63" w:lineRule="exact"/>
        <w:rPr>
          <w:sz w:val="20"/>
          <w:szCs w:val="20"/>
          <w:color w:val="auto"/>
        </w:rPr>
      </w:pPr>
    </w:p>
    <w:p>
      <w:pPr>
        <w:jc w:val="both"/>
        <w:ind w:firstLine="584"/>
        <w:spacing w:after="0" w:line="239" w:lineRule="auto"/>
        <w:rPr>
          <w:sz w:val="20"/>
          <w:szCs w:val="20"/>
          <w:color w:val="auto"/>
        </w:rPr>
      </w:pPr>
      <w:r>
        <w:rPr>
          <w:rFonts w:ascii="Arial" w:cs="Arial" w:eastAsia="Arial" w:hAnsi="Arial"/>
          <w:sz w:val="18"/>
          <w:szCs w:val="18"/>
          <w:color w:val="auto"/>
        </w:rPr>
        <w:t>We are subject to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or from persons in the public or private sector. The FCPA also requires public companies to make and keep books and records that accurately and fairly reflect the transactions of the corporation and to devise and maintain an adequate system of internal accounting controls.</w:t>
      </w:r>
    </w:p>
    <w:p>
      <w:pPr>
        <w:spacing w:after="0" w:line="150" w:lineRule="exact"/>
        <w:rPr>
          <w:sz w:val="20"/>
          <w:szCs w:val="20"/>
          <w:color w:val="auto"/>
        </w:rPr>
      </w:pPr>
    </w:p>
    <w:p>
      <w:pPr>
        <w:jc w:val="both"/>
        <w:ind w:firstLine="584"/>
        <w:spacing w:after="0" w:line="255" w:lineRule="auto"/>
        <w:rPr>
          <w:sz w:val="20"/>
          <w:szCs w:val="20"/>
          <w:color w:val="auto"/>
        </w:rPr>
      </w:pPr>
      <w:r>
        <w:rPr>
          <w:rFonts w:ascii="Arial" w:cs="Arial" w:eastAsia="Arial" w:hAnsi="Arial"/>
          <w:sz w:val="17"/>
          <w:szCs w:val="17"/>
          <w:color w:val="auto"/>
        </w:rPr>
        <w:t>In addition to selling our products internationally directly through our sales teams, we currently engage third parties outside of the United States, and may engage additional third parties outside of the United States, to sell our products internationally and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third-party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5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If we fail to comply with U.S. federal and state fraud and abuse and other healthcare laws and regulations, including those relating to kickbacks and false claims, we could face substantial penalties and our business operations and financial condition could be harmed.</w:t>
      </w:r>
    </w:p>
    <w:p>
      <w:pPr>
        <w:spacing w:after="0" w:line="39" w:lineRule="exact"/>
        <w:rPr>
          <w:sz w:val="20"/>
          <w:szCs w:val="20"/>
          <w:color w:val="auto"/>
        </w:rPr>
      </w:pPr>
    </w:p>
    <w:p>
      <w:pPr>
        <w:jc w:val="both"/>
        <w:ind w:firstLine="584"/>
        <w:spacing w:after="0" w:line="279" w:lineRule="auto"/>
        <w:rPr>
          <w:sz w:val="20"/>
          <w:szCs w:val="20"/>
          <w:color w:val="auto"/>
        </w:rPr>
      </w:pPr>
      <w:r>
        <w:rPr>
          <w:rFonts w:ascii="Arial" w:cs="Arial" w:eastAsia="Arial" w:hAnsi="Arial"/>
          <w:sz w:val="16"/>
          <w:szCs w:val="16"/>
          <w:color w:val="auto"/>
        </w:rPr>
        <w:t>We are exposed to broadly applicable anti-fraud and abuse, anti-kickback, false claims and other healthcare laws and regulations that may constrain our business, our arrangements and relationships with customers, and how we market, sell and distribute our products. We have a compliance program,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 The laws that may affect our ability to operate include, among others:</w:t>
      </w:r>
    </w:p>
    <w:p>
      <w:pPr>
        <w:spacing w:after="0" w:line="119" w:lineRule="exact"/>
        <w:rPr>
          <w:sz w:val="20"/>
          <w:szCs w:val="20"/>
          <w:color w:val="auto"/>
        </w:rPr>
      </w:pPr>
    </w:p>
    <w:p>
      <w:pPr>
        <w:jc w:val="both"/>
        <w:ind w:left="1020" w:hanging="503"/>
        <w:spacing w:after="0" w:line="251"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Anti-Kickback Statute, which prohibits, among other things, knowingly and willingly soliciting, offering, receiving or paying remuneration, directly or indirectly, overtly or covertly, in cash or in kind, to induce or reward either the referral of a person, or the purchase, order or recommendation of, items or services for which payment may be made, in whole or in part, under a federal healthcare program such as the Medicare and Medicaid programs. The term “remuneration” has been broadly interpreted to include anything of value, and the government can establish a violation of the Anti-Kickback Statute without proving that a person or entity had actual knowledge of the law or a specific intent to violate. In addition, the government may assert that a claim, including items or services resulting from a violation of the Anti-Kickback Statute, constitutes a false or fraudulent claim for purposes of the FCA. There are a number of statutory exceptions and regulatory safe harbors protecting certain business arrangements from prosecution under the Anti-Kickback Statute; however, those exceptions and safe harbors are drawn narrowly, and there may be limited or no exception or safe harbor for many common business activities. Certain common business activities including, certain reimbursement support programs, educational and research grants or charitable donations, and practices that involve remuneration to those who prescribe, purchase or recommend medical devices, including discounts, providing items or services for free or engaging such people as consultants, advisors or speakers, may be subject to scrutiny if they do not fit squarely within any available exception or safe harbor and would be subject to a facts and circumstances analysis to determine compliance with the Anti-Kickback Statute. Our business may not in all cases meet all of the criteria for statutory exception or regulatory safe harbor protection from anti-kickback liability;</w:t>
      </w:r>
    </w:p>
    <w:p>
      <w:pPr>
        <w:spacing w:after="0" w:line="79" w:lineRule="exact"/>
        <w:rPr>
          <w:rFonts w:ascii="Arial" w:cs="Arial" w:eastAsia="Arial" w:hAnsi="Arial"/>
          <w:sz w:val="17"/>
          <w:szCs w:val="17"/>
          <w:color w:val="auto"/>
        </w:rPr>
      </w:pPr>
    </w:p>
    <w:p>
      <w:pPr>
        <w:jc w:val="both"/>
        <w:ind w:left="1020" w:hanging="503"/>
        <w:spacing w:after="0" w:line="24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civil False Claims Act, or the FCA, which prohibits, among other things, persons or entities from knowingly presenting, or causing to be presented, a false or fraudulent claim for payment of government funds and knowingly making, using or causing to be made or used, a false record or statement to get a false claim paid or to avoid, decrease or conceal an obligation to pay money to the federal government. A claim including items or services resulting from a violation of the Anti-Kickback Statute constitutes a false or fraudulent claim for purposes of the FCA. Actions under the FCA may be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8" w:name="page39"/>
    <w:bookmarkEnd w:id="38"/>
    <w:p>
      <w:pPr>
        <w:jc w:val="both"/>
        <w:ind w:left="1020"/>
        <w:spacing w:after="0" w:line="252" w:lineRule="auto"/>
        <w:rPr>
          <w:sz w:val="20"/>
          <w:szCs w:val="20"/>
          <w:color w:val="auto"/>
        </w:rPr>
      </w:pPr>
      <w:r>
        <w:rPr>
          <w:rFonts w:ascii="Arial" w:cs="Arial" w:eastAsia="Arial" w:hAnsi="Arial"/>
          <w:sz w:val="17"/>
          <w:szCs w:val="17"/>
          <w:color w:val="auto"/>
        </w:rPr>
        <w:t>brought by the government or as a qui tam action by a private person in the name of the government. These people, sometimes known as “relators” or, more commonly, as “whistleblowers,” may share in any monetary recovery. Many medical device manufacturers have been investigated and have reached substantial financial settlements with the federal government under the FCA for a variety of alleged improper activities, including causing false claims to be submitted as a result of the marketing of their products for unapproved and thus non-reimbursable uses and interactions with prescribers and other customers, including those that may have affected their billing or coding practices and submission of claims to the federal government. FCA liability is potentially significant in the healthcare industry because the statute provides for treble damages and mandatory monetary penalties for each false or fraudulent claim or statement. Because of the potential for large monetary exposure, life sciences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Medical device manufacturers and other healthcare companies also are subject to other federal false claims laws, including, among others, federal criminal healthcare fraud and false statement statutes that extend to non-government health benefit programs;</w:t>
      </w:r>
    </w:p>
    <w:p>
      <w:pPr>
        <w:spacing w:after="0" w:line="72" w:lineRule="exact"/>
        <w:rPr>
          <w:sz w:val="20"/>
          <w:szCs w:val="20"/>
          <w:color w:val="auto"/>
        </w:rPr>
      </w:pPr>
    </w:p>
    <w:p>
      <w:pPr>
        <w:jc w:val="both"/>
        <w:ind w:left="1020" w:hanging="503"/>
        <w:spacing w:after="0" w:line="257"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HIPAA,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67" w:lineRule="exact"/>
        <w:rPr>
          <w:rFonts w:ascii="Arial" w:cs="Arial" w:eastAsia="Arial" w:hAnsi="Arial"/>
          <w:sz w:val="17"/>
          <w:szCs w:val="17"/>
          <w:color w:val="auto"/>
        </w:rPr>
      </w:pPr>
    </w:p>
    <w:p>
      <w:pPr>
        <w:jc w:val="both"/>
        <w:ind w:left="1020" w:hanging="503"/>
        <w:spacing w:after="0" w:line="24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Act, and their implementing regulations, also impose obligations, including mandatory contractual terms, on covered entities subject to the rule, such as health plans, healthcare clearinghouses and certain healthcare providers, as well as their business associates that perform certain services for them or on their behalf involving the use or disclosure of individually identifiable health information with respect to safeguarding the privacy, security and transmission of individually identifiable health information;</w:t>
      </w:r>
    </w:p>
    <w:p>
      <w:pPr>
        <w:spacing w:after="0" w:line="81" w:lineRule="exact"/>
        <w:rPr>
          <w:rFonts w:ascii="Arial" w:cs="Arial" w:eastAsia="Arial" w:hAnsi="Arial"/>
          <w:sz w:val="18"/>
          <w:szCs w:val="18"/>
          <w:color w:val="auto"/>
        </w:rPr>
      </w:pPr>
    </w:p>
    <w:p>
      <w:pPr>
        <w:jc w:val="both"/>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various state laws govern the privacy and security of personal information, including the California Consumer Protection Act, or CCPA, which became effective January 1, 2020, and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w:t>
      </w:r>
    </w:p>
    <w:p>
      <w:pPr>
        <w:spacing w:after="0" w:line="81" w:lineRule="exact"/>
        <w:rPr>
          <w:rFonts w:ascii="Arial" w:cs="Arial" w:eastAsia="Arial" w:hAnsi="Arial"/>
          <w:sz w:val="18"/>
          <w:szCs w:val="18"/>
          <w:color w:val="auto"/>
        </w:rPr>
      </w:pPr>
    </w:p>
    <w:p>
      <w:pPr>
        <w:jc w:val="both"/>
        <w:ind w:left="1020" w:hanging="503"/>
        <w:spacing w:after="0" w:line="238"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Physician Payments Sunshine Act, implemented as Open Payments, requires manufacturers of drugs, devices, biologics and medical supplies for which payment is available under Medicare, Medicaid or the Children’s Health Insurance Program to report annually, with certain exceptions to CMS, information related to payments or other “transfers of value” made to physicians, as defined by such law, and teaching hospitals, and requires applicable manufacturers and group purchasing organizations to report annually to CMS ownership and investment interests held by physicians and their immediate family members. Beginning in 2022, applicable manufacturers also will be required to report such information regarding payments and transfers of value provided, as well as ownership and investment interests held, during the previous year to physician assistants, nurse practitioners, clinical nurse specialists, certified nurse anesthetists and certified nurse-midwives; and</w:t>
      </w:r>
    </w:p>
    <w:p>
      <w:pPr>
        <w:spacing w:after="0" w:line="85" w:lineRule="exact"/>
        <w:rPr>
          <w:rFonts w:ascii="Arial" w:cs="Arial" w:eastAsia="Arial" w:hAnsi="Arial"/>
          <w:sz w:val="18"/>
          <w:szCs w:val="18"/>
          <w:color w:val="auto"/>
        </w:rPr>
      </w:pPr>
    </w:p>
    <w:p>
      <w:pPr>
        <w:jc w:val="both"/>
        <w:ind w:left="1020" w:hanging="503"/>
        <w:spacing w:after="0" w:line="254"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analogous state and foreign law equivalents of each of the above federal laws, such as anti-kickback and false claims laws which may apply to items or services reimbursed by any third-party payor, including commercial insurers; state laws that require medical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which are state laws that require medical device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may not have the same effect, thus complicating compliance efforts.</w:t>
      </w:r>
    </w:p>
    <w:p>
      <w:pPr>
        <w:spacing w:after="0" w:line="73" w:lineRule="exact"/>
        <w:rPr>
          <w:sz w:val="20"/>
          <w:szCs w:val="20"/>
          <w:color w:val="auto"/>
        </w:rPr>
      </w:pPr>
    </w:p>
    <w:p>
      <w:pPr>
        <w:jc w:val="both"/>
        <w:ind w:firstLine="584"/>
        <w:spacing w:after="0" w:line="241" w:lineRule="auto"/>
        <w:rPr>
          <w:sz w:val="20"/>
          <w:szCs w:val="20"/>
          <w:color w:val="auto"/>
        </w:rPr>
      </w:pPr>
      <w:r>
        <w:rPr>
          <w:rFonts w:ascii="Arial" w:cs="Arial" w:eastAsia="Arial" w:hAnsi="Arial"/>
          <w:sz w:val="18"/>
          <w:szCs w:val="18"/>
          <w:color w:val="auto"/>
        </w:rPr>
        <w:t>State and federal regulatory and enforcement agencies continue to actively investigate violations of healthcare laws and regulations, and the U.S. Congress continues to strengthen the arsenal of enforcement tools. Most recently, the Bipartisan Budget Act of 2018, or the BBA, increased the criminal and civil penalties that can be imposed for violating certain federal health care laws, including the Anti-Kickback Statute. Enforcement agencies also continue to pursue novel theories of liability under these laws. In particular, government agencies have increased regulatory scrutiny and enforcement activity with respect to manufacturer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9" w:name="page40"/>
    <w:bookmarkEnd w:id="39"/>
    <w:p>
      <w:pPr>
        <w:jc w:val="both"/>
        <w:spacing w:after="0" w:line="261" w:lineRule="auto"/>
        <w:rPr>
          <w:sz w:val="20"/>
          <w:szCs w:val="20"/>
          <w:color w:val="auto"/>
        </w:rPr>
      </w:pPr>
      <w:r>
        <w:rPr>
          <w:rFonts w:ascii="Arial" w:cs="Arial" w:eastAsia="Arial" w:hAnsi="Arial"/>
          <w:sz w:val="18"/>
          <w:szCs w:val="18"/>
          <w:color w:val="auto"/>
        </w:rPr>
        <w:t>reimbursement support activities, including bringing criminal charges or civil enforcement actions under the Anti-Kickback Statute, FCA and HIPAA’s healthcare fraud and privacy provisions.</w:t>
      </w:r>
    </w:p>
    <w:p>
      <w:pPr>
        <w:spacing w:after="0" w:line="63" w:lineRule="exact"/>
        <w:rPr>
          <w:sz w:val="20"/>
          <w:szCs w:val="20"/>
          <w:color w:val="auto"/>
        </w:rPr>
      </w:pPr>
    </w:p>
    <w:p>
      <w:pPr>
        <w:jc w:val="both"/>
        <w:ind w:firstLine="578"/>
        <w:spacing w:after="0" w:line="257" w:lineRule="auto"/>
        <w:rPr>
          <w:sz w:val="20"/>
          <w:szCs w:val="20"/>
          <w:color w:val="auto"/>
        </w:rPr>
      </w:pPr>
      <w:r>
        <w:rPr>
          <w:rFonts w:ascii="Arial" w:cs="Arial" w:eastAsia="Arial" w:hAnsi="Arial"/>
          <w:sz w:val="18"/>
          <w:szCs w:val="18"/>
          <w:color w:val="auto"/>
        </w:rPr>
        <w:t>Because of the breadth of these laws and the narrowness of the statutory exceptions and regulatory safe harbors available under such laws, it is possible that some of our business activities, including certain sales and marketing practices of our products, could be subject to challenge under one or more such laws. If an arrangement were deemed to violate the Anti-Kickback Statute, it may also subject us to violations under other fraud and abuse laws such as the federal civil FCA and civil monetary penalties laws. Moreover, such arrangements could be found to violate comparable state fraud and abuse laws.</w:t>
      </w:r>
    </w:p>
    <w:p>
      <w:pPr>
        <w:spacing w:after="0" w:line="161" w:lineRule="exact"/>
        <w:rPr>
          <w:sz w:val="20"/>
          <w:szCs w:val="20"/>
          <w:color w:val="auto"/>
        </w:rPr>
      </w:pPr>
    </w:p>
    <w:p>
      <w:pPr>
        <w:jc w:val="both"/>
        <w:ind w:firstLine="578"/>
        <w:spacing w:after="0" w:line="287" w:lineRule="auto"/>
        <w:rPr>
          <w:sz w:val="20"/>
          <w:szCs w:val="20"/>
          <w:color w:val="auto"/>
        </w:rPr>
      </w:pPr>
      <w:r>
        <w:rPr>
          <w:rFonts w:ascii="Arial" w:cs="Arial" w:eastAsia="Arial" w:hAnsi="Arial"/>
          <w:sz w:val="16"/>
          <w:szCs w:val="16"/>
          <w:color w:val="auto"/>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FCA, Anti-Kickback Statute or civil monetary penalties law cases also may enter into a Corporate Integrity Agreement with the U.S. Department of Health and Human Services Office of Inspector General, or the OIG, to avoid exclusion from participation (such as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harm our business, financial condition and results of operations.</w:t>
      </w:r>
    </w:p>
    <w:p>
      <w:pPr>
        <w:spacing w:after="0" w:line="131" w:lineRule="exact"/>
        <w:rPr>
          <w:sz w:val="20"/>
          <w:szCs w:val="20"/>
          <w:color w:val="auto"/>
        </w:rPr>
      </w:pPr>
    </w:p>
    <w:p>
      <w:pPr>
        <w:jc w:val="both"/>
        <w:ind w:right="20"/>
        <w:spacing w:after="0" w:line="356"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and vendors may engage in misconduct or other improper activities, including noncompliance with regulatory standards and requirements, which could harm our business, financial condition and results of operations.</w:t>
      </w:r>
    </w:p>
    <w:p>
      <w:pPr>
        <w:spacing w:after="0" w:line="1" w:lineRule="exact"/>
        <w:rPr>
          <w:sz w:val="20"/>
          <w:szCs w:val="20"/>
          <w:color w:val="auto"/>
        </w:rPr>
      </w:pPr>
    </w:p>
    <w:p>
      <w:pPr>
        <w:jc w:val="both"/>
        <w:ind w:firstLine="578"/>
        <w:spacing w:after="0" w:line="270" w:lineRule="auto"/>
        <w:rPr>
          <w:sz w:val="20"/>
          <w:szCs w:val="20"/>
          <w:color w:val="auto"/>
        </w:rPr>
      </w:pPr>
      <w:r>
        <w:rPr>
          <w:rFonts w:ascii="Arial" w:cs="Arial" w:eastAsia="Arial" w:hAnsi="Arial"/>
          <w:sz w:val="17"/>
          <w:szCs w:val="17"/>
          <w:color w:val="auto"/>
        </w:rPr>
        <w:t>We are exposed to the risk that our employees, independent contractors, consultants, commercial partners, distributors and vendors may engage in fraudulent or illegal activity. Misconduct by these parties could include intentional, reckless or negligent conduct or disclosure of unauthorized activities to us that violates: (1) the laws of the FDA and other similar regulatory bodies, including those laws requiring the reporting of true, complete and accurate information to such regulators, (2) manufacturing standards, (3) healthcare fraud and abuse laws in the United States and similar foreign fraudulent misconduct laws, or (4)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w:t>
      </w:r>
    </w:p>
    <w:p>
      <w:pPr>
        <w:spacing w:after="0" w:line="154" w:lineRule="exact"/>
        <w:rPr>
          <w:sz w:val="20"/>
          <w:szCs w:val="20"/>
          <w:color w:val="auto"/>
        </w:rPr>
      </w:pPr>
    </w:p>
    <w:p>
      <w:pPr>
        <w:jc w:val="both"/>
        <w:ind w:firstLine="578"/>
        <w:spacing w:after="0" w:line="269" w:lineRule="auto"/>
        <w:rPr>
          <w:sz w:val="20"/>
          <w:szCs w:val="20"/>
          <w:color w:val="auto"/>
        </w:rPr>
      </w:pPr>
      <w:r>
        <w:rPr>
          <w:rFonts w:ascii="Arial" w:cs="Arial" w:eastAsia="Arial" w:hAnsi="Arial"/>
          <w:sz w:val="17"/>
          <w:szCs w:val="17"/>
          <w:color w:val="auto"/>
        </w:rPr>
        <w:t>We have adopted a code of business conduct and ethics that applies to our directors, officers and employees,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reputational harm, and divert the attention of management in defending ourselves against any of these claims or investigations, which could harm our business, financial condition and results of operations.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p>
    <w:p>
      <w:pPr>
        <w:spacing w:after="0" w:line="107" w:lineRule="exact"/>
        <w:rPr>
          <w:sz w:val="20"/>
          <w:szCs w:val="20"/>
          <w:color w:val="auto"/>
        </w:rPr>
      </w:pPr>
    </w:p>
    <w:p>
      <w:pPr>
        <w:jc w:val="both"/>
        <w:ind w:firstLine="584"/>
        <w:spacing w:after="0" w:line="255" w:lineRule="auto"/>
        <w:rPr>
          <w:sz w:val="20"/>
          <w:szCs w:val="20"/>
          <w:color w:val="auto"/>
        </w:rPr>
      </w:pPr>
      <w:r>
        <w:rPr>
          <w:rFonts w:ascii="Arial" w:cs="Arial" w:eastAsia="Arial" w:hAnsi="Arial"/>
          <w:sz w:val="17"/>
          <w:szCs w:val="17"/>
          <w:color w:val="auto"/>
        </w:rPr>
        <w:t>As with other flow cytometry companies, our success depends in large part on our ability to obtain, maintain and solidify a proprietary position for our current and any future products, which will depend upon our success in obtaining effective patent protection in the United States and other countries that cover, and other intellectual property with respect to, such products, their manufacturing processes and their intended methods of use and enforcing those patent claims once granted as well as our other intellectual property. In some cases, we may not be able to obtain issued patent claims or other intellectual property covering our technologies which are sufficient to prevent third parties, such as our competitors, from utilizing our products and negate any competitive advantage we may have. Any failure to obtain or maintain patent and other intellectual property protection with respect to our current and any future products or other aspects of our business could harm our business, financial condition and results of operations.</w:t>
      </w:r>
    </w:p>
    <w:p>
      <w:pPr>
        <w:spacing w:after="0" w:line="153" w:lineRule="exact"/>
        <w:rPr>
          <w:sz w:val="20"/>
          <w:szCs w:val="20"/>
          <w:color w:val="auto"/>
        </w:rPr>
      </w:pPr>
    </w:p>
    <w:p>
      <w:pPr>
        <w:jc w:val="both"/>
        <w:ind w:firstLine="578"/>
        <w:spacing w:after="0" w:line="279" w:lineRule="auto"/>
        <w:rPr>
          <w:sz w:val="20"/>
          <w:szCs w:val="20"/>
          <w:color w:val="auto"/>
        </w:rPr>
      </w:pPr>
      <w:r>
        <w:rPr>
          <w:rFonts w:ascii="Arial" w:cs="Arial" w:eastAsia="Arial" w:hAnsi="Arial"/>
          <w:sz w:val="17"/>
          <w:szCs w:val="17"/>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patents. Additionally,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131" w:lineRule="exact"/>
        <w:rPr>
          <w:sz w:val="20"/>
          <w:szCs w:val="20"/>
          <w:color w:val="auto"/>
        </w:rPr>
      </w:pPr>
    </w:p>
    <w:p>
      <w:pPr>
        <w:jc w:val="both"/>
        <w:ind w:firstLine="584"/>
        <w:spacing w:after="0" w:line="253" w:lineRule="auto"/>
        <w:rPr>
          <w:sz w:val="20"/>
          <w:szCs w:val="20"/>
          <w:color w:val="auto"/>
        </w:rPr>
      </w:pPr>
      <w:r>
        <w:rPr>
          <w:rFonts w:ascii="Arial" w:cs="Arial" w:eastAsia="Arial" w:hAnsi="Arial"/>
          <w:sz w:val="17"/>
          <w:szCs w:val="17"/>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and obtain patent protection. In addition, our ability to obtain and maintain valid and enforceable patents depends in part on whether the differences between our inventions and the prior art allow our inventions to be patentable over the prior art. Furthermore, the publication of discoveries in scientific literature often lags behind the actual discoveries, and patent applications in the United States and other jurisdictions are typically not published until 18 months after filing, or in some cases not at all. Therefore, we cannot be certain that we were the first to file for patent protection of such inventions.</w:t>
      </w:r>
    </w:p>
    <w:p>
      <w:pPr>
        <w:spacing w:after="0" w:line="153" w:lineRule="exact"/>
        <w:rPr>
          <w:sz w:val="20"/>
          <w:szCs w:val="20"/>
          <w:color w:val="auto"/>
        </w:rPr>
      </w:pPr>
    </w:p>
    <w:p>
      <w:pPr>
        <w:jc w:val="both"/>
        <w:ind w:firstLine="584"/>
        <w:spacing w:after="0" w:line="253" w:lineRule="auto"/>
        <w:rPr>
          <w:sz w:val="20"/>
          <w:szCs w:val="20"/>
          <w:color w:val="auto"/>
        </w:rPr>
      </w:pPr>
      <w:r>
        <w:rPr>
          <w:rFonts w:ascii="Arial" w:cs="Arial" w:eastAsia="Arial" w:hAnsi="Arial"/>
          <w:sz w:val="17"/>
          <w:szCs w:val="17"/>
          <w:color w:val="auto"/>
        </w:rPr>
        <w:t>As of December 31, 2021, we own ten issued U.S. utility patents and one issued Japan utility patent. We have 34 pending utility patent applications, including 18 utility patent applications in the United States, six utility patent applications in the European Union, six utility patent applications in China and four utility patent applications in Japan. In April 2021, we filed two different provisional patent applications in the United States directed to technology integrated into our cell sorter. In November 2021, we filed a provisional patent application in the United States directed to scattered light detection technology. Assuming all maintenance fees are paid, the U.S. issued patents are expected to naturally expire between years 2023 and 2038. Patents covering intellectual property relating to design specific technologies invented by our researchers in Shanghai and Wuxi, China are filed in China and owned by our China subsidiaries, respectively. As of December 31, 2021, our Shanghai subsidiary owns 14 issued utility patents and has 9 pending invention patent applications, and our Wuxi subsidiary owns 19 issued patents and has 16 pending patent applications, including nine pending utility patent applications and seven pending invention patent applications.</w:t>
      </w:r>
    </w:p>
    <w:p>
      <w:pPr>
        <w:spacing w:after="0" w:line="143" w:lineRule="exact"/>
        <w:rPr>
          <w:sz w:val="20"/>
          <w:szCs w:val="20"/>
          <w:color w:val="auto"/>
        </w:rPr>
      </w:pPr>
    </w:p>
    <w:p>
      <w:pPr>
        <w:jc w:val="both"/>
        <w:ind w:firstLine="578"/>
        <w:spacing w:after="0" w:line="269" w:lineRule="auto"/>
        <w:rPr>
          <w:sz w:val="20"/>
          <w:szCs w:val="20"/>
          <w:color w:val="auto"/>
        </w:rPr>
      </w:pPr>
      <w:r>
        <w:rPr>
          <w:rFonts w:ascii="Arial" w:cs="Arial" w:eastAsia="Arial" w:hAnsi="Arial"/>
          <w:sz w:val="17"/>
          <w:szCs w:val="17"/>
          <w:color w:val="auto"/>
        </w:rPr>
        <w:t>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It is possible that in the future the scope, validity and enforceability of our patents, licensed patents, patent applications, trademarks, and trademark applications may be challenged at the United States Patent and Trademark Office (“USPTO”) or in proceedings before the patent offices of other jurisdictions. We may not be successful in defending any such challenges made against our patents, patent applications, trademarks or trademark applications. Any successful third party challenge to our patents or trademarks could result in the unenforceability or invalidity of such patents or trademarks and increased competition to our business. We may have to challenge the patents, patent applications, trademarks, or trademark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1" w:name="page42"/>
    <w:bookmarkEnd w:id="41"/>
    <w:p>
      <w:pPr>
        <w:jc w:val="both"/>
        <w:ind w:firstLine="584"/>
        <w:spacing w:after="0" w:line="255" w:lineRule="auto"/>
        <w:rPr>
          <w:sz w:val="20"/>
          <w:szCs w:val="20"/>
          <w:color w:val="auto"/>
        </w:rPr>
      </w:pPr>
      <w:r>
        <w:rPr>
          <w:rFonts w:ascii="Arial" w:cs="Arial" w:eastAsia="Arial" w:hAnsi="Arial"/>
          <w:sz w:val="17"/>
          <w:szCs w:val="17"/>
          <w:color w:val="auto"/>
        </w:rPr>
        <w:t>Moreover, in some circumstances, we may not have the right to control the preparation, filing and prosecution of patent applications, or to maintain the patents, covering technology that we license from or license to third parties or that we may jointly-own with third parties in the future and are therefore reliant on our licensors or licensees, and may be reliant on future joint-owners, licensors or licensees, to protect certain of our intellectual property used in our business. If our joint-owners, licensors or licensees fail to adequately protect this intellectual property or if we do not have exclusivity for the marketing of our products, whether because our joint-owners or licensors do not grant us exclusivity or they do not enforce the intellectual property against our competitors, our ability to commercialize products could suffer. Therefore, these and any of our patents and applications may not be prosecuted and enforced in a manner consistent with the best interests of our business.</w:t>
      </w:r>
    </w:p>
    <w:p>
      <w:pPr>
        <w:spacing w:after="0" w:line="153" w:lineRule="exact"/>
        <w:rPr>
          <w:sz w:val="20"/>
          <w:szCs w:val="20"/>
          <w:color w:val="auto"/>
        </w:rPr>
      </w:pPr>
    </w:p>
    <w:p>
      <w:pPr>
        <w:jc w:val="both"/>
        <w:ind w:firstLine="584"/>
        <w:spacing w:after="0" w:line="255" w:lineRule="auto"/>
        <w:rPr>
          <w:sz w:val="20"/>
          <w:szCs w:val="20"/>
          <w:color w:val="auto"/>
        </w:rPr>
      </w:pPr>
      <w:r>
        <w:rPr>
          <w:rFonts w:ascii="Arial" w:cs="Arial" w:eastAsia="Arial" w:hAnsi="Arial"/>
          <w:sz w:val="17"/>
          <w:szCs w:val="17"/>
          <w:color w:val="auto"/>
        </w:rPr>
        <w:t>Defects of form in the preparation or filing of our patents or patent applications may exist, or may arise in the future, for example, with respect to proper priority claims, inventorship and the like. If we or any of our current or future joint-owners, licensors or licensees fail to establish, maintain, protect or enforce such patents and other intellectual property rights, such rights may be reduced or eliminated. If any current or future joint-owners, licensors or licensees are not fully cooperative or disagree with us as to the prosecution, maintenance or enforcement of any patent rights, such patent rights could be compromised. If there are material defects in the form, preparation or prosecution of our patents or patent applications, such patents or applications may be invalid and/or unenforceable. Any of these outcomes could impair our ability to prevent competition from third parties, which may impact our ability to commercialize our products and materially harm our business.</w:t>
      </w:r>
    </w:p>
    <w:p>
      <w:pPr>
        <w:spacing w:after="0" w:line="139" w:lineRule="exact"/>
        <w:rPr>
          <w:sz w:val="20"/>
          <w:szCs w:val="20"/>
          <w:color w:val="auto"/>
        </w:rPr>
      </w:pPr>
    </w:p>
    <w:p>
      <w:pPr>
        <w:jc w:val="both"/>
        <w:ind w:firstLine="584"/>
        <w:spacing w:after="0" w:line="251" w:lineRule="auto"/>
        <w:rPr>
          <w:sz w:val="20"/>
          <w:szCs w:val="20"/>
          <w:color w:val="auto"/>
        </w:rPr>
      </w:pPr>
      <w:r>
        <w:rPr>
          <w:rFonts w:ascii="Arial" w:cs="Arial" w:eastAsia="Arial" w:hAnsi="Arial"/>
          <w:sz w:val="17"/>
          <w:szCs w:val="17"/>
          <w:color w:val="auto"/>
        </w:rPr>
        <w:t>The strength of patent rights generally, and particularly the patent position of life sciences companies, involves complex legal and scientific questions and can be uncertain, and has been the subject of much litigation in recent years. This uncertainty includes changes to the patent laws through either legislative action to changes to statutory patent law or court action that may reinterpret existing law or rules in ways affecting the scope or validity of issued patents or the chances that patent applications will result in issued claims and the scope of any such claims. Our current or future patent applications may fail to result in issued patents in the United States or foreign countries with claims that cover our current and any future products. Even if patents do successfully issue from our patent applications, third parties may challenge the validity, enforceability or scope of such patents, which may result in such patents being narrowed, invalidated or held unenforceable. Any successful challenge to our patents could deprive us of the exclusive rights necessary for the successful commercialization of our current and any future products, which may materially harm our business. Furthermore, even if they are unchallenged, our patents may not adequately protect our current and any future products, provide exclusivity for such products or prevent others from designing around the claims of our patents. If the scope of any patent protection we obtain is not sufficiently broad, or if we lose any of our patent protection, our ability to prevent our competitors from commercializing similar or identical technology and products would be adversely affected and would materially harm our business. If the breadth or strength of protection provided by the patents we hold or pursue with respect to our current and any future products is challenged, it could dissuade companies from collaborating with us to develop, or threaten our ability to commercialize, our current and any future products.</w:t>
      </w:r>
    </w:p>
    <w:p>
      <w:pPr>
        <w:spacing w:after="0" w:line="162" w:lineRule="exact"/>
        <w:rPr>
          <w:sz w:val="20"/>
          <w:szCs w:val="20"/>
          <w:color w:val="auto"/>
        </w:rPr>
      </w:pPr>
    </w:p>
    <w:p>
      <w:pPr>
        <w:jc w:val="both"/>
        <w:ind w:firstLine="584"/>
        <w:spacing w:after="0" w:line="269" w:lineRule="auto"/>
        <w:rPr>
          <w:sz w:val="20"/>
          <w:szCs w:val="20"/>
          <w:color w:val="auto"/>
        </w:rPr>
      </w:pPr>
      <w:r>
        <w:rPr>
          <w:rFonts w:ascii="Arial" w:cs="Arial" w:eastAsia="Arial" w:hAnsi="Arial"/>
          <w:sz w:val="16"/>
          <w:szCs w:val="16"/>
          <w:color w:val="auto"/>
        </w:rPr>
        <w:t>Patents have a limited lifespan. In the United States, the natural expiration of a utility patent is generally 20 years after its effective filing date and the natural expiration of a design patent is generally 14 years after its issue date, unless the filing date occurred on or after May 13, 2015, in which case the natural expiration of a design patent is generally 15 years after its issue date.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The laws of some foreign countries do not protect our proprietary rights to the same extent as the laws of the United States, and we may encounter significant problems in protecting our proprietary rights in these countries. Various extensions may be available; however, the life of a patent, and the protection it affords, is limited. Without patent protection for our current and any future products and services, we may be open to competition, which may harm our business prospects. Further, if we encounter delays in our development efforts, the period of time during which we could market our current and any future products and services under patent protection would be reduced and, given the amount of time required for the development, testing and regulatory review of planned or future products, patents protecting our current and any future products might expire before or shortly after such products are commercialized. As our patents expire, the scope of our patent protection will be reduced, which may reduce or eliminate any competitive advantage afforded by our patent portfolio. As a result, our patent portfolio may not provide us with sufficient rights to exclude others from commercializing products similar or identical to ours.</w:t>
      </w:r>
    </w:p>
    <w:p>
      <w:pPr>
        <w:spacing w:after="0" w:line="127" w:lineRule="exact"/>
        <w:rPr>
          <w:sz w:val="20"/>
          <w:szCs w:val="20"/>
          <w:color w:val="auto"/>
        </w:rPr>
      </w:pPr>
    </w:p>
    <w:p>
      <w:pPr>
        <w:jc w:val="both"/>
        <w:ind w:firstLine="584"/>
        <w:spacing w:after="0" w:line="255" w:lineRule="auto"/>
        <w:rPr>
          <w:sz w:val="20"/>
          <w:szCs w:val="20"/>
          <w:color w:val="auto"/>
        </w:rPr>
      </w:pPr>
      <w:r>
        <w:rPr>
          <w:rFonts w:ascii="Arial" w:cs="Arial" w:eastAsia="Arial" w:hAnsi="Arial"/>
          <w:sz w:val="17"/>
          <w:szCs w:val="17"/>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now or in the future may be challenged, narrowed, circumvented or invalidated by third parties. Consequently, we do not know whether our current and any future products or other technologies will be protectable or remain protected by valid and enforceable patents. Our competitors or other third parties may be able to circumvent our patents by developing similar or alternative technologies or products in a non-infringing manner which could harm our business, financial condition and results of operations.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2" w:name="page43"/>
    <w:bookmarkEnd w:id="42"/>
    <w:p>
      <w:pPr>
        <w:jc w:val="both"/>
        <w:ind w:firstLine="584"/>
        <w:spacing w:after="0" w:line="279" w:lineRule="auto"/>
        <w:rPr>
          <w:sz w:val="20"/>
          <w:szCs w:val="20"/>
          <w:color w:val="auto"/>
        </w:rPr>
      </w:pPr>
      <w:r>
        <w:rPr>
          <w:rFonts w:ascii="Arial" w:cs="Arial" w:eastAsia="Arial" w:hAnsi="Arial"/>
          <w:sz w:val="16"/>
          <w:szCs w:val="16"/>
          <w:color w:val="auto"/>
        </w:rPr>
        <w:t>Some of our patents and patent applications may in the future be jointly-owned with third parties, including certain universities and public institutions in the United States and China. If we are unable to obtain an exclusive license to any such third-party joint-owners’ interest in such patents or patent applications, such co-owners may be able to license their rights to other third parties, including our competitors, and our competitors could market competing products and technology. In addition, we may need the cooperation of any such joint-owners patents to enforce such patents against third parties, and such cooperation may not be provided to us. Any of the foregoing could harm our business, financial condition and results of operations.</w:t>
      </w:r>
    </w:p>
    <w:p>
      <w:pPr>
        <w:spacing w:after="0" w:line="132" w:lineRule="exact"/>
        <w:rPr>
          <w:sz w:val="20"/>
          <w:szCs w:val="20"/>
          <w:color w:val="auto"/>
        </w:rPr>
      </w:pPr>
    </w:p>
    <w:p>
      <w:pPr>
        <w:jc w:val="both"/>
        <w:ind w:firstLine="584"/>
        <w:spacing w:after="0" w:line="253" w:lineRule="auto"/>
        <w:rPr>
          <w:sz w:val="20"/>
          <w:szCs w:val="20"/>
          <w:color w:val="auto"/>
        </w:rPr>
      </w:pPr>
      <w:r>
        <w:rPr>
          <w:rFonts w:ascii="Arial" w:cs="Arial" w:eastAsia="Arial" w:hAnsi="Arial"/>
          <w:sz w:val="17"/>
          <w:szCs w:val="17"/>
          <w:color w:val="auto"/>
        </w:rPr>
        <w:t>Additionally, we may find it necessary or prudent to acquire or obtain licenses from third-party intellectual property holders. However, we may be unable to acquire or secure such licenses to any intellectual property rights from third parties that we identify as necessary for our current and any future products. The acquisition or licensing of third-party intellectual property rights is a competitive area, and our competitors may pursue strategies to acquire or license third-party intellectual property rights that we may consider attractive or necessary. Our competitors may have a competitive advantage over us due to their size, capital resources and greater development and commercialization capabilities. In addition, companies that perceive us to be a competitor may be unwilling to assign or license rights to us. We also may be unable to acquire or license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products, which could harm our business, financial condition and results of operations.</w:t>
      </w:r>
    </w:p>
    <w:p>
      <w:pPr>
        <w:spacing w:after="0" w:line="34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Patents covering our current, and any future products, or our technologies could be found invalid or unenforceable if challenged in court or before administrative bodies in the United States or abroad, which could harm our business, financial condition and results of operations.</w:t>
      </w:r>
    </w:p>
    <w:p>
      <w:pPr>
        <w:spacing w:after="0" w:line="16" w:lineRule="exact"/>
        <w:rPr>
          <w:sz w:val="20"/>
          <w:szCs w:val="20"/>
          <w:color w:val="auto"/>
        </w:rPr>
      </w:pPr>
    </w:p>
    <w:p>
      <w:pPr>
        <w:jc w:val="both"/>
        <w:ind w:firstLine="584"/>
        <w:spacing w:after="0" w:line="252"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the USPTO or patent offices abroad and may not provide us with adequate proprietary protection or competitive advantage against competitors with similar products. We may be subject to a third-party preissuance submission of prior art to the USPTO or become involved in opposition, derivation, revocation, reexamination, post-grant and inter partes review (“IPR”), or interference proceedings or other similar proceedings challenging our patent rights. An adverse determination in any such submission, proceeding or litigation could reduce the scope of, or invalidate or render unenforceable, such patent rights, allow third parties to commercialize our current and any future products and compete directly with us, without payment to us, or result in our inability to manufacture or commercialize products without infringing third-party patent rights. Moreover, we may have to participate in post-grant challenge proceedings, such as oppositions in a foreign patent office, that challenge features of patentability with respect to our patents and patent applications. Such challenges may result in loss of patent rights, in loss of exclusivity or in patent claims being narrowed, invalidated or held unenforceable, which could limit our ability to stop others from using or commercializing similar or identical technology and products, or limit the duration of the patent protection of our current and any future products or technologies. Such proceedings also may result in substantial cost and require significant time from our management, even if the eventual outcome is favorable to us.</w:t>
      </w:r>
    </w:p>
    <w:p>
      <w:pPr>
        <w:spacing w:after="0" w:line="156" w:lineRule="exact"/>
        <w:rPr>
          <w:sz w:val="20"/>
          <w:szCs w:val="20"/>
          <w:color w:val="auto"/>
        </w:rPr>
      </w:pPr>
    </w:p>
    <w:p>
      <w:pPr>
        <w:jc w:val="both"/>
        <w:ind w:firstLine="584"/>
        <w:spacing w:after="0" w:line="268" w:lineRule="auto"/>
        <w:rPr>
          <w:sz w:val="20"/>
          <w:szCs w:val="20"/>
          <w:color w:val="auto"/>
        </w:rPr>
      </w:pPr>
      <w:r>
        <w:rPr>
          <w:rFonts w:ascii="Arial" w:cs="Arial" w:eastAsia="Arial" w:hAnsi="Arial"/>
          <w:sz w:val="16"/>
          <w:szCs w:val="16"/>
          <w:color w:val="auto"/>
        </w:rPr>
        <w:t>In addition, if we initiate legal proceedings against a third party to enforce a patent covering our current and any future products,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Defenses of these types of claims, regardless of their merit, would involve substantial litigation expense and would be a substantial diversion of employee resources from our business. Third parties may also raise claims challenging the validity or enforceability of our patents before administrative bodies in the United States or abroad, even outside the context of litigation, including through re-examination, post-grant review, IPR, derivation proceedings and equivalent proceedings in foreign jurisdictions (such as opposition proceedings). Such proceedings could result in the revocation of, cancellation of or amendment to our patents in such a way that they no longer cover or provide meaningful protection of our current and any future products or technologies. The outcome for any particular patent following legal assertions of invalidity and unenforceability is unpredictable. With respect to the validity question, for example, we cannot be certain that there is no invalidating prior art, of which we and the patent examiner were unaware during prosecution. If a defendant or other third-party were to prevail on a legal assertion of invalidity or unenforceability, we would lose at least part, and perhaps all, of the patent protection on our current and any future products and technology. Such a loss of patent protection would harm our business, financial condition and results of operations.</w:t>
      </w:r>
    </w:p>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rely substantially on our trademarks and trade names. If our trademarks and trade names are not adequately protected, then we may not be able to build name recognition in our markets of interest and our business may be harmed.</w:t>
      </w:r>
    </w:p>
    <w:p>
      <w:pPr>
        <w:spacing w:after="0" w:line="63" w:lineRule="exact"/>
        <w:rPr>
          <w:sz w:val="20"/>
          <w:szCs w:val="20"/>
          <w:color w:val="auto"/>
        </w:rPr>
      </w:pPr>
    </w:p>
    <w:p>
      <w:pPr>
        <w:jc w:val="both"/>
        <w:ind w:firstLine="584"/>
        <w:spacing w:after="0" w:line="248" w:lineRule="auto"/>
        <w:rPr>
          <w:sz w:val="20"/>
          <w:szCs w:val="20"/>
          <w:color w:val="auto"/>
        </w:rPr>
      </w:pPr>
      <w:r>
        <w:rPr>
          <w:rFonts w:ascii="Arial" w:cs="Arial" w:eastAsia="Arial" w:hAnsi="Arial"/>
          <w:sz w:val="18"/>
          <w:szCs w:val="18"/>
          <w:color w:val="auto"/>
        </w:rPr>
        <w:t>We rely substantially upon trademarks to build and maintain the integrity of our brand. Our registered and unregistered trademarks or trade names may be challenged, infringed, circumvented, declared generic or determined to be violating or infringing on other marks. We may not be able to protect our rights to these trademarks and trade names, which we rely upon to build name recognition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3" w:name="page44"/>
    <w:bookmarkEnd w:id="43"/>
    <w:p>
      <w:pPr>
        <w:jc w:val="both"/>
        <w:spacing w:after="0" w:line="255" w:lineRule="auto"/>
        <w:rPr>
          <w:sz w:val="20"/>
          <w:szCs w:val="20"/>
          <w:color w:val="auto"/>
        </w:rPr>
      </w:pPr>
      <w:r>
        <w:rPr>
          <w:rFonts w:ascii="Arial" w:cs="Arial" w:eastAsia="Arial" w:hAnsi="Arial"/>
          <w:sz w:val="17"/>
          <w:szCs w:val="17"/>
          <w:color w:val="auto"/>
        </w:rPr>
        <w:t>among potential partners and customers in our markets of interest. At times, competitors or other third parties may adopt trade names or trademarks similar to ours, thereby impeding our ability to build brand identity and possibly leading to market confusion and asserting claims against such third parties may be prohibitively expensive. In addition, there could be potential trade name or trademark infringement or dilution claims brought by owners of other trademarks against us.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harm our business, financial condition and results of operations.</w:t>
      </w:r>
    </w:p>
    <w:p>
      <w:pPr>
        <w:spacing w:after="0" w:line="15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Obtaining and maintaining our intellectual property, including patent, protection depends on compliance with various procedural, document submission, fee payment and other requirements imposed by government agencies, and our intellectual property, including patent, protection could be reduced or eliminated for non-compliance with these requirements.</w:t>
      </w:r>
    </w:p>
    <w:p>
      <w:pPr>
        <w:spacing w:after="0" w:line="74" w:lineRule="exact"/>
        <w:rPr>
          <w:sz w:val="20"/>
          <w:szCs w:val="20"/>
          <w:color w:val="auto"/>
        </w:rPr>
      </w:pPr>
    </w:p>
    <w:p>
      <w:pPr>
        <w:jc w:val="both"/>
        <w:ind w:firstLine="584"/>
        <w:spacing w:after="0" w:line="270" w:lineRule="auto"/>
        <w:rPr>
          <w:sz w:val="20"/>
          <w:szCs w:val="20"/>
          <w:color w:val="auto"/>
        </w:rPr>
      </w:pPr>
      <w:r>
        <w:rPr>
          <w:rFonts w:ascii="Arial" w:cs="Arial" w:eastAsia="Arial" w:hAnsi="Arial"/>
          <w:sz w:val="16"/>
          <w:szCs w:val="16"/>
          <w:color w:val="auto"/>
        </w:rPr>
        <w:t>Periodic maintenance fees, renewal fees, annuity fees and various other government fees on intellectual property registrations and applications will be due to be paid to the applicable government agencies, including with respect to patents and patent applications the USPTO and similar agencies outside of the United States, over the lifetime of our intellectual property registrations and applications, including our patents and patent applications. The various applicable government agencies, including with respect to patents and patent applications the USPTO and similar agencies outside of the United States, require compliance with several procedural, documentary, fee payment and other similar provisions during the application process. In some cases, an inadvertent lapse can be cured by payment of a late fee or by other means in accordance with the applicable rules. There are situations, however, in which non-compliance can result in the abandonment or lapse of the intellectual property registration or application, resulting in a partial or complete loss of intellectual property rights in the relevant jurisdiction. Non-compliance events that could result in abandonment or lapse of an intellectual property registration or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which could harm our business, financial condition and results of operations.</w:t>
      </w:r>
    </w:p>
    <w:p>
      <w:pPr>
        <w:spacing w:after="0" w:line="12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have limited foreign intellectual property rights outside the United States, selected countries in the European Union, Japan and China and may not be able to protect our intellectual property and proprietary rights throughout the world, which could harm our business, financial condition and results of operations.</w:t>
      </w:r>
    </w:p>
    <w:p>
      <w:pPr>
        <w:spacing w:after="0" w:line="74" w:lineRule="exact"/>
        <w:rPr>
          <w:sz w:val="20"/>
          <w:szCs w:val="20"/>
          <w:color w:val="auto"/>
        </w:rPr>
      </w:pPr>
    </w:p>
    <w:p>
      <w:pPr>
        <w:jc w:val="both"/>
        <w:ind w:firstLine="584"/>
        <w:spacing w:after="0" w:line="254" w:lineRule="auto"/>
        <w:rPr>
          <w:sz w:val="20"/>
          <w:szCs w:val="20"/>
          <w:color w:val="auto"/>
        </w:rPr>
      </w:pPr>
      <w:r>
        <w:rPr>
          <w:rFonts w:ascii="Arial" w:cs="Arial" w:eastAsia="Arial" w:hAnsi="Arial"/>
          <w:sz w:val="17"/>
          <w:szCs w:val="17"/>
          <w:color w:val="auto"/>
        </w:rPr>
        <w:t>We have limited intellectual property rights outside the United States, selected countries in the European Union, Japan and China. Filing, prosecuting and defending patents or trademarks on our current and any future products in all countries throughout the world would be prohibitively expensive, and the laws of foreign countries may not protect our rights to the same extent as the laws of the United States. Consequently, we may not be able to prevent third parties from practicing our inventions or utilizing our trademarks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and any future products, and our patents or other intellectual property rights may not be effective or sufficient to prevent them from competing.</w:t>
      </w:r>
    </w:p>
    <w:p>
      <w:pPr>
        <w:spacing w:after="0" w:line="73" w:lineRule="exact"/>
        <w:rPr>
          <w:sz w:val="20"/>
          <w:szCs w:val="20"/>
          <w:color w:val="auto"/>
        </w:rPr>
      </w:pPr>
    </w:p>
    <w:p>
      <w:pPr>
        <w:jc w:val="both"/>
        <w:ind w:firstLine="584"/>
        <w:spacing w:after="0" w:line="27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In addition, changes in the law and legal decisions by courts in the United States and foreign countries may affect our ability to obtain adequate protection for our technology and the enforcement of our intellectual property.</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U.S. patent law could diminish the value of patents in general, thereby impairing our ability to protect our current and any future products.</w:t>
      </w:r>
    </w:p>
    <w:p>
      <w:pPr>
        <w:spacing w:after="0" w:line="138" w:lineRule="exact"/>
        <w:rPr>
          <w:sz w:val="20"/>
          <w:szCs w:val="20"/>
          <w:color w:val="auto"/>
        </w:rPr>
      </w:pPr>
    </w:p>
    <w:p>
      <w:pPr>
        <w:jc w:val="both"/>
        <w:ind w:firstLine="584"/>
        <w:spacing w:after="0" w:line="241" w:lineRule="auto"/>
        <w:rPr>
          <w:sz w:val="20"/>
          <w:szCs w:val="20"/>
          <w:color w:val="auto"/>
        </w:rPr>
      </w:pPr>
      <w:r>
        <w:rPr>
          <w:rFonts w:ascii="Arial" w:cs="Arial" w:eastAsia="Arial" w:hAnsi="Arial"/>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4" w:name="page45"/>
    <w:bookmarkEnd w:id="44"/>
    <w:p>
      <w:pPr>
        <w:jc w:val="both"/>
        <w:spacing w:after="0"/>
        <w:rPr>
          <w:sz w:val="20"/>
          <w:szCs w:val="20"/>
          <w:color w:val="auto"/>
        </w:rPr>
      </w:pPr>
      <w:r>
        <w:rPr>
          <w:rFonts w:ascii="Arial" w:cs="Arial" w:eastAsia="Arial" w:hAnsi="Arial"/>
          <w:sz w:val="18"/>
          <w:szCs w:val="18"/>
          <w:color w:val="auto"/>
        </w:rPr>
        <w:t>inventor to file system in which, assuming that other requirements for patentability are met, the first inventor to file a patent application will be entitled to the patent on an invention regardless of whether a third-party was the first to invent the claimed invention. A third-party that files a patent application in the USPTO after March 2013, but before us could therefore be awarded a patent covering an invention of ours even if we had made the invention before it was made by such third-party. This will require us to be cognizant of the time from invention to filing of a patent application. Since patent applications in the United States and most other countries are confidential for a period of time after filing or until issuance, we cannot be certain that we were the first to file any patent application related to our current and any future products.</w:t>
      </w:r>
    </w:p>
    <w:p>
      <w:pPr>
        <w:spacing w:after="0" w:line="162" w:lineRule="exact"/>
        <w:rPr>
          <w:sz w:val="20"/>
          <w:szCs w:val="20"/>
          <w:color w:val="auto"/>
        </w:rPr>
      </w:pPr>
    </w:p>
    <w:p>
      <w:pPr>
        <w:jc w:val="both"/>
        <w:ind w:firstLine="584"/>
        <w:spacing w:after="0" w:line="294" w:lineRule="auto"/>
        <w:rPr>
          <w:sz w:val="20"/>
          <w:szCs w:val="20"/>
          <w:color w:val="auto"/>
        </w:rPr>
      </w:pPr>
      <w:r>
        <w:rPr>
          <w:rFonts w:ascii="Arial" w:cs="Arial" w:eastAsia="Arial" w:hAnsi="Arial"/>
          <w:sz w:val="16"/>
          <w:szCs w:val="16"/>
          <w:color w:val="auto"/>
        </w:rPr>
        <w:t>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IPR and derivation proceedings.</w:t>
      </w:r>
    </w:p>
    <w:p>
      <w:pPr>
        <w:spacing w:after="0" w:line="107" w:lineRule="exact"/>
        <w:rPr>
          <w:sz w:val="20"/>
          <w:szCs w:val="20"/>
          <w:color w:val="auto"/>
        </w:rPr>
      </w:pPr>
    </w:p>
    <w:p>
      <w:pPr>
        <w:jc w:val="both"/>
        <w:ind w:firstLine="584"/>
        <w:spacing w:after="0" w:line="238"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Therefore, the America Invents Act and its implementation could increase the uncertainties and costs surrounding the prosecution of our patent applications and the enforcement or defense of our issued patents. In addition, future actions by the U.S. Congress, the federal courts and the USPTO could cause the laws and regulations governing patents to change in unpredictable ways. Any of the foregoing could harm our business, financial condition and results of operations.</w:t>
      </w:r>
    </w:p>
    <w:p>
      <w:pPr>
        <w:spacing w:after="0" w:line="167" w:lineRule="exact"/>
        <w:rPr>
          <w:sz w:val="20"/>
          <w:szCs w:val="20"/>
          <w:color w:val="auto"/>
        </w:rPr>
      </w:pPr>
    </w:p>
    <w:p>
      <w:pPr>
        <w:jc w:val="both"/>
        <w:ind w:firstLine="584"/>
        <w:spacing w:after="0" w:line="255" w:lineRule="auto"/>
        <w:rPr>
          <w:sz w:val="20"/>
          <w:szCs w:val="20"/>
          <w:color w:val="auto"/>
        </w:rPr>
      </w:pPr>
      <w:r>
        <w:rPr>
          <w:rFonts w:ascii="Arial" w:cs="Arial" w:eastAsia="Arial" w:hAnsi="Arial"/>
          <w:sz w:val="17"/>
          <w:szCs w:val="17"/>
          <w:color w:val="auto"/>
        </w:rPr>
        <w:t>In addition, recent U.S. Supreme Court rulings have made and will likely continue to make changes in how the patent laws of the United States are interpreted. In addition to increasing uncertainty with regard to our ability to obtain patents in the future,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We cannot predict how this and future decisions by the courts, the U.S. Congress or the USPTO may impact the value of our patents. Any similar adverse changes in the patent laws of other jurisdictions could also harm our business, financial condition, results of operations and prospects.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Third-party claims of intellectual property infringement, misappropriation or other violation against us, the joint-owners of our intellectual property, or our collaborators may prevent or delay the sale and marketing of our current and any future products.</w:t>
      </w:r>
    </w:p>
    <w:p>
      <w:pPr>
        <w:spacing w:after="0" w:line="63" w:lineRule="exact"/>
        <w:rPr>
          <w:sz w:val="20"/>
          <w:szCs w:val="20"/>
          <w:color w:val="auto"/>
        </w:rPr>
      </w:pPr>
    </w:p>
    <w:p>
      <w:pPr>
        <w:jc w:val="both"/>
        <w:ind w:firstLine="584"/>
        <w:spacing w:after="0" w:line="272" w:lineRule="auto"/>
        <w:rPr>
          <w:sz w:val="20"/>
          <w:szCs w:val="20"/>
          <w:color w:val="auto"/>
        </w:rPr>
      </w:pPr>
      <w:r>
        <w:rPr>
          <w:rFonts w:ascii="Arial" w:cs="Arial" w:eastAsia="Arial" w:hAnsi="Arial"/>
          <w:sz w:val="16"/>
          <w:szCs w:val="16"/>
          <w:color w:val="auto"/>
        </w:rPr>
        <w:t>The flow cytometry industry is highly competitive and dynamic. Due to the focused research and development that is taking place by several companies, including us and our competitors, in this field, the intellectual property landscape is in flux, and it may remain uncertain in the future. As such, we could become subject to significant intellectual property-related litigation and proceedings relating to our or third-party intellectual property and proprietary rights. Such litigation and proceedings may cause us to incur significant expense, including the payment of damages, settlement payments and/or royalty payments. For example, in February 2018, BD filed suit against us and certain of our employees in the United States District Court for the Northern District of California asserting a number of claims against us, including misappropriation of trade secrets and copyright infringement. In October 2020, we entered into a settlement agreement with BD resulting in a dismissal of all claims and a release of all claims between the parties. Pursuant to the settlement agreement with BD, we are required to make certain payments to BD, including royalty payments on sales of certain of our products.</w:t>
      </w:r>
    </w:p>
    <w:p>
      <w:pPr>
        <w:spacing w:after="0" w:line="141" w:lineRule="exact"/>
        <w:rPr>
          <w:sz w:val="20"/>
          <w:szCs w:val="20"/>
          <w:color w:val="auto"/>
        </w:rPr>
      </w:pPr>
    </w:p>
    <w:p>
      <w:pPr>
        <w:jc w:val="both"/>
        <w:ind w:firstLine="584"/>
        <w:spacing w:after="0" w:line="239" w:lineRule="auto"/>
        <w:rPr>
          <w:sz w:val="20"/>
          <w:szCs w:val="20"/>
          <w:color w:val="auto"/>
        </w:rPr>
      </w:pPr>
      <w:r>
        <w:rPr>
          <w:rFonts w:ascii="Arial" w:cs="Arial" w:eastAsia="Arial" w:hAnsi="Arial"/>
          <w:sz w:val="18"/>
          <w:szCs w:val="18"/>
          <w:color w:val="auto"/>
        </w:rPr>
        <w:t>Our commercial success depends in part on our and any potential future collaborators’ ability to develop, manufacture, market and sell any products that we may develop and use our proprietary technologies without infringing, misappropriating or otherwise violating the patents and other intellectual property or proprietary rights of third parties. It is uncertain whether the issuance of any third-party patent would require us or any potential collaborators to alter our development or commercial strategies, obtain licenses or cease certain activities. The medical device industry is characterized by extensive litigation regarding patents and other intellectual property rights, as well as administrative proceedings for challenging patents, including interference, inter partes or post-grant review, derivation and reexamination proceedings before the USPTO or oppositions and other comparable proceedings in foreign jurisdictions.</w:t>
      </w:r>
    </w:p>
    <w:p>
      <w:pPr>
        <w:spacing w:after="0" w:line="150" w:lineRule="exact"/>
        <w:rPr>
          <w:sz w:val="20"/>
          <w:szCs w:val="20"/>
          <w:color w:val="auto"/>
        </w:rPr>
      </w:pPr>
    </w:p>
    <w:p>
      <w:pPr>
        <w:jc w:val="both"/>
        <w:ind w:firstLine="584"/>
        <w:spacing w:after="0" w:line="239" w:lineRule="auto"/>
        <w:rPr>
          <w:sz w:val="20"/>
          <w:szCs w:val="20"/>
          <w:color w:val="auto"/>
        </w:rPr>
      </w:pPr>
      <w:r>
        <w:rPr>
          <w:rFonts w:ascii="Arial" w:cs="Arial" w:eastAsia="Arial" w:hAnsi="Arial"/>
          <w:sz w:val="18"/>
          <w:szCs w:val="18"/>
          <w:color w:val="auto"/>
        </w:rPr>
        <w:t>Third parties, including our competitors, may currently have patents or obtain patents in the future and claim that the manufacture, use or sale of our current and any future products infringes upon these patents. We have not conducted an extensive search of patents issued or assigned to other parties, including our competitors, and no assurance can be given that patents containing claims covering our current and any future products, components of our current and any future products, technology or methods do not exist, have not been filed or could not be filed or issued. In addition, because patent applications can take many years to issue and because publication schedules for pending applications vary by jurisdiction, there may be applications now pending of which we are unaware and which may result in issued patents which our current or future products infringe. Also, because the claims of published patent applications can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5" w:name="page46"/>
    <w:bookmarkEnd w:id="45"/>
    <w:p>
      <w:pPr>
        <w:jc w:val="both"/>
        <w:spacing w:after="0" w:line="243" w:lineRule="auto"/>
        <w:rPr>
          <w:sz w:val="20"/>
          <w:szCs w:val="20"/>
          <w:color w:val="auto"/>
        </w:rPr>
      </w:pPr>
      <w:r>
        <w:rPr>
          <w:rFonts w:ascii="Arial" w:cs="Arial" w:eastAsia="Arial" w:hAnsi="Arial"/>
          <w:sz w:val="18"/>
          <w:szCs w:val="18"/>
          <w:color w:val="auto"/>
        </w:rPr>
        <w:t>change between publication and patent grant, there may be published patent applications that may ultimately issue with claims that we infringe. As the number of competitors in our market grows and the number of patents issued in this area increases, the possibility of patent infringement claims against us escalates, increasing the risk that we will be required to incur significant expenses defending any such claims or lose patent protection for our current or future products.</w:t>
      </w:r>
    </w:p>
    <w:p>
      <w:pPr>
        <w:spacing w:after="0" w:line="161" w:lineRule="exact"/>
        <w:rPr>
          <w:sz w:val="20"/>
          <w:szCs w:val="20"/>
          <w:color w:val="auto"/>
        </w:rPr>
      </w:pPr>
    </w:p>
    <w:p>
      <w:pPr>
        <w:jc w:val="both"/>
        <w:ind w:firstLine="584"/>
        <w:spacing w:after="0" w:line="269" w:lineRule="auto"/>
        <w:rPr>
          <w:sz w:val="20"/>
          <w:szCs w:val="20"/>
          <w:color w:val="auto"/>
        </w:rPr>
      </w:pPr>
      <w:r>
        <w:rPr>
          <w:rFonts w:ascii="Arial" w:cs="Arial" w:eastAsia="Arial" w:hAnsi="Arial"/>
          <w:sz w:val="16"/>
          <w:szCs w:val="16"/>
          <w:color w:val="auto"/>
        </w:rPr>
        <w:t>We may also be subject to claims that current or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current and any future products.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current and any future products.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one or more of our current and any future products.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harm our business, financial condition and results of operations.</w:t>
      </w:r>
    </w:p>
    <w:p>
      <w:pPr>
        <w:spacing w:after="0" w:line="131" w:lineRule="exact"/>
        <w:rPr>
          <w:sz w:val="20"/>
          <w:szCs w:val="20"/>
          <w:color w:val="auto"/>
        </w:rPr>
      </w:pPr>
    </w:p>
    <w:p>
      <w:pPr>
        <w:jc w:val="both"/>
        <w:ind w:firstLine="584"/>
        <w:spacing w:after="0" w:line="251" w:lineRule="auto"/>
        <w:rPr>
          <w:sz w:val="20"/>
          <w:szCs w:val="20"/>
          <w:color w:val="auto"/>
        </w:rPr>
      </w:pPr>
      <w:r>
        <w:rPr>
          <w:rFonts w:ascii="Arial" w:cs="Arial" w:eastAsia="Arial" w:hAnsi="Arial"/>
          <w:sz w:val="17"/>
          <w:szCs w:val="17"/>
          <w:color w:val="auto"/>
        </w:rPr>
        <w:t>In the event that any third-party claims that we infringe their patents or that we are otherwise employing their proprietary technology without authorization and initiates litigation against us, even if we believe such claims are without merit, there is no assurance that a court would find in our favor on questions of infringement, validity, enforceability or priority. A court of competent jurisdiction could hold that these third-party patents are valid, enforceable and infringed by our current and any future products, which could harm our ability to commercialize any product we may develop and any other technologies covered by the asserted third-party patents.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third-party intellectual property rights, including patents, and we are unsuccessful in demonstrating that such patents or other intellectual property rights are invalid or unenforceable, such third parties may be able to block our ability to commercialize the applicable products or technology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significant license fees and/or royalties, and the rights granted to us might be non-exclusive, which could result in our competitors gaining access to the same technology. If we are unable to obtain a necessary license to a third-party patent on commercially reasonable terms, or at all, we may be unable to commercialize our current and any future products, or such commercialization efforts may be significantly delayed, which could in turn significantly harm our business.</w:t>
      </w:r>
    </w:p>
    <w:p>
      <w:pPr>
        <w:spacing w:after="0" w:line="160" w:lineRule="exact"/>
        <w:rPr>
          <w:sz w:val="20"/>
          <w:szCs w:val="20"/>
          <w:color w:val="auto"/>
        </w:rPr>
      </w:pPr>
    </w:p>
    <w:p>
      <w:pPr>
        <w:jc w:val="both"/>
        <w:ind w:firstLine="584"/>
        <w:spacing w:after="0" w:line="239" w:lineRule="auto"/>
        <w:rPr>
          <w:sz w:val="20"/>
          <w:szCs w:val="20"/>
          <w:color w:val="auto"/>
        </w:rPr>
      </w:pPr>
      <w:r>
        <w:rPr>
          <w:rFonts w:ascii="Arial" w:cs="Arial" w:eastAsia="Arial" w:hAnsi="Arial"/>
          <w:sz w:val="18"/>
          <w:szCs w:val="18"/>
          <w:color w:val="auto"/>
        </w:rPr>
        <w:t>Defense of infringement claims, regardless of their merit or outcome,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and/or have to pay substantial damages for use of the asserted intellectual property, including treble damages and attorneys’ fees were we found to willfully infringe such intellectual property. Claims that we have misappropriated the confidential information or trade secrets of third parties could harm our business, financial condition and results of operations. We also might have to redesign our infringing products or technologies, which may be impossible or require substantial time and monetary expenditure.</w:t>
      </w:r>
    </w:p>
    <w:p>
      <w:pPr>
        <w:spacing w:after="0" w:line="150" w:lineRule="exact"/>
        <w:rPr>
          <w:sz w:val="20"/>
          <w:szCs w:val="20"/>
          <w:color w:val="auto"/>
        </w:rPr>
      </w:pPr>
    </w:p>
    <w:p>
      <w:pPr>
        <w:jc w:val="both"/>
        <w:ind w:firstLine="584"/>
        <w:spacing w:after="0" w:line="253" w:lineRule="auto"/>
        <w:rPr>
          <w:sz w:val="20"/>
          <w:szCs w:val="20"/>
          <w:color w:val="auto"/>
        </w:rPr>
      </w:pPr>
      <w:r>
        <w:rPr>
          <w:rFonts w:ascii="Arial" w:cs="Arial" w:eastAsia="Arial" w:hAnsi="Arial"/>
          <w:sz w:val="17"/>
          <w:szCs w:val="17"/>
          <w:color w:val="auto"/>
        </w:rPr>
        <w:t>Engaging in litigation to defend against third-party infringement claims is very expensive, particularly for a company of our size, and time-consuming.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Uncertainties resulting from the initiation and continuation of patent litigation or other proceedings against us could impair our ability to compete in the marketplace. The occurrence of any of the foregoing could harm our business, financial condition and results of operations.</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63" w:lineRule="exact"/>
        <w:rPr>
          <w:sz w:val="20"/>
          <w:szCs w:val="20"/>
          <w:color w:val="auto"/>
        </w:rPr>
      </w:pPr>
    </w:p>
    <w:p>
      <w:pPr>
        <w:jc w:val="both"/>
        <w:ind w:firstLine="584"/>
        <w:spacing w:after="0" w:line="261" w:lineRule="auto"/>
        <w:rPr>
          <w:sz w:val="20"/>
          <w:szCs w:val="20"/>
          <w:color w:val="auto"/>
        </w:rPr>
      </w:pPr>
      <w:r>
        <w:rPr>
          <w:rFonts w:ascii="Arial" w:cs="Arial" w:eastAsia="Arial" w:hAnsi="Arial"/>
          <w:sz w:val="18"/>
          <w:szCs w:val="18"/>
          <w:color w:val="auto"/>
        </w:rPr>
        <w:t>Competitors may infringe our patents, or the patents of any future licensing partners, or we may be required to defend against claims of infringement. In an infringement proceeding, a court may decide that our patent is invalid or unenforceable, or may refuse 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6" w:name="page47"/>
    <w:bookmarkEnd w:id="46"/>
    <w:p>
      <w:pPr>
        <w:jc w:val="both"/>
        <w:spacing w:after="0" w:line="243" w:lineRule="auto"/>
        <w:rPr>
          <w:sz w:val="20"/>
          <w:szCs w:val="20"/>
          <w:color w:val="auto"/>
        </w:rPr>
      </w:pPr>
      <w:r>
        <w:rPr>
          <w:rFonts w:ascii="Arial" w:cs="Arial" w:eastAsia="Arial" w:hAnsi="Arial"/>
          <w:sz w:val="18"/>
          <w:szCs w:val="18"/>
          <w:color w:val="auto"/>
        </w:rPr>
        <w:t>stop the other party from using the technology at issue on the grounds that our patents do not cover such technology.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w:t>
      </w:r>
    </w:p>
    <w:p>
      <w:pPr>
        <w:spacing w:after="0" w:line="161" w:lineRule="exact"/>
        <w:rPr>
          <w:sz w:val="20"/>
          <w:szCs w:val="20"/>
          <w:color w:val="auto"/>
        </w:rPr>
      </w:pPr>
    </w:p>
    <w:p>
      <w:pPr>
        <w:jc w:val="both"/>
        <w:ind w:firstLine="584"/>
        <w:spacing w:after="0" w:line="253"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harm our ability to compete in the marketplace. Any of the foregoing could harm our business, financial condition and results of operations.</w:t>
      </w:r>
    </w:p>
    <w:p>
      <w:pPr>
        <w:spacing w:after="0" w:line="143" w:lineRule="exact"/>
        <w:rPr>
          <w:sz w:val="20"/>
          <w:szCs w:val="20"/>
          <w:color w:val="auto"/>
        </w:rPr>
      </w:pPr>
    </w:p>
    <w:p>
      <w:pPr>
        <w:jc w:val="both"/>
        <w:ind w:firstLine="584"/>
        <w:spacing w:after="0" w:line="284" w:lineRule="auto"/>
        <w:rPr>
          <w:sz w:val="20"/>
          <w:szCs w:val="20"/>
          <w:color w:val="auto"/>
        </w:rPr>
      </w:pPr>
      <w:r>
        <w:rPr>
          <w:rFonts w:ascii="Arial" w:cs="Arial" w:eastAsia="Arial" w:hAnsi="Arial"/>
          <w:sz w:val="16"/>
          <w:szCs w:val="16"/>
          <w:color w:val="auto"/>
        </w:rPr>
        <w:t>Further,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harmed.</w:t>
      </w:r>
    </w:p>
    <w:p>
      <w:pPr>
        <w:spacing w:after="0" w:line="12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 Such claims could harm our business, financial condition and results of operations.</w:t>
      </w:r>
    </w:p>
    <w:p>
      <w:pPr>
        <w:spacing w:after="0" w:line="74" w:lineRule="exact"/>
        <w:rPr>
          <w:sz w:val="20"/>
          <w:szCs w:val="20"/>
          <w:color w:val="auto"/>
        </w:rPr>
      </w:pPr>
    </w:p>
    <w:p>
      <w:pPr>
        <w:jc w:val="both"/>
        <w:ind w:firstLine="584"/>
        <w:spacing w:after="0" w:line="272" w:lineRule="auto"/>
        <w:rPr>
          <w:sz w:val="20"/>
          <w:szCs w:val="20"/>
          <w:color w:val="auto"/>
        </w:rPr>
      </w:pPr>
      <w:r>
        <w:rPr>
          <w:rFonts w:ascii="Arial" w:cs="Arial" w:eastAsia="Arial" w:hAnsi="Arial"/>
          <w:sz w:val="16"/>
          <w:szCs w:val="16"/>
          <w:color w:val="auto"/>
        </w:rPr>
        <w:t>As is common in the life sciences industry, our employees, consultants and advisors may be currently or previously employed or engaged at universities or other life sciences companies, including our competitors and potential competitors. Although we try to ensure that our employees, consultants and advisors do not use the proprietary information or know-how of others in their work for us, we may in the future become subject to claims that we or these people have, inadvertently or otherwise, used or disclosed intellectual property, including trade secrets or other proprietary information, of their current or former employer. Also, we may in the future be subject to claims that these people are violating non-compete agreements with their former employers. Litigation may be necessary to defend against these claims. If we fail in defending any such claims, in addition to paying monetary damages, we may lose valuable intellectual property rights or personnel, which could harm our business, financial condition and results of operations. Even if we are successful in defending against such claims, litigation could result in substantial costs and be a distraction to management.</w:t>
      </w:r>
    </w:p>
    <w:p>
      <w:pPr>
        <w:spacing w:after="0" w:line="127" w:lineRule="exact"/>
        <w:rPr>
          <w:sz w:val="20"/>
          <w:szCs w:val="20"/>
          <w:color w:val="auto"/>
        </w:rPr>
      </w:pPr>
    </w:p>
    <w:p>
      <w:pPr>
        <w:jc w:val="both"/>
        <w:ind w:firstLine="584"/>
        <w:spacing w:after="0" w:line="279"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harm our business, financial condition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04" w:lineRule="exact"/>
        <w:rPr>
          <w:sz w:val="20"/>
          <w:szCs w:val="20"/>
          <w:color w:val="auto"/>
        </w:rPr>
      </w:pPr>
    </w:p>
    <w:p>
      <w:pPr>
        <w:jc w:val="both"/>
        <w:ind w:firstLine="584"/>
        <w:spacing w:after="0" w:line="274" w:lineRule="auto"/>
        <w:rPr>
          <w:sz w:val="20"/>
          <w:szCs w:val="20"/>
          <w:color w:val="auto"/>
        </w:rPr>
      </w:pPr>
      <w:r>
        <w:rPr>
          <w:rFonts w:ascii="Arial" w:cs="Arial" w:eastAsia="Arial" w:hAnsi="Arial"/>
          <w:sz w:val="16"/>
          <w:szCs w:val="16"/>
          <w:color w:val="auto"/>
        </w:rPr>
        <w:t>In addition to seeking patent protection for our current and any future products, we also rely upon unpatented trade secrets, know-how and continuing technological innovation to develop and maintain a competitive position, especially where we do not believe patent protection is appropriate or obtainable. Trade secrets and know-how can be difficult to protect. We seek to protect such proprietary information, in part, through non-disclosure and confidentiality agreements with our employees, collaborators, contractors, advisors, consultants and other third parties and invention assignment agreements with our employees. We also have agreements with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123" w:lineRule="exact"/>
        <w:rPr>
          <w:sz w:val="20"/>
          <w:szCs w:val="20"/>
          <w:color w:val="auto"/>
        </w:rPr>
      </w:pPr>
    </w:p>
    <w:p>
      <w:pPr>
        <w:jc w:val="both"/>
        <w:ind w:firstLine="584"/>
        <w:spacing w:after="0" w:line="239" w:lineRule="auto"/>
        <w:rPr>
          <w:sz w:val="20"/>
          <w:szCs w:val="20"/>
          <w:color w:val="auto"/>
        </w:rPr>
      </w:pPr>
      <w:r>
        <w:rPr>
          <w:rFonts w:ascii="Arial" w:cs="Arial" w:eastAsia="Arial" w:hAnsi="Arial"/>
          <w:sz w:val="18"/>
          <w:szCs w:val="18"/>
          <w:color w:val="auto"/>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third-party, we would have no right to prevent them from using that technology or information to compete with us. If any of our trade secrets were to be disclosed 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7" w:name="page48"/>
    <w:bookmarkEnd w:id="47"/>
    <w:p>
      <w:pPr>
        <w:jc w:val="both"/>
        <w:spacing w:after="0" w:line="294" w:lineRule="auto"/>
        <w:rPr>
          <w:sz w:val="20"/>
          <w:szCs w:val="20"/>
          <w:color w:val="auto"/>
        </w:rPr>
      </w:pPr>
      <w:r>
        <w:rPr>
          <w:rFonts w:ascii="Arial" w:cs="Arial" w:eastAsia="Arial" w:hAnsi="Arial"/>
          <w:sz w:val="16"/>
          <w:szCs w:val="16"/>
          <w:color w:val="auto"/>
        </w:rPr>
        <w:t>or independently developed by, a competitor or other third-party,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scientific industry positions.</w:t>
      </w:r>
    </w:p>
    <w:p>
      <w:pPr>
        <w:spacing w:after="0" w:line="120" w:lineRule="exact"/>
        <w:rPr>
          <w:sz w:val="20"/>
          <w:szCs w:val="20"/>
          <w:color w:val="auto"/>
        </w:rPr>
      </w:pPr>
    </w:p>
    <w:p>
      <w:pPr>
        <w:jc w:val="both"/>
        <w:ind w:firstLine="584"/>
        <w:spacing w:after="0"/>
        <w:rPr>
          <w:sz w:val="20"/>
          <w:szCs w:val="20"/>
          <w:color w:val="auto"/>
        </w:rPr>
      </w:pPr>
      <w:r>
        <w:rPr>
          <w:rFonts w:ascii="Arial" w:cs="Arial" w:eastAsia="Arial" w:hAnsi="Arial"/>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people,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which could harm our business, financial condition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of a key information technology system, process, or site could have an adverse effect on our business.</w:t>
      </w:r>
    </w:p>
    <w:p>
      <w:pPr>
        <w:spacing w:after="0" w:line="104" w:lineRule="exact"/>
        <w:rPr>
          <w:sz w:val="20"/>
          <w:szCs w:val="20"/>
          <w:color w:val="auto"/>
        </w:rPr>
      </w:pPr>
    </w:p>
    <w:p>
      <w:pPr>
        <w:jc w:val="both"/>
        <w:ind w:firstLine="584"/>
        <w:spacing w:after="0" w:line="268" w:lineRule="auto"/>
        <w:rPr>
          <w:sz w:val="20"/>
          <w:szCs w:val="20"/>
          <w:color w:val="auto"/>
        </w:rPr>
      </w:pPr>
      <w:r>
        <w:rPr>
          <w:rFonts w:ascii="Arial" w:cs="Arial" w:eastAsia="Arial" w:hAnsi="Arial"/>
          <w:sz w:val="16"/>
          <w:szCs w:val="16"/>
          <w:color w:val="auto"/>
        </w:rPr>
        <w:t>We rely extensively on information technology systems to conduct our business. These systems affect, among other things, ordering and managing materials from suppliers, shipping products, processing transactions, complying with regulatory, legal or tax requirements, data security and other processes necessary to manage our business. Our systems and the data contained on them may be subject to computer viruses, ransomware or other malware, attacks by computer hackers, social engineering (including phishing), supply chain attacks, credential stuffing, efforts by individuals or groups of hackers and sophisticated organizations, including state-sponsored organizations, errors or malfeasance of our personnel, and security vulnerabilities in the software or systems on which we rely, and failures during the process of upgrading or replacing software, databases or components thereof. If the confidentiality, integrity, or availability of our systems or our data is compromised due to these, or any number of causes, ranging from catastrophic events and power outages to security breaches, and our business continuity plans do not effectively compensate on a timely basis, we may experience interruptions in our operations, including corruption of our data or release of our confidential information, which could have an adverse effect on our business. Furthermore, any breach in our information technology systems could lead to the unauthorized access, disclosure and use of non-public information, which may be protected by applicable laws. In addition, the COVID-19 pandemic has generally increased the risk of cybersecurity intrusions. For example, there has been an increase in phishing and spam emails as well as social engineering attempts from “hackers” hoping to use the COVID-19 pandemic to their advantage. Any such access, disclosure, or other loss of information could require substantial expenditures to remedy and could result in legal claims or proceedings, liability under laws that protect the privacy of personal information and damage to our reputation.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compromise our ability to offer our services and subject us to possible litigation.</w:t>
      </w:r>
    </w:p>
    <w:p>
      <w:pPr>
        <w:spacing w:after="0" w:line="104" w:lineRule="exact"/>
        <w:rPr>
          <w:sz w:val="20"/>
          <w:szCs w:val="20"/>
          <w:color w:val="auto"/>
        </w:rPr>
      </w:pPr>
    </w:p>
    <w:p>
      <w:pPr>
        <w:jc w:val="both"/>
        <w:ind w:firstLine="584"/>
        <w:spacing w:after="0" w:line="270" w:lineRule="auto"/>
        <w:rPr>
          <w:sz w:val="20"/>
          <w:szCs w:val="20"/>
          <w:color w:val="auto"/>
        </w:rPr>
      </w:pPr>
      <w:r>
        <w:rPr>
          <w:rFonts w:ascii="Arial" w:cs="Arial" w:eastAsia="Arial" w:hAnsi="Arial"/>
          <w:sz w:val="16"/>
          <w:szCs w:val="16"/>
          <w:color w:val="auto"/>
        </w:rPr>
        <w:t>We use open source software in connection with the software integrated in our instruments. Companies that incorporate open source software into their products have, from time to time, faced claims challenging their use of open source software and compliance with open source license terms. As a result, we could be subject to lawsuits by parties claiming ownership of what we believe to be open source software or claiming noncompliance with open source licensing terms. Some open source software licenses require users who distribute software containing open source software to publicly disclose all or part of the source code to the licensee’s software that incorporates, links or uses such open source software, and make available to third parties for no cost, any derivative works of the open source code created by the licensee, which could include the licensee’s own valuable proprietary code.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 foregoing could harm our business, financial condition, results of operations and prospects.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104"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The market price of our common stock may be highly volatile and may fluctuate or decline substantially as a result of a variety of factors, some of which are beyond our control, including limited trading volume. In addition to the factors discussed in this “Risk Factors” section and elsewhere in this Annual Report on Form 10-K, these factors include:</w:t>
      </w:r>
    </w:p>
    <w:p>
      <w:pPr>
        <w:spacing w:after="0" w:line="157"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degree and rate of market adoption of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 or investors;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results of operations, including as a result of anticipated or unanticipated demand based on seasonal factors;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8" w:name="page49"/>
    <w:bookmarkEnd w:id="48"/>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negative publicity associated with issues related to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 by us or our stockholders, as well as the anticipation of lock-up releases;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approvals for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adverse developments concerning any of our third-party distribution partners and suppliers, including our single and sole-source suppliers;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engage additional distribution partners and establish collaborations, if needed;</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performance or news releases by other companies in our industry including about adverse developments related to safety, effectiveness, accuracy and usability of their products, reputational concerns, regulatory compliance, and product recalls;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general economic, regulatory and market conditions, including economic recessions or slowdowns and the COVID-19 pandemic; and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104" w:lineRule="exact"/>
        <w:rPr>
          <w:sz w:val="20"/>
          <w:szCs w:val="20"/>
          <w:color w:val="auto"/>
        </w:rPr>
      </w:pPr>
    </w:p>
    <w:p>
      <w:pPr>
        <w:jc w:val="both"/>
        <w:ind w:firstLine="584"/>
        <w:spacing w:after="0" w:line="257" w:lineRule="auto"/>
        <w:rPr>
          <w:sz w:val="20"/>
          <w:szCs w:val="20"/>
          <w:color w:val="auto"/>
        </w:rPr>
      </w:pPr>
      <w:r>
        <w:rPr>
          <w:rFonts w:ascii="Arial" w:cs="Arial" w:eastAsia="Arial" w:hAnsi="Arial"/>
          <w:sz w:val="17"/>
          <w:szCs w:val="17"/>
          <w:color w:val="auto"/>
        </w:rPr>
        <w:t>Broad market and industry fluctuations, as well as general economic, pandemic, political, regulatory, and market conditions, may negatively impact the market price of our common stock. In addition, given the relatively small expected public float of shares of our common stock on the Nasdaq Global Select Market (the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have broad discretion in the use of our cash and may invest or spend the funds in ways with which you do not agree and in ways that may not yield a return.</w:t>
      </w:r>
    </w:p>
    <w:p>
      <w:pPr>
        <w:spacing w:after="0" w:line="63" w:lineRule="exact"/>
        <w:rPr>
          <w:sz w:val="20"/>
          <w:szCs w:val="20"/>
          <w:color w:val="auto"/>
        </w:rPr>
      </w:pPr>
    </w:p>
    <w:p>
      <w:pPr>
        <w:jc w:val="both"/>
        <w:ind w:firstLine="584"/>
        <w:spacing w:after="0" w:line="255" w:lineRule="auto"/>
        <w:rPr>
          <w:sz w:val="20"/>
          <w:szCs w:val="20"/>
          <w:color w:val="auto"/>
        </w:rPr>
      </w:pPr>
      <w:r>
        <w:rPr>
          <w:rFonts w:ascii="Arial" w:cs="Arial" w:eastAsia="Arial" w:hAnsi="Arial"/>
          <w:sz w:val="17"/>
          <w:szCs w:val="17"/>
          <w:color w:val="auto"/>
        </w:rPr>
        <w:t>We will have broad discretion over the use of our cash. Investors may not agree with our decisions, and our use of cash may not yield any return on your investment. We currently intend to use our cash to fund manufacturing activities, sales and marketing activities, including the hiring and training of additional sales and marketing personnel, and the remainder for working capital and general corporate purposes, including research and development activities. In addition, a portion of our cash may also be used to acquire assets or complementary businesses. Our failure to use our cash effectively could impair our ability to pursue our growth strategy or could require us to raise additional capital. In addition, pending their use, our cash may be placed in investments that do not produce income or that may lose value. If we do not invest or apply our cash in ways that enhance stockholder value, we may fail to achieve expected financial results, which could cause our stock price to decline.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of shares of our common stock could cause the market price of our common stock to decline.</w:t>
      </w:r>
    </w:p>
    <w:p>
      <w:pPr>
        <w:spacing w:after="0" w:line="104" w:lineRule="exact"/>
        <w:rPr>
          <w:sz w:val="20"/>
          <w:szCs w:val="20"/>
          <w:color w:val="auto"/>
        </w:rPr>
      </w:pPr>
    </w:p>
    <w:p>
      <w:pPr>
        <w:jc w:val="both"/>
        <w:ind w:firstLine="578"/>
        <w:spacing w:after="0" w:line="286" w:lineRule="auto"/>
        <w:rPr>
          <w:sz w:val="20"/>
          <w:szCs w:val="20"/>
          <w:color w:val="auto"/>
        </w:rPr>
      </w:pPr>
      <w:r>
        <w:rPr>
          <w:rFonts w:ascii="Arial" w:cs="Arial" w:eastAsia="Arial" w:hAnsi="Arial"/>
          <w:sz w:val="17"/>
          <w:szCs w:val="17"/>
          <w:color w:val="auto"/>
        </w:rPr>
        <w:t>Sales and issuances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and issuances may have on the prevailing market price of our common stock.</w:t>
      </w:r>
    </w:p>
    <w:p>
      <w:pPr>
        <w:spacing w:after="0" w:line="138" w:lineRule="exact"/>
        <w:rPr>
          <w:sz w:val="20"/>
          <w:szCs w:val="20"/>
          <w:color w:val="auto"/>
        </w:rPr>
      </w:pPr>
    </w:p>
    <w:p>
      <w:pPr>
        <w:jc w:val="both"/>
        <w:ind w:firstLine="578"/>
        <w:spacing w:after="0" w:line="301" w:lineRule="auto"/>
        <w:rPr>
          <w:sz w:val="20"/>
          <w:szCs w:val="20"/>
          <w:color w:val="auto"/>
        </w:rPr>
      </w:pPr>
      <w:r>
        <w:rPr>
          <w:rFonts w:ascii="Arial" w:cs="Arial" w:eastAsia="Arial" w:hAnsi="Arial"/>
          <w:sz w:val="16"/>
          <w:szCs w:val="16"/>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awards are available for immediate resale in the United States in the open market.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9" w:name="page50"/>
    <w:bookmarkEnd w:id="49"/>
    <w:p>
      <w:pPr>
        <w:jc w:val="both"/>
        <w:ind w:right="20" w:firstLine="578"/>
        <w:spacing w:after="0" w:line="263" w:lineRule="auto"/>
        <w:rPr>
          <w:sz w:val="20"/>
          <w:szCs w:val="20"/>
          <w:color w:val="auto"/>
        </w:rPr>
      </w:pPr>
      <w:r>
        <w:rPr>
          <w:rFonts w:ascii="Arial" w:cs="Arial" w:eastAsia="Arial" w:hAnsi="Arial"/>
          <w:sz w:val="18"/>
          <w:szCs w:val="18"/>
          <w:color w:val="auto"/>
        </w:rPr>
        <w:t>Sales of shares of our common stock could also impair our ability to raise capital through the sale of additional equity securities in the future and at a price we deem appropriate. These sales could also cause the trading price of our common stock to decline and make it more difficult for you to sell shares of our common stock.</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executive officers, directors and principal stockholders may prevent new investors from influencing significant corporate decisions.</w:t>
      </w:r>
    </w:p>
    <w:p>
      <w:pPr>
        <w:spacing w:after="0" w:line="63" w:lineRule="exact"/>
        <w:rPr>
          <w:sz w:val="20"/>
          <w:szCs w:val="20"/>
          <w:color w:val="auto"/>
        </w:rPr>
      </w:pPr>
    </w:p>
    <w:p>
      <w:pPr>
        <w:jc w:val="both"/>
        <w:ind w:firstLine="578"/>
        <w:spacing w:after="0" w:line="272" w:lineRule="auto"/>
        <w:rPr>
          <w:sz w:val="20"/>
          <w:szCs w:val="20"/>
          <w:color w:val="auto"/>
        </w:rPr>
      </w:pPr>
      <w:r>
        <w:rPr>
          <w:rFonts w:ascii="Arial" w:cs="Arial" w:eastAsia="Arial" w:hAnsi="Arial"/>
          <w:sz w:val="17"/>
          <w:szCs w:val="17"/>
          <w:color w:val="auto"/>
        </w:rPr>
        <w:t>Based on the number of shares of common stock outstanding as of December 31, 2021, our executive officers, directors and current beneficial owners of 5% or more of our common stock will, in the aggregate, beneficially own approximately 42.3% of our common stock. These stockholders,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 For example, because many of these stockholders purchased their shares at prices substantially below the current market price or our shares and have held their shares for a longer period, they may be more interested in selling our company to an acquirer than other investors, or they may want us to pursue strategies that deviate from the interests of other stockholders.</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63" w:lineRule="exact"/>
        <w:rPr>
          <w:sz w:val="20"/>
          <w:szCs w:val="20"/>
          <w:color w:val="auto"/>
        </w:rPr>
      </w:pPr>
    </w:p>
    <w:p>
      <w:pPr>
        <w:jc w:val="both"/>
        <w:ind w:firstLine="584"/>
        <w:spacing w:after="0" w:line="243"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debt instruments. Accordingly, investors must rely on sales of their common stock after price appreciation, which may never occur, as the only way to realize any future gains on their investments.</w:t>
      </w:r>
    </w:p>
    <w:p>
      <w:pPr>
        <w:spacing w:after="0" w:line="161" w:lineRule="exact"/>
        <w:rPr>
          <w:sz w:val="20"/>
          <w:szCs w:val="20"/>
          <w:color w:val="auto"/>
        </w:rPr>
      </w:pPr>
    </w:p>
    <w:p>
      <w:pPr>
        <w:jc w:val="both"/>
        <w:spacing w:after="0" w:line="356"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our compliance with the reduced reporting and disclosure requirements applicable to emerging growth companies and smaller reporting companies could make our common stock less attractive to investors.</w:t>
      </w:r>
    </w:p>
    <w:p>
      <w:pPr>
        <w:spacing w:after="0" w:line="1" w:lineRule="exact"/>
        <w:rPr>
          <w:sz w:val="20"/>
          <w:szCs w:val="20"/>
          <w:color w:val="auto"/>
        </w:rPr>
      </w:pPr>
    </w:p>
    <w:p>
      <w:pPr>
        <w:jc w:val="both"/>
        <w:ind w:firstLine="584"/>
        <w:spacing w:after="0" w:line="241" w:lineRule="auto"/>
        <w:rPr>
          <w:sz w:val="20"/>
          <w:szCs w:val="20"/>
          <w:color w:val="auto"/>
        </w:rPr>
      </w:pPr>
      <w:r>
        <w:rPr>
          <w:rFonts w:ascii="Arial" w:cs="Arial" w:eastAsia="Arial" w:hAnsi="Arial"/>
          <w:sz w:val="18"/>
          <w:szCs w:val="18"/>
          <w:color w:val="auto"/>
        </w:rPr>
        <w:t>We are an “emerging growth company,” as defined in the JOBS Act, and we expect to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adoption period for accounting pronouncements.</w:t>
      </w:r>
    </w:p>
    <w:p>
      <w:pPr>
        <w:spacing w:after="0" w:line="149" w:lineRule="exact"/>
        <w:rPr>
          <w:sz w:val="20"/>
          <w:szCs w:val="20"/>
          <w:color w:val="auto"/>
        </w:rPr>
      </w:pPr>
    </w:p>
    <w:p>
      <w:pPr>
        <w:jc w:val="both"/>
        <w:ind w:firstLine="584"/>
        <w:spacing w:after="0"/>
        <w:rPr>
          <w:sz w:val="20"/>
          <w:szCs w:val="20"/>
          <w:color w:val="auto"/>
        </w:rPr>
      </w:pPr>
      <w:r>
        <w:rPr>
          <w:rFonts w:ascii="Arial" w:cs="Arial" w:eastAsia="Arial" w:hAnsi="Arial"/>
          <w:sz w:val="18"/>
          <w:szCs w:val="18"/>
          <w:color w:val="auto"/>
        </w:rPr>
        <w:t>We are also a “smaller reporting company,” as defined in the Securities Exchange Act of 1934, as amended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62" w:lineRule="exact"/>
        <w:rPr>
          <w:sz w:val="20"/>
          <w:szCs w:val="20"/>
          <w:color w:val="auto"/>
        </w:rPr>
      </w:pPr>
    </w:p>
    <w:p>
      <w:pPr>
        <w:jc w:val="both"/>
        <w:ind w:firstLine="584"/>
        <w:spacing w:after="0" w:line="291" w:lineRule="auto"/>
        <w:rPr>
          <w:sz w:val="20"/>
          <w:szCs w:val="20"/>
          <w:color w:val="auto"/>
        </w:rPr>
      </w:pPr>
      <w:r>
        <w:rPr>
          <w:rFonts w:ascii="Arial" w:cs="Arial" w:eastAsia="Arial" w:hAnsi="Arial"/>
          <w:sz w:val="17"/>
          <w:szCs w:val="17"/>
          <w:color w:val="auto"/>
        </w:rPr>
        <w:t>Investors may find our common stock less attractive as a result of our reliance on these exemptions. If some investors find our common stock less attractive as a result, there may be a less active trading market for our common stock and our stock price may be more volatile.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04" w:lineRule="exact"/>
        <w:rPr>
          <w:sz w:val="20"/>
          <w:szCs w:val="20"/>
          <w:color w:val="auto"/>
        </w:rPr>
      </w:pPr>
    </w:p>
    <w:p>
      <w:pPr>
        <w:jc w:val="both"/>
        <w:ind w:firstLine="584"/>
        <w:spacing w:after="0" w:line="241"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62" w:lineRule="exact"/>
        <w:rPr>
          <w:sz w:val="20"/>
          <w:szCs w:val="20"/>
          <w:color w:val="auto"/>
        </w:rPr>
      </w:pPr>
    </w:p>
    <w:p>
      <w:pPr>
        <w:jc w:val="both"/>
        <w:ind w:firstLine="584"/>
        <w:spacing w:after="0" w:line="243"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0" w:name="page51"/>
    <w:bookmarkEnd w:id="50"/>
    <w:p>
      <w:pPr>
        <w:spacing w:after="0" w:line="324"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6" w:lineRule="exact"/>
        <w:rPr>
          <w:sz w:val="20"/>
          <w:szCs w:val="20"/>
          <w:color w:val="auto"/>
        </w:rPr>
      </w:pPr>
    </w:p>
    <w:p>
      <w:pPr>
        <w:ind w:firstLine="584"/>
        <w:spacing w:after="0" w:line="324"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97" w:lineRule="exact"/>
        <w:rPr>
          <w:sz w:val="20"/>
          <w:szCs w:val="20"/>
          <w:color w:val="auto"/>
        </w:rPr>
      </w:pPr>
    </w:p>
    <w:p>
      <w:pPr>
        <w:ind w:left="102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chairman of the board of directors, the chief executive officer, the president, or by a majority of the total number of authorized directors;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03"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7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62"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authority of the board of directors to issue redeemable convertible preferred stock on terms determined by the board of directors without stockholder approval and which redeemable convertible preferred stock may include rights superior to the rights of the holders of common stock.</w:t>
      </w:r>
    </w:p>
    <w:p>
      <w:pPr>
        <w:spacing w:after="0" w:line="74" w:lineRule="exact"/>
        <w:rPr>
          <w:sz w:val="20"/>
          <w:szCs w:val="20"/>
          <w:color w:val="auto"/>
        </w:rPr>
      </w:pPr>
    </w:p>
    <w:p>
      <w:pPr>
        <w:jc w:val="both"/>
        <w:ind w:firstLine="578"/>
        <w:spacing w:after="0" w:line="254"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Corporate Law, which may prohibit certain business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5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4" w:lineRule="exact"/>
        <w:rPr>
          <w:sz w:val="20"/>
          <w:szCs w:val="20"/>
          <w:color w:val="auto"/>
        </w:rPr>
      </w:pPr>
    </w:p>
    <w:p>
      <w:pPr>
        <w:jc w:val="both"/>
        <w:ind w:firstLine="578"/>
        <w:spacing w:after="0" w:line="269"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w:t>
      </w:r>
    </w:p>
    <w:p>
      <w:pPr>
        <w:spacing w:after="0" w:line="158" w:lineRule="exact"/>
        <w:rPr>
          <w:sz w:val="20"/>
          <w:szCs w:val="20"/>
          <w:color w:val="auto"/>
        </w:rPr>
      </w:pPr>
    </w:p>
    <w:p>
      <w:pPr>
        <w:jc w:val="both"/>
        <w:ind w:firstLine="578"/>
        <w:spacing w:after="0" w:line="254" w:lineRule="auto"/>
        <w:rPr>
          <w:sz w:val="20"/>
          <w:szCs w:val="20"/>
          <w:color w:val="auto"/>
        </w:rPr>
      </w:pPr>
      <w:r>
        <w:rPr>
          <w:rFonts w:ascii="Arial" w:cs="Arial" w:eastAsia="Arial" w:hAnsi="Arial"/>
          <w:sz w:val="18"/>
          <w:szCs w:val="18"/>
          <w:color w:val="auto"/>
        </w:rPr>
        <w:t>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will further provide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1" w:name="page52"/>
    <w:bookmarkEnd w:id="51"/>
    <w:p>
      <w:pPr>
        <w:jc w:val="both"/>
        <w:spacing w:after="0" w:line="259" w:lineRule="auto"/>
        <w:rPr>
          <w:sz w:val="20"/>
          <w:szCs w:val="20"/>
          <w:color w:val="auto"/>
        </w:rPr>
      </w:pPr>
      <w:r>
        <w:rPr>
          <w:rFonts w:ascii="Arial" w:cs="Arial" w:eastAsia="Arial" w:hAnsi="Arial"/>
          <w:sz w:val="18"/>
          <w:szCs w:val="18"/>
          <w:color w:val="auto"/>
        </w:rPr>
        <w:t>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spacing w:after="0" w:line="160" w:lineRule="exact"/>
        <w:rPr>
          <w:sz w:val="20"/>
          <w:szCs w:val="20"/>
          <w:color w:val="auto"/>
        </w:rPr>
      </w:pPr>
    </w:p>
    <w:p>
      <w:pPr>
        <w:jc w:val="both"/>
        <w:ind w:firstLine="578"/>
        <w:spacing w:after="0" w:line="273"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6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 and procedures over financial reporting, and any failure to maintain the adequacy of these internal controls in a timely or efficient manner may adversely affect investor confidence in our company and, as a result, the value of our common stock.</w:t>
      </w:r>
    </w:p>
    <w:p>
      <w:pPr>
        <w:spacing w:after="0" w:line="74" w:lineRule="exact"/>
        <w:rPr>
          <w:sz w:val="20"/>
          <w:szCs w:val="20"/>
          <w:color w:val="auto"/>
        </w:rPr>
      </w:pPr>
    </w:p>
    <w:p>
      <w:pPr>
        <w:jc w:val="both"/>
        <w:ind w:firstLine="578"/>
        <w:spacing w:after="0" w:line="255" w:lineRule="auto"/>
        <w:rPr>
          <w:sz w:val="20"/>
          <w:szCs w:val="20"/>
          <w:color w:val="auto"/>
        </w:rPr>
      </w:pPr>
      <w:r>
        <w:rPr>
          <w:rFonts w:ascii="Arial" w:cs="Arial" w:eastAsia="Arial" w:hAnsi="Arial"/>
          <w:sz w:val="18"/>
          <w:szCs w:val="18"/>
          <w:color w:val="auto"/>
        </w:rPr>
        <w:t>We are required, pursuant to Section 404 of the Sarbanes–Oxley Act, to furnish a report by management on, among other things, the effectiveness of our internal control and procedures over financial reporting for the fiscal year ending December 31, 2022, which is the year covered by the second annual report following the completion of our IPO.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if we are not a non-accelerated filer at such time.</w:t>
      </w:r>
    </w:p>
    <w:p>
      <w:pPr>
        <w:spacing w:after="0" w:line="165" w:lineRule="exact"/>
        <w:rPr>
          <w:sz w:val="20"/>
          <w:szCs w:val="20"/>
          <w:color w:val="auto"/>
        </w:rPr>
      </w:pPr>
    </w:p>
    <w:p>
      <w:pPr>
        <w:jc w:val="both"/>
        <w:ind w:firstLine="584"/>
        <w:spacing w:after="0" w:line="276" w:lineRule="auto"/>
        <w:rPr>
          <w:sz w:val="20"/>
          <w:szCs w:val="20"/>
          <w:color w:val="auto"/>
        </w:rPr>
      </w:pPr>
      <w:r>
        <w:rPr>
          <w:rFonts w:ascii="Arial" w:cs="Arial" w:eastAsia="Arial" w:hAnsi="Arial"/>
          <w:sz w:val="16"/>
          <w:szCs w:val="16"/>
          <w:color w:val="auto"/>
        </w:rPr>
        <w:t>If we are unable to conclude that our internal control and procedures over financial reporting is effective, or if our independent registered public accounting firm determines we have material weaknesses in our internal control over financial reporting, we could lose investor confidence in the accuracy and completeness of our financial reports, it would be possible that a material misstatement of our financial statements would not be prevented or detected on a timely basis, and as a result, the market price of our common stock could decline, and we could be subject to sanctions or investigations by the SEC or other regulatory authorities. Failure to remedy any material weakness or significant deficiency in our internal control over financial reporting, or to implement or maintain other effective control systems required of public companies, could also restrict our future access to the capital markets.</w:t>
      </w:r>
    </w:p>
    <w:p>
      <w:pPr>
        <w:spacing w:after="0" w:line="12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74" w:lineRule="exact"/>
        <w:rPr>
          <w:sz w:val="20"/>
          <w:szCs w:val="20"/>
          <w:color w:val="auto"/>
        </w:rPr>
      </w:pPr>
    </w:p>
    <w:p>
      <w:pPr>
        <w:jc w:val="both"/>
        <w:ind w:firstLine="584"/>
        <w:spacing w:after="0" w:line="270" w:lineRule="auto"/>
        <w:rPr>
          <w:sz w:val="20"/>
          <w:szCs w:val="20"/>
          <w:color w:val="auto"/>
        </w:rPr>
      </w:pPr>
      <w:r>
        <w:rPr>
          <w:rFonts w:ascii="Arial" w:cs="Arial" w:eastAsia="Arial" w:hAnsi="Arial"/>
          <w:sz w:val="16"/>
          <w:szCs w:val="16"/>
          <w:color w:val="auto"/>
        </w:rPr>
        <w:t>The preparation of our consolidated financial statements in conformity with generally accepted accounting principles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revenue accounting standard, Accounting Standards Codification, or ASC, Topic 606, management makes judgments and assumptions based on our interpretation of the new standard. The revenue standard is principle-based and interpretation of those principles may vary from company to company based on their unique circumstances. It is possible that interpretation, industry practice and guidance may evolve as we apply the standard.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04" w:lineRule="exact"/>
        <w:rPr>
          <w:sz w:val="20"/>
          <w:szCs w:val="20"/>
          <w:color w:val="auto"/>
        </w:rPr>
      </w:pPr>
    </w:p>
    <w:p>
      <w:pPr>
        <w:jc w:val="both"/>
        <w:ind w:right="20" w:firstLine="584"/>
        <w:spacing w:after="0" w:line="270" w:lineRule="auto"/>
        <w:rPr>
          <w:sz w:val="20"/>
          <w:szCs w:val="20"/>
          <w:color w:val="auto"/>
        </w:rPr>
      </w:pPr>
      <w:r>
        <w:rPr>
          <w:rFonts w:ascii="Arial" w:cs="Arial" w:eastAsia="Arial" w:hAnsi="Arial"/>
          <w:sz w:val="17"/>
          <w:szCs w:val="17"/>
          <w:color w:val="auto"/>
        </w:rPr>
        <w:t>In the past, securities class action litigation has often been brought against companies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2" w:name="page53"/>
    <w:bookmarkEnd w:id="52"/>
    <w:p>
      <w:pPr>
        <w:jc w:val="both"/>
        <w:spacing w:after="0" w:line="261"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63" w:lineRule="exact"/>
        <w:rPr>
          <w:sz w:val="20"/>
          <w:szCs w:val="20"/>
          <w:color w:val="auto"/>
        </w:rPr>
      </w:pPr>
    </w:p>
    <w:p>
      <w:pPr>
        <w:jc w:val="both"/>
        <w:ind w:firstLine="584"/>
        <w:spacing w:after="0" w:line="238"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We expect such expenses to further increase after we are no longer an emerging growth company. The Sarbanes-Oxley Act, the Dodd-Frank Wall Street Reform and Consumer Protection Act, the listing requirements of Nasdaq and other applicable securities rules and regulations impose various requirements on public companies. Furthermore, the senior members of our management team do not have significant experience with operating a public company. As a result, our management and other personnel will have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timing of such costs, which could negatively affect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Nasdaq’s continued listing requirements could result in a delisting of our common stock.</w:t>
      </w:r>
    </w:p>
    <w:p>
      <w:pPr>
        <w:spacing w:after="0" w:line="104" w:lineRule="exact"/>
        <w:rPr>
          <w:sz w:val="20"/>
          <w:szCs w:val="20"/>
          <w:color w:val="auto"/>
        </w:rPr>
      </w:pPr>
    </w:p>
    <w:p>
      <w:pPr>
        <w:jc w:val="both"/>
        <w:ind w:firstLine="584"/>
        <w:spacing w:after="0"/>
        <w:rPr>
          <w:sz w:val="20"/>
          <w:szCs w:val="20"/>
          <w:color w:val="auto"/>
        </w:rPr>
      </w:pPr>
      <w:r>
        <w:rPr>
          <w:rFonts w:ascii="Arial" w:cs="Arial" w:eastAsia="Arial" w:hAnsi="Arial"/>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149" w:lineRule="exact"/>
        <w:rPr>
          <w:sz w:val="20"/>
          <w:szCs w:val="20"/>
          <w:color w:val="auto"/>
        </w:rPr>
      </w:pPr>
    </w:p>
    <w:p>
      <w:pPr>
        <w:jc w:val="both"/>
        <w:ind w:firstLine="36"/>
        <w:spacing w:after="0" w:line="26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our common stock price and trading volume could decline.</w:t>
      </w:r>
    </w:p>
    <w:p>
      <w:pPr>
        <w:spacing w:after="0" w:line="63" w:lineRule="exact"/>
        <w:rPr>
          <w:sz w:val="20"/>
          <w:szCs w:val="20"/>
          <w:color w:val="auto"/>
        </w:rPr>
      </w:pPr>
    </w:p>
    <w:p>
      <w:pPr>
        <w:jc w:val="both"/>
        <w:ind w:firstLine="584"/>
        <w:spacing w:after="0" w:line="248" w:lineRule="auto"/>
        <w:rPr>
          <w:sz w:val="20"/>
          <w:szCs w:val="20"/>
          <w:color w:val="auto"/>
        </w:rPr>
      </w:pPr>
      <w:r>
        <w:rPr>
          <w:rFonts w:ascii="Arial" w:cs="Arial" w:eastAsia="Arial" w:hAnsi="Arial"/>
          <w:sz w:val="18"/>
          <w:szCs w:val="18"/>
          <w:color w:val="auto"/>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spacing w:after="0" w:line="155" w:lineRule="exact"/>
        <w:rPr>
          <w:sz w:val="20"/>
          <w:szCs w:val="20"/>
          <w:color w:val="auto"/>
        </w:rPr>
      </w:pPr>
    </w:p>
    <w:p>
      <w:pPr>
        <w:jc w:val="both"/>
        <w:ind w:firstLine="584"/>
        <w:spacing w:after="0" w:line="259" w:lineRule="auto"/>
        <w:rPr>
          <w:sz w:val="20"/>
          <w:szCs w:val="20"/>
          <w:color w:val="auto"/>
        </w:rPr>
      </w:pPr>
      <w:r>
        <w:rPr>
          <w:rFonts w:ascii="Arial" w:cs="Arial" w:eastAsia="Arial" w:hAnsi="Arial"/>
          <w:sz w:val="17"/>
          <w:szCs w:val="17"/>
          <w:color w:val="auto"/>
        </w:rPr>
        <w:t>The trading market for our common stock will depend, in part, on the research and reports that securities or industry analysts publish about us or our business. We do not have any control over these analysts. If the number of analysts that cover us declines, demand for our common stock could decrease and our common stock price and trading volume may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133" w:lineRule="exact"/>
        <w:rPr>
          <w:sz w:val="20"/>
          <w:szCs w:val="20"/>
          <w:color w:val="auto"/>
        </w:rPr>
      </w:pPr>
    </w:p>
    <w:p>
      <w:pPr>
        <w:jc w:val="both"/>
        <w:ind w:firstLine="584"/>
        <w:spacing w:after="0" w:line="270" w:lineRule="auto"/>
        <w:rPr>
          <w:sz w:val="20"/>
          <w:szCs w:val="20"/>
          <w:color w:val="auto"/>
        </w:rPr>
      </w:pPr>
      <w:r>
        <w:rPr>
          <w:rFonts w:ascii="Arial" w:cs="Arial" w:eastAsia="Arial" w:hAnsi="Arial"/>
          <w:sz w:val="17"/>
          <w:szCs w:val="17"/>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(“NOLs”) to offset future taxable income may be subject to certain limitations.</w:t>
      </w:r>
    </w:p>
    <w:p>
      <w:pPr>
        <w:spacing w:after="0" w:line="104" w:lineRule="exact"/>
        <w:rPr>
          <w:sz w:val="20"/>
          <w:szCs w:val="20"/>
          <w:color w:val="auto"/>
        </w:rPr>
      </w:pPr>
    </w:p>
    <w:p>
      <w:pPr>
        <w:jc w:val="both"/>
        <w:ind w:firstLine="584"/>
        <w:spacing w:after="0" w:line="248" w:lineRule="auto"/>
        <w:rPr>
          <w:sz w:val="20"/>
          <w:szCs w:val="20"/>
          <w:color w:val="auto"/>
        </w:rPr>
      </w:pPr>
      <w:r>
        <w:rPr>
          <w:rFonts w:ascii="Arial" w:cs="Arial" w:eastAsia="Arial" w:hAnsi="Arial"/>
          <w:sz w:val="18"/>
          <w:szCs w:val="18"/>
          <w:color w:val="auto"/>
        </w:rPr>
        <w:t>As of December 31, 2021, we had no federal NOL carryforwards and state NOL carryforwards of approximately $2.1 million. Certain state NOLs will begin to expire in the calendar year 2036, unless previously utilized. Certain NOL carryforwards subject to expiration could expire unused and be unavailable to offset future income tax liabilities.</w:t>
      </w:r>
    </w:p>
    <w:p>
      <w:pPr>
        <w:spacing w:after="0" w:line="141" w:lineRule="exact"/>
        <w:rPr>
          <w:sz w:val="20"/>
          <w:szCs w:val="20"/>
          <w:color w:val="auto"/>
        </w:rPr>
      </w:pPr>
    </w:p>
    <w:p>
      <w:pPr>
        <w:jc w:val="both"/>
        <w:ind w:firstLine="584"/>
        <w:spacing w:after="0" w:line="279" w:lineRule="auto"/>
        <w:rPr>
          <w:sz w:val="20"/>
          <w:szCs w:val="20"/>
          <w:color w:val="auto"/>
        </w:rPr>
      </w:pPr>
      <w:r>
        <w:rPr>
          <w:rFonts w:ascii="Arial" w:cs="Arial" w:eastAsia="Arial" w:hAnsi="Arial"/>
          <w:sz w:val="16"/>
          <w:szCs w:val="16"/>
          <w:color w:val="auto"/>
        </w:rPr>
        <w:t>Under the Tax Cuts and Jobs Act, or the Tax Act, as modified by the Coronavirus Aid, Relief and Economic Security Act, or CARES Act, federal NOLs incurred in taxable years beginning after December 31, 2017 may be carried forward indefinitely, but the deductibility of such federal NOLs in taxable years beginning after December 31, 2020 is limited to 80% of taxable income in such years. There is variation in how states have responded and may continue to respond to the Tax Act and CARES Act. In addition, for state income tax purposes, there may be periods during which the use of NOLs is suspended or otherwise limited, such as recent California legislation limiting the usability of NOLs for tax years beginning in 2020 and before 2023.</w:t>
      </w:r>
    </w:p>
    <w:p>
      <w:pPr>
        <w:spacing w:after="0" w:line="132" w:lineRule="exact"/>
        <w:rPr>
          <w:sz w:val="20"/>
          <w:szCs w:val="20"/>
          <w:color w:val="auto"/>
        </w:rPr>
      </w:pPr>
    </w:p>
    <w:p>
      <w:pPr>
        <w:jc w:val="both"/>
        <w:ind w:firstLine="584"/>
        <w:spacing w:after="0"/>
        <w:rPr>
          <w:sz w:val="20"/>
          <w:szCs w:val="20"/>
          <w:color w:val="auto"/>
        </w:rPr>
      </w:pPr>
      <w:r>
        <w:rPr>
          <w:rFonts w:ascii="Arial" w:cs="Arial" w:eastAsia="Arial" w:hAnsi="Arial"/>
          <w:sz w:val="18"/>
          <w:szCs w:val="18"/>
          <w:color w:val="auto"/>
        </w:rPr>
        <w:t>Separately, under Section 382 of the Internal Revenue Code of 1986, as amended (the “Code”)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Similar rules may apply under state tax laws. We determined that an ownership change occurred on September 7, 2018, October 23, 2020, and in connection with our IPO on July 23, 2021. As of December 31, 2021, we had not experienced an ownership change subsequent to the ownership change on July 23, 2021. In addition, we may in the future experience ownership changes,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3" w:name="page54"/>
    <w:bookmarkEnd w:id="53"/>
    <w:p>
      <w:pPr>
        <w:spacing w:after="0" w:line="261" w:lineRule="auto"/>
        <w:rPr>
          <w:sz w:val="20"/>
          <w:szCs w:val="20"/>
          <w:color w:val="auto"/>
        </w:rPr>
      </w:pPr>
      <w:r>
        <w:rPr>
          <w:rFonts w:ascii="Arial" w:cs="Arial" w:eastAsia="Arial" w:hAnsi="Arial"/>
          <w:sz w:val="18"/>
          <w:szCs w:val="18"/>
          <w:color w:val="auto"/>
        </w:rPr>
        <w:t>as a result of our IPO or other changes in our stock ownership (some of which are not in our control). If an ownership change occurs, our ability to utilize our NOL carryforwards and other tax attributes to reduce future tax liabilities may be limited.</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85"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w:t>
      </w:r>
    </w:p>
    <w:p>
      <w:pPr>
        <w:spacing w:after="0" w:line="103" w:lineRule="exact"/>
        <w:rPr>
          <w:rFonts w:ascii="Arial" w:cs="Arial" w:eastAsia="Arial" w:hAnsi="Arial"/>
          <w:sz w:val="18"/>
          <w:szCs w:val="18"/>
          <w:color w:val="auto"/>
        </w:rPr>
      </w:pPr>
    </w:p>
    <w:p>
      <w:pPr>
        <w:ind w:left="1020" w:hanging="503"/>
        <w:spacing w:after="0" w:line="291"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104" w:lineRule="exact"/>
        <w:rPr>
          <w:sz w:val="20"/>
          <w:szCs w:val="20"/>
          <w:color w:val="auto"/>
        </w:rPr>
      </w:pPr>
    </w:p>
    <w:p>
      <w:pPr>
        <w:jc w:val="both"/>
        <w:ind w:firstLine="584"/>
        <w:spacing w:after="0" w:line="243" w:lineRule="auto"/>
        <w:rPr>
          <w:sz w:val="20"/>
          <w:szCs w:val="20"/>
          <w:color w:val="auto"/>
        </w:rPr>
      </w:pPr>
      <w:r>
        <w:rPr>
          <w:rFonts w:ascii="Arial" w:cs="Arial" w:eastAsia="Arial" w:hAnsi="Arial"/>
          <w:sz w:val="18"/>
          <w:szCs w:val="18"/>
          <w:color w:val="auto"/>
        </w:rPr>
        <w:t>Additionally, a tax authority may disagree with tax positions that we have taken, which could result in increased tax liabilities. For example,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tax law and regulations may have a material adverse effect on our business, financial condition and results of operations.</w:t>
      </w:r>
    </w:p>
    <w:p>
      <w:pPr>
        <w:spacing w:after="0" w:line="115" w:lineRule="exact"/>
        <w:rPr>
          <w:sz w:val="20"/>
          <w:szCs w:val="20"/>
          <w:color w:val="auto"/>
        </w:rPr>
      </w:pPr>
    </w:p>
    <w:p>
      <w:pPr>
        <w:jc w:val="both"/>
        <w:ind w:firstLine="584"/>
        <w:spacing w:after="0" w:line="259" w:lineRule="auto"/>
        <w:rPr>
          <w:sz w:val="20"/>
          <w:szCs w:val="20"/>
          <w:color w:val="auto"/>
        </w:rPr>
      </w:pPr>
      <w:r>
        <w:rPr>
          <w:rFonts w:ascii="Arial" w:cs="Arial" w:eastAsia="Arial" w:hAnsi="Arial"/>
          <w:sz w:val="17"/>
          <w:szCs w:val="17"/>
          <w:color w:val="auto"/>
        </w:rPr>
        <w:t>The rules dealing with U.S. federal, state and local income taxation are constantly under review by the Internal Revenue Service, the U.S. Treasury Department and other governmental bodies.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financial condition, results of operations, and cash flow. We urge investors to consult with their legal and tax advisers regarding the implication of potential changes in tax laws on an investment in our common stock.</w:t>
      </w:r>
    </w:p>
    <w:p>
      <w:pPr>
        <w:spacing w:after="0" w:line="13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Changes and uncertainties in the tax system in the countries in which we have operations, could materially adversely affect our financial condition and results of operations, and reduce net returns to our shareholders.</w:t>
      </w:r>
    </w:p>
    <w:p>
      <w:pPr>
        <w:spacing w:after="0" w:line="63" w:lineRule="exact"/>
        <w:rPr>
          <w:sz w:val="20"/>
          <w:szCs w:val="20"/>
          <w:color w:val="auto"/>
        </w:rPr>
      </w:pPr>
    </w:p>
    <w:p>
      <w:pPr>
        <w:jc w:val="both"/>
        <w:ind w:firstLine="584"/>
        <w:spacing w:after="0" w:line="272" w:lineRule="auto"/>
        <w:rPr>
          <w:sz w:val="20"/>
          <w:szCs w:val="20"/>
          <w:color w:val="auto"/>
        </w:rPr>
      </w:pPr>
      <w:r>
        <w:rPr>
          <w:rFonts w:ascii="Arial" w:cs="Arial" w:eastAsia="Arial" w:hAnsi="Arial"/>
          <w:sz w:val="16"/>
          <w:szCs w:val="16"/>
          <w:color w:val="auto"/>
        </w:rPr>
        <w:t>We conduct business globally and file income tax returns in multiple jurisdictions. Our consolidated effective income tax rate could be materially adversely affected by several factors, including: changing tax laws, regulations and treaties, or the interpretation thereof; tax policy initiatives and reforms under consideration; the practices of tax authorities in jurisdictions in which we operate; the resolution of issues arising from tax audits or examinations and any related interest or penalties. 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statement of financial position, and otherwise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4" w:name="page55"/>
    <w:bookmarkEnd w:id="54"/>
    <w:p>
      <w:pPr>
        <w:ind w:left="20"/>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02" w:lineRule="exact"/>
        <w:rPr>
          <w:sz w:val="20"/>
          <w:szCs w:val="20"/>
          <w:color w:val="auto"/>
        </w:rPr>
      </w:pPr>
    </w:p>
    <w:p>
      <w:pPr>
        <w:jc w:val="both"/>
        <w:ind w:firstLine="384"/>
        <w:spacing w:after="0" w:line="276" w:lineRule="auto"/>
        <w:rPr>
          <w:sz w:val="20"/>
          <w:szCs w:val="20"/>
          <w:color w:val="auto"/>
        </w:rPr>
      </w:pPr>
      <w:r>
        <w:rPr>
          <w:rFonts w:ascii="Arial" w:cs="Arial" w:eastAsia="Arial" w:hAnsi="Arial"/>
          <w:sz w:val="16"/>
          <w:szCs w:val="16"/>
          <w:color w:val="231F20"/>
        </w:rPr>
        <w:t>We currently lease approximately 99,000 square feet of office and laboratory space at our headquarter in Fremont, California. The lease is expected to expire in December 2028. We lease approximately 40,000 square feet of manufacturing and office space at our facility in Wuxi, China, under leases expiring in May and October 2022, respectively, and approximately 14,000 square feet of office and laboratory space at our facility in Shanghai, China, under multiple leases expiring between March 2022 and December 2023. We also lease office space in Seattle, Washington; Bethesda, Maryland; San Diego, California; Beijing, China; and Amsterdam, Netherlands. We believe that our existing office, laboratory and manufacturing space, together with additional space and facilities available on commercially reasonable terms, will be sufficient to meet our current and future needs.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02" w:lineRule="exact"/>
        <w:rPr>
          <w:sz w:val="20"/>
          <w:szCs w:val="20"/>
          <w:color w:val="auto"/>
        </w:rPr>
      </w:pPr>
    </w:p>
    <w:p>
      <w:pPr>
        <w:jc w:val="both"/>
        <w:ind w:firstLine="253"/>
        <w:spacing w:after="0" w:line="261" w:lineRule="auto"/>
        <w:rPr>
          <w:sz w:val="20"/>
          <w:szCs w:val="20"/>
          <w:color w:val="auto"/>
        </w:rPr>
      </w:pPr>
      <w:r>
        <w:rPr>
          <w:rFonts w:ascii="Arial" w:cs="Arial" w:eastAsia="Arial" w:hAnsi="Arial"/>
          <w:sz w:val="18"/>
          <w:szCs w:val="18"/>
          <w:color w:val="auto"/>
        </w:rPr>
        <w:t>We are not currently engaged in any material pending legal proceedings. From time to time, we may be subject to legal proceedings and claims arising in the ordinary course of 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02" w:lineRule="exact"/>
        <w:rPr>
          <w:sz w:val="20"/>
          <w:szCs w:val="20"/>
          <w:color w:val="auto"/>
        </w:rPr>
      </w:pPr>
    </w:p>
    <w:p>
      <w:pPr>
        <w:ind w:right="360" w:firstLine="554"/>
        <w:spacing w:after="0" w:line="261" w:lineRule="auto"/>
        <w:rPr>
          <w:sz w:val="20"/>
          <w:szCs w:val="20"/>
          <w:color w:val="auto"/>
        </w:rPr>
      </w:pPr>
      <w:r>
        <w:rPr>
          <w:rFonts w:ascii="Arial" w:cs="Arial" w:eastAsia="Arial" w:hAnsi="Arial"/>
          <w:sz w:val="18"/>
          <w:szCs w:val="18"/>
          <w:color w:val="auto"/>
        </w:rPr>
        <w:t>Our common stock began trading on the Nasdaq Global Select Market on July 23, 2021 and trades under the symbol “CTKB”. Prior to July 23, 2021, there was no public trading market for our common stock</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08"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As of March 11, 2022, there were approximately 38 stockholders of record. Because brokers and other institutions hold many of our shares on behalf of stockholders, we are unable to estimate the total number of stockholders represented by these record holders.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ind w:right="160" w:firstLine="509"/>
        <w:spacing w:after="0" w:line="284" w:lineRule="auto"/>
        <w:rPr>
          <w:sz w:val="20"/>
          <w:szCs w:val="20"/>
          <w:color w:val="auto"/>
        </w:rPr>
      </w:pPr>
      <w:r>
        <w:rPr>
          <w:rFonts w:ascii="Arial" w:cs="Arial" w:eastAsia="Arial" w:hAnsi="Arial"/>
          <w:sz w:val="16"/>
          <w:szCs w:val="16"/>
          <w:color w:val="auto"/>
        </w:rPr>
        <w:t>We have never declared or paid any cash dividends on our capital stock and we do not currently intend to pay any cash dividends on our capital stock for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July 2021, we issued and sold an aggregate of 13,949,401 shares of common stock in connection with our IPO, including the full exercise by the underwriters of their option to purchase an additional 2,184,695 shares from us, and the selling stockholders sold 2,799,929 shares of common stock, at a public offering price of $17.00 per share. All of the shares of common stock issued and sold in our IPO were registered under the Securities Act pursuant to a registration statement on Form S-1 (Registration No. 333-257663), which was declared effective by the SEC on July 22, 2021. There has been no material change in the use of proceeds from our IPO from those disclosed in the final prospectus for our IPO dated July 22, 2021 and filed with the SEC pursuant to Rule 424(b)(4) of the Securities Act on July 23, 2021.</w:t>
      </w:r>
    </w:p>
    <w:p>
      <w:pPr>
        <w:spacing w:after="0" w:line="77" w:lineRule="exact"/>
        <w:rPr>
          <w:sz w:val="20"/>
          <w:szCs w:val="20"/>
          <w:color w:val="auto"/>
        </w:rPr>
      </w:pPr>
    </w:p>
    <w:p>
      <w:pPr>
        <w:jc w:val="center"/>
        <w:ind w:right="8380"/>
        <w:spacing w:after="0"/>
        <w:rPr>
          <w:sz w:val="20"/>
          <w:szCs w:val="20"/>
          <w:color w:val="auto"/>
        </w:rPr>
      </w:pPr>
      <w:r>
        <w:rPr>
          <w:rFonts w:ascii="Arial" w:cs="Arial" w:eastAsia="Arial" w:hAnsi="Arial"/>
          <w:sz w:val="15"/>
          <w:szCs w:val="15"/>
          <w:b w:val="1"/>
          <w:bCs w:val="1"/>
          <w:color w:val="auto"/>
        </w:rPr>
        <w:t>Issuer Purchases of Equity Securities</w:t>
      </w:r>
    </w:p>
    <w:p>
      <w:pPr>
        <w:spacing w:after="0" w:line="142" w:lineRule="exact"/>
        <w:rPr>
          <w:sz w:val="20"/>
          <w:szCs w:val="20"/>
          <w:color w:val="auto"/>
        </w:rPr>
      </w:pPr>
    </w:p>
    <w:p>
      <w:pPr>
        <w:jc w:val="center"/>
        <w:ind w:right="9820"/>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jc w:val="center"/>
        <w:ind w:right="9840"/>
        <w:spacing w:after="0"/>
        <w:rPr>
          <w:sz w:val="20"/>
          <w:szCs w:val="20"/>
          <w:color w:val="auto"/>
        </w:rPr>
      </w:pPr>
      <w:r>
        <w:rPr>
          <w:rFonts w:ascii="Arial" w:cs="Arial" w:eastAsia="Arial" w:hAnsi="Arial"/>
          <w:sz w:val="17"/>
          <w:szCs w:val="17"/>
          <w:b w:val="1"/>
          <w:bCs w:val="1"/>
          <w:color w:val="auto"/>
        </w:rPr>
        <w:t>Item 6. Reserved.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9" w:lineRule="exact"/>
        <w:rPr>
          <w:sz w:val="20"/>
          <w:szCs w:val="20"/>
          <w:color w:val="auto"/>
        </w:rPr>
      </w:pPr>
    </w:p>
    <w:p>
      <w:pPr>
        <w:jc w:val="both"/>
        <w:ind w:left="20" w:firstLine="509"/>
        <w:spacing w:after="0"/>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included in this Annual Report on Form 10-K. This discussion contains forward-looking statements that involve risks and uncertainties. See “Special Note Regarding Forward-Looking Statements” at the beginning of this Annual Report on Form 10-K. Our actual results could differ materially from those contained in these forward-looking statements due to a number of factors, including those discussed in Part I, Item 1A “Risk Factors” and elsewhere in this Annual Report on Form 10-K. Unless the context requires otherwise, references in this Annual Report on Form 10-K to “we,” “us” and “our” refer to Cytek Biosciences, Inc.</w:t>
      </w:r>
    </w:p>
    <w:p>
      <w:pPr>
        <w:spacing w:after="0" w:line="149" w:lineRule="exact"/>
        <w:rPr>
          <w:sz w:val="20"/>
          <w:szCs w:val="20"/>
          <w:color w:val="auto"/>
        </w:rPr>
      </w:pPr>
    </w:p>
    <w:p>
      <w:pPr>
        <w:jc w:val="both"/>
        <w:ind w:left="20" w:firstLine="509"/>
        <w:spacing w:after="0" w:line="241" w:lineRule="auto"/>
        <w:rPr>
          <w:sz w:val="20"/>
          <w:szCs w:val="20"/>
          <w:color w:val="auto"/>
        </w:rPr>
      </w:pPr>
      <w:r>
        <w:rPr>
          <w:rFonts w:ascii="Arial" w:cs="Arial" w:eastAsia="Arial" w:hAnsi="Arial"/>
          <w:sz w:val="18"/>
          <w:szCs w:val="18"/>
          <w:i w:val="1"/>
          <w:iCs w:val="1"/>
          <w:color w:val="auto"/>
        </w:rPr>
        <w:t>The following is a discussion and year-to-year comparisons of our financial condition and results of operations for the years ended December 31, 2021 and 2020. For a discussion of the results of operations and financial condition for the years ended December 31, 2019 and year-to-year comparisons between 2020 and 2019, please refer to “Management’s Discussion and Analysis of Financial Condition and Results of Operations" in the final prospectus for our IPO dated July 22, 2021 and filed with the SEC pursuant to Rule 424(b)(4) of the Securities Act on July 23, 2021, which item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We are a leading cell analysis solutions company advancing the next generation of cell analysis tools by leveraging novel technical approaches. Our goal is to become the premier cell analysis company through continued innovation that facilitates scientific advances in biomedical research and clinical applications. We believe our core instruments, the Aurora and Northern Lights systems, are the first full spectrum flow cytometers able to deliver high-resolution, high-content and high-sensitivity cell analysis by utilizing the full spectrum of fluorescence signatures from multiple lasers to distinguish fluorescent tags on single cells (“Full Spectrum Profiling” or “FSP”). Our novel approach harnesses the power of information within the entire spectrum of a fluorescent signal to achieve a higher level of multiplexing with exquisite sensitivity. Our patented FSP technology optimizes sensitivity and accuracy through its novel optical and electronic designs that utilize an innovative method of light detection and distribution. Our FSP platform includes instruments, reagents, software and services to provide a comprehensive and integrated suite of solutions for our customers. Since our first U.S. commercial launch in mid-2017, we have sold and deployed over 1,000 instruments—primarily comprised of our Aurora and Northern Lights systems—to over 840 customers around the world, including the largest pharmaceutical companies, over 150 biopharma companies, leading academic research centers, and clinical research organizations (“CROs”). In June 2021, we began shipping the Aurora cell sorter (“Aurora CS”), which uses our FSP technology to further broaden our potential applications across cell analysis.</w:t>
      </w:r>
    </w:p>
    <w:p>
      <w:pPr>
        <w:spacing w:after="0" w:line="156"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manufacture our instruments in our facilities in Fremont, California and in Wuxi, China. We have designed our operating model to be capital efficient and to scale efficiently as our product volumes grow.</w:t>
      </w:r>
    </w:p>
    <w:p>
      <w:pPr>
        <w:spacing w:after="0" w:line="130"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Our total revenue was $128.0 million and $92.8 million in the year ended December 31, 2021 and 2020, respectively. The increase was primarily due to sales of our Aurora, Aurora CS, and Northern Lights systems.</w:t>
      </w:r>
    </w:p>
    <w:p>
      <w:pPr>
        <w:spacing w:after="0" w:line="14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To date, we have adopted a direct sales model in North America, Europe and China, and sell our products through third-party distributors in certain countries in Europe, Latin America, the Middle East, Africa, and the Asia-Pacific region. Revenue from direct sales represented 86% and 83% of total revenue for the year ended December 31, 2021 and 2020, respectively, and revenue from distributors represented 14% and 17% of total revenue for the year ended December 31, 2021 and 2020, respectively.</w:t>
      </w:r>
    </w:p>
    <w:p>
      <w:pPr>
        <w:spacing w:after="0" w:line="147"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We focus a substantial portion of our resources on developing new products and solutions to meet our customers’ needs. Our research and development efforts focus on developing new and complementary instruments, reagents and reagent kits, and continued operating software development. We incurred research and development expenses of $24.4 million and $13.7 million for the year ended December 31, 2021 and 2020, respectively. We intend to continue to make significant investments in research and development in the future.</w:t>
      </w:r>
    </w:p>
    <w:p>
      <w:pPr>
        <w:spacing w:after="0" w:line="145"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We expect to continue to invest in our commercial infrastructure through hiring additional employees with strong scientific and technical backgrounds to support growth in sales of our Aurora, Northern Lights and Aurora CS systems, as well as our planned expansion of reagents offerings and panel design capabilities. We also plan to continue to invest in sales, marketing and business development across the globe to drive commercialization of our products. We incurred sales and marketing expenses of $24.7 million and $15.0 million for the year ended December 31, 2021 and 2020, respectively.</w:t>
      </w:r>
    </w:p>
    <w:p>
      <w:pPr>
        <w:spacing w:after="0" w:line="11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Since our inception in 2014, we have financed our operations primarily through sales of our securities and revenue from the sale of our products and services.</w:t>
      </w:r>
    </w:p>
    <w:p>
      <w:pPr>
        <w:spacing w:after="0" w:line="14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Our net income was $3.0 million and $19.4 million for the year ended December 31, 2021 and 2020, respectively. The change for the year ended December 31, 2021 compared to the year ended December 31, 2020 resulted primarily from expenses driven by an increase in headcount and salaries, expenses related to our IPO, and efforts in research and development and marketing initiatives. Net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7" w:name="page58"/>
    <w:bookmarkEnd w:id="57"/>
    <w:p>
      <w:pPr>
        <w:jc w:val="both"/>
        <w:spacing w:after="0" w:line="248" w:lineRule="auto"/>
        <w:rPr>
          <w:sz w:val="20"/>
          <w:szCs w:val="20"/>
          <w:color w:val="auto"/>
        </w:rPr>
      </w:pPr>
      <w:r>
        <w:rPr>
          <w:rFonts w:ascii="Arial" w:cs="Arial" w:eastAsia="Arial" w:hAnsi="Arial"/>
          <w:sz w:val="18"/>
          <w:szCs w:val="18"/>
          <w:color w:val="auto"/>
        </w:rPr>
        <w:t>income of $3.0 million as disclosed in this Annual Report on Form 10-K differs from net income of $4.4 million previously reported in our earnings press release issued on February 23, 2022 due to a $1.4 million tax adjustment made prior to the filing of this Form 10-K and omitted from the net income amount included in our earnings press release.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our expenses will increase substantially in connection with our on-going activities, as we:</w:t>
      </w:r>
    </w:p>
    <w:p>
      <w:pPr>
        <w:spacing w:after="0" w:line="104"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invest in processes, commercial infrastructure and supporting functions to scale our business and introduce new products and services;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support our research and development efforts;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continue to expand geographically;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protect and defend our intellectual property;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strategic investments in complementary businesses, services, products or technologies.</w:t>
      </w:r>
    </w:p>
    <w:p>
      <w:pPr>
        <w:spacing w:after="0" w:line="18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 xml:space="preserve">On November 2, 2021, we completed the acquisition of the reagents business of Tonbo Biotechnologies Corporation as detailed in Note 8, </w:t>
      </w:r>
      <w:r>
        <w:rPr>
          <w:rFonts w:ascii="Arial" w:cs="Arial" w:eastAsia="Arial" w:hAnsi="Arial"/>
          <w:sz w:val="18"/>
          <w:szCs w:val="18"/>
          <w:i w:val="1"/>
          <w:iCs w:val="1"/>
          <w:color w:val="auto"/>
        </w:rPr>
        <w:t xml:space="preserve">Acquisition, </w:t>
      </w:r>
      <w:r>
        <w:rPr>
          <w:rFonts w:ascii="Arial" w:cs="Arial" w:eastAsia="Arial" w:hAnsi="Arial"/>
          <w:sz w:val="18"/>
          <w:szCs w:val="18"/>
          <w:color w:val="auto"/>
        </w:rPr>
        <w:t>to consolidated financial statements included elsewhere in this Annual Report on Form 10-K. The acquired assets include a portfolio of life</w:t>
      </w:r>
      <w:r>
        <w:rPr>
          <w:rFonts w:ascii="Arial" w:cs="Arial" w:eastAsia="Arial" w:hAnsi="Arial"/>
          <w:sz w:val="18"/>
          <w:szCs w:val="18"/>
          <w:i w:val="1"/>
          <w:iCs w:val="1"/>
          <w:color w:val="auto"/>
        </w:rPr>
        <w:t xml:space="preserve"> </w:t>
      </w:r>
      <w:r>
        <w:rPr>
          <w:rFonts w:ascii="Arial" w:cs="Arial" w:eastAsia="Arial" w:hAnsi="Arial"/>
          <w:sz w:val="18"/>
          <w:szCs w:val="18"/>
          <w:color w:val="auto"/>
        </w:rPr>
        <w:t>science research reagents related to cell preparation, flow cytometry, molecular immunology/polymerase chain reaction and cell culture covering application areas across immunology, apoptosis and immunoprofiling.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 of operations and future performance</w:t>
      </w:r>
    </w:p>
    <w:p>
      <w:pPr>
        <w:spacing w:after="0" w:line="189"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We believe that our financial performance has been, and in the foreseeable future will continue to be, primarily driven by multiple factors as described below, each of which presents growth opportunities for our business. These factors also pose important challenges that we must successfully address to sustain our growth and improve our results of operations. Our ability to successfully address these challenges is subject to various risk and uncertainties, including those described under the heading “Risk Factors” included elsewhere in this Annual Report on Form 10-K.</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Global customer adoption</w:t>
      </w:r>
    </w:p>
    <w:p>
      <w:pPr>
        <w:spacing w:after="0" w:line="18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Our financial performance has largely been driven by our ability to increase the adoption of our FSP platform, a key factor on which our future success depends. We plan to drive global customer adoption through business development efforts, direct sales and marketing and third-party distributions. We are investing in our direct sales organization and commercial support functions and developing third-party distributor relationships to support global expansion and drive revenue growth. As part of this effort, we increased our direct sales force by 55% in the year ended December 31, 2021 compared to the year ended December 31, 2020. We intend to continue increasing our workforce in line with our growth.</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Recurring revenues</w:t>
      </w:r>
    </w:p>
    <w:p>
      <w:pPr>
        <w:spacing w:after="0" w:line="18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believe our expanding installed base of instruments to new and existing customers will provide us with greater leverage to drive pull-through for reagent and service revenue, which are recurring by nature. Furthermore, as we develop and identify new applications and products, we expect to further increase pull-through across our installed base. We expect recurring revenue on an absolute basis to increase and become an increasingly important contributor to our revenue as our installed base expands.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mix and gross margin</w:t>
      </w:r>
    </w:p>
    <w:p>
      <w:pPr>
        <w:spacing w:after="0" w:line="18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Our revenue is primarily derived from sales of our instruments and services with our instruments recognizing higher gross margins than our services. Although we expect sales of our instruments to continue to represent the largest percentage of our revenue in the future, we expect reagent sales to increase as a percentage of our total revenue and our gross margins to experience a corresponding improvement as we grow our installed base and increase our focus on commercializing reagents. We also expect a higher gross margin on our instruments as we increase manufacturing efficiency, instrument reliability and training for personnel using our instruments, which we expect to lead to a reduction in warranty claims. Our sales in certain regions, particularly outside of the United States, are realized through third-party distribution partners that typically receive discounted prices, thus resulting in lower gross margins than those recognized by our direct sales organization. Furthermore, our gross margins and instrument selling prices may fluctuate in the future as we continue to grow our volume of third-party distribution partners in geographies outside of the United States, introduce new products and reduce our production costs as a result of variability in the timing of new product introductions.</w:t>
      </w:r>
    </w:p>
    <w:p>
      <w:pPr>
        <w:spacing w:after="0" w:line="143"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In the near term, we expect the continued optimization of our manufacturing processes related to our instruments and the expansion of product manufacturing distribution facilities to have the greatest impact on our gross margin. In addition to the impact of competing</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8" w:name="page59"/>
    <w:bookmarkEnd w:id="58"/>
    <w:p>
      <w:pPr>
        <w:jc w:val="both"/>
        <w:spacing w:after="0" w:line="261" w:lineRule="auto"/>
        <w:rPr>
          <w:sz w:val="20"/>
          <w:szCs w:val="20"/>
          <w:color w:val="auto"/>
        </w:rPr>
      </w:pPr>
      <w:r>
        <w:rPr>
          <w:rFonts w:ascii="Arial" w:cs="Arial" w:eastAsia="Arial" w:hAnsi="Arial"/>
          <w:sz w:val="18"/>
          <w:szCs w:val="18"/>
          <w:color w:val="auto"/>
        </w:rPr>
        <w:t>products entering the market, the future gross margin profiles of our instruments, services and reagents will depend on the outcome of any royalties we are required to pay and the royalty rates and products to which such royalties apply.</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Expansion into new markets</w:t>
      </w:r>
    </w:p>
    <w:p>
      <w:pPr>
        <w:spacing w:after="0" w:line="17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We focus our research and development efforts on the greatest value-additive FSP products to meet the growing and unmet needs of the research and clinical markets. We work closely with researchers and clinicians to optimize and implement new panels and applications to meet their specific needs. We also gain valuable insight on potential new products, new applications and enhancements to existing products, as well as biomarker combinations that would be beneficial in different fields, through collaborations with our customers, academic laboratories, KOLs and industry partners. We plan to continue to invest in new product development and enhancements to support our expansion into new markets.</w:t>
      </w:r>
    </w:p>
    <w:p>
      <w:pPr>
        <w:spacing w:after="0" w:line="14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Our Northern Lights system obtained clinical certification in China in 2019 and received CE Marking under the European Union In Vitro Diagnostic Medical Devices Directive in September 2020. With these achievements, our Northern Lights system is available for clinical diagnostic use in hospitals, laboratories, and clinics in China and the European Union.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8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regularly review the following key business metrics to evaluate our business, measure our performance, identify trends affecting our business, formulate financial projections and make strategic decisions. We believe that the following metrics are representative of our current business; however, we anticipate these will change or may be substituted for additional or different metrics as our business grows.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Dollar Change</w:t>
            </w:r>
          </w:p>
        </w:tc>
        <w:tc>
          <w:tcPr>
            <w:tcW w:w="0" w:type="dxa"/>
            <w:vAlign w:val="bottom"/>
          </w:tcPr>
          <w:p>
            <w:pPr>
              <w:spacing w:after="0"/>
              <w:rPr>
                <w:sz w:val="1"/>
                <w:szCs w:val="1"/>
                <w:color w:val="auto"/>
              </w:rPr>
            </w:pPr>
          </w:p>
        </w:tc>
      </w:tr>
      <w:tr>
        <w:trPr>
          <w:trHeight w:val="169"/>
        </w:trPr>
        <w:tc>
          <w:tcPr>
            <w:tcW w:w="65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4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Sales channel mix</w:t>
            </w:r>
          </w:p>
        </w:tc>
        <w:tc>
          <w:tcPr>
            <w:tcW w:w="16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Direct sales channel</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110,520</w:t>
            </w:r>
          </w:p>
        </w:tc>
        <w:tc>
          <w:tcPr>
            <w:tcW w:w="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77,106</w:t>
            </w: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33,414</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FF0FC"/>
            </w:tcBorders>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Distributor channel</w:t>
            </w:r>
          </w:p>
        </w:tc>
        <w:tc>
          <w:tcPr>
            <w:tcW w:w="3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17,430</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15,733</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196"/>
        </w:trPr>
        <w:tc>
          <w:tcPr>
            <w:tcW w:w="65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revenue, net</w:t>
            </w:r>
          </w:p>
        </w:tc>
        <w:tc>
          <w:tcPr>
            <w:tcW w:w="34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127,950</w:t>
            </w:r>
          </w:p>
        </w:tc>
        <w:tc>
          <w:tcPr>
            <w:tcW w:w="4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92,839</w:t>
            </w:r>
          </w:p>
        </w:tc>
        <w:tc>
          <w:tcPr>
            <w:tcW w:w="3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35,111</w:t>
            </w:r>
          </w:p>
        </w:tc>
        <w:tc>
          <w:tcPr>
            <w:tcW w:w="0" w:type="dxa"/>
            <w:vAlign w:val="bottom"/>
          </w:tcPr>
          <w:p>
            <w:pPr>
              <w:spacing w:after="0"/>
              <w:rPr>
                <w:sz w:val="1"/>
                <w:szCs w:val="1"/>
                <w:color w:val="auto"/>
              </w:rPr>
            </w:pPr>
          </w:p>
        </w:tc>
      </w:tr>
      <w:tr>
        <w:trPr>
          <w:trHeight w:val="20"/>
        </w:trPr>
        <w:tc>
          <w:tcPr>
            <w:tcW w:w="656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6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Customer mix</w:t>
            </w: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Academia and government</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59,415</w:t>
            </w:r>
          </w:p>
        </w:tc>
        <w:tc>
          <w:tcPr>
            <w:tcW w:w="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45,674</w:t>
            </w: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13,741</w:t>
            </w:r>
          </w:p>
        </w:tc>
        <w:tc>
          <w:tcPr>
            <w:tcW w:w="0" w:type="dxa"/>
            <w:vAlign w:val="bottom"/>
          </w:tcPr>
          <w:p>
            <w:pPr>
              <w:spacing w:after="0"/>
              <w:rPr>
                <w:sz w:val="1"/>
                <w:szCs w:val="1"/>
                <w:color w:val="auto"/>
              </w:rPr>
            </w:pPr>
          </w:p>
        </w:tc>
      </w:tr>
      <w:tr>
        <w:trPr>
          <w:trHeight w:val="162"/>
        </w:trPr>
        <w:tc>
          <w:tcPr>
            <w:tcW w:w="6560" w:type="dxa"/>
            <w:vAlign w:val="bottom"/>
            <w:gridSpan w:val="2"/>
            <w:shd w:val="clear" w:color="auto" w:fill="CFF0FC"/>
          </w:tcPr>
          <w:p>
            <w:pPr>
              <w:ind w:left="240"/>
              <w:spacing w:after="0" w:line="162" w:lineRule="exact"/>
              <w:rPr>
                <w:sz w:val="20"/>
                <w:szCs w:val="20"/>
                <w:color w:val="auto"/>
              </w:rPr>
            </w:pPr>
            <w:r>
              <w:rPr>
                <w:rFonts w:ascii="Arial" w:cs="Arial" w:eastAsia="Arial" w:hAnsi="Arial"/>
                <w:sz w:val="18"/>
                <w:szCs w:val="18"/>
                <w:color w:val="auto"/>
              </w:rPr>
              <w:t>Biotechnology, pharmaceutical, distributor and</w:t>
            </w:r>
          </w:p>
        </w:tc>
        <w:tc>
          <w:tcPr>
            <w:tcW w:w="340" w:type="dxa"/>
            <w:vAlign w:val="bottom"/>
            <w:shd w:val="clear" w:color="auto" w:fill="CFF0FC"/>
          </w:tcPr>
          <w:p>
            <w:pPr>
              <w:spacing w:after="0"/>
              <w:rPr>
                <w:sz w:val="14"/>
                <w:szCs w:val="14"/>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68,535</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47,165</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21,370</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FF0FC"/>
            </w:tcBorders>
            <w:gridSpan w:val="2"/>
            <w:shd w:val="clear" w:color="auto" w:fill="CFF0FC"/>
          </w:tcPr>
          <w:p>
            <w:pPr>
              <w:ind w:left="340"/>
              <w:spacing w:after="0" w:line="202" w:lineRule="exact"/>
              <w:rPr>
                <w:sz w:val="20"/>
                <w:szCs w:val="20"/>
                <w:color w:val="auto"/>
              </w:rPr>
            </w:pPr>
            <w:r>
              <w:rPr>
                <w:rFonts w:ascii="Arial" w:cs="Arial" w:eastAsia="Arial" w:hAnsi="Arial"/>
                <w:sz w:val="18"/>
                <w:szCs w:val="18"/>
                <w:color w:val="auto"/>
              </w:rPr>
              <w:t>CRO</w:t>
            </w:r>
          </w:p>
        </w:tc>
        <w:tc>
          <w:tcPr>
            <w:tcW w:w="3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revenue, net</w:t>
            </w:r>
          </w:p>
        </w:tc>
        <w:tc>
          <w:tcPr>
            <w:tcW w:w="34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127,950</w:t>
            </w:r>
          </w:p>
        </w:tc>
        <w:tc>
          <w:tcPr>
            <w:tcW w:w="4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92,839</w:t>
            </w:r>
          </w:p>
        </w:tc>
        <w:tc>
          <w:tcPr>
            <w:tcW w:w="3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35,111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-810895</wp:posOffset>
            </wp:positionV>
            <wp:extent cx="10287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-810895</wp:posOffset>
            </wp:positionV>
            <wp:extent cx="10287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-159385</wp:posOffset>
            </wp:positionV>
            <wp:extent cx="10287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-159385</wp:posOffset>
            </wp:positionV>
            <wp:extent cx="10287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Distributors typically sell to end customers identified in other customer categories.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sets forth our cumulative instruments shipped as of the dates presented:</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6020" w:type="dxa"/>
            <w:vAlign w:val="bottom"/>
          </w:tcPr>
          <w:p>
            <w:pPr>
              <w:spacing w:after="0"/>
              <w:rPr>
                <w:sz w:val="16"/>
                <w:szCs w:val="16"/>
                <w:color w:val="auto"/>
              </w:rPr>
            </w:pPr>
          </w:p>
        </w:tc>
        <w:tc>
          <w:tcPr>
            <w:tcW w:w="1340" w:type="dxa"/>
            <w:vAlign w:val="bottom"/>
            <w:gridSpan w:val="2"/>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32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28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28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2021</w:t>
            </w:r>
          </w:p>
        </w:tc>
      </w:tr>
      <w:tr>
        <w:trPr>
          <w:trHeight w:val="196"/>
        </w:trPr>
        <w:tc>
          <w:tcPr>
            <w:tcW w:w="60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Instruments shipped</w:t>
            </w:r>
          </w:p>
        </w:tc>
        <w:tc>
          <w:tcPr>
            <w:tcW w:w="16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751</w:t>
            </w:r>
          </w:p>
        </w:tc>
        <w:tc>
          <w:tcPr>
            <w:tcW w:w="16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855</w:t>
            </w:r>
          </w:p>
        </w:tc>
        <w:tc>
          <w:tcPr>
            <w:tcW w:w="14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970</w:t>
            </w:r>
          </w:p>
        </w:tc>
        <w:tc>
          <w:tcPr>
            <w:tcW w:w="14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1,110</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08"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The global COVID-19 pandemic continues to evolve and we intend to continue to monitor it closely. In response to the COVID-19 pandemic and various resulting government directives, we took proactive measures to protect the health and safety of our employees, contractors, customers and visiting vendors and suppliers, including implementing social distancing and other protective measures, restricting business travel and limiting access to our facilities to vendors, suppliers and partners who are critical to our business operations. We communicate regularly with our suppliers so that our supply chain remains intact, and we have not experienced any material supply issues. We also developed, and continue to develop, remote learning capabilities to help our customers and partners operate and reduce the number of required customer/partner on-site visits for our field application scientists and field support engineers to comply with travel restrictions and country-specific quarantine requirements. While the COVID-19 pandemic has not had a material adverse effect on our business, results of operations or the operation of financial reporting systems, internal control over financial reporting and disclosure controls and procedures, given the considerable uncertainty around the duration and extent of the pandemic, the related financial and operational impact cannot be reasonably estimated. We continue to monitor the implications of the COVID-19 pandemic on our business, as well as our customers’ and suppliers’ business. Potential impacts of the COVID-19 pandemic, some of which we have already experienced, include those described throughout the “Risk Factors” section, including “A pandemic, epidemic</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9" w:name="page60"/>
    <w:bookmarkEnd w:id="59"/>
    <w:p>
      <w:pPr>
        <w:jc w:val="both"/>
        <w:spacing w:after="0" w:line="324" w:lineRule="auto"/>
        <w:rPr>
          <w:sz w:val="20"/>
          <w:szCs w:val="20"/>
          <w:color w:val="auto"/>
        </w:rPr>
      </w:pPr>
      <w:r>
        <w:rPr>
          <w:rFonts w:ascii="Arial" w:cs="Arial" w:eastAsia="Arial" w:hAnsi="Arial"/>
          <w:sz w:val="16"/>
          <w:szCs w:val="16"/>
          <w:color w:val="auto"/>
        </w:rPr>
        <w:t>or outbreak of an infectious disease in the United States or worldwide could adversely affect our business. The COVID-19 pandemic has had and could continue to have an adverse impact on our business, operations, and the markets and communities in which we, our partners, and customers operate.”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Total revenue, net</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currently generate our total revenue, net from product revenue and service revenue.</w:t>
      </w:r>
    </w:p>
    <w:p>
      <w:pPr>
        <w:spacing w:after="0" w:line="171"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i w:val="1"/>
          <w:iCs w:val="1"/>
          <w:color w:val="auto"/>
        </w:rPr>
        <w:t>Product</w:t>
      </w:r>
      <w:r>
        <w:rPr>
          <w:rFonts w:ascii="Arial" w:cs="Arial" w:eastAsia="Arial" w:hAnsi="Arial"/>
          <w:sz w:val="16"/>
          <w:szCs w:val="16"/>
          <w:color w:val="auto"/>
        </w:rPr>
        <w:t>. Our product revenue primarily consists of sales of our instruments, including the Aurora, Northern Lights and Aurora CS systems,</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 accessories, such as loaders and, to a lesser extent, consumables, such as reagents. We offer multiple versions of our Aurora and Northern Lights systems with different price points based on the number of lasers integrated in the systems. We also derive revenue from sales of our conventional flow cytometry system, which is available for sale in China. We recognize product revenue when control of the instrument is transferred to the customer.</w:t>
      </w:r>
    </w:p>
    <w:p>
      <w:pPr>
        <w:spacing w:after="0" w:line="12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i w:val="1"/>
          <w:iCs w:val="1"/>
          <w:color w:val="auto"/>
        </w:rPr>
        <w:t>Service</w:t>
      </w:r>
      <w:r>
        <w:rPr>
          <w:rFonts w:ascii="Arial" w:cs="Arial" w:eastAsia="Arial" w:hAnsi="Arial"/>
          <w:sz w:val="18"/>
          <w:szCs w:val="18"/>
          <w:color w:val="auto"/>
        </w:rPr>
        <w:t>. Our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w:t>
      </w:r>
    </w:p>
    <w:p>
      <w:pPr>
        <w:spacing w:after="0" w:line="14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expect our revenue to increase in absolute dollars as we expand our sales organization and sales territories, broaden our customer base, and expand awareness of our products with new and existing customers. Our revenue was $128.0 million and $92.8 million for the year ended December 31, 2021 and 2020, respectively.</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Total cost of sales, gross profit and gross margin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total cost of sales is comprised of product cost of sales and service cost of sales.</w:t>
      </w:r>
    </w:p>
    <w:p>
      <w:pPr>
        <w:spacing w:after="0" w:line="18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i w:val="1"/>
          <w:iCs w:val="1"/>
          <w:color w:val="auto"/>
        </w:rPr>
        <w:t xml:space="preserve">Product. </w:t>
      </w:r>
      <w:r>
        <w:rPr>
          <w:rFonts w:ascii="Arial" w:cs="Arial" w:eastAsia="Arial" w:hAnsi="Arial"/>
          <w:sz w:val="18"/>
          <w:szCs w:val="18"/>
          <w:color w:val="auto"/>
        </w:rPr>
        <w:t>Cost of sales associated with our products primarily consist of manufacturing-related costs incurred in the production process, inventory</w:t>
      </w:r>
      <w:r>
        <w:rPr>
          <w:rFonts w:ascii="Arial" w:cs="Arial" w:eastAsia="Arial" w:hAnsi="Arial"/>
          <w:sz w:val="18"/>
          <w:szCs w:val="18"/>
          <w:i w:val="1"/>
          <w:iCs w:val="1"/>
          <w:color w:val="auto"/>
        </w:rPr>
        <w:t xml:space="preserve"> </w:t>
      </w:r>
      <w:r>
        <w:rPr>
          <w:rFonts w:ascii="Arial" w:cs="Arial" w:eastAsia="Arial" w:hAnsi="Arial"/>
          <w:sz w:val="18"/>
          <w:szCs w:val="18"/>
          <w:color w:val="auto"/>
        </w:rPr>
        <w:t>write-downs, warranty costs, third party royalty costs, personnel and related costs, costs of component materials, overhead, packaging and delivery and depreciation expense.</w:t>
      </w:r>
    </w:p>
    <w:p>
      <w:pPr>
        <w:spacing w:after="0" w:line="14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i w:val="1"/>
          <w:iCs w:val="1"/>
          <w:color w:val="auto"/>
        </w:rPr>
        <w:t>Service</w:t>
      </w:r>
      <w:r>
        <w:rPr>
          <w:rFonts w:ascii="Arial" w:cs="Arial" w:eastAsia="Arial" w:hAnsi="Arial"/>
          <w:sz w:val="18"/>
          <w:szCs w:val="18"/>
          <w:color w:val="auto"/>
        </w:rPr>
        <w:t>. Cost of sales associated with our services primarily consists of personnel and related costs, expenses related to product replacements,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updates and qualification validation of our products and depreciation expense.</w:t>
      </w:r>
    </w:p>
    <w:p>
      <w:pPr>
        <w:spacing w:after="0" w:line="14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expect our total cost of sales to increase in absolute dollars in future periods, corresponding to our anticipated growth in revenue and employee headcount to support our manufacturing, operations, field service team and support organizations.</w:t>
      </w:r>
    </w:p>
    <w:p>
      <w:pPr>
        <w:spacing w:after="0" w:line="130"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Gross profit is calculated as revenue less total cost of sales. Gross margin is gross profit expressed as a percentage of revenue. Our gross profit in future periods will depend on a variety of factors, including market conditions that may impact our pricing, sales mix changes among our instruments and service agreements, product mix changes between established products and new products, excess and obsolete inventories, our cost structure for manufacturing operations relative to volume and product warranty obligations.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Our operating expenses are primarily comprised of research and development, sales and marketing, and general and administrative expenses, depreciation and amortization, and related overhead.</w:t>
      </w:r>
    </w:p>
    <w:p>
      <w:pPr>
        <w:spacing w:after="0" w:line="144"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Our research and development expenses primarily consist of salaries, benefits, stock-based compensation costs for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in our research and development department, independent contractor costs, laboratory supplies, equipment maintenance and materials expenses.</w:t>
      </w:r>
    </w:p>
    <w:p>
      <w:pPr>
        <w:spacing w:after="0" w:line="1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plan to continue to invest in our research and development efforts, including hiring additional employees to enhance existing products and develop new products. We expect research and development expense will increase in absolute dollars in future periods and vary from period to period as a percentage of revenue due to our continuing investment in product development.</w:t>
      </w:r>
    </w:p>
    <w:p>
      <w:pPr>
        <w:spacing w:after="0" w:line="7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Our sales and marketing expenses consist primarily of salaries, benefits, and stock-based compensation costs for employees in</w:t>
      </w:r>
      <w:r>
        <w:rPr>
          <w:rFonts w:ascii="Arial" w:cs="Arial" w:eastAsia="Arial" w:hAnsi="Arial"/>
          <w:sz w:val="18"/>
          <w:szCs w:val="18"/>
          <w:i w:val="1"/>
          <w:iCs w:val="1"/>
          <w:color w:val="auto"/>
        </w:rPr>
        <w:t xml:space="preserve"> </w:t>
      </w:r>
      <w:r>
        <w:rPr>
          <w:rFonts w:ascii="Arial" w:cs="Arial" w:eastAsia="Arial" w:hAnsi="Arial"/>
          <w:sz w:val="18"/>
          <w:szCs w:val="18"/>
          <w:color w:val="auto"/>
        </w:rPr>
        <w:t>our sales and marketing department, sales commissions, marketing material costs, travel expenses and costs related to trade shows, trainings and various workshops. We expect our sales and marketing expense to increase in absolute dollars as we expand our commercial sales, marketing, and business development teams, increase our presence globally and increase marketing activities to drive awareness and adoption of our platform. While these expenses may vary from period to period as a percentage of revenue, we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0" w:name="page61"/>
    <w:bookmarkEnd w:id="60"/>
    <w:p>
      <w:pPr>
        <w:jc w:val="both"/>
        <w:spacing w:after="0" w:line="261" w:lineRule="auto"/>
        <w:rPr>
          <w:sz w:val="20"/>
          <w:szCs w:val="20"/>
          <w:color w:val="auto"/>
        </w:rPr>
      </w:pPr>
      <w:r>
        <w:rPr>
          <w:rFonts w:ascii="Arial" w:cs="Arial" w:eastAsia="Arial" w:hAnsi="Arial"/>
          <w:sz w:val="18"/>
          <w:szCs w:val="18"/>
          <w:color w:val="auto"/>
        </w:rPr>
        <w:t>expect these expenses to increase as a percentage of sales in the short-term as we continue to grow our commercial organization to support anticipated growth of the business.</w:t>
      </w:r>
    </w:p>
    <w:p>
      <w:pPr>
        <w:spacing w:after="0" w:line="63"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Our general and administrative expenses primarily consist of salaries, benefits, and stock-based compensation costs for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in our executive, accounting and finance, legal and human resource functions, as well as professional services fees, such as consulting, audit, tax, legal, general corporate costs and allocated overhead expenses. We expect our operating expenses to increase as a public company. In particular, we expect our accounting, legal, personnel-related expenses and directors’ and officers’ insurance costs reported within general and administrative expense to increase as we establish more comprehensive compliance and governance functions, maintain IT costs, review internal controls over financial reporting in accordance with the Sarbanes-Oxley Act and prepare and distribute periodic reports as required by the rules and regulations of the SEC. As a result, our historical results of operations may not be indicative of our results of operations in future periods.</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these expenses to vary from period to period as a percentage of revenue.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8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consists primarily of accretion of the present value of the litigation settlement liability. See Note 10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included elsewhere in this Annual Report on Form 10-K for further details regarding the settlement.</w:t>
      </w:r>
    </w:p>
    <w:p>
      <w:pPr>
        <w:spacing w:after="0" w:line="63"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Our interest income consists primarily of interest earned on our cash and cash equivalents which are invested in cash deposits and</w:t>
      </w:r>
      <w:r>
        <w:rPr>
          <w:rFonts w:ascii="Arial" w:cs="Arial" w:eastAsia="Arial" w:hAnsi="Arial"/>
          <w:sz w:val="18"/>
          <w:szCs w:val="18"/>
          <w:i w:val="1"/>
          <w:iCs w:val="1"/>
          <w:color w:val="auto"/>
        </w:rPr>
        <w:t xml:space="preserve"> </w:t>
      </w:r>
      <w:r>
        <w:rPr>
          <w:rFonts w:ascii="Arial" w:cs="Arial" w:eastAsia="Arial" w:hAnsi="Arial"/>
          <w:sz w:val="18"/>
          <w:szCs w:val="18"/>
          <w:color w:val="auto"/>
        </w:rPr>
        <w:t>in money market funds.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Our other income (expense), net consists primarily of foreign exchange gains and losses.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Our provision for (benefit from) income taxes consists primarily of provision for federal taxes, local taxes and state minimum taxes in the United States as well as foreign taxes. As we plan to expand the scale and scope of our international business activities, any changes in the United States and foreign taxation of such activities may increase our overall provision for income taxes in the future.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year ended December 31, 2021 and 2020</w:t>
      </w:r>
    </w:p>
    <w:p>
      <w:pPr>
        <w:spacing w:after="0" w:line="17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results of operations presented below should be reviewed in conjunction with the consolidated financial statements and related notes included elsewhere in this Annual Report on Form 10-K.</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consolidated results of operations and comprehensive income data for the periods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0"/>
              </w:rPr>
              <w:t>Year ended 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6"/>
        </w:trPr>
        <w:tc>
          <w:tcPr>
            <w:tcW w:w="576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 net:</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w w:val="86"/>
              </w:rPr>
              <w:t>119,519</w:t>
            </w:r>
          </w:p>
        </w:tc>
        <w:tc>
          <w:tcPr>
            <w:tcW w:w="80" w:type="dxa"/>
            <w:vAlign w:val="bottom"/>
          </w:tcPr>
          <w:p>
            <w:pPr>
              <w:spacing w:after="0"/>
              <w:rPr>
                <w:sz w:val="17"/>
                <w:szCs w:val="17"/>
                <w:color w:val="auto"/>
              </w:rPr>
            </w:pPr>
          </w:p>
        </w:tc>
        <w:tc>
          <w:tcPr>
            <w:tcW w:w="3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85,283</w:t>
            </w:r>
          </w:p>
        </w:tc>
        <w:tc>
          <w:tcPr>
            <w:tcW w:w="0" w:type="dxa"/>
            <w:vAlign w:val="bottom"/>
          </w:tcPr>
          <w:p>
            <w:pPr>
              <w:spacing w:after="0"/>
              <w:rPr>
                <w:sz w:val="1"/>
                <w:szCs w:val="1"/>
                <w:color w:val="auto"/>
              </w:rPr>
            </w:pPr>
          </w:p>
        </w:tc>
      </w:tr>
      <w:tr>
        <w:trPr>
          <w:trHeight w:val="203"/>
        </w:trPr>
        <w:tc>
          <w:tcPr>
            <w:tcW w:w="5760" w:type="dxa"/>
            <w:vAlign w:val="bottom"/>
            <w:tcBorders>
              <w:bottom w:val="single" w:sz="8" w:color="CFF0FC"/>
            </w:tcBorders>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Service</w:t>
            </w:r>
          </w:p>
        </w:tc>
        <w:tc>
          <w:tcPr>
            <w:tcW w:w="2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8,431</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7,556</w:t>
            </w:r>
          </w:p>
        </w:tc>
        <w:tc>
          <w:tcPr>
            <w:tcW w:w="0" w:type="dxa"/>
            <w:vAlign w:val="bottom"/>
          </w:tcPr>
          <w:p>
            <w:pPr>
              <w:spacing w:after="0"/>
              <w:rPr>
                <w:sz w:val="1"/>
                <w:szCs w:val="1"/>
                <w:color w:val="auto"/>
              </w:rPr>
            </w:pPr>
          </w:p>
        </w:tc>
      </w:tr>
      <w:tr>
        <w:trPr>
          <w:trHeight w:val="196"/>
        </w:trPr>
        <w:tc>
          <w:tcPr>
            <w:tcW w:w="576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Total revenue, net</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w w:val="86"/>
              </w:rPr>
              <w:t>127,950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92,839</w:t>
            </w:r>
          </w:p>
        </w:tc>
        <w:tc>
          <w:tcPr>
            <w:tcW w:w="0" w:type="dxa"/>
            <w:vAlign w:val="bottom"/>
          </w:tcPr>
          <w:p>
            <w:pPr>
              <w:spacing w:after="0"/>
              <w:rPr>
                <w:sz w:val="1"/>
                <w:szCs w:val="1"/>
                <w:color w:val="auto"/>
              </w:rPr>
            </w:pPr>
          </w:p>
        </w:tc>
      </w:tr>
      <w:tr>
        <w:trPr>
          <w:trHeight w:val="196"/>
        </w:trPr>
        <w:tc>
          <w:tcPr>
            <w:tcW w:w="576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Cost of sales:</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37,377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32,277</w:t>
            </w:r>
          </w:p>
        </w:tc>
        <w:tc>
          <w:tcPr>
            <w:tcW w:w="0" w:type="dxa"/>
            <w:vAlign w:val="bottom"/>
          </w:tcPr>
          <w:p>
            <w:pPr>
              <w:spacing w:after="0"/>
              <w:rPr>
                <w:sz w:val="1"/>
                <w:szCs w:val="1"/>
                <w:color w:val="auto"/>
              </w:rPr>
            </w:pPr>
          </w:p>
        </w:tc>
      </w:tr>
      <w:tr>
        <w:trPr>
          <w:trHeight w:val="203"/>
        </w:trPr>
        <w:tc>
          <w:tcPr>
            <w:tcW w:w="5760" w:type="dxa"/>
            <w:vAlign w:val="bottom"/>
            <w:tcBorders>
              <w:bottom w:val="single" w:sz="8" w:color="CFF0FC"/>
            </w:tcBorders>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Service</w:t>
            </w:r>
          </w:p>
        </w:tc>
        <w:tc>
          <w:tcPr>
            <w:tcW w:w="2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11,429</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8,852</w:t>
            </w:r>
          </w:p>
        </w:tc>
        <w:tc>
          <w:tcPr>
            <w:tcW w:w="0" w:type="dxa"/>
            <w:vAlign w:val="bottom"/>
          </w:tcPr>
          <w:p>
            <w:pPr>
              <w:spacing w:after="0"/>
              <w:rPr>
                <w:sz w:val="1"/>
                <w:szCs w:val="1"/>
                <w:color w:val="auto"/>
              </w:rPr>
            </w:pPr>
          </w:p>
        </w:tc>
      </w:tr>
      <w:tr>
        <w:trPr>
          <w:trHeight w:val="196"/>
        </w:trPr>
        <w:tc>
          <w:tcPr>
            <w:tcW w:w="576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Total cost of sales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48,806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41,129</w:t>
            </w:r>
          </w:p>
        </w:tc>
        <w:tc>
          <w:tcPr>
            <w:tcW w:w="0" w:type="dxa"/>
            <w:vAlign w:val="bottom"/>
          </w:tcPr>
          <w:p>
            <w:pPr>
              <w:spacing w:after="0"/>
              <w:rPr>
                <w:sz w:val="1"/>
                <w:szCs w:val="1"/>
                <w:color w:val="auto"/>
              </w:rPr>
            </w:pPr>
          </w:p>
        </w:tc>
      </w:tr>
      <w:tr>
        <w:trPr>
          <w:trHeight w:val="196"/>
        </w:trPr>
        <w:tc>
          <w:tcPr>
            <w:tcW w:w="5760" w:type="dxa"/>
            <w:vAlign w:val="bottom"/>
            <w:gridSpan w:val="2"/>
            <w:shd w:val="clear" w:color="auto" w:fill="CFF0FC"/>
          </w:tcPr>
          <w:p>
            <w:pPr>
              <w:ind w:left="300"/>
              <w:spacing w:after="0" w:line="196" w:lineRule="exact"/>
              <w:rPr>
                <w:sz w:val="20"/>
                <w:szCs w:val="20"/>
                <w:color w:val="auto"/>
              </w:rPr>
            </w:pPr>
            <w:r>
              <w:rPr>
                <w:rFonts w:ascii="Arial" w:cs="Arial" w:eastAsia="Arial" w:hAnsi="Arial"/>
                <w:sz w:val="18"/>
                <w:szCs w:val="18"/>
                <w:color w:val="auto"/>
              </w:rPr>
              <w:t>Gross profit</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79,144</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51,710</w:t>
            </w:r>
          </w:p>
        </w:tc>
        <w:tc>
          <w:tcPr>
            <w:tcW w:w="0" w:type="dxa"/>
            <w:vAlign w:val="bottom"/>
          </w:tcPr>
          <w:p>
            <w:pPr>
              <w:spacing w:after="0"/>
              <w:rPr>
                <w:sz w:val="1"/>
                <w:szCs w:val="1"/>
                <w:color w:val="auto"/>
              </w:rPr>
            </w:pPr>
          </w:p>
        </w:tc>
      </w:tr>
      <w:tr>
        <w:trPr>
          <w:trHeight w:val="203"/>
        </w:trPr>
        <w:tc>
          <w:tcPr>
            <w:tcW w:w="57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24,442</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13,693</w:t>
            </w:r>
          </w:p>
        </w:tc>
        <w:tc>
          <w:tcPr>
            <w:tcW w:w="0" w:type="dxa"/>
            <w:vAlign w:val="bottom"/>
          </w:tcPr>
          <w:p>
            <w:pPr>
              <w:spacing w:after="0"/>
              <w:rPr>
                <w:sz w:val="1"/>
                <w:szCs w:val="1"/>
                <w:color w:val="auto"/>
              </w:rPr>
            </w:pPr>
          </w:p>
        </w:tc>
      </w:tr>
      <w:tr>
        <w:trPr>
          <w:trHeight w:val="203"/>
        </w:trPr>
        <w:tc>
          <w:tcPr>
            <w:tcW w:w="57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24,710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14,988</w:t>
            </w:r>
          </w:p>
        </w:tc>
        <w:tc>
          <w:tcPr>
            <w:tcW w:w="0" w:type="dxa"/>
            <w:vAlign w:val="bottom"/>
          </w:tcPr>
          <w:p>
            <w:pPr>
              <w:spacing w:after="0"/>
              <w:rPr>
                <w:sz w:val="1"/>
                <w:szCs w:val="1"/>
                <w:color w:val="auto"/>
              </w:rPr>
            </w:pPr>
          </w:p>
        </w:tc>
      </w:tr>
      <w:tr>
        <w:trPr>
          <w:trHeight w:val="203"/>
        </w:trPr>
        <w:tc>
          <w:tcPr>
            <w:tcW w:w="5760" w:type="dxa"/>
            <w:vAlign w:val="bottom"/>
            <w:tcBorders>
              <w:bottom w:val="single" w:sz="8" w:color="CFF0FC"/>
            </w:tcBorders>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20,835</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9,370</w:t>
            </w:r>
          </w:p>
        </w:tc>
        <w:tc>
          <w:tcPr>
            <w:tcW w:w="0" w:type="dxa"/>
            <w:vAlign w:val="bottom"/>
          </w:tcPr>
          <w:p>
            <w:pPr>
              <w:spacing w:after="0"/>
              <w:rPr>
                <w:sz w:val="1"/>
                <w:szCs w:val="1"/>
                <w:color w:val="auto"/>
              </w:rPr>
            </w:pPr>
          </w:p>
        </w:tc>
      </w:tr>
      <w:tr>
        <w:trPr>
          <w:trHeight w:val="196"/>
        </w:trPr>
        <w:tc>
          <w:tcPr>
            <w:tcW w:w="576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69,987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38,051</w:t>
            </w:r>
          </w:p>
        </w:tc>
        <w:tc>
          <w:tcPr>
            <w:tcW w:w="0" w:type="dxa"/>
            <w:vAlign w:val="bottom"/>
          </w:tcPr>
          <w:p>
            <w:pPr>
              <w:spacing w:after="0"/>
              <w:rPr>
                <w:sz w:val="1"/>
                <w:szCs w:val="1"/>
                <w:color w:val="auto"/>
              </w:rPr>
            </w:pPr>
          </w:p>
        </w:tc>
      </w:tr>
      <w:tr>
        <w:trPr>
          <w:trHeight w:val="196"/>
        </w:trPr>
        <w:tc>
          <w:tcPr>
            <w:tcW w:w="5760" w:type="dxa"/>
            <w:vAlign w:val="bottom"/>
            <w:gridSpan w:val="2"/>
            <w:shd w:val="clear" w:color="auto" w:fill="CFF0FC"/>
          </w:tcPr>
          <w:p>
            <w:pPr>
              <w:ind w:left="300"/>
              <w:spacing w:after="0" w:line="196" w:lineRule="exact"/>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9,157</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13,659</w:t>
            </w:r>
          </w:p>
        </w:tc>
        <w:tc>
          <w:tcPr>
            <w:tcW w:w="0" w:type="dxa"/>
            <w:vAlign w:val="bottom"/>
          </w:tcPr>
          <w:p>
            <w:pPr>
              <w:spacing w:after="0"/>
              <w:rPr>
                <w:sz w:val="1"/>
                <w:szCs w:val="1"/>
                <w:color w:val="auto"/>
              </w:rPr>
            </w:pPr>
          </w:p>
        </w:tc>
      </w:tr>
      <w:tr>
        <w:trPr>
          <w:trHeight w:val="203"/>
        </w:trPr>
        <w:tc>
          <w:tcPr>
            <w:tcW w:w="57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(1,741 )</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(333 )</w:t>
            </w:r>
          </w:p>
        </w:tc>
        <w:tc>
          <w:tcPr>
            <w:tcW w:w="0" w:type="dxa"/>
            <w:vAlign w:val="bottom"/>
          </w:tcPr>
          <w:p>
            <w:pPr>
              <w:spacing w:after="0"/>
              <w:rPr>
                <w:sz w:val="1"/>
                <w:szCs w:val="1"/>
                <w:color w:val="auto"/>
              </w:rPr>
            </w:pPr>
          </w:p>
        </w:tc>
      </w:tr>
      <w:tr>
        <w:trPr>
          <w:trHeight w:val="203"/>
        </w:trPr>
        <w:tc>
          <w:tcPr>
            <w:tcW w:w="57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3"/>
        </w:trPr>
        <w:tc>
          <w:tcPr>
            <w:tcW w:w="5760" w:type="dxa"/>
            <w:vAlign w:val="bottom"/>
            <w:tcBorders>
              <w:bottom w:val="single" w:sz="8" w:color="CFF0FC"/>
            </w:tcBorders>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(1,527 )</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196"/>
        </w:trPr>
        <w:tc>
          <w:tcPr>
            <w:tcW w:w="57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5,938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14,430</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Provision for (benefit from) income taxes</w:t>
            </w:r>
          </w:p>
        </w:tc>
        <w:tc>
          <w:tcPr>
            <w:tcW w:w="2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2,911</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(4,981 )</w:t>
            </w:r>
          </w:p>
        </w:tc>
        <w:tc>
          <w:tcPr>
            <w:tcW w:w="0" w:type="dxa"/>
            <w:vAlign w:val="bottom"/>
          </w:tcPr>
          <w:p>
            <w:pPr>
              <w:spacing w:after="0"/>
              <w:rPr>
                <w:sz w:val="1"/>
                <w:szCs w:val="1"/>
                <w:color w:val="auto"/>
              </w:rPr>
            </w:pPr>
          </w:p>
        </w:tc>
      </w:tr>
      <w:tr>
        <w:trPr>
          <w:trHeight w:val="196"/>
        </w:trPr>
        <w:tc>
          <w:tcPr>
            <w:tcW w:w="5760" w:type="dxa"/>
            <w:vAlign w:val="bottom"/>
            <w:gridSpan w:val="2"/>
          </w:tcPr>
          <w:p>
            <w:pPr>
              <w:ind w:left="240"/>
              <w:spacing w:after="0" w:line="196" w:lineRule="exact"/>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3,027</w:t>
            </w:r>
          </w:p>
        </w:tc>
        <w:tc>
          <w:tcPr>
            <w:tcW w:w="80" w:type="dxa"/>
            <w:vAlign w:val="bottom"/>
          </w:tcPr>
          <w:p>
            <w:pPr>
              <w:spacing w:after="0"/>
              <w:rPr>
                <w:sz w:val="17"/>
                <w:szCs w:val="17"/>
                <w:color w:val="auto"/>
              </w:rPr>
            </w:pPr>
          </w:p>
        </w:tc>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19,411</w:t>
            </w:r>
          </w:p>
        </w:tc>
        <w:tc>
          <w:tcPr>
            <w:tcW w:w="0" w:type="dxa"/>
            <w:vAlign w:val="bottom"/>
          </w:tcPr>
          <w:p>
            <w:pPr>
              <w:spacing w:after="0"/>
              <w:rPr>
                <w:sz w:val="1"/>
                <w:szCs w:val="1"/>
                <w:color w:val="auto"/>
              </w:rPr>
            </w:pPr>
          </w:p>
        </w:tc>
      </w:tr>
      <w:tr>
        <w:trPr>
          <w:trHeight w:val="203"/>
        </w:trPr>
        <w:tc>
          <w:tcPr>
            <w:tcW w:w="576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currency translation adjustment, net of tax</w:t>
            </w:r>
          </w:p>
        </w:tc>
        <w:tc>
          <w:tcPr>
            <w:tcW w:w="2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832</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196"/>
        </w:trPr>
        <w:tc>
          <w:tcPr>
            <w:tcW w:w="57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Net comprehensive income</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3,859</w:t>
            </w:r>
          </w:p>
        </w:tc>
        <w:tc>
          <w:tcPr>
            <w:tcW w:w="80" w:type="dxa"/>
            <w:vAlign w:val="bottom"/>
          </w:tcPr>
          <w:p>
            <w:pPr>
              <w:spacing w:after="0"/>
              <w:rPr>
                <w:sz w:val="17"/>
                <w:szCs w:val="17"/>
                <w:color w:val="auto"/>
              </w:rPr>
            </w:pPr>
          </w:p>
        </w:tc>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19,623</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ind w:left="560"/>
              <w:spacing w:after="0"/>
              <w:rPr>
                <w:sz w:val="20"/>
                <w:szCs w:val="20"/>
                <w:color w:val="auto"/>
              </w:rPr>
            </w:pPr>
            <w:r>
              <w:rPr>
                <w:rFonts w:ascii="Arial" w:cs="Arial" w:eastAsia="Arial" w:hAnsi="Arial"/>
                <w:sz w:val="18"/>
                <w:szCs w:val="18"/>
                <w:b w:val="1"/>
                <w:bCs w:val="1"/>
                <w:i w:val="1"/>
                <w:iCs w:val="1"/>
                <w:color w:val="auto"/>
              </w:rPr>
              <w:t>Total revenue, net</w:t>
            </w: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7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ind w:right="555"/>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Change</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7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80" w:type="dxa"/>
            <w:vAlign w:val="bottom"/>
          </w:tcPr>
          <w:p>
            <w:pPr>
              <w:spacing w:after="0"/>
              <w:rPr>
                <w:sz w:val="14"/>
                <w:szCs w:val="14"/>
                <w:color w:val="auto"/>
              </w:rPr>
            </w:pPr>
          </w:p>
        </w:tc>
        <w:tc>
          <w:tcPr>
            <w:tcW w:w="1020" w:type="dxa"/>
            <w:vAlign w:val="bottom"/>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2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6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 net</w:t>
            </w:r>
          </w:p>
        </w:tc>
        <w:tc>
          <w:tcPr>
            <w:tcW w:w="1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Product</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119,519</w:t>
            </w:r>
          </w:p>
        </w:tc>
        <w:tc>
          <w:tcPr>
            <w:tcW w:w="4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85,283</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8"/>
              <w:spacing w:after="0" w:line="202" w:lineRule="exact"/>
              <w:rPr>
                <w:sz w:val="20"/>
                <w:szCs w:val="20"/>
                <w:color w:val="auto"/>
              </w:rPr>
            </w:pPr>
            <w:r>
              <w:rPr>
                <w:rFonts w:ascii="Arial" w:cs="Arial" w:eastAsia="Arial" w:hAnsi="Arial"/>
                <w:sz w:val="18"/>
                <w:szCs w:val="18"/>
                <w:color w:val="auto"/>
              </w:rPr>
              <w:t>34,236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03"/>
        </w:trPr>
        <w:tc>
          <w:tcPr>
            <w:tcW w:w="5760" w:type="dxa"/>
            <w:vAlign w:val="bottom"/>
            <w:tcBorders>
              <w:bottom w:val="single" w:sz="8" w:color="CFF0FC"/>
            </w:tcBorders>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Service</w:t>
            </w: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8,431</w:t>
            </w: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7,556</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gridSpan w:val="2"/>
            <w:shd w:val="clear" w:color="auto" w:fill="CFF0FC"/>
          </w:tcPr>
          <w:p>
            <w:pPr>
              <w:jc w:val="right"/>
              <w:ind w:right="8"/>
              <w:spacing w:after="0" w:line="202" w:lineRule="exact"/>
              <w:rPr>
                <w:sz w:val="20"/>
                <w:szCs w:val="20"/>
                <w:color w:val="auto"/>
              </w:rPr>
            </w:pPr>
            <w:r>
              <w:rPr>
                <w:rFonts w:ascii="Arial" w:cs="Arial" w:eastAsia="Arial" w:hAnsi="Arial"/>
                <w:sz w:val="18"/>
                <w:szCs w:val="18"/>
                <w:color w:val="auto"/>
                <w:w w:val="93"/>
              </w:rPr>
              <w:t>875</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196"/>
        </w:trPr>
        <w:tc>
          <w:tcPr>
            <w:tcW w:w="56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revenue, net</w:t>
            </w: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127,950</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92,839</w:t>
            </w:r>
          </w:p>
        </w:tc>
        <w:tc>
          <w:tcPr>
            <w:tcW w:w="1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4"/>
          </w:tcPr>
          <w:p>
            <w:pPr>
              <w:jc w:val="right"/>
              <w:ind w:right="8"/>
              <w:spacing w:after="0" w:line="196" w:lineRule="exact"/>
              <w:rPr>
                <w:sz w:val="20"/>
                <w:szCs w:val="20"/>
                <w:color w:val="auto"/>
              </w:rPr>
            </w:pPr>
            <w:r>
              <w:rPr>
                <w:rFonts w:ascii="Arial" w:cs="Arial" w:eastAsia="Arial" w:hAnsi="Arial"/>
                <w:sz w:val="18"/>
                <w:szCs w:val="18"/>
                <w:color w:val="auto"/>
              </w:rPr>
              <w:t>35,111</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-3948430</wp:posOffset>
            </wp:positionV>
            <wp:extent cx="12001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-3416935</wp:posOffset>
            </wp:positionV>
            <wp:extent cx="12001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-2628265</wp:posOffset>
            </wp:positionV>
            <wp:extent cx="12001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-1839595</wp:posOffset>
            </wp:positionV>
            <wp:extent cx="12001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-1565275</wp:posOffset>
            </wp:positionV>
            <wp:extent cx="12001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-1299210</wp:posOffset>
            </wp:positionV>
            <wp:extent cx="12001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-142240</wp:posOffset>
            </wp:positionV>
            <wp:extent cx="9398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-142240</wp:posOffset>
            </wp:positionV>
            <wp:extent cx="5143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-142240</wp:posOffset>
            </wp:positionV>
            <wp:extent cx="8572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249"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Total revenue, net increased by $35.1 million, or 38%, for the year ended December 31, 2021 as compared to the year ended December 31, 2020. The increase in revenue was primarily driven by an increase in product revenue due to higher unit sales of our Aurora and Northern Lights systems, sales of our Aurora CS system, which commercially launched in June 2021, and an increase in the average blended selling price due to product mix.</w:t>
      </w:r>
    </w:p>
    <w:p>
      <w:pPr>
        <w:spacing w:after="0" w:line="10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Product revenue increased by $34.2 million, or 40%, to $119.5 million, for the year ended December 31, 2021 as compared to the year ended December 31, 2020. The increase was primarily driven by an increase in our instrument sales due to higher unit sales of our Aurora and Northern Lights systems, sales of our Aurora CS system, which commercially launched in June 2021, and an increase in the average blended selling price due to product mix.</w:t>
      </w:r>
    </w:p>
    <w:p>
      <w:pPr>
        <w:spacing w:after="0" w:line="16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Service revenue increased by $0.9 million, or 12%, to $8.4 million, for the year ended December 31, 2021 as compared to the year ended December 31, 2020. The increase in service revenue was driven by more instruments coming off warranty, offset by reduced service contract revenue associated with non-Cytek instruments. While we have historically performed maintenance services and support functions for non-Cytek instruments, we ceased sales of service contracts for non-Cytek instruments as of January 1, 2021 while continuing to honor pre-existing multi-year service contracts. We perform on-demand professional services to support non-Cytek</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2" w:name="page63"/>
    <w:bookmarkEnd w:id="62"/>
    <w:p>
      <w:pPr>
        <w:jc w:val="both"/>
        <w:spacing w:after="0" w:line="294" w:lineRule="auto"/>
        <w:rPr>
          <w:sz w:val="20"/>
          <w:szCs w:val="20"/>
          <w:color w:val="auto"/>
        </w:rPr>
      </w:pPr>
      <w:r>
        <w:rPr>
          <w:rFonts w:ascii="Arial" w:cs="Arial" w:eastAsia="Arial" w:hAnsi="Arial"/>
          <w:sz w:val="16"/>
          <w:szCs w:val="16"/>
          <w:color w:val="auto"/>
        </w:rPr>
        <w:t>instruments provided that resources are available. As a result of our decision to no longer service non-Cytek instruments, revenue associated with service contracts for non-Cytek instruments decreased in the year ended December 31, 2021. Our strategy was to shift resources in anticipation of the increasing demand for our Aurora and Northern Lights instruments, and to allow us to fully support our instruments when they come out of warranty.</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Total cost of sales, gross profit and gross margin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69"/>
        </w:trPr>
        <w:tc>
          <w:tcPr>
            <w:tcW w:w="5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40" w:type="dxa"/>
            <w:vAlign w:val="bottom"/>
          </w:tcPr>
          <w:p>
            <w:pPr>
              <w:spacing w:after="0"/>
              <w:rPr>
                <w:sz w:val="14"/>
                <w:szCs w:val="14"/>
                <w:color w:val="auto"/>
              </w:rPr>
            </w:pPr>
          </w:p>
        </w:tc>
        <w:tc>
          <w:tcPr>
            <w:tcW w:w="1060" w:type="dxa"/>
            <w:vAlign w:val="bottom"/>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574"/>
              <w:spacing w:after="0"/>
              <w:rPr>
                <w:sz w:val="20"/>
                <w:szCs w:val="20"/>
                <w:color w:val="auto"/>
              </w:rPr>
            </w:pPr>
            <w:r>
              <w:rPr>
                <w:rFonts w:ascii="Arial" w:cs="Arial" w:eastAsia="Arial" w:hAnsi="Arial"/>
                <w:sz w:val="14"/>
                <w:szCs w:val="14"/>
                <w:b w:val="1"/>
                <w:bCs w:val="1"/>
                <w:color w:val="auto"/>
              </w:rPr>
              <w:t>%</w:t>
            </w:r>
          </w:p>
        </w:tc>
      </w:tr>
      <w:tr>
        <w:trPr>
          <w:trHeight w:val="196"/>
        </w:trPr>
        <w:tc>
          <w:tcPr>
            <w:tcW w:w="55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Cost of sales:</w:t>
            </w:r>
          </w:p>
        </w:tc>
        <w:tc>
          <w:tcPr>
            <w:tcW w:w="1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r>
      <w:tr>
        <w:trPr>
          <w:trHeight w:val="203"/>
        </w:trPr>
        <w:tc>
          <w:tcPr>
            <w:tcW w:w="57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Product</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37,377</w:t>
            </w:r>
          </w:p>
        </w:tc>
        <w:tc>
          <w:tcPr>
            <w:tcW w:w="4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32,277</w:t>
            </w:r>
          </w:p>
        </w:tc>
        <w:tc>
          <w:tcPr>
            <w:tcW w:w="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5,100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16 %</w:t>
            </w:r>
          </w:p>
        </w:tc>
      </w:tr>
      <w:tr>
        <w:trPr>
          <w:trHeight w:val="203"/>
        </w:trPr>
        <w:tc>
          <w:tcPr>
            <w:tcW w:w="5740" w:type="dxa"/>
            <w:vAlign w:val="bottom"/>
            <w:tcBorders>
              <w:bottom w:val="single" w:sz="8" w:color="CFF0FC"/>
            </w:tcBorders>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Service</w:t>
            </w:r>
          </w:p>
        </w:tc>
        <w:tc>
          <w:tcPr>
            <w:tcW w:w="2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55"/>
              <w:spacing w:after="0" w:line="202" w:lineRule="exact"/>
              <w:rPr>
                <w:sz w:val="20"/>
                <w:szCs w:val="20"/>
                <w:color w:val="auto"/>
              </w:rPr>
            </w:pPr>
            <w:r>
              <w:rPr>
                <w:rFonts w:ascii="Arial" w:cs="Arial" w:eastAsia="Arial" w:hAnsi="Arial"/>
                <w:sz w:val="18"/>
                <w:szCs w:val="18"/>
                <w:color w:val="auto"/>
              </w:rPr>
              <w:t>11,429</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53"/>
              <w:spacing w:after="0" w:line="202" w:lineRule="exact"/>
              <w:rPr>
                <w:sz w:val="20"/>
                <w:szCs w:val="20"/>
                <w:color w:val="auto"/>
              </w:rPr>
            </w:pPr>
            <w:r>
              <w:rPr>
                <w:rFonts w:ascii="Arial" w:cs="Arial" w:eastAsia="Arial" w:hAnsi="Arial"/>
                <w:sz w:val="18"/>
                <w:szCs w:val="18"/>
                <w:color w:val="auto"/>
              </w:rPr>
              <w:t>8,852</w:t>
            </w: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2,577</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29 %</w:t>
            </w:r>
          </w:p>
        </w:tc>
      </w:tr>
      <w:tr>
        <w:trPr>
          <w:trHeight w:val="196"/>
        </w:trPr>
        <w:tc>
          <w:tcPr>
            <w:tcW w:w="57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cost of sales</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5"/>
              <w:spacing w:after="0" w:line="196" w:lineRule="exact"/>
              <w:rPr>
                <w:sz w:val="20"/>
                <w:szCs w:val="20"/>
                <w:color w:val="auto"/>
              </w:rPr>
            </w:pPr>
            <w:r>
              <w:rPr>
                <w:rFonts w:ascii="Arial" w:cs="Arial" w:eastAsia="Arial" w:hAnsi="Arial"/>
                <w:sz w:val="18"/>
                <w:szCs w:val="18"/>
                <w:color w:val="auto"/>
              </w:rPr>
              <w:t>48,806</w:t>
            </w:r>
          </w:p>
        </w:tc>
        <w:tc>
          <w:tcPr>
            <w:tcW w:w="4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53"/>
              <w:spacing w:after="0" w:line="196" w:lineRule="exact"/>
              <w:rPr>
                <w:sz w:val="20"/>
                <w:szCs w:val="20"/>
                <w:color w:val="auto"/>
              </w:rPr>
            </w:pPr>
            <w:r>
              <w:rPr>
                <w:rFonts w:ascii="Arial" w:cs="Arial" w:eastAsia="Arial" w:hAnsi="Arial"/>
                <w:sz w:val="18"/>
                <w:szCs w:val="18"/>
                <w:color w:val="auto"/>
              </w:rPr>
              <w:t>41,129</w:t>
            </w:r>
          </w:p>
        </w:tc>
        <w:tc>
          <w:tcPr>
            <w:tcW w:w="3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7,677</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19 %</w:t>
            </w:r>
          </w:p>
        </w:tc>
      </w:tr>
      <w:tr>
        <w:trPr>
          <w:trHeight w:val="203"/>
        </w:trPr>
        <w:tc>
          <w:tcPr>
            <w:tcW w:w="57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155"/>
              <w:spacing w:after="0" w:line="202" w:lineRule="exact"/>
              <w:rPr>
                <w:sz w:val="20"/>
                <w:szCs w:val="20"/>
                <w:color w:val="auto"/>
              </w:rPr>
            </w:pPr>
            <w:r>
              <w:rPr>
                <w:rFonts w:ascii="Arial" w:cs="Arial" w:eastAsia="Arial" w:hAnsi="Arial"/>
                <w:sz w:val="18"/>
                <w:szCs w:val="18"/>
                <w:color w:val="auto"/>
              </w:rPr>
              <w:t>79,144</w:t>
            </w:r>
          </w:p>
        </w:tc>
        <w:tc>
          <w:tcPr>
            <w:tcW w:w="4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53"/>
              <w:spacing w:after="0" w:line="202" w:lineRule="exact"/>
              <w:rPr>
                <w:sz w:val="20"/>
                <w:szCs w:val="20"/>
                <w:color w:val="auto"/>
              </w:rPr>
            </w:pPr>
            <w:r>
              <w:rPr>
                <w:rFonts w:ascii="Arial" w:cs="Arial" w:eastAsia="Arial" w:hAnsi="Arial"/>
                <w:sz w:val="18"/>
                <w:szCs w:val="18"/>
                <w:color w:val="auto"/>
              </w:rPr>
              <w:t>51,710</w:t>
            </w:r>
          </w:p>
        </w:tc>
        <w:tc>
          <w:tcPr>
            <w:tcW w:w="3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27,434</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53 %</w:t>
            </w:r>
          </w:p>
        </w:tc>
      </w:tr>
      <w:tr>
        <w:trPr>
          <w:trHeight w:val="203"/>
        </w:trPr>
        <w:tc>
          <w:tcPr>
            <w:tcW w:w="558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62 %</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56 %</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-399415</wp:posOffset>
            </wp:positionV>
            <wp:extent cx="9461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-399415</wp:posOffset>
            </wp:positionV>
            <wp:extent cx="5143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-399415</wp:posOffset>
            </wp:positionV>
            <wp:extent cx="8572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24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Total cost of sales increased by $7.7 million, or 19%, for the year ended December 31, 2021 as compared to the year ended December 31, 2020. This is primarily due to more instruments shipped and increased service and manufacturing headcount and associated personnel cost, including $1.3 million stock-based compensation; offset by lower inventory write-downs as a result of operational efficiencies.</w:t>
      </w:r>
    </w:p>
    <w:p>
      <w:pPr>
        <w:spacing w:after="0" w:line="15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Gross profit margin was 62% and 56% as a percent of total revenue for the year ended December 31, 2021 and 2020, respectively. The increase is primarily due to an increase of instruments delivered to customers, an increase in the average blended selling price due to product mix, and lower inventory write-downs for the year ended December 31, 2021.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69"/>
        </w:trPr>
        <w:tc>
          <w:tcPr>
            <w:tcW w:w="5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40" w:type="dxa"/>
            <w:vAlign w:val="bottom"/>
          </w:tcPr>
          <w:p>
            <w:pPr>
              <w:spacing w:after="0"/>
              <w:rPr>
                <w:sz w:val="14"/>
                <w:szCs w:val="14"/>
                <w:color w:val="auto"/>
              </w:rPr>
            </w:pPr>
          </w:p>
        </w:tc>
        <w:tc>
          <w:tcPr>
            <w:tcW w:w="1060" w:type="dxa"/>
            <w:vAlign w:val="bottom"/>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573"/>
              <w:spacing w:after="0"/>
              <w:rPr>
                <w:sz w:val="20"/>
                <w:szCs w:val="20"/>
                <w:color w:val="auto"/>
              </w:rPr>
            </w:pPr>
            <w:r>
              <w:rPr>
                <w:rFonts w:ascii="Arial" w:cs="Arial" w:eastAsia="Arial" w:hAnsi="Arial"/>
                <w:sz w:val="14"/>
                <w:szCs w:val="14"/>
                <w:b w:val="1"/>
                <w:bCs w:val="1"/>
                <w:color w:val="auto"/>
              </w:rPr>
              <w:t>%</w:t>
            </w:r>
          </w:p>
        </w:tc>
      </w:tr>
      <w:tr>
        <w:trPr>
          <w:trHeight w:val="196"/>
        </w:trPr>
        <w:tc>
          <w:tcPr>
            <w:tcW w:w="55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Product:</w:t>
            </w:r>
          </w:p>
        </w:tc>
        <w:tc>
          <w:tcPr>
            <w:tcW w:w="1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r>
      <w:tr>
        <w:trPr>
          <w:trHeight w:val="203"/>
        </w:trPr>
        <w:tc>
          <w:tcPr>
            <w:tcW w:w="57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Revenue</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119,519</w:t>
            </w:r>
          </w:p>
        </w:tc>
        <w:tc>
          <w:tcPr>
            <w:tcW w:w="4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85,283</w:t>
            </w:r>
          </w:p>
        </w:tc>
        <w:tc>
          <w:tcPr>
            <w:tcW w:w="3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34,236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40 %</w:t>
            </w:r>
          </w:p>
        </w:tc>
      </w:tr>
      <w:tr>
        <w:trPr>
          <w:trHeight w:val="203"/>
        </w:trPr>
        <w:tc>
          <w:tcPr>
            <w:tcW w:w="5740" w:type="dxa"/>
            <w:vAlign w:val="bottom"/>
            <w:tcBorders>
              <w:bottom w:val="single" w:sz="8" w:color="CFF0FC"/>
            </w:tcBorders>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54"/>
              <w:spacing w:after="0" w:line="202" w:lineRule="exact"/>
              <w:rPr>
                <w:sz w:val="20"/>
                <w:szCs w:val="20"/>
                <w:color w:val="auto"/>
              </w:rPr>
            </w:pPr>
            <w:r>
              <w:rPr>
                <w:rFonts w:ascii="Arial" w:cs="Arial" w:eastAsia="Arial" w:hAnsi="Arial"/>
                <w:sz w:val="18"/>
                <w:szCs w:val="18"/>
                <w:color w:val="auto"/>
              </w:rPr>
              <w:t>37,377</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52"/>
              <w:spacing w:after="0" w:line="202" w:lineRule="exact"/>
              <w:rPr>
                <w:sz w:val="20"/>
                <w:szCs w:val="20"/>
                <w:color w:val="auto"/>
              </w:rPr>
            </w:pPr>
            <w:r>
              <w:rPr>
                <w:rFonts w:ascii="Arial" w:cs="Arial" w:eastAsia="Arial" w:hAnsi="Arial"/>
                <w:sz w:val="18"/>
                <w:szCs w:val="18"/>
                <w:color w:val="auto"/>
              </w:rPr>
              <w:t>32,277</w:t>
            </w: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5,100</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16 %</w:t>
            </w:r>
          </w:p>
        </w:tc>
      </w:tr>
      <w:tr>
        <w:trPr>
          <w:trHeight w:val="196"/>
        </w:trPr>
        <w:tc>
          <w:tcPr>
            <w:tcW w:w="57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Product gross profit</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4"/>
              <w:spacing w:after="0" w:line="196" w:lineRule="exact"/>
              <w:rPr>
                <w:sz w:val="20"/>
                <w:szCs w:val="20"/>
                <w:color w:val="auto"/>
              </w:rPr>
            </w:pPr>
            <w:r>
              <w:rPr>
                <w:rFonts w:ascii="Arial" w:cs="Arial" w:eastAsia="Arial" w:hAnsi="Arial"/>
                <w:sz w:val="18"/>
                <w:szCs w:val="18"/>
                <w:color w:val="auto"/>
              </w:rPr>
              <w:t>82,142</w:t>
            </w:r>
          </w:p>
        </w:tc>
        <w:tc>
          <w:tcPr>
            <w:tcW w:w="40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line="196" w:lineRule="exact"/>
              <w:rPr>
                <w:sz w:val="20"/>
                <w:szCs w:val="20"/>
                <w:color w:val="auto"/>
              </w:rPr>
            </w:pPr>
            <w:r>
              <w:rPr>
                <w:rFonts w:ascii="Arial" w:cs="Arial" w:eastAsia="Arial" w:hAnsi="Arial"/>
                <w:sz w:val="18"/>
                <w:szCs w:val="18"/>
                <w:color w:val="auto"/>
              </w:rPr>
              <w:t>53,006</w:t>
            </w:r>
          </w:p>
        </w:tc>
        <w:tc>
          <w:tcPr>
            <w:tcW w:w="30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29,136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55 %</w:t>
            </w:r>
          </w:p>
        </w:tc>
      </w:tr>
      <w:tr>
        <w:trPr>
          <w:trHeight w:val="203"/>
        </w:trPr>
        <w:tc>
          <w:tcPr>
            <w:tcW w:w="57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Gross margin</w:t>
            </w: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69 %</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62 %</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405"/>
        </w:trPr>
        <w:tc>
          <w:tcPr>
            <w:tcW w:w="574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Service:</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740" w:type="dxa"/>
            <w:vAlign w:val="bottom"/>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154"/>
              <w:spacing w:after="0" w:line="202" w:lineRule="exact"/>
              <w:rPr>
                <w:sz w:val="20"/>
                <w:szCs w:val="20"/>
                <w:color w:val="auto"/>
              </w:rPr>
            </w:pPr>
            <w:r>
              <w:rPr>
                <w:rFonts w:ascii="Arial" w:cs="Arial" w:eastAsia="Arial" w:hAnsi="Arial"/>
                <w:sz w:val="18"/>
                <w:szCs w:val="18"/>
                <w:color w:val="auto"/>
              </w:rPr>
              <w:t>8,431</w:t>
            </w:r>
          </w:p>
        </w:tc>
        <w:tc>
          <w:tcPr>
            <w:tcW w:w="40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52"/>
              <w:spacing w:after="0" w:line="202" w:lineRule="exact"/>
              <w:rPr>
                <w:sz w:val="20"/>
                <w:szCs w:val="20"/>
                <w:color w:val="auto"/>
              </w:rPr>
            </w:pPr>
            <w:r>
              <w:rPr>
                <w:rFonts w:ascii="Arial" w:cs="Arial" w:eastAsia="Arial" w:hAnsi="Arial"/>
                <w:sz w:val="18"/>
                <w:szCs w:val="18"/>
                <w:color w:val="auto"/>
              </w:rPr>
              <w:t>7,556</w:t>
            </w:r>
          </w:p>
        </w:tc>
        <w:tc>
          <w:tcPr>
            <w:tcW w:w="30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875</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12 %</w:t>
            </w:r>
          </w:p>
        </w:tc>
      </w:tr>
      <w:tr>
        <w:trPr>
          <w:trHeight w:val="203"/>
        </w:trPr>
        <w:tc>
          <w:tcPr>
            <w:tcW w:w="57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54"/>
              <w:spacing w:after="0" w:line="202" w:lineRule="exact"/>
              <w:rPr>
                <w:sz w:val="20"/>
                <w:szCs w:val="20"/>
                <w:color w:val="auto"/>
              </w:rPr>
            </w:pPr>
            <w:r>
              <w:rPr>
                <w:rFonts w:ascii="Arial" w:cs="Arial" w:eastAsia="Arial" w:hAnsi="Arial"/>
                <w:sz w:val="18"/>
                <w:szCs w:val="18"/>
                <w:color w:val="auto"/>
              </w:rPr>
              <w:t>11,429</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8,852</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2,577</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29 %</w:t>
            </w:r>
          </w:p>
        </w:tc>
      </w:tr>
      <w:tr>
        <w:trPr>
          <w:trHeight w:val="196"/>
        </w:trPr>
        <w:tc>
          <w:tcPr>
            <w:tcW w:w="574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Service gross profit</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74"/>
              <w:spacing w:after="0" w:line="196" w:lineRule="exact"/>
              <w:rPr>
                <w:sz w:val="20"/>
                <w:szCs w:val="20"/>
                <w:color w:val="auto"/>
              </w:rPr>
            </w:pPr>
            <w:r>
              <w:rPr>
                <w:rFonts w:ascii="Arial" w:cs="Arial" w:eastAsia="Arial" w:hAnsi="Arial"/>
                <w:sz w:val="18"/>
                <w:szCs w:val="18"/>
                <w:color w:val="auto"/>
              </w:rPr>
              <w:t>(2,998 )</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ind w:right="72"/>
              <w:spacing w:after="0" w:line="196" w:lineRule="exact"/>
              <w:rPr>
                <w:sz w:val="20"/>
                <w:szCs w:val="20"/>
                <w:color w:val="auto"/>
              </w:rPr>
            </w:pPr>
            <w:r>
              <w:rPr>
                <w:rFonts w:ascii="Arial" w:cs="Arial" w:eastAsia="Arial" w:hAnsi="Arial"/>
                <w:sz w:val="18"/>
                <w:szCs w:val="18"/>
                <w:color w:val="auto"/>
              </w:rPr>
              <w:t>(1,296 )</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(1,702 )</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131 %</w:t>
            </w:r>
          </w:p>
        </w:tc>
      </w:tr>
      <w:tr>
        <w:trPr>
          <w:trHeight w:val="203"/>
        </w:trPr>
        <w:tc>
          <w:tcPr>
            <w:tcW w:w="558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-36 %</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-17 %</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-1050925</wp:posOffset>
            </wp:positionV>
            <wp:extent cx="9461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-1050925</wp:posOffset>
            </wp:positionV>
            <wp:extent cx="5143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-1050925</wp:posOffset>
            </wp:positionV>
            <wp:extent cx="8572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249"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While we have seen an increase in total gross profit margin, the gross profit margin of our service revenue has decreased from (17)% in the year ended December 31, 2020, to (36)% in the year ended December 31, 2021. This was due to an increase in headcount and personnel-related expenses. The decrease was also driven by reduced service contract revenue on non-Cytek instruments consistent with our expectations after not renewing these contracts.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69"/>
        </w:trPr>
        <w:tc>
          <w:tcPr>
            <w:tcW w:w="5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80" w:type="dxa"/>
            <w:vAlign w:val="bottom"/>
          </w:tcPr>
          <w:p>
            <w:pPr>
              <w:spacing w:after="0"/>
              <w:rPr>
                <w:sz w:val="14"/>
                <w:szCs w:val="14"/>
                <w:color w:val="auto"/>
              </w:rPr>
            </w:pPr>
          </w:p>
        </w:tc>
        <w:tc>
          <w:tcPr>
            <w:tcW w:w="1000" w:type="dxa"/>
            <w:vAlign w:val="bottom"/>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579"/>
              <w:spacing w:after="0"/>
              <w:rPr>
                <w:sz w:val="20"/>
                <w:szCs w:val="20"/>
                <w:color w:val="auto"/>
              </w:rPr>
            </w:pPr>
            <w:r>
              <w:rPr>
                <w:rFonts w:ascii="Arial" w:cs="Arial" w:eastAsia="Arial" w:hAnsi="Arial"/>
                <w:sz w:val="14"/>
                <w:szCs w:val="14"/>
                <w:b w:val="1"/>
                <w:bCs w:val="1"/>
                <w:color w:val="auto"/>
              </w:rPr>
              <w:t>%</w:t>
            </w:r>
          </w:p>
        </w:tc>
      </w:tr>
      <w:tr>
        <w:trPr>
          <w:trHeight w:val="196"/>
        </w:trPr>
        <w:tc>
          <w:tcPr>
            <w:tcW w:w="55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ind w:right="2"/>
              <w:spacing w:after="0" w:line="196" w:lineRule="exact"/>
              <w:rPr>
                <w:sz w:val="20"/>
                <w:szCs w:val="20"/>
                <w:color w:val="auto"/>
              </w:rPr>
            </w:pPr>
            <w:r>
              <w:rPr>
                <w:rFonts w:ascii="Arial" w:cs="Arial" w:eastAsia="Arial" w:hAnsi="Arial"/>
                <w:sz w:val="18"/>
                <w:szCs w:val="18"/>
                <w:color w:val="auto"/>
              </w:rPr>
              <w:t>24,442</w:t>
            </w:r>
          </w:p>
        </w:tc>
        <w:tc>
          <w:tcPr>
            <w:tcW w:w="1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13,693</w:t>
            </w:r>
          </w:p>
        </w:tc>
        <w:tc>
          <w:tcPr>
            <w:tcW w:w="1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10,749</w:t>
            </w:r>
          </w:p>
        </w:tc>
        <w:tc>
          <w:tcPr>
            <w:tcW w:w="1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78 %</w:t>
            </w:r>
          </w:p>
        </w:tc>
      </w:tr>
    </w:tbl>
    <w:p>
      <w:pPr>
        <w:spacing w:after="0" w:line="31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Research and development expenses were $24.4 million for the year ended December 31, 2021 as compared to $13.7 million for the year ended December 31, 2020. The increase of $10.7 million in research and development expenses was primarily due to an increase in headcount and personnel-related expenses, including stock-based compensation of $1.8 million.</w:t>
      </w:r>
    </w:p>
    <w:p>
      <w:pPr>
        <w:spacing w:after="0" w:line="14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expect our research and development expense to increase in absolute dollars as we continue to develop new products and enhance existing instruments and technologies.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3" w:name="page64"/>
    <w:bookmarkEnd w:id="63"/>
    <w:p>
      <w:pPr>
        <w:ind w:left="5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69"/>
        </w:trPr>
        <w:tc>
          <w:tcPr>
            <w:tcW w:w="5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80" w:type="dxa"/>
            <w:vAlign w:val="bottom"/>
          </w:tcPr>
          <w:p>
            <w:pPr>
              <w:spacing w:after="0"/>
              <w:rPr>
                <w:sz w:val="14"/>
                <w:szCs w:val="14"/>
                <w:color w:val="auto"/>
              </w:rPr>
            </w:pPr>
          </w:p>
        </w:tc>
        <w:tc>
          <w:tcPr>
            <w:tcW w:w="1000" w:type="dxa"/>
            <w:vAlign w:val="bottom"/>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579"/>
              <w:spacing w:after="0"/>
              <w:rPr>
                <w:sz w:val="20"/>
                <w:szCs w:val="20"/>
                <w:color w:val="auto"/>
              </w:rPr>
            </w:pPr>
            <w:r>
              <w:rPr>
                <w:rFonts w:ascii="Arial" w:cs="Arial" w:eastAsia="Arial" w:hAnsi="Arial"/>
                <w:sz w:val="14"/>
                <w:szCs w:val="14"/>
                <w:b w:val="1"/>
                <w:bCs w:val="1"/>
                <w:color w:val="auto"/>
              </w:rPr>
              <w:t>%</w:t>
            </w:r>
          </w:p>
        </w:tc>
      </w:tr>
      <w:tr>
        <w:trPr>
          <w:trHeight w:val="196"/>
        </w:trPr>
        <w:tc>
          <w:tcPr>
            <w:tcW w:w="55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ind w:right="2"/>
              <w:spacing w:after="0" w:line="196" w:lineRule="exact"/>
              <w:rPr>
                <w:sz w:val="20"/>
                <w:szCs w:val="20"/>
                <w:color w:val="auto"/>
              </w:rPr>
            </w:pPr>
            <w:r>
              <w:rPr>
                <w:rFonts w:ascii="Arial" w:cs="Arial" w:eastAsia="Arial" w:hAnsi="Arial"/>
                <w:sz w:val="18"/>
                <w:szCs w:val="18"/>
                <w:color w:val="auto"/>
              </w:rPr>
              <w:t>24,710</w:t>
            </w:r>
          </w:p>
        </w:tc>
        <w:tc>
          <w:tcPr>
            <w:tcW w:w="1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14,988</w:t>
            </w:r>
          </w:p>
        </w:tc>
        <w:tc>
          <w:tcPr>
            <w:tcW w:w="1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9,722</w:t>
            </w:r>
          </w:p>
        </w:tc>
        <w:tc>
          <w:tcPr>
            <w:tcW w:w="1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65 %</w:t>
            </w:r>
          </w:p>
        </w:tc>
      </w:tr>
    </w:tbl>
    <w:p>
      <w:pPr>
        <w:spacing w:after="0" w:line="364"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8"/>
          <w:szCs w:val="18"/>
          <w:color w:val="auto"/>
        </w:rPr>
        <w:t>Sales and marketing expenses were $24.7 million for the year ended December 31, 2021 as compared to $15.0 million for the year ended December 31, 2020. The increase of $9.7 million in sales and marketing expenses was primarily due to an increase in headcount, commissions, and personnel-related expenses of $7.0 million, including stock-based compensation of $1.2 million. There was also an increase in advertising and marketing activities of $0.8 million.</w:t>
      </w:r>
    </w:p>
    <w:p>
      <w:pPr>
        <w:spacing w:after="0" w:line="140"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We expect our sales and marketing expenses to increase in absolute dollars as we hire additional sales and marketing personnel, expand our sales support infrastructure and invest in our brand and product awareness to further penetrate the United States and the international markets.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5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80" w:type="dxa"/>
            <w:vAlign w:val="bottom"/>
          </w:tcPr>
          <w:p>
            <w:pPr>
              <w:spacing w:after="0"/>
              <w:rPr>
                <w:sz w:val="14"/>
                <w:szCs w:val="14"/>
                <w:color w:val="auto"/>
              </w:rPr>
            </w:pPr>
          </w:p>
        </w:tc>
        <w:tc>
          <w:tcPr>
            <w:tcW w:w="940" w:type="dxa"/>
            <w:vAlign w:val="bottom"/>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right"/>
              <w:ind w:right="35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r>
      <w:tr>
        <w:trPr>
          <w:trHeight w:val="196"/>
        </w:trPr>
        <w:tc>
          <w:tcPr>
            <w:tcW w:w="55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20,835</w:t>
            </w:r>
          </w:p>
        </w:tc>
        <w:tc>
          <w:tcPr>
            <w:tcW w:w="22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ind w:right="59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9,370</w:t>
            </w: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11,465</w:t>
            </w:r>
          </w:p>
        </w:tc>
        <w:tc>
          <w:tcPr>
            <w:tcW w:w="1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bl>
    <w:p>
      <w:pPr>
        <w:spacing w:after="0" w:line="121" w:lineRule="exact"/>
        <w:rPr>
          <w:sz w:val="20"/>
          <w:szCs w:val="20"/>
          <w:color w:val="auto"/>
        </w:rPr>
      </w:pPr>
    </w:p>
    <w:p>
      <w:pPr>
        <w:jc w:val="both"/>
        <w:ind w:firstLine="941"/>
        <w:spacing w:after="0" w:line="268" w:lineRule="auto"/>
        <w:rPr>
          <w:sz w:val="20"/>
          <w:szCs w:val="20"/>
          <w:color w:val="auto"/>
        </w:rPr>
      </w:pPr>
      <w:r>
        <w:rPr>
          <w:rFonts w:ascii="Arial" w:cs="Arial" w:eastAsia="Arial" w:hAnsi="Arial"/>
          <w:sz w:val="17"/>
          <w:szCs w:val="17"/>
          <w:color w:val="auto"/>
        </w:rPr>
        <w:t>General and administrative expenses were $20.8 million for the year ended December 31, 2021 as compared to $9.4 million for the year ended December 31, 2020. The increase of $11.5 million in general and administrative expenses was primarily due to an increase in general corporate personnel-related costs, professional fees relating to our IPO, and infrastructure services to support the growth of our overall operations. The increase in personnel-related costs was primarily due to increased headcount and stock-based compensation of $1.7 million.</w:t>
      </w:r>
    </w:p>
    <w:p>
      <w:pPr>
        <w:spacing w:after="0" w:line="139"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We expect to continue to incur additional general and administrative expenses as a result of operating as a public company, including expenses related to compliance with the rules and regulations of the SEC and the Nasdaq Stock Market, additional insurance costs, investor relations activities and other administrative and professional services. As a result, we expect general and administrative expenses to increase in absolute dollars in future periods.</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jc w:val="right"/>
              <w:ind w:right="630"/>
              <w:spacing w:after="0"/>
              <w:rPr>
                <w:sz w:val="20"/>
                <w:szCs w:val="20"/>
                <w:color w:val="auto"/>
              </w:rPr>
            </w:pPr>
            <w:r>
              <w:rPr>
                <w:rFonts w:ascii="Arial" w:cs="Arial" w:eastAsia="Arial" w:hAnsi="Arial"/>
                <w:sz w:val="14"/>
                <w:szCs w:val="14"/>
                <w:b w:val="1"/>
                <w:bCs w:val="1"/>
                <w:color w:val="auto"/>
              </w:rPr>
              <w:t>Year ended December 31,</w:t>
            </w:r>
          </w:p>
        </w:tc>
        <w:tc>
          <w:tcPr>
            <w:tcW w:w="176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880" w:type="dxa"/>
            <w:vAlign w:val="bottom"/>
          </w:tcPr>
          <w:p>
            <w:pPr>
              <w:spacing w:after="0"/>
              <w:rPr>
                <w:sz w:val="16"/>
                <w:szCs w:val="16"/>
                <w:color w:val="auto"/>
              </w:rPr>
            </w:pPr>
          </w:p>
        </w:tc>
      </w:tr>
      <w:tr>
        <w:trPr>
          <w:trHeight w:val="169"/>
        </w:trPr>
        <w:tc>
          <w:tcPr>
            <w:tcW w:w="57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760" w:type="dxa"/>
            <w:vAlign w:val="bottom"/>
            <w:tcBorders>
              <w:top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Amount</w:t>
            </w:r>
          </w:p>
        </w:tc>
        <w:tc>
          <w:tcPr>
            <w:tcW w:w="88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w:t>
            </w:r>
          </w:p>
        </w:tc>
      </w:tr>
      <w:tr>
        <w:trPr>
          <w:trHeight w:val="196"/>
        </w:trPr>
        <w:tc>
          <w:tcPr>
            <w:tcW w:w="5620" w:type="dxa"/>
            <w:vAlign w:val="bottom"/>
            <w:tcBorders>
              <w:top w:val="single" w:sz="8" w:color="auto"/>
            </w:tcBorders>
            <w:shd w:val="clear" w:color="auto" w:fill="CFF0FC"/>
          </w:tcPr>
          <w:p>
            <w:pPr>
              <w:ind w:left="160"/>
              <w:spacing w:after="0" w:line="196" w:lineRule="exact"/>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(1,741</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(333</w:t>
            </w:r>
          </w:p>
        </w:tc>
        <w:tc>
          <w:tcPr>
            <w:tcW w:w="1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(1,408</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n/m</w:t>
            </w:r>
          </w:p>
        </w:tc>
      </w:tr>
    </w:tbl>
    <w:p>
      <w:pPr>
        <w:spacing w:after="0" w:line="256"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Interest expense was $1.7 million for the year ended December 31, 2021 as compared to $333,000 for the year ended December 31, 2020. The increase of $1.4 million was due to the accretion of the present value discount related to the settlement agreement with Becton, Dickinson and Company (“BD”). See Note 10 to our consolidated financial statements included elsewhere in this Annual Report on Form 10-K for further details.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69"/>
        </w:trPr>
        <w:tc>
          <w:tcPr>
            <w:tcW w:w="5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900" w:type="dxa"/>
            <w:vAlign w:val="bottom"/>
          </w:tcPr>
          <w:p>
            <w:pPr>
              <w:jc w:val="right"/>
              <w:ind w:right="62"/>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4"/>
                <w:szCs w:val="14"/>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ind w:left="320"/>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579"/>
              <w:spacing w:after="0"/>
              <w:rPr>
                <w:sz w:val="20"/>
                <w:szCs w:val="20"/>
                <w:color w:val="auto"/>
              </w:rPr>
            </w:pPr>
            <w:r>
              <w:rPr>
                <w:rFonts w:ascii="Arial" w:cs="Arial" w:eastAsia="Arial" w:hAnsi="Arial"/>
                <w:sz w:val="14"/>
                <w:szCs w:val="14"/>
                <w:b w:val="1"/>
                <w:bCs w:val="1"/>
                <w:color w:val="auto"/>
              </w:rPr>
              <w:t>%</w:t>
            </w:r>
          </w:p>
        </w:tc>
      </w:tr>
      <w:tr>
        <w:trPr>
          <w:trHeight w:val="196"/>
        </w:trPr>
        <w:tc>
          <w:tcPr>
            <w:tcW w:w="56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Interest income</w:t>
            </w:r>
          </w:p>
        </w:tc>
        <w:tc>
          <w:tcPr>
            <w:tcW w:w="140" w:type="dxa"/>
            <w:vAlign w:val="bottom"/>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ind w:right="722"/>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w:t>
            </w:r>
          </w:p>
        </w:tc>
        <w:tc>
          <w:tcPr>
            <w:tcW w:w="14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ind w:right="650"/>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w:t>
            </w:r>
          </w:p>
        </w:tc>
        <w:tc>
          <w:tcPr>
            <w:tcW w:w="12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1"/>
              </w:rPr>
              <w:t>(61 )</w:t>
            </w:r>
          </w:p>
        </w:tc>
        <w:tc>
          <w:tcPr>
            <w:tcW w:w="1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-55 %</w:t>
            </w:r>
          </w:p>
        </w:tc>
      </w:tr>
    </w:tbl>
    <w:p>
      <w:pPr>
        <w:spacing w:after="0" w:line="256"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6"/>
          <w:szCs w:val="16"/>
          <w:color w:val="auto"/>
        </w:rPr>
        <w:t>Interest income was $49,000 for the year ended December 31, 2021 as compared to $110,000 for the year ended December 31, 2020. The decrease of $61,000 in interest income was the result of lower interest earned on our cash and short-term deposits due to a decline in interest rates as compared to</w:t>
      </w:r>
    </w:p>
    <w:p>
      <w:pPr>
        <w:spacing w:after="0"/>
        <w:rPr>
          <w:sz w:val="20"/>
          <w:szCs w:val="20"/>
          <w:color w:val="auto"/>
        </w:rPr>
      </w:pPr>
      <w:r>
        <w:rPr>
          <w:rFonts w:ascii="Arial" w:cs="Arial" w:eastAsia="Arial" w:hAnsi="Arial"/>
          <w:sz w:val="18"/>
          <w:szCs w:val="18"/>
          <w:color w:val="auto"/>
        </w:rPr>
        <w:t>year ended December 31, 2020.</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6"/>
                <w:szCs w:val="16"/>
                <w:color w:val="auto"/>
              </w:rPr>
            </w:pPr>
          </w:p>
        </w:tc>
        <w:tc>
          <w:tcPr>
            <w:tcW w:w="164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69"/>
        </w:trPr>
        <w:tc>
          <w:tcPr>
            <w:tcW w:w="384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640" w:type="dxa"/>
            <w:vAlign w:val="bottom"/>
            <w:gridSpan w:val="3"/>
          </w:tcPr>
          <w:p>
            <w:pPr>
              <w:ind w:left="32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579"/>
              <w:spacing w:after="0"/>
              <w:rPr>
                <w:sz w:val="20"/>
                <w:szCs w:val="20"/>
                <w:color w:val="auto"/>
              </w:rPr>
            </w:pPr>
            <w:r>
              <w:rPr>
                <w:rFonts w:ascii="Arial" w:cs="Arial" w:eastAsia="Arial" w:hAnsi="Arial"/>
                <w:sz w:val="14"/>
                <w:szCs w:val="14"/>
                <w:b w:val="1"/>
                <w:bCs w:val="1"/>
                <w:color w:val="auto"/>
              </w:rPr>
              <w:t>%</w:t>
            </w:r>
          </w:p>
        </w:tc>
      </w:tr>
      <w:tr>
        <w:trPr>
          <w:trHeight w:val="196"/>
        </w:trPr>
        <w:tc>
          <w:tcPr>
            <w:tcW w:w="384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Other income (expense), net</w:t>
            </w:r>
          </w:p>
        </w:tc>
        <w:tc>
          <w:tcPr>
            <w:tcW w:w="174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(1,527 )</w:t>
            </w:r>
          </w:p>
        </w:tc>
        <w:tc>
          <w:tcPr>
            <w:tcW w:w="1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994</w:t>
            </w:r>
          </w:p>
        </w:tc>
        <w:tc>
          <w:tcPr>
            <w:tcW w:w="12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(2,521 )</w:t>
            </w:r>
          </w:p>
        </w:tc>
        <w:tc>
          <w:tcPr>
            <w:tcW w:w="1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-254 %</w:t>
            </w:r>
          </w:p>
        </w:tc>
      </w:tr>
      <w:tr>
        <w:trPr>
          <w:trHeight w:val="567"/>
        </w:trPr>
        <w:tc>
          <w:tcPr>
            <w:tcW w:w="3840" w:type="dxa"/>
            <w:vAlign w:val="bottom"/>
          </w:tcPr>
          <w:p>
            <w:pPr>
              <w:spacing w:after="0"/>
              <w:rPr>
                <w:sz w:val="24"/>
                <w:szCs w:val="24"/>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01"/>
        </w:trPr>
        <w:tc>
          <w:tcPr>
            <w:tcW w:w="384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4" w:name="page65"/>
    <w:bookmarkEnd w:id="64"/>
    <w:p>
      <w:pPr>
        <w:jc w:val="both"/>
        <w:ind w:firstLine="509"/>
        <w:spacing w:after="0" w:line="282" w:lineRule="auto"/>
        <w:rPr>
          <w:sz w:val="20"/>
          <w:szCs w:val="20"/>
          <w:color w:val="auto"/>
        </w:rPr>
      </w:pPr>
      <w:r>
        <w:rPr>
          <w:rFonts w:ascii="Arial" w:cs="Arial" w:eastAsia="Arial" w:hAnsi="Arial"/>
          <w:sz w:val="16"/>
          <w:szCs w:val="16"/>
          <w:color w:val="auto"/>
        </w:rPr>
        <w:t>Other expense, net was $1.5 million for the year ended December 31, 2021 as compared to other income, net of $1.0 million for the year ended December 31, 2020. The net change of $2.5 million was primarily the result of the net impact of foreign exchange gains and losses during the year ended</w:t>
      </w:r>
    </w:p>
    <w:p>
      <w:pPr>
        <w:spacing w:after="0"/>
        <w:rPr>
          <w:sz w:val="20"/>
          <w:szCs w:val="20"/>
          <w:color w:val="auto"/>
        </w:rPr>
      </w:pPr>
      <w:r>
        <w:rPr>
          <w:rFonts w:ascii="Arial" w:cs="Arial" w:eastAsia="Arial" w:hAnsi="Arial"/>
          <w:sz w:val="18"/>
          <w:szCs w:val="18"/>
          <w:color w:val="auto"/>
        </w:rPr>
        <w:t>December 31, 2021.</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tcBorders>
              <w:bottom w:val="single" w:sz="8" w:color="auto"/>
            </w:tcBorders>
            <w:gridSpan w:val="5"/>
          </w:tcPr>
          <w:p>
            <w:pPr>
              <w:jc w:val="right"/>
              <w:ind w:right="559"/>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6"/>
                <w:szCs w:val="16"/>
                <w:color w:val="auto"/>
              </w:rPr>
            </w:pPr>
          </w:p>
        </w:tc>
        <w:tc>
          <w:tcPr>
            <w:tcW w:w="164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69"/>
        </w:trPr>
        <w:tc>
          <w:tcPr>
            <w:tcW w:w="5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640" w:type="dxa"/>
            <w:vAlign w:val="bottom"/>
            <w:gridSpan w:val="3"/>
          </w:tcPr>
          <w:p>
            <w:pPr>
              <w:ind w:left="34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579"/>
              <w:spacing w:after="0"/>
              <w:rPr>
                <w:sz w:val="20"/>
                <w:szCs w:val="20"/>
                <w:color w:val="auto"/>
              </w:rPr>
            </w:pPr>
            <w:r>
              <w:rPr>
                <w:rFonts w:ascii="Arial" w:cs="Arial" w:eastAsia="Arial" w:hAnsi="Arial"/>
                <w:sz w:val="14"/>
                <w:szCs w:val="14"/>
                <w:b w:val="1"/>
                <w:bCs w:val="1"/>
                <w:color w:val="auto"/>
              </w:rPr>
              <w:t>%</w:t>
            </w:r>
          </w:p>
        </w:tc>
      </w:tr>
      <w:tr>
        <w:trPr>
          <w:trHeight w:val="196"/>
        </w:trPr>
        <w:tc>
          <w:tcPr>
            <w:tcW w:w="55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Provision for (benefit from) income tax</w:t>
            </w:r>
          </w:p>
        </w:tc>
        <w:tc>
          <w:tcPr>
            <w:tcW w:w="16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ind w:right="602"/>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2,911</w:t>
            </w:r>
          </w:p>
        </w:tc>
        <w:tc>
          <w:tcPr>
            <w:tcW w:w="1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(4,981 )</w:t>
            </w:r>
          </w:p>
        </w:tc>
        <w:tc>
          <w:tcPr>
            <w:tcW w:w="12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7,892</w:t>
            </w:r>
          </w:p>
        </w:tc>
        <w:tc>
          <w:tcPr>
            <w:tcW w:w="1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-158 %</w:t>
            </w:r>
          </w:p>
        </w:tc>
      </w:tr>
    </w:tbl>
    <w:p>
      <w:pPr>
        <w:spacing w:after="0" w:line="256"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Provision for income tax was $2.9 million for the year ended December 31, 2021 as compared to an income tax benefit of $5.0 million for the year ended December 31, 2020.</w:t>
      </w:r>
    </w:p>
    <w:p>
      <w:pPr>
        <w:spacing w:after="0" w:line="144"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The net change of $7.9 million for the year ended December 31, 2021 was the result of a United States income tax valuation allowance release of $8.1 million in the second quarter of fiscal 2020 and an increase in income tax from higher earnings in the year ended December 31, 2021.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To date, our primary sources of capital have been through sales of our securities and revenue from the sale of our products and services. As of December 31, 2021 and December 31, 2020, we had approximately $364.6 million and $165.2 million, respectively, in cash and cash equivalents, which were primarily held in U.S. short-term bank deposit accounts and money market funds.</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7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We anticipate continuing to expend significant amounts of cash in the foreseeable future as we continue to invest in research and development of our product offerings, commercialization of new products and services, and expansion into new markets. Our future capital requirements will depend on many factors including our revenue, research and development efforts, the new and continued impacts of the COVID-19 pandemic, the timing and extent of additional capital expenditures to invest in existing and new facilities, as well as our manufacturing operations, the expansion of sales and marketing and the introduction of new products. We have entered into, and may in the future enter into, arrangements to acquire or invest in businesses, services and technologies, and any such acquisitions or investments could significantly increase our capital needs.</w:t>
      </w:r>
    </w:p>
    <w:p>
      <w:pPr>
        <w:spacing w:after="0" w:line="148"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color w:val="auto"/>
        </w:rPr>
        <w:t>We currently anticipate making additional capital expenditures during the next 12 months, which is expected to primarily include equipment to be used for manufacturing and investment in research and development, as well as spend associated with the expansion of our facilities in Wuxi, China.</w:t>
      </w:r>
    </w:p>
    <w:p>
      <w:pPr>
        <w:spacing w:after="0" w:line="84"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Based on our current business plan, we believe our existing cash and cash equivalents and anticipated cash flows from operations will be sufficient to meet our working capital and capital expenditure needs for at least the next 12 months from the date of this Annual Report on Form 10-K.</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71"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We have financed our operations primarily through sales of our securities. In July 2021, we completed our IPO, which resulted in net proceeds to us of approximately $215.7 million. We have also benefited from operating cash flows from the sale of our products and services.</w:t>
      </w:r>
    </w:p>
    <w:p>
      <w:pPr>
        <w:spacing w:after="0" w:line="12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On May 7, 2020, we received loan proceeds in the amount of approximately $4.1 million under the PPP. The PPP, established as part of the CARES Act, provides for loans to qualifying businesses for amounts up to 2.5 times of the average monthly payroll expenses of the qualifying business. On May 4, 2021, we fully repaid the PPP loan.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5" w:name="page66"/>
    <w:bookmarkEnd w:id="65"/>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4"/>
                <w:szCs w:val="14"/>
                <w:color w:val="auto"/>
              </w:rPr>
            </w:pPr>
          </w:p>
        </w:tc>
        <w:tc>
          <w:tcPr>
            <w:tcW w:w="1460" w:type="dxa"/>
            <w:vAlign w:val="bottom"/>
          </w:tcPr>
          <w:p>
            <w:pPr>
              <w:jc w:val="right"/>
              <w:ind w:right="75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jc w:val="right"/>
              <w:ind w:right="7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714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(used in) provided by:</w:t>
            </w:r>
          </w:p>
        </w:tc>
        <w:tc>
          <w:tcPr>
            <w:tcW w:w="18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Operating activities</w:t>
            </w:r>
          </w:p>
        </w:tc>
        <w:tc>
          <w:tcPr>
            <w:tcW w:w="44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4,630</w:t>
            </w:r>
          </w:p>
        </w:tc>
        <w:tc>
          <w:tcPr>
            <w:tcW w:w="86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15,156</w:t>
            </w: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Investing activities</w:t>
            </w:r>
          </w:p>
        </w:tc>
        <w:tc>
          <w:tcPr>
            <w:tcW w:w="4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(20,993 )</w:t>
            </w: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(1,547 )</w:t>
            </w:r>
          </w:p>
        </w:tc>
        <w:tc>
          <w:tcPr>
            <w:tcW w:w="0" w:type="dxa"/>
            <w:vAlign w:val="bottom"/>
          </w:tcPr>
          <w:p>
            <w:pPr>
              <w:spacing w:after="0"/>
              <w:rPr>
                <w:sz w:val="1"/>
                <w:szCs w:val="1"/>
                <w:color w:val="auto"/>
              </w:rPr>
            </w:pPr>
          </w:p>
        </w:tc>
      </w:tr>
      <w:tr>
        <w:trPr>
          <w:trHeight w:val="203"/>
        </w:trPr>
        <w:tc>
          <w:tcPr>
            <w:tcW w:w="73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Financing activities</w:t>
            </w:r>
          </w:p>
        </w:tc>
        <w:tc>
          <w:tcPr>
            <w:tcW w:w="440" w:type="dxa"/>
            <w:vAlign w:val="bottom"/>
          </w:tcPr>
          <w:p>
            <w:pPr>
              <w:spacing w:after="0"/>
              <w:rPr>
                <w:sz w:val="17"/>
                <w:szCs w:val="17"/>
                <w:color w:val="auto"/>
              </w:rPr>
            </w:pPr>
          </w:p>
        </w:tc>
        <w:tc>
          <w:tcPr>
            <w:tcW w:w="14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213,559</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122,607</w:t>
            </w:r>
          </w:p>
        </w:tc>
        <w:tc>
          <w:tcPr>
            <w:tcW w:w="0" w:type="dxa"/>
            <w:vAlign w:val="bottom"/>
          </w:tcPr>
          <w:p>
            <w:pPr>
              <w:spacing w:after="0"/>
              <w:rPr>
                <w:sz w:val="1"/>
                <w:szCs w:val="1"/>
                <w:color w:val="auto"/>
              </w:rPr>
            </w:pPr>
          </w:p>
        </w:tc>
      </w:tr>
      <w:tr>
        <w:trPr>
          <w:trHeight w:val="162"/>
        </w:trPr>
        <w:tc>
          <w:tcPr>
            <w:tcW w:w="7320" w:type="dxa"/>
            <w:vAlign w:val="bottom"/>
            <w:gridSpan w:val="2"/>
            <w:shd w:val="clear" w:color="auto" w:fill="CFF0FC"/>
          </w:tcPr>
          <w:p>
            <w:pPr>
              <w:ind w:left="200"/>
              <w:spacing w:after="0" w:line="162" w:lineRule="exact"/>
              <w:rPr>
                <w:sz w:val="20"/>
                <w:szCs w:val="20"/>
                <w:color w:val="auto"/>
              </w:rPr>
            </w:pPr>
            <w:r>
              <w:rPr>
                <w:rFonts w:ascii="Arial" w:cs="Arial" w:eastAsia="Arial" w:hAnsi="Arial"/>
                <w:sz w:val="18"/>
                <w:szCs w:val="18"/>
                <w:color w:val="auto"/>
              </w:rPr>
              <w:t>Effect of exchange rate changes on cash, cash equivalents and</w:t>
            </w:r>
          </w:p>
        </w:tc>
        <w:tc>
          <w:tcPr>
            <w:tcW w:w="440" w:type="dxa"/>
            <w:vAlign w:val="bottom"/>
            <w:shd w:val="clear" w:color="auto" w:fill="CFF0FC"/>
          </w:tcPr>
          <w:p>
            <w:pPr>
              <w:spacing w:after="0"/>
              <w:rPr>
                <w:sz w:val="14"/>
                <w:szCs w:val="14"/>
                <w:color w:val="auto"/>
              </w:rPr>
            </w:pPr>
          </w:p>
        </w:tc>
        <w:tc>
          <w:tcPr>
            <w:tcW w:w="1460" w:type="dxa"/>
            <w:vAlign w:val="bottom"/>
            <w:vMerge w:val="restart"/>
            <w:shd w:val="clear" w:color="auto" w:fill="CFF0FC"/>
          </w:tcPr>
          <w:p>
            <w:pPr>
              <w:jc w:val="right"/>
              <w:ind w:right="15"/>
              <w:spacing w:after="0"/>
              <w:rPr>
                <w:sz w:val="20"/>
                <w:szCs w:val="20"/>
                <w:color w:val="auto"/>
              </w:rPr>
            </w:pPr>
            <w:r>
              <w:rPr>
                <w:rFonts w:ascii="Arial" w:cs="Arial" w:eastAsia="Arial" w:hAnsi="Arial"/>
                <w:sz w:val="18"/>
                <w:szCs w:val="18"/>
                <w:color w:val="auto"/>
              </w:rPr>
              <w:t>1,303</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(587 )</w:t>
            </w:r>
          </w:p>
        </w:tc>
        <w:tc>
          <w:tcPr>
            <w:tcW w:w="0" w:type="dxa"/>
            <w:vAlign w:val="bottom"/>
          </w:tcPr>
          <w:p>
            <w:pPr>
              <w:spacing w:after="0"/>
              <w:rPr>
                <w:sz w:val="1"/>
                <w:szCs w:val="1"/>
                <w:color w:val="auto"/>
              </w:rPr>
            </w:pPr>
          </w:p>
        </w:tc>
      </w:tr>
      <w:tr>
        <w:trPr>
          <w:trHeight w:val="203"/>
        </w:trPr>
        <w:tc>
          <w:tcPr>
            <w:tcW w:w="7320" w:type="dxa"/>
            <w:vAlign w:val="bottom"/>
            <w:tcBorders>
              <w:bottom w:val="single" w:sz="8" w:color="CFF0FC"/>
            </w:tcBorders>
            <w:gridSpan w:val="2"/>
            <w:shd w:val="clear" w:color="auto" w:fill="CFF0FC"/>
          </w:tcPr>
          <w:p>
            <w:pPr>
              <w:ind w:left="340"/>
              <w:spacing w:after="0" w:line="202" w:lineRule="exact"/>
              <w:rPr>
                <w:sz w:val="20"/>
                <w:szCs w:val="20"/>
                <w:color w:val="auto"/>
              </w:rPr>
            </w:pPr>
            <w:r>
              <w:rPr>
                <w:rFonts w:ascii="Arial" w:cs="Arial" w:eastAsia="Arial" w:hAnsi="Arial"/>
                <w:sz w:val="18"/>
                <w:szCs w:val="18"/>
                <w:color w:val="auto"/>
              </w:rPr>
              <w:t>restricted cash</w:t>
            </w:r>
          </w:p>
        </w:tc>
        <w:tc>
          <w:tcPr>
            <w:tcW w:w="4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Net increase in cash, cash equivalents, and restricted cash</w:t>
            </w:r>
          </w:p>
        </w:tc>
        <w:tc>
          <w:tcPr>
            <w:tcW w:w="440" w:type="dxa"/>
            <w:vAlign w:val="bottom"/>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5"/>
              <w:spacing w:after="0" w:line="196" w:lineRule="exact"/>
              <w:rPr>
                <w:sz w:val="20"/>
                <w:szCs w:val="20"/>
                <w:color w:val="auto"/>
              </w:rPr>
            </w:pPr>
            <w:r>
              <w:rPr>
                <w:rFonts w:ascii="Arial" w:cs="Arial" w:eastAsia="Arial" w:hAnsi="Arial"/>
                <w:sz w:val="18"/>
                <w:szCs w:val="18"/>
                <w:color w:val="auto"/>
              </w:rPr>
              <w:t>198,499</w:t>
            </w:r>
          </w:p>
        </w:tc>
        <w:tc>
          <w:tcPr>
            <w:tcW w:w="860" w:type="dxa"/>
            <w:vAlign w:val="bottom"/>
            <w:gridSpan w:val="2"/>
          </w:tcPr>
          <w:p>
            <w:pPr>
              <w:jc w:val="right"/>
              <w:ind w:right="580"/>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135,629</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-159385</wp:posOffset>
            </wp:positionV>
            <wp:extent cx="11112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125" cy="5715"/>
                    </a:xfrm>
                    <a:prstGeom prst="rect">
                      <a:avLst/>
                    </a:prstGeom>
                    <a:noFill/>
                  </pic:spPr>
                </pic:pic>
              </a:graphicData>
            </a:graphic>
          </wp:anchor>
        </w:drawing>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Net cash provided by operating activities for the year ended December 31, 2021 was $4.6 million, including net income of $3.0 million. We also incurred non-cash stock-based compensation expense, interest expenses for accretion of the legal settlement liabilities, and depreciation and amortization of $6.6 million, $1.7 million, and $1.2 million, respectively. Usage of cash included an increase of trade accounts receivable of $12.4 million due to an increase in sales, an increase in inventories of $7.1 million, an increase in prepaid expenses and other assets of $6.3 million, and a decrease in the legal settlement liability of $3.7 million due to payment to BD of $6.0 million, which is offset by increased royalty accrual. This was partially offset by an increase in deferred revenue of $10.0 million and an increase in accrued expenses and other liabilities of $11.0 million.</w:t>
      </w:r>
    </w:p>
    <w:p>
      <w:pPr>
        <w:spacing w:after="0" w:line="13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Net cash provided by operating activities for the year ended December 31, 2020 was $15.2 million, consisting primarily of net income of $19.4 million, an increase in accrued expenses and other liabilities of $8.2 million directly attributable to an increase in headcount and the corresponding personnel-related costs, and an increase in inventories of $5.7 million to accommodate increase in sales volume.</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Net cash used in investing activities during the year ended December 31, 2021 was $21.0 million driven by our acquisition of Tonbo's reagents business for $17.0 million, an increase in purchases of property and equipment of $4.4 million partially offset by the payment for the additional investment in Cytek Japan, net of cash acquired of $371,000. See Note 17 to our consolidated financial statements included elsewhere in this Annual Report on Form 10-K.</w:t>
      </w:r>
    </w:p>
    <w:p>
      <w:pPr>
        <w:spacing w:after="0" w:line="16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Net cash used in investing activities during the year ended December 31, 2020 was $1.5 million primarily driven by an increase in capital expenditures for laboratory equipment of $1.1 million and an increase in leasehold improvements of $344,000.</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5"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Net cash provided by financing activities during the year ended December 31, 2021 was $213.6 million primarily driven by our IPO, which resulted in net proceeds to us of approximately $215.7 million.</w:t>
      </w:r>
    </w:p>
    <w:p>
      <w:pPr>
        <w:spacing w:after="0" w:line="13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Net cash provided by financing activities during the year ended December 31, 2020 was $122.6 million primarily driven by the issuance of our Series D redeemable convertible preferred stock in October 2020 for net proceeds of $119.7 million, net proceeds from the PPP loan of $2.8 million and $169,000 from the issuance of common stock upon option exercises.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During the year ended December 31, 2021, there were no material changes to our contractual obligations and commitments from those described under “Management’s Discussion and Analysis of Financial Condition” which is contained in our final prospectus dated July 22, 2021 and filed with the SEC on July 23, 2021 pursuant to Rule 424(b)(4) under the Securities Act in connection with our IPO.</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02"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We have prepared our consolidated financial statements in accordance with U.S. GAAP. Our preparation of these consolidated financial statements requires us to make estimates, assumptions and judgments that affect the reported amounts of assets, liabilities, revenue, expenses, and related disclosures. We evaluate our estimates and judgments on an ongoing basis. We based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The economic uncertainty in the current environment caused by the COVID-19 pandemic could limit our ability to accurately make and evaluate our estimates and judgments.</w:t>
      </w:r>
    </w:p>
    <w:p>
      <w:pPr>
        <w:spacing w:after="0" w:line="7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Actual results could therefore differ materially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While our significant accounting policies are described in Note 2 to our consolidated financial statements included elsewhere in this Annual Report on Form 10-K, we believe that the following accounting policies are the most critical to understanding and evaluating our reported consolidated financial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Our product revenue primarily consists of sale of our Aurora, Aurora CS and Northern Lights systems, instrument accessories, such as loaders and, to a lesser extent, consumables such as reagents. We offer multiple versions of our Aurora and Northern Lights systems with different price points based on the number of lasers integrated in the systems. We also derive revenue from sales of our conventional flow cytometry system, which is available for sale in China. We recognize product revenue when control of the instrument is transferred to the customer.</w:t>
      </w:r>
    </w:p>
    <w:p>
      <w:pPr>
        <w:spacing w:after="0" w:line="63"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Our service revenue consists of post-warranty service contracts, preventative maintenance plans, repairs, installation and quality check, customer training and other specialized product support services. We recognize service contract revenue ratably over the term of the contract and other service obligations as they are performed. 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we perform the following five steps: (i) identify the contract(s) with a customer; (ii) identify the performance obligations in the contract;</w:t>
      </w:r>
    </w:p>
    <w:p>
      <w:pPr>
        <w:spacing w:after="0" w:line="2" w:lineRule="exact"/>
        <w:rPr>
          <w:sz w:val="20"/>
          <w:szCs w:val="20"/>
          <w:color w:val="auto"/>
        </w:rPr>
      </w:pPr>
    </w:p>
    <w:p>
      <w:pPr>
        <w:ind w:firstLine="3"/>
        <w:spacing w:after="0" w:line="260" w:lineRule="auto"/>
        <w:tabs>
          <w:tab w:leader="none" w:pos="32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determine the transaction price; (iv) allocate the transaction price to the performance obligations in the contract; and (v) recognize revenue when (or as) the entity satisfies a performance obligation.</w:t>
      </w:r>
    </w:p>
    <w:p>
      <w:pPr>
        <w:spacing w:after="0" w:line="7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defined as the unit of account for revenue recognition under the contract with customers guidance. Performance obligations are considered distinct if they are both capable of being distinct, and distinct within the context of the contract. The Company identified the following performance obligations in the contracts: product sales of instrument systems, installation on instrument systems, delivery of instrument accessories such as loaders, consumables, reagents, extended service contracts and professional services revenue for post-warranty service contracts, preventative maintenance plans, repairs, installations, training, time and material services and other specialized support services. A good or service is distinct when the customer can benefit from the good or service either on its own or together with other resources that are readily available from third parties or from the Company, and is distinct in the context of the contract, where the transfer of the good or service is separately identifiable from other promises in the contract.</w:t>
      </w:r>
    </w:p>
    <w:p>
      <w:pPr>
        <w:spacing w:after="0" w:line="7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Payments from customers are in arrears. For arrangements where the anticipated period between timing of transfer of services and the timing of payment is one year or less, we have elected to not assess whether a significant financing component exists. For arrangements with terms greater than one year, payments are received up-front and are for reasons other than financing. Revenue is recognized only to the extent that it is probable that a significant reversal of the cumulative amount recognized will not occur in future periods.</w:t>
      </w:r>
    </w:p>
    <w:p>
      <w:pPr>
        <w:spacing w:after="0" w:line="79"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Certain of our sales contracts involve the delivery or performance of multiple products and services within contractually binding arrangements. Significant judgment is sometimes required to determine the appropriate accounting for such arrangements, including whether the deliverables specified in a contract with multiple promises should be treated as separate performance obligations for revenue recognition purposes and, if so, how the related sales price should be allocated among the performance obligations, when to recognize revenue for each performance obligation, and the period over which revenue should be recognized. For most of our performance obligations, we have established the stand-alone selling prices (“SSP”) as a range rather than a single value, based on standalone sales of products. We allocate revenue to the performance obligations based on their relative standalone selling prices SSP.</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432" w:right="339" w:bottom="1440" w:gutter="0" w:footer="0" w:header="0"/>
        </w:sectPr>
      </w:pPr>
    </w:p>
    <w:bookmarkStart w:id="67" w:name="page68"/>
    <w:bookmarkEnd w:id="67"/>
    <w:p>
      <w:pPr>
        <w:jc w:val="both"/>
        <w:ind w:firstLine="509"/>
        <w:spacing w:after="0" w:line="263" w:lineRule="auto"/>
        <w:rPr>
          <w:sz w:val="20"/>
          <w:szCs w:val="20"/>
          <w:color w:val="auto"/>
        </w:rPr>
      </w:pPr>
      <w:r>
        <w:rPr>
          <w:rFonts w:ascii="Arial" w:cs="Arial" w:eastAsia="Arial" w:hAnsi="Arial"/>
          <w:sz w:val="18"/>
          <w:szCs w:val="18"/>
          <w:color w:val="auto"/>
        </w:rPr>
        <w:t>Taxes, such as sales, value-add and other taxes, collected from customers concurrent with revenue generating activities and remitted to governmental authorities are not included in revenue. Shipping and handling costs associated with outbound freight are accounted for as a fulfillment cost and are included in cost of sales.</w:t>
      </w:r>
    </w:p>
    <w:p>
      <w:pPr>
        <w:spacing w:after="0" w:line="7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following describes the nature of our primary types of revenue and the revenue recognition policies and significant payment terms as they pertain to the types of transactions we enter into with our customers.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30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standard arrangement for sales to end users is generally a purchase order or an executed contract. Product revenue is recognized upon transfer of control of the product to the customer, which, for us, generally occurs at a point in time depending on the shipping terms. Payment terms are generally 30 to 90 days from the date of invoicing.</w:t>
      </w:r>
    </w:p>
    <w:p>
      <w:pPr>
        <w:spacing w:after="0" w:line="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distributor arrangements with our customers include a purchase order. The purchase order is governed by terms and conditions of the distributor agreements. Revenue is recognized upon transfer of control of the products to the distributor, which for us, occurs at a point in time depending on the shipping terms.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30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Our services are primarily a mix of service contracts, installation services, and time and material-based repair and support. We recognize revenue from the sale of service contracts over the respective period, while revenue on product support is recognized as the services are performed. Service contracts are typically between one and three years. Payment terms are generally 30 days from the date of invoicing. Installation revenue is recognized upon completion of the installation, which, for us, occurs at a point in time.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30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Contract assets are recorded when the amount of revenue recognized exceeds the amount invoiced to the customer and the right to payment is not solely subject to the passage of time. As of December 31, 2021 and 2020, we had immaterial amounts of contract assets included within prepaid expenses and other current assets on the consolidated balance sheets.</w:t>
      </w:r>
    </w:p>
    <w:p>
      <w:pPr>
        <w:spacing w:after="0" w:line="29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Contract liabilities consist of fees invoiced or paid by our customers for which the associated services have not been performed and revenue has not been recognized based on our revenue recognition criteria described above. Such amounts are reported as deferred revenue for service and customer deposits for instruments on the consolidated balance sheets. Deferred revenue that is expected to be recognized during the following 12 months is recorded as a current liability and the remaining portion is recorded as noncurrent.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Assurance-type product warranties</w:t>
      </w:r>
    </w:p>
    <w:p>
      <w:pPr>
        <w:spacing w:after="0" w:line="306"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provide a one-year assurance-type warranty that is included with the sale of our instruments. At the time revenue is recognized for the products, we establish an accrual for estimated warranty expense based on historical data and trends of product reliability and costs of repairing and replacing defective products. We exercise judgment in estimating the expected product warranty costs, using data such as the historical repair costs. While we believe that historical experience provides a reliable basis for estimating such warranty cost, unforeseen quality issues or component failure rates could result in future costs in excess of such estimates, or alternatively, improved quality and reliability in our products could result in actual expenses that are below those currently estimated.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6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January 2017, the FASB issued ASU 2017-04, Intangibles – Goodwill and Other: Simplifying the Test for Goodwill Impairment, to simplify the subsequent measurement of goodwill by eliminating Step 2 from the goodwill impairment test. We adopted this guidance during the year ended December 31, 2019, and the adoption did not have a material impact on the consolidated financial statements.</w:t>
      </w:r>
    </w:p>
    <w:p>
      <w:pPr>
        <w:spacing w:after="0" w:line="292"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We recognize goodwill in accounting for business combinations based on the amount by which the total consideration transferred, exceeds the fair value of identifiable assets acquired and liabilities assumed. Identifiable intangible assets other than goodwill are primarily comprised of patents and trademarks which amortize on a straight-line basis over an assigned useful life based on</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436" w:right="339" w:bottom="1440" w:gutter="0" w:footer="0" w:header="0"/>
        </w:sectPr>
      </w:pPr>
    </w:p>
    <w:bookmarkStart w:id="68" w:name="page69"/>
    <w:bookmarkEnd w:id="68"/>
    <w:p>
      <w:pPr>
        <w:ind w:left="20"/>
        <w:spacing w:after="0"/>
        <w:rPr>
          <w:sz w:val="20"/>
          <w:szCs w:val="20"/>
          <w:color w:val="auto"/>
        </w:rPr>
      </w:pPr>
      <w:r>
        <w:rPr>
          <w:rFonts w:ascii="Arial" w:cs="Arial" w:eastAsia="Arial" w:hAnsi="Arial"/>
          <w:sz w:val="18"/>
          <w:szCs w:val="18"/>
          <w:color w:val="auto"/>
        </w:rPr>
        <w:t>management’s estimate of the period the asset is expected to contribute to future cash flows.</w:t>
      </w:r>
    </w:p>
    <w:p>
      <w:pPr>
        <w:spacing w:after="0" w:line="333" w:lineRule="exact"/>
        <w:rPr>
          <w:sz w:val="20"/>
          <w:szCs w:val="20"/>
          <w:color w:val="auto"/>
        </w:rPr>
      </w:pPr>
    </w:p>
    <w:p>
      <w:pPr>
        <w:jc w:val="both"/>
        <w:ind w:left="20" w:firstLine="509"/>
        <w:spacing w:after="0" w:line="293" w:lineRule="auto"/>
        <w:rPr>
          <w:sz w:val="20"/>
          <w:szCs w:val="20"/>
          <w:color w:val="auto"/>
        </w:rPr>
      </w:pPr>
      <w:r>
        <w:rPr>
          <w:rFonts w:ascii="Arial" w:cs="Arial" w:eastAsia="Arial" w:hAnsi="Arial"/>
          <w:sz w:val="16"/>
          <w:szCs w:val="16"/>
          <w:color w:val="auto"/>
        </w:rPr>
        <w:t>We assess our goodwill and indefinite-lived intangible assets for impairment at least annually in the fourth quarter, or more frequently if factors indicate impairment may exist. Our qualitative goodwill impairment analysis consists of assessing whether any events or circumstances listed in ASC 350-20-35-3A (“triggering events”) existed or occurred in the year under review to the date of the financial statements. The qualitative analysis assesses macroeconomic conditions, market, and industry considerations, change in cost factors, overall company financial performance, and any events affecting the reporting unit. Based on the qualitative analysis results, we determined that it is more likely than not that the fair values of the reporting unit exceed the carrying value and that no triggering events were noted that would require a quantitative impairment assessment in the fiscal year.</w:t>
      </w:r>
    </w:p>
    <w:p>
      <w:pPr>
        <w:spacing w:after="0" w:line="27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306" w:lineRule="exact"/>
        <w:rPr>
          <w:sz w:val="20"/>
          <w:szCs w:val="20"/>
          <w:color w:val="auto"/>
        </w:rPr>
      </w:pPr>
    </w:p>
    <w:p>
      <w:pPr>
        <w:jc w:val="both"/>
        <w:ind w:left="20" w:firstLine="509"/>
        <w:spacing w:after="0" w:line="277" w:lineRule="auto"/>
        <w:rPr>
          <w:sz w:val="20"/>
          <w:szCs w:val="20"/>
          <w:color w:val="auto"/>
        </w:rPr>
      </w:pPr>
      <w:r>
        <w:rPr>
          <w:rFonts w:ascii="Arial" w:cs="Arial" w:eastAsia="Arial" w:hAnsi="Arial"/>
          <w:sz w:val="18"/>
          <w:szCs w:val="18"/>
          <w:color w:val="auto"/>
        </w:rPr>
        <w:t>We maintain an equity incentive compensation plan under which incentive stock options and nonqualified stock options to purchase common stock, and restricted stock units for common stock, are granted primarily to employees and non-employee consultants.</w:t>
      </w:r>
    </w:p>
    <w:p>
      <w:pPr>
        <w:spacing w:after="0" w:line="278" w:lineRule="exact"/>
        <w:rPr>
          <w:sz w:val="20"/>
          <w:szCs w:val="20"/>
          <w:color w:val="auto"/>
        </w:rPr>
      </w:pPr>
    </w:p>
    <w:p>
      <w:pPr>
        <w:jc w:val="both"/>
        <w:ind w:left="20" w:right="20" w:firstLine="509"/>
        <w:spacing w:after="0" w:line="308" w:lineRule="auto"/>
        <w:rPr>
          <w:sz w:val="20"/>
          <w:szCs w:val="20"/>
          <w:color w:val="auto"/>
        </w:rPr>
      </w:pPr>
      <w:r>
        <w:rPr>
          <w:rFonts w:ascii="Arial" w:cs="Arial" w:eastAsia="Arial" w:hAnsi="Arial"/>
          <w:sz w:val="17"/>
          <w:szCs w:val="17"/>
          <w:color w:val="auto"/>
        </w:rPr>
        <w:t>Stock-based compensation cost is measured at the grant date based on the fair value of the award and is recognized as expense over the vesting period. The fair value of stock options is estimated using the Black- Scholes option pricing model. We record forfeitures as they occur.</w:t>
      </w:r>
    </w:p>
    <w:p>
      <w:pPr>
        <w:spacing w:after="0" w:line="254" w:lineRule="exact"/>
        <w:rPr>
          <w:sz w:val="20"/>
          <w:szCs w:val="20"/>
          <w:color w:val="auto"/>
        </w:rPr>
      </w:pPr>
    </w:p>
    <w:p>
      <w:pPr>
        <w:jc w:val="both"/>
        <w:ind w:left="20" w:firstLine="509"/>
        <w:spacing w:after="0" w:line="255" w:lineRule="auto"/>
        <w:rPr>
          <w:sz w:val="20"/>
          <w:szCs w:val="20"/>
          <w:color w:val="auto"/>
        </w:rPr>
      </w:pPr>
      <w:r>
        <w:rPr>
          <w:rFonts w:ascii="Arial" w:cs="Arial" w:eastAsia="Arial" w:hAnsi="Arial"/>
          <w:sz w:val="18"/>
          <w:szCs w:val="18"/>
          <w:color w:val="auto"/>
        </w:rPr>
        <w:t>The Black-Scholes model considers several variables and assumptions in estimating the fair value of stock- based awards. These variables include the per share fair value of the underlying common stock, exercise price, expected term, risk-free interest rate, expected annual dividend yield and expected stock price volatility over the expected term. For all stock options granted, we calculated the expected term using the simplified method for standard stock option awards. After our IPO, the fair value of our common stock is determined by the closing price of our common stock on the date of grant as reported on the Nasdaq Global Select Market. The risk-free interest rate is based on the yield available on U.S. Treasury zero-coupon issues similar in duration to the expected term of the equity-settled award.</w:t>
      </w:r>
    </w:p>
    <w:p>
      <w:pPr>
        <w:spacing w:after="0" w:line="300" w:lineRule="exact"/>
        <w:rPr>
          <w:sz w:val="20"/>
          <w:szCs w:val="20"/>
          <w:color w:val="auto"/>
        </w:rPr>
      </w:pPr>
    </w:p>
    <w:p>
      <w:pPr>
        <w:jc w:val="both"/>
        <w:ind w:left="20" w:firstLine="509"/>
        <w:spacing w:after="0" w:line="277" w:lineRule="auto"/>
        <w:rPr>
          <w:sz w:val="20"/>
          <w:szCs w:val="20"/>
          <w:color w:val="auto"/>
        </w:rPr>
      </w:pPr>
      <w:r>
        <w:rPr>
          <w:rFonts w:ascii="Arial" w:cs="Arial" w:eastAsia="Arial" w:hAnsi="Arial"/>
          <w:sz w:val="18"/>
          <w:szCs w:val="18"/>
          <w:color w:val="auto"/>
        </w:rPr>
        <w:t>The following table summarizes the weighted-average assumptions used in estimating the fair value of stock options granted during each of the periods presented:</w:t>
      </w:r>
    </w:p>
    <w:p>
      <w:pPr>
        <w:spacing w:after="0" w:line="67"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60" w:type="dxa"/>
            <w:vAlign w:val="bottom"/>
          </w:tcPr>
          <w:p>
            <w:pPr>
              <w:spacing w:after="0"/>
              <w:rPr>
                <w:sz w:val="14"/>
                <w:szCs w:val="14"/>
                <w:color w:val="auto"/>
              </w:rPr>
            </w:pPr>
          </w:p>
        </w:tc>
        <w:tc>
          <w:tcPr>
            <w:tcW w:w="10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gridSpan w:val="2"/>
          </w:tcPr>
          <w:p>
            <w:pPr>
              <w:jc w:val="right"/>
              <w:ind w:right="710"/>
              <w:spacing w:after="0"/>
              <w:rPr>
                <w:sz w:val="20"/>
                <w:szCs w:val="20"/>
                <w:color w:val="auto"/>
              </w:rPr>
            </w:pPr>
            <w:r>
              <w:rPr>
                <w:rFonts w:ascii="Arial" w:cs="Arial" w:eastAsia="Arial" w:hAnsi="Arial"/>
                <w:sz w:val="14"/>
                <w:szCs w:val="14"/>
                <w:b w:val="1"/>
                <w:bCs w:val="1"/>
                <w:color w:val="auto"/>
              </w:rPr>
              <w:t>2020</w:t>
            </w: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Expected term (in years)</w:t>
            </w:r>
          </w:p>
        </w:tc>
        <w:tc>
          <w:tcPr>
            <w:tcW w:w="10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6.05</w:t>
            </w:r>
          </w:p>
        </w:tc>
        <w:tc>
          <w:tcPr>
            <w:tcW w:w="200" w:type="dxa"/>
            <w:vAlign w:val="bottom"/>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5.96</w:t>
            </w:r>
          </w:p>
        </w:tc>
      </w:tr>
      <w:tr>
        <w:trPr>
          <w:trHeight w:val="203"/>
        </w:trPr>
        <w:tc>
          <w:tcPr>
            <w:tcW w:w="86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90 %</w:t>
            </w:r>
          </w:p>
        </w:tc>
        <w:tc>
          <w:tcPr>
            <w:tcW w:w="1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83 %</w:t>
            </w:r>
          </w:p>
        </w:tc>
      </w:tr>
      <w:tr>
        <w:trPr>
          <w:trHeight w:val="203"/>
        </w:trPr>
        <w:tc>
          <w:tcPr>
            <w:tcW w:w="86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c>
          <w:tcPr>
            <w:tcW w:w="18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r>
      <w:tr>
        <w:trPr>
          <w:trHeight w:val="230"/>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6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80" w:type="dxa"/>
            <w:vAlign w:val="bottom"/>
          </w:tcPr>
          <w:p>
            <w:pPr>
              <w:jc w:val="right"/>
              <w:ind w:right="23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7" w:lineRule="exact"/>
        <w:rPr>
          <w:sz w:val="20"/>
          <w:szCs w:val="20"/>
          <w:color w:val="auto"/>
        </w:rPr>
      </w:pPr>
    </w:p>
    <w:p>
      <w:pPr>
        <w:ind w:left="40" w:hanging="9"/>
        <w:spacing w:after="0" w:line="261" w:lineRule="auto"/>
        <w:rPr>
          <w:sz w:val="20"/>
          <w:szCs w:val="20"/>
          <w:color w:val="auto"/>
        </w:rPr>
      </w:pPr>
      <w:r>
        <w:rPr>
          <w:rFonts w:ascii="Arial" w:cs="Arial" w:eastAsia="Arial" w:hAnsi="Arial"/>
          <w:sz w:val="18"/>
          <w:szCs w:val="18"/>
          <w:color w:val="auto"/>
        </w:rPr>
        <w:t>Expected volatility—Expected volatility is estimated by studying the volatility of selected industry peers deemed to be comparable to our business corresponding to the expected term of the awards.</w:t>
      </w:r>
    </w:p>
    <w:p>
      <w:pPr>
        <w:spacing w:after="0" w:line="346" w:lineRule="exact"/>
        <w:rPr>
          <w:sz w:val="20"/>
          <w:szCs w:val="20"/>
          <w:color w:val="auto"/>
        </w:rPr>
      </w:pPr>
    </w:p>
    <w:p>
      <w:pPr>
        <w:ind w:left="40" w:hanging="9"/>
        <w:spacing w:after="0" w:line="261" w:lineRule="auto"/>
        <w:rPr>
          <w:sz w:val="20"/>
          <w:szCs w:val="20"/>
          <w:color w:val="auto"/>
        </w:rPr>
      </w:pPr>
      <w:r>
        <w:rPr>
          <w:rFonts w:ascii="Arial" w:cs="Arial" w:eastAsia="Arial" w:hAnsi="Arial"/>
          <w:sz w:val="18"/>
          <w:szCs w:val="18"/>
          <w:color w:val="auto"/>
        </w:rPr>
        <w:t>Expected term—Expected term represents the period that our stock-based awards are expected to be outstanding and is determined using the simplified method.</w:t>
      </w:r>
    </w:p>
    <w:p>
      <w:pPr>
        <w:spacing w:after="0" w:line="333" w:lineRule="exact"/>
        <w:rPr>
          <w:sz w:val="20"/>
          <w:szCs w:val="20"/>
          <w:color w:val="auto"/>
        </w:rPr>
      </w:pPr>
    </w:p>
    <w:p>
      <w:pPr>
        <w:ind w:left="40" w:right="20" w:hanging="9"/>
        <w:spacing w:after="0" w:line="261" w:lineRule="auto"/>
        <w:rPr>
          <w:sz w:val="20"/>
          <w:szCs w:val="20"/>
          <w:color w:val="auto"/>
        </w:rPr>
      </w:pPr>
      <w:r>
        <w:rPr>
          <w:rFonts w:ascii="Arial" w:cs="Arial" w:eastAsia="Arial" w:hAnsi="Arial"/>
          <w:sz w:val="18"/>
          <w:szCs w:val="18"/>
          <w:color w:val="auto"/>
        </w:rPr>
        <w:t>Risk-free interest rate—The risk-free interest rate is based on the U.S. Treasury zero-coupon issued in effect at the time of grant for periods corresponding with the expected term of the option.</w:t>
      </w:r>
    </w:p>
    <w:p>
      <w:pPr>
        <w:spacing w:after="0" w:line="346" w:lineRule="exact"/>
        <w:rPr>
          <w:sz w:val="20"/>
          <w:szCs w:val="20"/>
          <w:color w:val="auto"/>
        </w:rPr>
      </w:pPr>
    </w:p>
    <w:p>
      <w:pPr>
        <w:ind w:left="40" w:hanging="9"/>
        <w:spacing w:after="0" w:line="261" w:lineRule="auto"/>
        <w:rPr>
          <w:sz w:val="20"/>
          <w:szCs w:val="20"/>
          <w:color w:val="auto"/>
        </w:rPr>
      </w:pPr>
      <w:r>
        <w:rPr>
          <w:rFonts w:ascii="Arial" w:cs="Arial" w:eastAsia="Arial" w:hAnsi="Arial"/>
          <w:sz w:val="18"/>
          <w:szCs w:val="18"/>
          <w:color w:val="auto"/>
        </w:rPr>
        <w:t>Dividend yield— The expected dividend yield is zero as we have never declared or paid cash dividends and have no current plans to do so in the foreseeable future.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Common stock valuation</w:t>
      </w:r>
    </w:p>
    <w:p>
      <w:pPr>
        <w:spacing w:after="0" w:line="306"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There was no public market for our common stock prior to our IPO. As such, the estimated fair value of our common stock was determined at each grant date by our board of directors, with input from management, based on the information known to us on the grant date and upon review of any recent events and their potential impact on the estimated per share fair value of our common stock. As part of these fair value determinations, our Board of Directors obtained and considered valuation reports prepared by third-party valuation firms in accordance with the guidance outlined in the American Institute of Certified Public Accountants Technical Practice Aid, Valuation of Privately-Held-Company Equity Securities Issued as Compensation.</w:t>
      </w:r>
    </w:p>
    <w:p>
      <w:pPr>
        <w:spacing w:after="0" w:line="132"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In contemplation of an IPO, we began using a hybrid approach in determining the fair value of our common stock that includes a probability-weighted expected return method, or PWERM, and an option pricing method, or OPM. Under a PWERM, the fair market value of the common stock is estimated based upon an analysis of future values for the enterprise assuming various future outcomes. Within one of those potential outcomes, we utilized the OPM. The OPM treats the rights of the holders of redeemable convertible preferred stock and common stock as equivalent to that of call options on any value of the enterprise above certain break points of value based upon the liquidation preferences of the holders of redeemable convertible preferred stock, as well as their rights to participation and conversion. Based on the timing and nature of an assumed liquidity event in each scenario, a discount for lack of marketability either was or was not applied to each scenario, as appropriate. We then probability-weighted the value of each expected outcome to arrive at an estimate of fair value per share of common stock.</w:t>
      </w:r>
    </w:p>
    <w:p>
      <w:pPr>
        <w:spacing w:after="0" w:line="140"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In addition to considering the results of these third-party valuation reports, our board of directors used assumptions based on various objective and subjective factors, combined with management judgment, to determine the fair value of our common stock as of each grant date, including:</w:t>
      </w:r>
    </w:p>
    <w:p>
      <w:pPr>
        <w:spacing w:after="0" w:line="322" w:lineRule="exact"/>
        <w:rPr>
          <w:sz w:val="20"/>
          <w:szCs w:val="20"/>
          <w:color w:val="auto"/>
        </w:rPr>
      </w:pPr>
    </w:p>
    <w:p>
      <w:pPr>
        <w:ind w:left="1000" w:hanging="503"/>
        <w:spacing w:after="0" w:line="261"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prices at which we sold shares of redeemable convertible preferred stock and the superior rights and preferences of the redeemable convertible preferred stock relative to our common stock at the time of each grant;</w:t>
      </w:r>
    </w:p>
    <w:p>
      <w:pPr>
        <w:spacing w:after="0" w:line="265" w:lineRule="exact"/>
        <w:rPr>
          <w:rFonts w:ascii="Arial" w:cs="Arial" w:eastAsia="Arial" w:hAnsi="Arial"/>
          <w:sz w:val="18"/>
          <w:szCs w:val="18"/>
          <w:color w:val="auto"/>
        </w:rPr>
      </w:pPr>
    </w:p>
    <w:p>
      <w:pPr>
        <w:ind w:left="1000" w:hanging="50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research and development industry and trends within the industry;</w:t>
      </w:r>
    </w:p>
    <w:p>
      <w:pPr>
        <w:spacing w:after="0" w:line="306" w:lineRule="exact"/>
        <w:rPr>
          <w:rFonts w:ascii="Arial" w:cs="Arial" w:eastAsia="Arial" w:hAnsi="Arial"/>
          <w:sz w:val="18"/>
          <w:szCs w:val="18"/>
          <w:color w:val="auto"/>
        </w:rPr>
      </w:pPr>
    </w:p>
    <w:p>
      <w:pPr>
        <w:ind w:left="1000" w:hanging="50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stage of development and business strategy;</w:t>
      </w:r>
    </w:p>
    <w:p>
      <w:pPr>
        <w:spacing w:after="0" w:line="306" w:lineRule="exact"/>
        <w:rPr>
          <w:rFonts w:ascii="Arial" w:cs="Arial" w:eastAsia="Arial" w:hAnsi="Arial"/>
          <w:sz w:val="18"/>
          <w:szCs w:val="18"/>
          <w:color w:val="auto"/>
        </w:rPr>
      </w:pPr>
    </w:p>
    <w:p>
      <w:pPr>
        <w:ind w:left="1000" w:hanging="50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financial condition and operating results, including our levels of available capital resources, and forecasted results;</w:t>
      </w:r>
    </w:p>
    <w:p>
      <w:pPr>
        <w:spacing w:after="0" w:line="306" w:lineRule="exact"/>
        <w:rPr>
          <w:rFonts w:ascii="Arial" w:cs="Arial" w:eastAsia="Arial" w:hAnsi="Arial"/>
          <w:sz w:val="18"/>
          <w:szCs w:val="18"/>
          <w:color w:val="auto"/>
        </w:rPr>
      </w:pPr>
    </w:p>
    <w:p>
      <w:pPr>
        <w:ind w:left="1000" w:hanging="50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in our business;</w:t>
      </w:r>
    </w:p>
    <w:p>
      <w:pPr>
        <w:spacing w:after="0" w:line="306" w:lineRule="exact"/>
        <w:rPr>
          <w:rFonts w:ascii="Arial" w:cs="Arial" w:eastAsia="Arial" w:hAnsi="Arial"/>
          <w:sz w:val="18"/>
          <w:szCs w:val="18"/>
          <w:color w:val="auto"/>
        </w:rPr>
      </w:pPr>
    </w:p>
    <w:p>
      <w:pPr>
        <w:ind w:left="1000" w:hanging="50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progress of our research and development efforts;</w:t>
      </w:r>
    </w:p>
    <w:p>
      <w:pPr>
        <w:spacing w:after="0" w:line="306" w:lineRule="exact"/>
        <w:rPr>
          <w:rFonts w:ascii="Arial" w:cs="Arial" w:eastAsia="Arial" w:hAnsi="Arial"/>
          <w:sz w:val="18"/>
          <w:szCs w:val="18"/>
          <w:color w:val="auto"/>
        </w:rPr>
      </w:pPr>
    </w:p>
    <w:p>
      <w:pPr>
        <w:ind w:left="1000" w:hanging="50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 and</w:t>
      </w:r>
    </w:p>
    <w:p>
      <w:pPr>
        <w:spacing w:after="0" w:line="306" w:lineRule="exact"/>
        <w:rPr>
          <w:rFonts w:ascii="Arial" w:cs="Arial" w:eastAsia="Arial" w:hAnsi="Arial"/>
          <w:sz w:val="18"/>
          <w:szCs w:val="18"/>
          <w:color w:val="auto"/>
        </w:rPr>
      </w:pPr>
    </w:p>
    <w:p>
      <w:pPr>
        <w:ind w:left="1000" w:hanging="50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United States market conditions and the lack of marketability of our common stock.</w:t>
      </w:r>
    </w:p>
    <w:p>
      <w:pPr>
        <w:spacing w:after="0" w:line="30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Application of these approaches involves the use of estimates, judgment and assumptions that are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settlement liability</w:t>
      </w:r>
    </w:p>
    <w:p>
      <w:pPr>
        <w:spacing w:after="0" w:line="10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not currently involved in legal proceedings as December 31, 2021. In case we will be involved in legal proceedings, we are required to assess the probability of loss and amount of such loss, if any, in preparing our consolidated financial statements. We evaluate the likelihood of a potential loss from legal proceedings to which we are a party. We record a liability for such claims when a loss is deemed probable, and the amount can be reasonably estimated. Significant judgment may be required in the determination of both probability and whether an exposure is reasonably estimable. Our judgments are subjective based on the status of the legal proceedings, the merits of our defenses and consultation with in-house and outside legal counsel. As additional information becomes</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436" w:right="339" w:bottom="1440" w:gutter="0" w:footer="0" w:header="0"/>
        </w:sectPr>
      </w:pPr>
    </w:p>
    <w:bookmarkStart w:id="70" w:name="page71"/>
    <w:bookmarkEnd w:id="70"/>
    <w:p>
      <w:pPr>
        <w:jc w:val="both"/>
        <w:spacing w:after="0" w:line="248" w:lineRule="auto"/>
        <w:rPr>
          <w:sz w:val="20"/>
          <w:szCs w:val="20"/>
          <w:color w:val="auto"/>
        </w:rPr>
      </w:pPr>
      <w:r>
        <w:rPr>
          <w:rFonts w:ascii="Arial" w:cs="Arial" w:eastAsia="Arial" w:hAnsi="Arial"/>
          <w:sz w:val="18"/>
          <w:szCs w:val="18"/>
          <w:color w:val="auto"/>
        </w:rPr>
        <w:t>available, we reassess the potential liability related to pending claims and may revise our estimates. Due to the inherent uncertainties of the legal processes in the multiple jurisdictions in which we operate, our judgments may be materially different than the actual outcomes, which could have material adverse effects on our business, financial conditions, and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See Note 2 to our consolidated financial statements included elsewhere in this Annual Report on Form 10-K for a description of recent accounting pronouncements applicable to our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7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April 2012, the Jumpstart Our Business Startups Act of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We have irrevocably elected to avail ourselves of this extended transition period and, as a result, we will not adopt new or revised accounting standards on the relevant dates on which adoption of such standards is required for other public companies. In addition, as an emerging growth company, we may take advantage of certain reduced disclosure and other requirements that are otherwise applicable generally to public companies.</w:t>
      </w:r>
    </w:p>
    <w:p>
      <w:pPr>
        <w:spacing w:after="0" w:line="16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may take advantage of these exemptions until such earlier time that we are no longer an emerging growth company. We would cease to be an emerging growth company on the date that is the earliest of (i) the last day of the fiscal year following the fifth anniversary of the date of the completion of our IPO; (ii) the last day of the fiscal year in which our total annual gross revenue is equal to or more than $1.07 billion; (iii) the date on which we have issued more than $1.0 billion in nonconvertible debt during the previous three years; or (iv) the date on which we are deemed to be a large accelerated filer under the rules of the SEC.</w:t>
      </w:r>
    </w:p>
    <w:p>
      <w:pPr>
        <w:spacing w:after="0" w:line="14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consolidated financial statements in our Annual Report on Form 10-K and, similar to emerging growth companies, smaller reporting companies have reduced disclosure obligations regarding executive compensation.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36"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02" w:lineRule="exact"/>
        <w:rPr>
          <w:sz w:val="20"/>
          <w:szCs w:val="20"/>
          <w:color w:val="auto"/>
        </w:rPr>
      </w:pPr>
    </w:p>
    <w:p>
      <w:pPr>
        <w:jc w:val="both"/>
        <w:ind w:right="200" w:firstLine="509"/>
        <w:spacing w:after="0" w:line="248"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market risk inherent in our financial instruments and in our financial condition represents the potential loss arising from adverse changes in interest rates or exchange rates. As of December 31, 2021, we had cash and cash equivalents of $364.6 million, which consisted primarily of money market funds and bank deposits. The primary objective of our investment is to preserve principal and provide liquidity. These money market funds and bank deposits generate interest income at variable rates below 1%.</w:t>
      </w:r>
    </w:p>
    <w:p>
      <w:pPr>
        <w:spacing w:after="0" w:line="14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therefore do not believe we are exposed to, nor do we anticipate being in the near future exposed to, material risk due to changes in interest rates because of the short-term nature of our cash and cash equivalents.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71"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Our revenue has been generated across the globe, mainly in the United States, Europe and Asia. Our foreign currency risk related to our revenue and operating expenses denominated in currencies other than the U.S. dollar, primarily the renminbi and the euro, causes both our revenue and our operating results to be impacted by fluctuations in the exchange rates.</w:t>
      </w:r>
    </w:p>
    <w:p>
      <w:pPr>
        <w:spacing w:after="0" w:line="15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 intended to minimize the impact of these fluctuations in the exchange rates. As our international operations grow, we intend to continue to reassess our approach to manage our risk relating to fluctuations in currency rates.</w:t>
      </w:r>
    </w:p>
    <w:p>
      <w:pPr>
        <w:spacing w:after="0" w:line="13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do not believe that either inflation or foreign currency risk had a material effect on our business, financial condition, or results of operations during the periods presented.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060"/>
        <w:spacing w:after="0" w:line="48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Cytek Biosciences, Inc.</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39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audited the accompanying consolidated balance sheets of Cytek Biosciences, Inc. and subsidiaries (the "Company") as of December 31, 2021 and 2020, the related consolidated statements of operations and comprehensive income, redeemable convertible preferred stock and stockholders' equity (deficit), and cash flows, for each of the two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two years in the period ended December 31, 2021, in conformity with accounting principles generally accepted in the United States of America.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9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5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36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17, 2022</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3" w:name="page74"/>
    <w:bookmarkEnd w:id="73"/>
    <w:p>
      <w:pPr>
        <w:jc w:val="center"/>
        <w:ind w:right="20"/>
        <w:spacing w:after="0"/>
        <w:rPr>
          <w:sz w:val="20"/>
          <w:szCs w:val="20"/>
          <w:color w:val="auto"/>
        </w:rPr>
      </w:pPr>
      <w:r>
        <w:rPr>
          <w:rFonts w:ascii="Arial" w:cs="Arial" w:eastAsia="Arial" w:hAnsi="Arial"/>
          <w:sz w:val="18"/>
          <w:szCs w:val="18"/>
          <w:b w:val="1"/>
          <w:bCs w:val="1"/>
          <w:color w:val="auto"/>
        </w:rPr>
        <w:t>Cytek Biosciences,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ind w:right="352"/>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33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1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71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364,618</w:t>
            </w:r>
          </w:p>
        </w:tc>
        <w:tc>
          <w:tcPr>
            <w:tcW w:w="3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165,231</w:t>
            </w:r>
          </w:p>
        </w:tc>
        <w:tc>
          <w:tcPr>
            <w:tcW w:w="0" w:type="dxa"/>
            <w:vAlign w:val="bottom"/>
          </w:tcPr>
          <w:p>
            <w:pPr>
              <w:spacing w:after="0"/>
              <w:rPr>
                <w:sz w:val="1"/>
                <w:szCs w:val="1"/>
                <w:color w:val="auto"/>
              </w:rPr>
            </w:pPr>
          </w:p>
        </w:tc>
      </w:tr>
      <w:tr>
        <w:trPr>
          <w:trHeight w:val="203"/>
        </w:trPr>
        <w:tc>
          <w:tcPr>
            <w:tcW w:w="7120" w:type="dxa"/>
            <w:vAlign w:val="bottom"/>
          </w:tcPr>
          <w:p>
            <w:pPr>
              <w:ind w:left="180"/>
              <w:spacing w:after="0" w:line="202" w:lineRule="exact"/>
              <w:rPr>
                <w:sz w:val="20"/>
                <w:szCs w:val="20"/>
                <w:color w:val="auto"/>
              </w:rPr>
            </w:pPr>
            <w:r>
              <w:rPr>
                <w:rFonts w:ascii="Arial" w:cs="Arial" w:eastAsia="Arial" w:hAnsi="Arial"/>
                <w:sz w:val="18"/>
                <w:szCs w:val="18"/>
                <w:color w:val="auto"/>
              </w:rPr>
              <w:t>Trade accounts receivable, net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29,760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16,990</w:t>
            </w:r>
          </w:p>
        </w:tc>
        <w:tc>
          <w:tcPr>
            <w:tcW w:w="0" w:type="dxa"/>
            <w:vAlign w:val="bottom"/>
          </w:tcPr>
          <w:p>
            <w:pPr>
              <w:spacing w:after="0"/>
              <w:rPr>
                <w:sz w:val="1"/>
                <w:szCs w:val="1"/>
                <w:color w:val="auto"/>
              </w:rPr>
            </w:pPr>
          </w:p>
        </w:tc>
      </w:tr>
      <w:tr>
        <w:trPr>
          <w:trHeight w:val="202"/>
        </w:trPr>
        <w:tc>
          <w:tcPr>
            <w:tcW w:w="71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Restricted cash</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03"/>
        </w:trPr>
        <w:tc>
          <w:tcPr>
            <w:tcW w:w="7120" w:type="dxa"/>
            <w:vAlign w:val="bottom"/>
          </w:tcPr>
          <w:p>
            <w:pPr>
              <w:ind w:left="180"/>
              <w:spacing w:after="0" w:line="202" w:lineRule="exact"/>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32,171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23,018</w:t>
            </w:r>
          </w:p>
        </w:tc>
        <w:tc>
          <w:tcPr>
            <w:tcW w:w="0" w:type="dxa"/>
            <w:vAlign w:val="bottom"/>
          </w:tcPr>
          <w:p>
            <w:pPr>
              <w:spacing w:after="0"/>
              <w:rPr>
                <w:sz w:val="1"/>
                <w:szCs w:val="1"/>
                <w:color w:val="auto"/>
              </w:rPr>
            </w:pPr>
          </w:p>
        </w:tc>
      </w:tr>
      <w:tr>
        <w:trPr>
          <w:trHeight w:val="203"/>
        </w:trPr>
        <w:tc>
          <w:tcPr>
            <w:tcW w:w="71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5,184</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196"/>
        </w:trPr>
        <w:tc>
          <w:tcPr>
            <w:tcW w:w="7120" w:type="dxa"/>
            <w:vAlign w:val="bottom"/>
          </w:tcPr>
          <w:p>
            <w:pPr>
              <w:spacing w:after="0" w:line="196" w:lineRule="exact"/>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32"/>
              <w:spacing w:after="0" w:line="196" w:lineRule="exact"/>
              <w:rPr>
                <w:sz w:val="20"/>
                <w:szCs w:val="20"/>
                <w:color w:val="auto"/>
              </w:rPr>
            </w:pPr>
            <w:r>
              <w:rPr>
                <w:rFonts w:ascii="Arial" w:cs="Arial" w:eastAsia="Arial" w:hAnsi="Arial"/>
                <w:sz w:val="18"/>
                <w:szCs w:val="18"/>
                <w:color w:val="auto"/>
              </w:rPr>
              <w:t>431,733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2"/>
              <w:spacing w:after="0" w:line="196" w:lineRule="exact"/>
              <w:rPr>
                <w:sz w:val="20"/>
                <w:szCs w:val="20"/>
                <w:color w:val="auto"/>
              </w:rPr>
            </w:pPr>
            <w:r>
              <w:rPr>
                <w:rFonts w:ascii="Arial" w:cs="Arial" w:eastAsia="Arial" w:hAnsi="Arial"/>
                <w:sz w:val="18"/>
                <w:szCs w:val="18"/>
                <w:color w:val="auto"/>
              </w:rPr>
              <w:t>208,622</w:t>
            </w:r>
          </w:p>
        </w:tc>
        <w:tc>
          <w:tcPr>
            <w:tcW w:w="0" w:type="dxa"/>
            <w:vAlign w:val="bottom"/>
          </w:tcPr>
          <w:p>
            <w:pPr>
              <w:spacing w:after="0"/>
              <w:rPr>
                <w:sz w:val="1"/>
                <w:szCs w:val="1"/>
                <w:color w:val="auto"/>
              </w:rPr>
            </w:pPr>
          </w:p>
        </w:tc>
      </w:tr>
      <w:tr>
        <w:trPr>
          <w:trHeight w:val="203"/>
        </w:trPr>
        <w:tc>
          <w:tcPr>
            <w:tcW w:w="7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income tax assets, noncurrent</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9,173</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7,378</w:t>
            </w:r>
          </w:p>
        </w:tc>
        <w:tc>
          <w:tcPr>
            <w:tcW w:w="0" w:type="dxa"/>
            <w:vAlign w:val="bottom"/>
          </w:tcPr>
          <w:p>
            <w:pPr>
              <w:spacing w:after="0"/>
              <w:rPr>
                <w:sz w:val="1"/>
                <w:szCs w:val="1"/>
                <w:color w:val="auto"/>
              </w:rPr>
            </w:pPr>
          </w:p>
        </w:tc>
      </w:tr>
      <w:tr>
        <w:trPr>
          <w:trHeight w:val="203"/>
        </w:trPr>
        <w:tc>
          <w:tcPr>
            <w:tcW w:w="712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5,851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03"/>
        </w:trPr>
        <w:tc>
          <w:tcPr>
            <w:tcW w:w="7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Goodwill</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10,144</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3"/>
        </w:trPr>
        <w:tc>
          <w:tcPr>
            <w:tcW w:w="712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4,739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3"/>
        </w:trPr>
        <w:tc>
          <w:tcPr>
            <w:tcW w:w="71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1,665</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196"/>
        </w:trPr>
        <w:tc>
          <w:tcPr>
            <w:tcW w:w="7120" w:type="dxa"/>
            <w:vAlign w:val="bottom"/>
          </w:tcPr>
          <w:p>
            <w:pPr>
              <w:ind w:left="360"/>
              <w:spacing w:after="0" w:line="196" w:lineRule="exact"/>
              <w:rPr>
                <w:sz w:val="20"/>
                <w:szCs w:val="20"/>
                <w:color w:val="auto"/>
              </w:rPr>
            </w:pPr>
            <w:r>
              <w:rPr>
                <w:rFonts w:ascii="Arial" w:cs="Arial" w:eastAsia="Arial" w:hAnsi="Arial"/>
                <w:sz w:val="18"/>
                <w:szCs w:val="18"/>
                <w:color w:val="auto"/>
              </w:rPr>
              <w:t>Total assets</w:t>
            </w:r>
          </w:p>
        </w:tc>
        <w:tc>
          <w:tcPr>
            <w:tcW w:w="4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32"/>
              <w:spacing w:after="0" w:line="196" w:lineRule="exact"/>
              <w:rPr>
                <w:sz w:val="20"/>
                <w:szCs w:val="20"/>
                <w:color w:val="auto"/>
              </w:rPr>
            </w:pPr>
            <w:r>
              <w:rPr>
                <w:rFonts w:ascii="Arial" w:cs="Arial" w:eastAsia="Arial" w:hAnsi="Arial"/>
                <w:sz w:val="18"/>
                <w:szCs w:val="18"/>
                <w:color w:val="auto"/>
              </w:rPr>
              <w:t>463,305</w:t>
            </w:r>
          </w:p>
        </w:tc>
        <w:tc>
          <w:tcPr>
            <w:tcW w:w="3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line="196" w:lineRule="exact"/>
              <w:rPr>
                <w:sz w:val="20"/>
                <w:szCs w:val="20"/>
                <w:color w:val="auto"/>
              </w:rPr>
            </w:pPr>
            <w:r>
              <w:rPr>
                <w:rFonts w:ascii="Arial" w:cs="Arial" w:eastAsia="Arial" w:hAnsi="Arial"/>
                <w:sz w:val="18"/>
                <w:szCs w:val="18"/>
                <w:color w:val="auto"/>
              </w:rPr>
              <w:t>219,979</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2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w w:val="98"/>
              </w:rPr>
              <w:t>Liabilities, redeemable convertible preferred stock and stockholders’ equity (deficit)</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180"/>
              <w:spacing w:after="0" w:line="202" w:lineRule="exact"/>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Trade accounts payable</w:t>
            </w:r>
          </w:p>
        </w:tc>
        <w:tc>
          <w:tcPr>
            <w:tcW w:w="4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3,034</w:t>
            </w:r>
          </w:p>
        </w:tc>
        <w:tc>
          <w:tcPr>
            <w:tcW w:w="3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03"/>
        </w:trPr>
        <w:tc>
          <w:tcPr>
            <w:tcW w:w="7120" w:type="dxa"/>
            <w:vAlign w:val="bottom"/>
          </w:tcPr>
          <w:p>
            <w:pPr>
              <w:ind w:left="180"/>
              <w:spacing w:after="0" w:line="202" w:lineRule="exact"/>
              <w:rPr>
                <w:sz w:val="20"/>
                <w:szCs w:val="20"/>
                <w:color w:val="auto"/>
              </w:rPr>
            </w:pPr>
            <w:r>
              <w:rPr>
                <w:rFonts w:ascii="Arial" w:cs="Arial" w:eastAsia="Arial" w:hAnsi="Arial"/>
                <w:sz w:val="18"/>
                <w:szCs w:val="18"/>
                <w:color w:val="auto"/>
              </w:rPr>
              <w:t>Legal settlement liability, current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1,463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6,253</w:t>
            </w:r>
          </w:p>
        </w:tc>
        <w:tc>
          <w:tcPr>
            <w:tcW w:w="0" w:type="dxa"/>
            <w:vAlign w:val="bottom"/>
          </w:tcPr>
          <w:p>
            <w:pPr>
              <w:spacing w:after="0"/>
              <w:rPr>
                <w:sz w:val="1"/>
                <w:szCs w:val="1"/>
                <w:color w:val="auto"/>
              </w:rPr>
            </w:pPr>
          </w:p>
        </w:tc>
      </w:tr>
      <w:tr>
        <w:trPr>
          <w:trHeight w:val="203"/>
        </w:trPr>
        <w:tc>
          <w:tcPr>
            <w:tcW w:w="71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Accrued expenses</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15,251</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9,048</w:t>
            </w:r>
          </w:p>
        </w:tc>
        <w:tc>
          <w:tcPr>
            <w:tcW w:w="0" w:type="dxa"/>
            <w:vAlign w:val="bottom"/>
          </w:tcPr>
          <w:p>
            <w:pPr>
              <w:spacing w:after="0"/>
              <w:rPr>
                <w:sz w:val="1"/>
                <w:szCs w:val="1"/>
                <w:color w:val="auto"/>
              </w:rPr>
            </w:pPr>
          </w:p>
        </w:tc>
      </w:tr>
      <w:tr>
        <w:trPr>
          <w:trHeight w:val="203"/>
        </w:trPr>
        <w:tc>
          <w:tcPr>
            <w:tcW w:w="7120" w:type="dxa"/>
            <w:vAlign w:val="bottom"/>
          </w:tcPr>
          <w:p>
            <w:pPr>
              <w:ind w:left="180"/>
              <w:spacing w:after="0" w:line="202" w:lineRule="exact"/>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6,352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4,626</w:t>
            </w:r>
          </w:p>
        </w:tc>
        <w:tc>
          <w:tcPr>
            <w:tcW w:w="0" w:type="dxa"/>
            <w:vAlign w:val="bottom"/>
          </w:tcPr>
          <w:p>
            <w:pPr>
              <w:spacing w:after="0"/>
              <w:rPr>
                <w:sz w:val="1"/>
                <w:szCs w:val="1"/>
                <w:color w:val="auto"/>
              </w:rPr>
            </w:pPr>
          </w:p>
        </w:tc>
      </w:tr>
      <w:tr>
        <w:trPr>
          <w:trHeight w:val="203"/>
        </w:trPr>
        <w:tc>
          <w:tcPr>
            <w:tcW w:w="71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Deferred revenue, current</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7,081</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196"/>
        </w:trPr>
        <w:tc>
          <w:tcPr>
            <w:tcW w:w="7120" w:type="dxa"/>
            <w:vAlign w:val="bottom"/>
          </w:tcPr>
          <w:p>
            <w:pPr>
              <w:spacing w:after="0" w:line="196" w:lineRule="exact"/>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32"/>
              <w:spacing w:after="0" w:line="196" w:lineRule="exact"/>
              <w:rPr>
                <w:sz w:val="20"/>
                <w:szCs w:val="20"/>
                <w:color w:val="auto"/>
              </w:rPr>
            </w:pPr>
            <w:r>
              <w:rPr>
                <w:rFonts w:ascii="Arial" w:cs="Arial" w:eastAsia="Arial" w:hAnsi="Arial"/>
                <w:sz w:val="18"/>
                <w:szCs w:val="18"/>
                <w:color w:val="auto"/>
              </w:rPr>
              <w:t>33,181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2"/>
              <w:spacing w:after="0" w:line="196" w:lineRule="exact"/>
              <w:rPr>
                <w:sz w:val="20"/>
                <w:szCs w:val="20"/>
                <w:color w:val="auto"/>
              </w:rPr>
            </w:pPr>
            <w:r>
              <w:rPr>
                <w:rFonts w:ascii="Arial" w:cs="Arial" w:eastAsia="Arial" w:hAnsi="Arial"/>
                <w:sz w:val="18"/>
                <w:szCs w:val="18"/>
                <w:color w:val="auto"/>
              </w:rPr>
              <w:t>26,536</w:t>
            </w:r>
          </w:p>
        </w:tc>
        <w:tc>
          <w:tcPr>
            <w:tcW w:w="0" w:type="dxa"/>
            <w:vAlign w:val="bottom"/>
          </w:tcPr>
          <w:p>
            <w:pPr>
              <w:spacing w:after="0"/>
              <w:rPr>
                <w:sz w:val="1"/>
                <w:szCs w:val="1"/>
                <w:color w:val="auto"/>
              </w:rPr>
            </w:pPr>
          </w:p>
        </w:tc>
      </w:tr>
      <w:tr>
        <w:trPr>
          <w:trHeight w:val="203"/>
        </w:trPr>
        <w:tc>
          <w:tcPr>
            <w:tcW w:w="7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Legal settlement liability, noncurrent</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13,745</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10,959</w:t>
            </w:r>
          </w:p>
        </w:tc>
        <w:tc>
          <w:tcPr>
            <w:tcW w:w="0" w:type="dxa"/>
            <w:vAlign w:val="bottom"/>
          </w:tcPr>
          <w:p>
            <w:pPr>
              <w:spacing w:after="0"/>
              <w:rPr>
                <w:sz w:val="1"/>
                <w:szCs w:val="1"/>
                <w:color w:val="auto"/>
              </w:rPr>
            </w:pPr>
          </w:p>
        </w:tc>
      </w:tr>
      <w:tr>
        <w:trPr>
          <w:trHeight w:val="203"/>
        </w:trPr>
        <w:tc>
          <w:tcPr>
            <w:tcW w:w="7120" w:type="dxa"/>
            <w:vAlign w:val="bottom"/>
          </w:tcPr>
          <w:p>
            <w:pPr>
              <w:spacing w:after="0" w:line="202" w:lineRule="exact"/>
              <w:rPr>
                <w:sz w:val="20"/>
                <w:szCs w:val="20"/>
                <w:color w:val="auto"/>
              </w:rPr>
            </w:pPr>
            <w:r>
              <w:rPr>
                <w:rFonts w:ascii="Arial" w:cs="Arial" w:eastAsia="Arial" w:hAnsi="Arial"/>
                <w:sz w:val="18"/>
                <w:szCs w:val="18"/>
                <w:color w:val="auto"/>
              </w:rPr>
              <w:t>Deferred revenue, noncurrent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9,790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03"/>
        </w:trPr>
        <w:tc>
          <w:tcPr>
            <w:tcW w:w="71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1,204</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1"/>
        </w:trPr>
        <w:tc>
          <w:tcPr>
            <w:tcW w:w="7120" w:type="dxa"/>
            <w:vAlign w:val="bottom"/>
          </w:tcPr>
          <w:p>
            <w:pPr>
              <w:spacing w:after="0"/>
              <w:rPr>
                <w:sz w:val="20"/>
                <w:szCs w:val="20"/>
                <w:color w:val="auto"/>
              </w:rPr>
            </w:pPr>
            <w:r>
              <w:rPr>
                <w:rFonts w:ascii="Arial" w:cs="Arial" w:eastAsia="Arial" w:hAnsi="Arial"/>
                <w:sz w:val="18"/>
                <w:szCs w:val="18"/>
                <w:color w:val="auto"/>
              </w:rPr>
              <w:t>Total liabilities</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57,920</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41,688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5661025</wp:posOffset>
            </wp:positionH>
            <wp:positionV relativeFrom="paragraph">
              <wp:posOffset>-2509520</wp:posOffset>
            </wp:positionV>
            <wp:extent cx="10287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5661025</wp:posOffset>
            </wp:positionH>
            <wp:positionV relativeFrom="paragraph">
              <wp:posOffset>-1729105</wp:posOffset>
            </wp:positionV>
            <wp:extent cx="10287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5661025</wp:posOffset>
            </wp:positionH>
            <wp:positionV relativeFrom="paragraph">
              <wp:posOffset>-666115</wp:posOffset>
            </wp:positionV>
            <wp:extent cx="10287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5661025</wp:posOffset>
            </wp:positionH>
            <wp:positionV relativeFrom="paragraph">
              <wp:posOffset>-143510</wp:posOffset>
            </wp:positionV>
            <wp:extent cx="10287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6772275"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ectPr>
          <w:pgSz w:w="11900" w:h="16838" w:orient="portrait"/>
          <w:cols w:equalWidth="0" w:num="1">
            <w:col w:w="10660"/>
          </w:cols>
          <w:pgMar w:left="620" w:top="324" w:right="619" w:bottom="1440" w:gutter="0" w:footer="0" w:header="0"/>
        </w:sectPr>
      </w:pPr>
    </w:p>
    <w:p>
      <w:pPr>
        <w:spacing w:after="0" w:line="234" w:lineRule="auto"/>
        <w:rPr>
          <w:sz w:val="20"/>
          <w:szCs w:val="20"/>
          <w:color w:val="auto"/>
        </w:rPr>
      </w:pPr>
      <w:r>
        <w:rPr>
          <w:rFonts w:ascii="Arial" w:cs="Arial" w:eastAsia="Arial" w:hAnsi="Arial"/>
          <w:sz w:val="18"/>
          <w:szCs w:val="18"/>
          <w:color w:val="auto"/>
        </w:rPr>
        <w:t>Commitments and contingencies (Note 16)</w:t>
      </w:r>
    </w:p>
    <w:p>
      <w:pPr>
        <w:spacing w:after="0" w:line="1" w:lineRule="exact"/>
        <w:rPr>
          <w:sz w:val="20"/>
          <w:szCs w:val="20"/>
          <w:color w:val="auto"/>
        </w:rPr>
      </w:pPr>
    </w:p>
    <w:p>
      <w:pPr>
        <w:spacing w:after="0" w:line="211" w:lineRule="auto"/>
        <w:rPr>
          <w:sz w:val="20"/>
          <w:szCs w:val="20"/>
          <w:color w:val="auto"/>
        </w:rPr>
      </w:pPr>
      <w:r>
        <w:rPr>
          <w:rFonts w:ascii="Arial" w:cs="Arial" w:eastAsia="Arial" w:hAnsi="Arial"/>
          <w:sz w:val="18"/>
          <w:szCs w:val="18"/>
          <w:color w:val="auto"/>
        </w:rPr>
        <w:t>Redeemable convertible preferred stock, $0.001 par value; 10,000,000 and 87,268,694 shares authorized, zero and 87,268, 694 issued and outstanding as of December 31, 2021 and 2020, respectively; aggregate liquidation preference of zero and $199,230 as of December 31, 2021 and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772275" cy="128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72275" cy="128905"/>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8"/>
          <w:szCs w:val="18"/>
          <w:color w:val="auto"/>
        </w:rPr>
        <w:t>Stockholders’ equity (deficit):</w:t>
      </w:r>
    </w:p>
    <w:p>
      <w:pPr>
        <w:ind w:right="100"/>
        <w:spacing w:after="0" w:line="213" w:lineRule="auto"/>
        <w:rPr>
          <w:sz w:val="20"/>
          <w:szCs w:val="20"/>
          <w:color w:val="auto"/>
        </w:rPr>
      </w:pPr>
      <w:r>
        <w:rPr>
          <w:rFonts w:ascii="Arial" w:cs="Arial" w:eastAsia="Arial" w:hAnsi="Arial"/>
          <w:sz w:val="18"/>
          <w:szCs w:val="18"/>
          <w:color w:val="auto"/>
        </w:rPr>
        <w:t>Common stock, $0.001 par value; 1,000,000,000 and 153,329,500 authorized shares as of December 31, 2021 and 2020, respectively; 133,749,663 and 31,241,916 issued and outstanding shares as of December 31, 2021 and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772275"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72275" cy="128905"/>
                    </a:xfrm>
                    <a:prstGeom prst="rect">
                      <a:avLst/>
                    </a:prstGeom>
                    <a:noFill/>
                  </pic:spPr>
                </pic:pic>
              </a:graphicData>
            </a:graphic>
          </wp:anchor>
        </w:drawing>
      </w:r>
    </w:p>
    <w:p>
      <w:pPr>
        <w:spacing w:after="0" w:line="237" w:lineRule="auto"/>
        <w:rPr>
          <w:sz w:val="20"/>
          <w:szCs w:val="20"/>
          <w:color w:val="auto"/>
        </w:rPr>
      </w:pPr>
      <w:r>
        <w:rPr>
          <w:rFonts w:ascii="Arial" w:cs="Arial" w:eastAsia="Arial" w:hAnsi="Arial"/>
          <w:sz w:val="18"/>
          <w:szCs w:val="18"/>
          <w:color w:val="auto"/>
        </w:rPr>
        <w:t>Additional paid-in capital</w:t>
      </w:r>
    </w:p>
    <w:p>
      <w:pPr>
        <w:spacing w:after="0" w:line="235" w:lineRule="auto"/>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772275" cy="1289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72275"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Accumulated other comprehensive income</w:t>
      </w:r>
    </w:p>
    <w:p>
      <w:pPr>
        <w:spacing w:after="0"/>
        <w:rPr>
          <w:sz w:val="20"/>
          <w:szCs w:val="20"/>
          <w:color w:val="auto"/>
        </w:rPr>
      </w:pPr>
      <w:r>
        <w:rPr>
          <w:rFonts w:ascii="Arial" w:cs="Arial" w:eastAsia="Arial" w:hAnsi="Arial"/>
          <w:sz w:val="18"/>
          <w:szCs w:val="18"/>
          <w:color w:val="auto"/>
        </w:rPr>
        <w:t>Noncontrolling interest in consolidated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772275"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Total stockholders’ equity (deficit)</w:t>
      </w:r>
    </w:p>
    <w:p>
      <w:pPr>
        <w:spacing w:after="0" w:line="9" w:lineRule="exact"/>
        <w:rPr>
          <w:sz w:val="20"/>
          <w:szCs w:val="20"/>
          <w:color w:val="auto"/>
        </w:rPr>
      </w:pPr>
    </w:p>
    <w:p>
      <w:pPr>
        <w:ind w:left="500" w:right="1360" w:hanging="134"/>
        <w:spacing w:after="0" w:line="226" w:lineRule="auto"/>
        <w:rPr>
          <w:sz w:val="20"/>
          <w:szCs w:val="20"/>
          <w:color w:val="auto"/>
        </w:rPr>
      </w:pPr>
      <w:r>
        <w:rPr>
          <w:rFonts w:ascii="Arial" w:cs="Arial" w:eastAsia="Arial" w:hAnsi="Arial"/>
          <w:sz w:val="18"/>
          <w:szCs w:val="18"/>
          <w:color w:val="auto"/>
        </w:rPr>
        <w:t>Total liabilities, redeemable convertible preferred stock and stockholders’ equity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194,319</w:t>
            </w:r>
          </w:p>
        </w:tc>
      </w:tr>
      <w:tr>
        <w:trPr>
          <w:trHeight w:val="728"/>
        </w:trPr>
        <w:tc>
          <w:tcPr>
            <w:tcW w:w="52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03"/>
        </w:trPr>
        <w:tc>
          <w:tcPr>
            <w:tcW w:w="520" w:type="dxa"/>
            <w:vAlign w:val="bottom"/>
          </w:tcPr>
          <w:p>
            <w:pPr>
              <w:spacing w:after="0"/>
              <w:rPr>
                <w:sz w:val="17"/>
                <w:szCs w:val="17"/>
                <w:color w:val="auto"/>
              </w:rPr>
            </w:pPr>
          </w:p>
        </w:tc>
        <w:tc>
          <w:tcPr>
            <w:tcW w:w="11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423,625</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6,491</w:t>
            </w:r>
          </w:p>
        </w:tc>
      </w:tr>
      <w:tr>
        <w:trPr>
          <w:trHeight w:val="203"/>
        </w:trPr>
        <w:tc>
          <w:tcPr>
            <w:tcW w:w="5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(19,606 )</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(22,607 )</w:t>
            </w:r>
          </w:p>
        </w:tc>
      </w:tr>
      <w:tr>
        <w:trPr>
          <w:trHeight w:val="203"/>
        </w:trPr>
        <w:tc>
          <w:tcPr>
            <w:tcW w:w="520" w:type="dxa"/>
            <w:vAlign w:val="bottom"/>
          </w:tcPr>
          <w:p>
            <w:pPr>
              <w:spacing w:after="0"/>
              <w:rPr>
                <w:sz w:val="17"/>
                <w:szCs w:val="17"/>
                <w:color w:val="auto"/>
              </w:rPr>
            </w:pPr>
          </w:p>
        </w:tc>
        <w:tc>
          <w:tcPr>
            <w:tcW w:w="11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897</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65</w:t>
            </w:r>
          </w:p>
        </w:tc>
      </w:tr>
      <w:tr>
        <w:trPr>
          <w:trHeight w:val="217"/>
        </w:trPr>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343</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196"/>
        </w:trPr>
        <w:tc>
          <w:tcPr>
            <w:tcW w:w="5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405,385</w:t>
            </w:r>
          </w:p>
        </w:tc>
        <w:tc>
          <w:tcPr>
            <w:tcW w:w="160" w:type="dxa"/>
            <w:vAlign w:val="bottom"/>
          </w:tcPr>
          <w:p>
            <w:pPr>
              <w:spacing w:after="0"/>
              <w:rPr>
                <w:sz w:val="17"/>
                <w:szCs w:val="17"/>
                <w:color w:val="auto"/>
              </w:rPr>
            </w:pPr>
          </w:p>
        </w:tc>
        <w:tc>
          <w:tcPr>
            <w:tcW w:w="5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(16,028 )</w:t>
            </w:r>
          </w:p>
        </w:tc>
      </w:tr>
      <w:tr>
        <w:trPr>
          <w:trHeight w:val="331"/>
        </w:trPr>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463,305</w:t>
            </w:r>
          </w:p>
        </w:tc>
        <w:tc>
          <w:tcPr>
            <w:tcW w:w="66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219,979</w:t>
            </w:r>
          </w:p>
        </w:tc>
      </w:tr>
      <w:tr>
        <w:trPr>
          <w:trHeight w:val="20"/>
        </w:trPr>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ectPr>
          <w:pgSz w:w="11900" w:h="16838" w:orient="portrait"/>
          <w:cols w:equalWidth="0" w:num="2">
            <w:col w:w="7020" w:space="280"/>
            <w:col w:w="3360"/>
          </w:cols>
          <w:pgMar w:left="620" w:top="324" w:right="619" w:bottom="1440" w:gutter="0" w:footer="0" w:header="0"/>
          <w:type w:val="continuous"/>
        </w:sectPr>
      </w:pPr>
    </w:p>
    <w:p>
      <w:pPr>
        <w:jc w:val="center"/>
        <w:ind w:right="6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620" w:top="324" w:right="619" w:bottom="144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Cytek Biosciences,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160" w:type="dxa"/>
            <w:vAlign w:val="bottom"/>
            <w:gridSpan w:val="4"/>
          </w:tcPr>
          <w:p>
            <w:pPr>
              <w:jc w:val="right"/>
              <w:ind w:right="931"/>
              <w:spacing w:after="0"/>
              <w:rPr>
                <w:sz w:val="20"/>
                <w:szCs w:val="20"/>
                <w:color w:val="auto"/>
              </w:rPr>
            </w:pPr>
            <w:r>
              <w:rPr>
                <w:rFonts w:ascii="Arial" w:cs="Arial" w:eastAsia="Arial" w:hAnsi="Arial"/>
                <w:sz w:val="14"/>
                <w:szCs w:val="14"/>
                <w:b w:val="1"/>
                <w:bCs w:val="1"/>
                <w:color w:val="auto"/>
              </w:rPr>
              <w:t>Year Ended December 31,</w:t>
            </w:r>
          </w:p>
        </w:tc>
      </w:tr>
      <w:tr>
        <w:trPr>
          <w:trHeight w:val="185"/>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r>
      <w:tr>
        <w:trPr>
          <w:trHeight w:val="196"/>
        </w:trPr>
        <w:tc>
          <w:tcPr>
            <w:tcW w:w="7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 net:</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03"/>
        </w:trPr>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Product</w:t>
            </w:r>
          </w:p>
        </w:tc>
        <w:tc>
          <w:tcPr>
            <w:tcW w:w="60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119,519</w:t>
            </w:r>
          </w:p>
        </w:tc>
        <w:tc>
          <w:tcPr>
            <w:tcW w:w="56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85,283</w:t>
            </w:r>
          </w:p>
        </w:tc>
      </w:tr>
      <w:tr>
        <w:trPr>
          <w:trHeight w:val="203"/>
        </w:trPr>
        <w:tc>
          <w:tcPr>
            <w:tcW w:w="74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Service</w:t>
            </w:r>
          </w:p>
        </w:tc>
        <w:tc>
          <w:tcPr>
            <w:tcW w:w="2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8,431</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7,556</w:t>
            </w:r>
          </w:p>
        </w:tc>
      </w:tr>
      <w:tr>
        <w:trPr>
          <w:trHeight w:val="196"/>
        </w:trPr>
        <w:tc>
          <w:tcPr>
            <w:tcW w:w="7480" w:type="dxa"/>
            <w:vAlign w:val="bottom"/>
          </w:tcPr>
          <w:p>
            <w:pPr>
              <w:ind w:left="200"/>
              <w:spacing w:after="0" w:line="196" w:lineRule="exact"/>
              <w:rPr>
                <w:sz w:val="20"/>
                <w:szCs w:val="20"/>
                <w:color w:val="auto"/>
              </w:rPr>
            </w:pPr>
            <w:r>
              <w:rPr>
                <w:rFonts w:ascii="Arial" w:cs="Arial" w:eastAsia="Arial" w:hAnsi="Arial"/>
                <w:sz w:val="18"/>
                <w:szCs w:val="18"/>
                <w:color w:val="auto"/>
              </w:rPr>
              <w:t>Total revenue, net</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127,950</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92,839</w:t>
            </w:r>
          </w:p>
        </w:tc>
      </w:tr>
      <w:tr>
        <w:trPr>
          <w:trHeight w:val="203"/>
        </w:trPr>
        <w:tc>
          <w:tcPr>
            <w:tcW w:w="7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sales: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03"/>
        </w:trPr>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Product</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37,377</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32,277</w:t>
            </w:r>
          </w:p>
        </w:tc>
      </w:tr>
      <w:tr>
        <w:trPr>
          <w:trHeight w:val="203"/>
        </w:trPr>
        <w:tc>
          <w:tcPr>
            <w:tcW w:w="74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Service</w:t>
            </w:r>
          </w:p>
        </w:tc>
        <w:tc>
          <w:tcPr>
            <w:tcW w:w="2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11,429</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8,852</w:t>
            </w:r>
          </w:p>
        </w:tc>
      </w:tr>
      <w:tr>
        <w:trPr>
          <w:trHeight w:val="196"/>
        </w:trPr>
        <w:tc>
          <w:tcPr>
            <w:tcW w:w="7480" w:type="dxa"/>
            <w:vAlign w:val="bottom"/>
          </w:tcPr>
          <w:p>
            <w:pPr>
              <w:ind w:left="200"/>
              <w:spacing w:after="0" w:line="196" w:lineRule="exact"/>
              <w:rPr>
                <w:sz w:val="20"/>
                <w:szCs w:val="20"/>
                <w:color w:val="auto"/>
              </w:rPr>
            </w:pPr>
            <w:r>
              <w:rPr>
                <w:rFonts w:ascii="Arial" w:cs="Arial" w:eastAsia="Arial" w:hAnsi="Arial"/>
                <w:sz w:val="18"/>
                <w:szCs w:val="18"/>
                <w:color w:val="auto"/>
              </w:rPr>
              <w:t>Total cost of sales</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48,806</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41,129</w:t>
            </w:r>
          </w:p>
        </w:tc>
      </w:tr>
      <w:tr>
        <w:trPr>
          <w:trHeight w:val="196"/>
        </w:trPr>
        <w:tc>
          <w:tcPr>
            <w:tcW w:w="748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Gross profit</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79,144</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51,710</w:t>
            </w:r>
          </w:p>
        </w:tc>
      </w:tr>
      <w:tr>
        <w:trPr>
          <w:trHeight w:val="203"/>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7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24,442</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13,693</w:t>
            </w:r>
          </w:p>
        </w:tc>
      </w:tr>
      <w:tr>
        <w:trPr>
          <w:trHeight w:val="203"/>
        </w:trPr>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24,710</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14,988</w:t>
            </w:r>
          </w:p>
        </w:tc>
      </w:tr>
      <w:tr>
        <w:trPr>
          <w:trHeight w:val="203"/>
        </w:trPr>
        <w:tc>
          <w:tcPr>
            <w:tcW w:w="74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20,835</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9,370</w:t>
            </w:r>
          </w:p>
        </w:tc>
      </w:tr>
      <w:tr>
        <w:trPr>
          <w:trHeight w:val="196"/>
        </w:trPr>
        <w:tc>
          <w:tcPr>
            <w:tcW w:w="7480" w:type="dxa"/>
            <w:vAlign w:val="bottom"/>
          </w:tcPr>
          <w:p>
            <w:pPr>
              <w:ind w:left="200"/>
              <w:spacing w:after="0" w:line="196" w:lineRule="exact"/>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69,987</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38,051</w:t>
            </w:r>
          </w:p>
        </w:tc>
      </w:tr>
      <w:tr>
        <w:trPr>
          <w:trHeight w:val="196"/>
        </w:trPr>
        <w:tc>
          <w:tcPr>
            <w:tcW w:w="748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9,157</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13,659</w:t>
            </w:r>
          </w:p>
        </w:tc>
      </w:tr>
      <w:tr>
        <w:trPr>
          <w:trHeight w:val="203"/>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7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(1,741 )</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(333 )</w:t>
            </w:r>
          </w:p>
        </w:tc>
      </w:tr>
      <w:tr>
        <w:trPr>
          <w:trHeight w:val="203"/>
        </w:trPr>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49</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110</w:t>
            </w:r>
          </w:p>
        </w:tc>
      </w:tr>
      <w:tr>
        <w:trPr>
          <w:trHeight w:val="203"/>
        </w:trPr>
        <w:tc>
          <w:tcPr>
            <w:tcW w:w="74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(1,527 )</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994</w:t>
            </w:r>
          </w:p>
        </w:tc>
      </w:tr>
      <w:tr>
        <w:trPr>
          <w:trHeight w:val="196"/>
        </w:trPr>
        <w:tc>
          <w:tcPr>
            <w:tcW w:w="7480" w:type="dxa"/>
            <w:vAlign w:val="bottom"/>
          </w:tcPr>
          <w:p>
            <w:pPr>
              <w:ind w:left="20"/>
              <w:spacing w:after="0" w:line="196" w:lineRule="exact"/>
              <w:rPr>
                <w:sz w:val="20"/>
                <w:szCs w:val="20"/>
                <w:color w:val="auto"/>
              </w:rPr>
            </w:pPr>
            <w:r>
              <w:rPr>
                <w:rFonts w:ascii="Arial" w:cs="Arial" w:eastAsia="Arial" w:hAnsi="Arial"/>
                <w:sz w:val="18"/>
                <w:szCs w:val="18"/>
                <w:color w:val="auto"/>
              </w:rPr>
              <w:t>Total other income (expense), net</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(3,219 )</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771</w:t>
            </w:r>
          </w:p>
        </w:tc>
      </w:tr>
      <w:tr>
        <w:trPr>
          <w:trHeight w:val="196"/>
        </w:trPr>
        <w:tc>
          <w:tcPr>
            <w:tcW w:w="7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5,938</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14,430</w:t>
            </w:r>
          </w:p>
        </w:tc>
      </w:tr>
      <w:tr>
        <w:trPr>
          <w:trHeight w:val="203"/>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Provision for (benefit from) income taxes</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2,911</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(4,981 )</w:t>
            </w:r>
          </w:p>
        </w:tc>
      </w:tr>
      <w:tr>
        <w:trPr>
          <w:trHeight w:val="236"/>
        </w:trPr>
        <w:tc>
          <w:tcPr>
            <w:tcW w:w="74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3,027</w:t>
            </w:r>
          </w:p>
        </w:tc>
        <w:tc>
          <w:tcPr>
            <w:tcW w:w="1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19,411</w:t>
            </w:r>
          </w:p>
        </w:tc>
      </w:tr>
      <w:tr>
        <w:trPr>
          <w:trHeight w:val="183"/>
        </w:trPr>
        <w:tc>
          <w:tcPr>
            <w:tcW w:w="7480" w:type="dxa"/>
            <w:vAlign w:val="bottom"/>
          </w:tcPr>
          <w:p>
            <w:pPr>
              <w:ind w:left="20"/>
              <w:spacing w:after="0" w:line="183" w:lineRule="exact"/>
              <w:rPr>
                <w:sz w:val="20"/>
                <w:szCs w:val="20"/>
                <w:color w:val="auto"/>
              </w:rPr>
            </w:pPr>
            <w:r>
              <w:rPr>
                <w:rFonts w:ascii="Arial" w:cs="Arial" w:eastAsia="Arial" w:hAnsi="Arial"/>
                <w:sz w:val="18"/>
                <w:szCs w:val="18"/>
                <w:color w:val="auto"/>
              </w:rPr>
              <w:t>Less: net income allocated to noncontrolling interests</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line="183" w:lineRule="exact"/>
              <w:rPr>
                <w:sz w:val="20"/>
                <w:szCs w:val="20"/>
                <w:color w:val="auto"/>
              </w:rPr>
            </w:pPr>
            <w:r>
              <w:rPr>
                <w:rFonts w:ascii="Arial" w:cs="Arial" w:eastAsia="Arial" w:hAnsi="Arial"/>
                <w:sz w:val="18"/>
                <w:szCs w:val="18"/>
                <w:color w:val="auto"/>
              </w:rPr>
              <w:t>(26 )</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11"/>
              <w:spacing w:after="0" w:line="183" w:lineRule="exact"/>
              <w:rPr>
                <w:sz w:val="20"/>
                <w:szCs w:val="20"/>
                <w:color w:val="auto"/>
              </w:rPr>
            </w:pPr>
            <w:r>
              <w:rPr>
                <w:rFonts w:ascii="Arial" w:cs="Arial" w:eastAsia="Arial" w:hAnsi="Arial"/>
                <w:sz w:val="18"/>
                <w:szCs w:val="18"/>
                <w:color w:val="auto"/>
              </w:rPr>
              <w:t>-</w:t>
            </w:r>
          </w:p>
        </w:tc>
      </w:tr>
      <w:tr>
        <w:trPr>
          <w:trHeight w:val="203"/>
        </w:trPr>
        <w:tc>
          <w:tcPr>
            <w:tcW w:w="74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Less: net income allocated to participating securities</w:t>
            </w:r>
          </w:p>
        </w:tc>
        <w:tc>
          <w:tcPr>
            <w:tcW w:w="2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(3,001 )</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(16,195 )</w:t>
            </w:r>
          </w:p>
        </w:tc>
      </w:tr>
      <w:tr>
        <w:trPr>
          <w:trHeight w:val="196"/>
        </w:trPr>
        <w:tc>
          <w:tcPr>
            <w:tcW w:w="7480" w:type="dxa"/>
            <w:vAlign w:val="bottom"/>
          </w:tcPr>
          <w:p>
            <w:pPr>
              <w:ind w:left="20"/>
              <w:spacing w:after="0" w:line="196" w:lineRule="exact"/>
              <w:rPr>
                <w:sz w:val="20"/>
                <w:szCs w:val="20"/>
                <w:color w:val="auto"/>
              </w:rPr>
            </w:pPr>
            <w:r>
              <w:rPr>
                <w:rFonts w:ascii="Arial" w:cs="Arial" w:eastAsia="Arial" w:hAnsi="Arial"/>
                <w:sz w:val="18"/>
                <w:szCs w:val="18"/>
                <w:color w:val="auto"/>
              </w:rPr>
              <w:t>Net income attributable to common stockholders, basic and diluted</w:t>
            </w:r>
          </w:p>
        </w:tc>
        <w:tc>
          <w:tcPr>
            <w:tcW w:w="600" w:type="dxa"/>
            <w:vAlign w:val="bottom"/>
            <w:gridSpan w:val="2"/>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3,216</w:t>
            </w:r>
          </w:p>
        </w:tc>
      </w:tr>
      <w:tr>
        <w:trPr>
          <w:trHeight w:val="20"/>
        </w:trPr>
        <w:tc>
          <w:tcPr>
            <w:tcW w:w="7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4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Net income attributable to common stockholders per share, basic</w:t>
            </w: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190"/>
              <w:spacing w:after="0" w:line="183"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ind w:right="11"/>
              <w:spacing w:after="0" w:line="183"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11"/>
              <w:spacing w:after="0" w:line="183" w:lineRule="exact"/>
              <w:rPr>
                <w:sz w:val="20"/>
                <w:szCs w:val="20"/>
                <w:color w:val="auto"/>
              </w:rPr>
            </w:pPr>
            <w:r>
              <w:rPr>
                <w:rFonts w:ascii="Arial" w:cs="Arial" w:eastAsia="Arial" w:hAnsi="Arial"/>
                <w:sz w:val="18"/>
                <w:szCs w:val="18"/>
                <w:color w:val="auto"/>
              </w:rPr>
              <w:t>0.11</w:t>
            </w:r>
          </w:p>
        </w:tc>
      </w:tr>
      <w:tr>
        <w:trPr>
          <w:trHeight w:val="183"/>
        </w:trPr>
        <w:tc>
          <w:tcPr>
            <w:tcW w:w="7480" w:type="dxa"/>
            <w:vAlign w:val="bottom"/>
          </w:tcPr>
          <w:p>
            <w:pPr>
              <w:ind w:left="20"/>
              <w:spacing w:after="0" w:line="183" w:lineRule="exact"/>
              <w:rPr>
                <w:sz w:val="20"/>
                <w:szCs w:val="20"/>
                <w:color w:val="auto"/>
              </w:rPr>
            </w:pPr>
            <w:r>
              <w:rPr>
                <w:rFonts w:ascii="Arial" w:cs="Arial" w:eastAsia="Arial" w:hAnsi="Arial"/>
                <w:sz w:val="18"/>
                <w:szCs w:val="18"/>
                <w:color w:val="auto"/>
              </w:rPr>
              <w:t>Net income attributable to common stockholders per share diluted</w:t>
            </w:r>
          </w:p>
        </w:tc>
        <w:tc>
          <w:tcPr>
            <w:tcW w:w="600" w:type="dxa"/>
            <w:vAlign w:val="bottom"/>
            <w:gridSpan w:val="2"/>
          </w:tcPr>
          <w:p>
            <w:pPr>
              <w:jc w:val="right"/>
              <w:ind w:right="190"/>
              <w:spacing w:after="0" w:line="183"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line="183"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90"/>
              <w:spacing w:after="0" w:line="183"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line="183" w:lineRule="exact"/>
              <w:rPr>
                <w:sz w:val="20"/>
                <w:szCs w:val="20"/>
                <w:color w:val="auto"/>
              </w:rPr>
            </w:pPr>
            <w:r>
              <w:rPr>
                <w:rFonts w:ascii="Arial" w:cs="Arial" w:eastAsia="Arial" w:hAnsi="Arial"/>
                <w:sz w:val="18"/>
                <w:szCs w:val="18"/>
                <w:color w:val="auto"/>
              </w:rPr>
              <w:t>0.10</w:t>
            </w:r>
          </w:p>
        </w:tc>
      </w:tr>
      <w:tr>
        <w:trPr>
          <w:trHeight w:val="20"/>
        </w:trPr>
        <w:tc>
          <w:tcPr>
            <w:tcW w:w="7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4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Weighted-average shares used in calculating net income per share, basic</w:t>
            </w: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11"/>
              <w:spacing w:after="0" w:line="183" w:lineRule="exact"/>
              <w:rPr>
                <w:sz w:val="20"/>
                <w:szCs w:val="20"/>
                <w:color w:val="auto"/>
              </w:rPr>
            </w:pPr>
            <w:r>
              <w:rPr>
                <w:rFonts w:ascii="Arial" w:cs="Arial" w:eastAsia="Arial" w:hAnsi="Arial"/>
                <w:sz w:val="18"/>
                <w:szCs w:val="18"/>
                <w:color w:val="auto"/>
              </w:rPr>
              <w:t>76,741,858</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11"/>
              <w:spacing w:after="0" w:line="183" w:lineRule="exact"/>
              <w:rPr>
                <w:sz w:val="20"/>
                <w:szCs w:val="20"/>
                <w:color w:val="auto"/>
              </w:rPr>
            </w:pPr>
            <w:r>
              <w:rPr>
                <w:rFonts w:ascii="Arial" w:cs="Arial" w:eastAsia="Arial" w:hAnsi="Arial"/>
                <w:sz w:val="18"/>
                <w:szCs w:val="18"/>
                <w:color w:val="auto"/>
              </w:rPr>
              <w:t>29,126,792</w:t>
            </w:r>
          </w:p>
        </w:tc>
      </w:tr>
      <w:tr>
        <w:trPr>
          <w:trHeight w:val="183"/>
        </w:trPr>
        <w:tc>
          <w:tcPr>
            <w:tcW w:w="7480" w:type="dxa"/>
            <w:vAlign w:val="bottom"/>
          </w:tcPr>
          <w:p>
            <w:pPr>
              <w:ind w:left="20"/>
              <w:spacing w:after="0" w:line="183" w:lineRule="exact"/>
              <w:rPr>
                <w:sz w:val="20"/>
                <w:szCs w:val="20"/>
                <w:color w:val="auto"/>
              </w:rPr>
            </w:pPr>
            <w:r>
              <w:rPr>
                <w:rFonts w:ascii="Arial" w:cs="Arial" w:eastAsia="Arial" w:hAnsi="Arial"/>
                <w:sz w:val="18"/>
                <w:szCs w:val="18"/>
                <w:color w:val="auto"/>
              </w:rPr>
              <w:t>Weighted-average shares used in calculating net income per share, diluted</w:t>
            </w:r>
          </w:p>
        </w:tc>
        <w:tc>
          <w:tcPr>
            <w:tcW w:w="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1"/>
              <w:spacing w:after="0" w:line="183" w:lineRule="exact"/>
              <w:rPr>
                <w:sz w:val="20"/>
                <w:szCs w:val="20"/>
                <w:color w:val="auto"/>
              </w:rPr>
            </w:pPr>
            <w:r>
              <w:rPr>
                <w:rFonts w:ascii="Arial" w:cs="Arial" w:eastAsia="Arial" w:hAnsi="Arial"/>
                <w:sz w:val="18"/>
                <w:szCs w:val="18"/>
                <w:color w:val="auto"/>
              </w:rPr>
              <w:t>81,542,729</w:t>
            </w:r>
          </w:p>
        </w:tc>
        <w:tc>
          <w:tcPr>
            <w:tcW w:w="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1"/>
              <w:spacing w:after="0" w:line="183" w:lineRule="exact"/>
              <w:rPr>
                <w:sz w:val="20"/>
                <w:szCs w:val="20"/>
                <w:color w:val="auto"/>
              </w:rPr>
            </w:pPr>
            <w:r>
              <w:rPr>
                <w:rFonts w:ascii="Arial" w:cs="Arial" w:eastAsia="Arial" w:hAnsi="Arial"/>
                <w:sz w:val="18"/>
                <w:szCs w:val="18"/>
                <w:color w:val="auto"/>
              </w:rPr>
              <w:t>32,599,847</w:t>
            </w:r>
          </w:p>
        </w:tc>
      </w:tr>
      <w:tr>
        <w:trPr>
          <w:trHeight w:val="20"/>
        </w:trPr>
        <w:tc>
          <w:tcPr>
            <w:tcW w:w="7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3"/>
        </w:trPr>
        <w:tc>
          <w:tcPr>
            <w:tcW w:w="74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Comprehensive income:</w:t>
            </w:r>
          </w:p>
        </w:tc>
        <w:tc>
          <w:tcPr>
            <w:tcW w:w="2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r>
      <w:tr>
        <w:trPr>
          <w:trHeight w:val="203"/>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Net income</w:t>
            </w:r>
          </w:p>
        </w:tc>
        <w:tc>
          <w:tcPr>
            <w:tcW w:w="60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3,027</w:t>
            </w:r>
          </w:p>
        </w:tc>
        <w:tc>
          <w:tcPr>
            <w:tcW w:w="56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19,411</w:t>
            </w:r>
          </w:p>
        </w:tc>
      </w:tr>
      <w:tr>
        <w:trPr>
          <w:trHeight w:val="203"/>
        </w:trPr>
        <w:tc>
          <w:tcPr>
            <w:tcW w:w="74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currency translation adjustment, net of tax</w:t>
            </w:r>
          </w:p>
        </w:tc>
        <w:tc>
          <w:tcPr>
            <w:tcW w:w="2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832</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212</w:t>
            </w:r>
          </w:p>
        </w:tc>
      </w:tr>
      <w:tr>
        <w:trPr>
          <w:trHeight w:val="196"/>
        </w:trPr>
        <w:tc>
          <w:tcPr>
            <w:tcW w:w="7480" w:type="dxa"/>
            <w:vAlign w:val="bottom"/>
          </w:tcPr>
          <w:p>
            <w:pPr>
              <w:ind w:left="200"/>
              <w:spacing w:after="0" w:line="196" w:lineRule="exact"/>
              <w:rPr>
                <w:sz w:val="20"/>
                <w:szCs w:val="20"/>
                <w:color w:val="auto"/>
              </w:rPr>
            </w:pPr>
            <w:r>
              <w:rPr>
                <w:rFonts w:ascii="Arial" w:cs="Arial" w:eastAsia="Arial" w:hAnsi="Arial"/>
                <w:sz w:val="18"/>
                <w:szCs w:val="18"/>
                <w:color w:val="auto"/>
              </w:rPr>
              <w:t>Net comprehensive income</w:t>
            </w:r>
          </w:p>
        </w:tc>
        <w:tc>
          <w:tcPr>
            <w:tcW w:w="600" w:type="dxa"/>
            <w:vAlign w:val="bottom"/>
            <w:gridSpan w:val="2"/>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3,859</w:t>
            </w:r>
          </w:p>
        </w:tc>
        <w:tc>
          <w:tcPr>
            <w:tcW w:w="560" w:type="dxa"/>
            <w:vAlign w:val="bottom"/>
            <w:gridSpan w:val="2"/>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19,623</w:t>
            </w:r>
          </w:p>
        </w:tc>
      </w:tr>
      <w:tr>
        <w:trPr>
          <w:trHeight w:val="20"/>
        </w:trPr>
        <w:tc>
          <w:tcPr>
            <w:tcW w:w="7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-4248150</wp:posOffset>
            </wp:positionV>
            <wp:extent cx="12001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-3725545</wp:posOffset>
            </wp:positionV>
            <wp:extent cx="12001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-2936875</wp:posOffset>
            </wp:positionV>
            <wp:extent cx="12001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-2148205</wp:posOffset>
            </wp:positionV>
            <wp:extent cx="12001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-1610995</wp:posOffset>
            </wp:positionV>
            <wp:extent cx="1200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-1593850</wp:posOffset>
            </wp:positionV>
            <wp:extent cx="1200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-1325245</wp:posOffset>
            </wp:positionV>
            <wp:extent cx="12001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-1036320</wp:posOffset>
            </wp:positionV>
            <wp:extent cx="1200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-1019175</wp:posOffset>
            </wp:positionV>
            <wp:extent cx="1200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-728345</wp:posOffset>
            </wp:positionV>
            <wp:extent cx="1200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-710565</wp:posOffset>
            </wp:positionV>
            <wp:extent cx="1200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-159385</wp:posOffset>
            </wp:positionV>
            <wp:extent cx="12001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12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4"/>
          <w:szCs w:val="14"/>
          <w:b w:val="1"/>
          <w:bCs w:val="1"/>
          <w:color w:val="auto"/>
        </w:rPr>
        <w:t>Cytek Biosciences,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Redeemable Convertible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Preferred Stock and Stockholders’ Equity (Deficit)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40" w:type="dxa"/>
            <w:vAlign w:val="bottom"/>
          </w:tcPr>
          <w:p>
            <w:pPr>
              <w:spacing w:after="0"/>
              <w:rPr>
                <w:sz w:val="14"/>
                <w:szCs w:val="14"/>
                <w:color w:val="auto"/>
              </w:rPr>
            </w:pPr>
          </w:p>
        </w:tc>
        <w:tc>
          <w:tcPr>
            <w:tcW w:w="1800" w:type="dxa"/>
            <w:vAlign w:val="bottom"/>
            <w:tcBorders>
              <w:right w:val="single" w:sz="8" w:color="auto"/>
            </w:tcBorders>
            <w:gridSpan w:val="4"/>
          </w:tcPr>
          <w:p>
            <w:pPr>
              <w:jc w:val="center"/>
              <w:ind w:right="160"/>
              <w:spacing w:after="0"/>
              <w:rPr>
                <w:sz w:val="20"/>
                <w:szCs w:val="20"/>
                <w:color w:val="auto"/>
              </w:rPr>
            </w:pPr>
            <w:r>
              <w:rPr>
                <w:rFonts w:ascii="Arial" w:cs="Arial" w:eastAsia="Arial" w:hAnsi="Arial"/>
                <w:sz w:val="13"/>
                <w:szCs w:val="13"/>
                <w:b w:val="1"/>
                <w:bCs w:val="1"/>
                <w:color w:val="auto"/>
                <w:w w:val="85"/>
              </w:rPr>
              <w:t>Redeemable convertible</w:t>
            </w: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ind w:right="77"/>
              <w:spacing w:after="0"/>
              <w:rPr>
                <w:sz w:val="20"/>
                <w:szCs w:val="20"/>
                <w:color w:val="auto"/>
              </w:rPr>
            </w:pPr>
            <w:r>
              <w:rPr>
                <w:rFonts w:ascii="Arial" w:cs="Arial" w:eastAsia="Arial" w:hAnsi="Arial"/>
                <w:sz w:val="13"/>
                <w:szCs w:val="13"/>
                <w:b w:val="1"/>
                <w:bCs w:val="1"/>
                <w:color w:val="auto"/>
                <w:w w:val="91"/>
              </w:rPr>
              <w:t>Additional</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3"/>
                <w:szCs w:val="13"/>
                <w:b w:val="1"/>
                <w:bCs w:val="1"/>
                <w:color w:val="auto"/>
                <w:w w:val="95"/>
              </w:rPr>
              <w:t>Accumulated other</w:t>
            </w:r>
          </w:p>
        </w:tc>
        <w:tc>
          <w:tcPr>
            <w:tcW w:w="140" w:type="dxa"/>
            <w:vAlign w:val="bottom"/>
          </w:tcPr>
          <w:p>
            <w:pPr>
              <w:spacing w:after="0"/>
              <w:rPr>
                <w:sz w:val="14"/>
                <w:szCs w:val="14"/>
                <w:color w:val="auto"/>
              </w:rPr>
            </w:pPr>
          </w:p>
        </w:tc>
        <w:tc>
          <w:tcPr>
            <w:tcW w:w="1440" w:type="dxa"/>
            <w:vAlign w:val="bottom"/>
          </w:tcPr>
          <w:p>
            <w:pPr>
              <w:jc w:val="center"/>
              <w:ind w:right="97"/>
              <w:spacing w:after="0"/>
              <w:rPr>
                <w:sz w:val="20"/>
                <w:szCs w:val="20"/>
                <w:color w:val="auto"/>
              </w:rPr>
            </w:pPr>
            <w:r>
              <w:rPr>
                <w:rFonts w:ascii="Arial" w:cs="Arial" w:eastAsia="Arial" w:hAnsi="Arial"/>
                <w:sz w:val="13"/>
                <w:szCs w:val="13"/>
                <w:b w:val="1"/>
                <w:bCs w:val="1"/>
                <w:color w:val="auto"/>
                <w:w w:val="86"/>
              </w:rPr>
              <w:t>Noncontrolling</w:t>
            </w:r>
          </w:p>
        </w:tc>
        <w:tc>
          <w:tcPr>
            <w:tcW w:w="14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8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6"/>
              </w:rPr>
              <w:t>preferred stock</w:t>
            </w:r>
          </w:p>
        </w:tc>
        <w:tc>
          <w:tcPr>
            <w:tcW w:w="122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Common stock</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ind w:right="77"/>
              <w:spacing w:after="0"/>
              <w:rPr>
                <w:sz w:val="20"/>
                <w:szCs w:val="20"/>
                <w:color w:val="auto"/>
              </w:rPr>
            </w:pPr>
            <w:r>
              <w:rPr>
                <w:rFonts w:ascii="Arial" w:cs="Arial" w:eastAsia="Arial" w:hAnsi="Arial"/>
                <w:sz w:val="13"/>
                <w:szCs w:val="13"/>
                <w:b w:val="1"/>
                <w:bCs w:val="1"/>
                <w:color w:val="auto"/>
                <w:w w:val="89"/>
              </w:rPr>
              <w:t>paid-in</w:t>
            </w:r>
          </w:p>
        </w:tc>
        <w:tc>
          <w:tcPr>
            <w:tcW w:w="180" w:type="dxa"/>
            <w:vAlign w:val="bottom"/>
          </w:tcPr>
          <w:p>
            <w:pPr>
              <w:spacing w:after="0"/>
              <w:rPr>
                <w:sz w:val="12"/>
                <w:szCs w:val="12"/>
                <w:color w:val="auto"/>
              </w:rPr>
            </w:pPr>
          </w:p>
        </w:tc>
        <w:tc>
          <w:tcPr>
            <w:tcW w:w="960" w:type="dxa"/>
            <w:vAlign w:val="bottom"/>
          </w:tcPr>
          <w:p>
            <w:pPr>
              <w:jc w:val="right"/>
              <w:ind w:right="177"/>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2"/>
                <w:szCs w:val="12"/>
                <w:color w:val="auto"/>
              </w:rPr>
            </w:pPr>
          </w:p>
        </w:tc>
        <w:tc>
          <w:tcPr>
            <w:tcW w:w="1060" w:type="dxa"/>
            <w:vAlign w:val="bottom"/>
          </w:tcPr>
          <w:p>
            <w:pPr>
              <w:jc w:val="right"/>
              <w:ind w:right="157"/>
              <w:spacing w:after="0"/>
              <w:rPr>
                <w:sz w:val="20"/>
                <w:szCs w:val="20"/>
                <w:color w:val="auto"/>
              </w:rPr>
            </w:pPr>
            <w:r>
              <w:rPr>
                <w:rFonts w:ascii="Arial" w:cs="Arial" w:eastAsia="Arial" w:hAnsi="Arial"/>
                <w:sz w:val="13"/>
                <w:szCs w:val="13"/>
                <w:b w:val="1"/>
                <w:bCs w:val="1"/>
                <w:color w:val="auto"/>
                <w:w w:val="85"/>
              </w:rPr>
              <w:t>comprehensive</w:t>
            </w:r>
          </w:p>
        </w:tc>
        <w:tc>
          <w:tcPr>
            <w:tcW w:w="140" w:type="dxa"/>
            <w:vAlign w:val="bottom"/>
          </w:tcPr>
          <w:p>
            <w:pPr>
              <w:spacing w:after="0"/>
              <w:rPr>
                <w:sz w:val="12"/>
                <w:szCs w:val="12"/>
                <w:color w:val="auto"/>
              </w:rPr>
            </w:pPr>
          </w:p>
        </w:tc>
        <w:tc>
          <w:tcPr>
            <w:tcW w:w="1440" w:type="dxa"/>
            <w:vAlign w:val="bottom"/>
          </w:tcPr>
          <w:p>
            <w:pPr>
              <w:jc w:val="center"/>
              <w:ind w:right="97"/>
              <w:spacing w:after="0"/>
              <w:rPr>
                <w:sz w:val="20"/>
                <w:szCs w:val="20"/>
                <w:color w:val="auto"/>
              </w:rPr>
            </w:pPr>
            <w:r>
              <w:rPr>
                <w:rFonts w:ascii="Arial" w:cs="Arial" w:eastAsia="Arial" w:hAnsi="Arial"/>
                <w:sz w:val="13"/>
                <w:szCs w:val="13"/>
                <w:b w:val="1"/>
                <w:bCs w:val="1"/>
                <w:color w:val="auto"/>
                <w:w w:val="84"/>
              </w:rPr>
              <w:t>interest in consolidated</w:t>
            </w:r>
          </w:p>
        </w:tc>
        <w:tc>
          <w:tcPr>
            <w:tcW w:w="14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42"/>
        </w:trPr>
        <w:tc>
          <w:tcPr>
            <w:tcW w:w="2040" w:type="dxa"/>
            <w:vAlign w:val="bottom"/>
          </w:tcPr>
          <w:p>
            <w:pPr>
              <w:ind w:left="140"/>
              <w:spacing w:after="0" w:line="142" w:lineRule="exact"/>
              <w:rPr>
                <w:sz w:val="20"/>
                <w:szCs w:val="20"/>
                <w:color w:val="auto"/>
              </w:rPr>
            </w:pPr>
            <w:r>
              <w:rPr>
                <w:rFonts w:ascii="Arial" w:cs="Arial" w:eastAsia="Arial" w:hAnsi="Arial"/>
                <w:sz w:val="13"/>
                <w:szCs w:val="13"/>
                <w:b w:val="1"/>
                <w:bCs w:val="1"/>
                <w:color w:val="auto"/>
                <w:w w:val="90"/>
              </w:rPr>
              <w:t>(In thousands, except share data)</w:t>
            </w:r>
          </w:p>
        </w:tc>
        <w:tc>
          <w:tcPr>
            <w:tcW w:w="960" w:type="dxa"/>
            <w:vAlign w:val="bottom"/>
            <w:tcBorders>
              <w:top w:val="single" w:sz="8" w:color="auto"/>
            </w:tcBorders>
          </w:tcPr>
          <w:p>
            <w:pPr>
              <w:jc w:val="right"/>
              <w:ind w:right="257"/>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w w:val="89"/>
              </w:rPr>
              <w:t>Amount</w:t>
            </w:r>
          </w:p>
        </w:tc>
        <w:tc>
          <w:tcPr>
            <w:tcW w:w="100" w:type="dxa"/>
            <w:vAlign w:val="bottom"/>
            <w:tcBorders>
              <w:right w:val="single" w:sz="8" w:color="auto"/>
            </w:tcBorders>
          </w:tcPr>
          <w:p>
            <w:pPr>
              <w:spacing w:after="0"/>
              <w:rPr>
                <w:sz w:val="12"/>
                <w:szCs w:val="12"/>
                <w:color w:val="auto"/>
              </w:rPr>
            </w:pPr>
          </w:p>
        </w:tc>
        <w:tc>
          <w:tcPr>
            <w:tcW w:w="94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3"/>
                <w:szCs w:val="13"/>
                <w:b w:val="1"/>
                <w:bCs w:val="1"/>
                <w:color w:val="auto"/>
              </w:rPr>
              <w:t>Shares</w:t>
            </w:r>
          </w:p>
        </w:tc>
        <w:tc>
          <w:tcPr>
            <w:tcW w:w="600" w:type="dxa"/>
            <w:vAlign w:val="bottom"/>
            <w:tcBorders>
              <w:top w:val="single" w:sz="8" w:color="auto"/>
            </w:tcBorders>
            <w:gridSpan w:val="2"/>
          </w:tcPr>
          <w:p>
            <w:pPr>
              <w:jc w:val="right"/>
              <w:ind w:right="37"/>
              <w:spacing w:after="0" w:line="142" w:lineRule="exact"/>
              <w:rPr>
                <w:sz w:val="20"/>
                <w:szCs w:val="20"/>
                <w:color w:val="auto"/>
              </w:rPr>
            </w:pPr>
            <w:r>
              <w:rPr>
                <w:rFonts w:ascii="Arial" w:cs="Arial" w:eastAsia="Arial" w:hAnsi="Arial"/>
                <w:sz w:val="13"/>
                <w:szCs w:val="13"/>
                <w:b w:val="1"/>
                <w:bCs w:val="1"/>
                <w:color w:val="auto"/>
                <w:w w:val="97"/>
              </w:rPr>
              <w:t>Amount</w:t>
            </w:r>
          </w:p>
        </w:tc>
        <w:tc>
          <w:tcPr>
            <w:tcW w:w="180" w:type="dxa"/>
            <w:vAlign w:val="bottom"/>
          </w:tcPr>
          <w:p>
            <w:pPr>
              <w:spacing w:after="0"/>
              <w:rPr>
                <w:sz w:val="12"/>
                <w:szCs w:val="12"/>
                <w:color w:val="auto"/>
              </w:rPr>
            </w:pPr>
          </w:p>
        </w:tc>
        <w:tc>
          <w:tcPr>
            <w:tcW w:w="720" w:type="dxa"/>
            <w:vAlign w:val="bottom"/>
          </w:tcPr>
          <w:p>
            <w:pPr>
              <w:jc w:val="center"/>
              <w:ind w:right="97"/>
              <w:spacing w:after="0" w:line="142" w:lineRule="exact"/>
              <w:rPr>
                <w:sz w:val="20"/>
                <w:szCs w:val="20"/>
                <w:color w:val="auto"/>
              </w:rPr>
            </w:pPr>
            <w:r>
              <w:rPr>
                <w:rFonts w:ascii="Arial" w:cs="Arial" w:eastAsia="Arial" w:hAnsi="Arial"/>
                <w:sz w:val="13"/>
                <w:szCs w:val="13"/>
                <w:b w:val="1"/>
                <w:bCs w:val="1"/>
                <w:color w:val="auto"/>
                <w:w w:val="87"/>
              </w:rPr>
              <w:t>capital</w:t>
            </w:r>
          </w:p>
        </w:tc>
        <w:tc>
          <w:tcPr>
            <w:tcW w:w="180" w:type="dxa"/>
            <w:vAlign w:val="bottom"/>
          </w:tcPr>
          <w:p>
            <w:pPr>
              <w:spacing w:after="0"/>
              <w:rPr>
                <w:sz w:val="12"/>
                <w:szCs w:val="12"/>
                <w:color w:val="auto"/>
              </w:rPr>
            </w:pPr>
          </w:p>
        </w:tc>
        <w:tc>
          <w:tcPr>
            <w:tcW w:w="960" w:type="dxa"/>
            <w:vAlign w:val="bottom"/>
          </w:tcPr>
          <w:p>
            <w:pPr>
              <w:jc w:val="right"/>
              <w:ind w:right="357"/>
              <w:spacing w:after="0" w:line="142" w:lineRule="exact"/>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2"/>
                <w:szCs w:val="12"/>
                <w:color w:val="auto"/>
              </w:rPr>
            </w:pPr>
          </w:p>
        </w:tc>
        <w:tc>
          <w:tcPr>
            <w:tcW w:w="1060" w:type="dxa"/>
            <w:vAlign w:val="bottom"/>
          </w:tcPr>
          <w:p>
            <w:pPr>
              <w:jc w:val="right"/>
              <w:ind w:right="217"/>
              <w:spacing w:after="0" w:line="142" w:lineRule="exact"/>
              <w:rPr>
                <w:sz w:val="20"/>
                <w:szCs w:val="20"/>
                <w:color w:val="auto"/>
              </w:rPr>
            </w:pPr>
            <w:r>
              <w:rPr>
                <w:rFonts w:ascii="Arial" w:cs="Arial" w:eastAsia="Arial" w:hAnsi="Arial"/>
                <w:sz w:val="13"/>
                <w:szCs w:val="13"/>
                <w:b w:val="1"/>
                <w:bCs w:val="1"/>
                <w:color w:val="auto"/>
                <w:w w:val="90"/>
              </w:rPr>
              <w:t>income (loss)</w:t>
            </w:r>
          </w:p>
        </w:tc>
        <w:tc>
          <w:tcPr>
            <w:tcW w:w="140" w:type="dxa"/>
            <w:vAlign w:val="bottom"/>
          </w:tcPr>
          <w:p>
            <w:pPr>
              <w:spacing w:after="0"/>
              <w:rPr>
                <w:sz w:val="12"/>
                <w:szCs w:val="12"/>
                <w:color w:val="auto"/>
              </w:rPr>
            </w:pPr>
          </w:p>
        </w:tc>
        <w:tc>
          <w:tcPr>
            <w:tcW w:w="1440" w:type="dxa"/>
            <w:vAlign w:val="bottom"/>
          </w:tcPr>
          <w:p>
            <w:pPr>
              <w:jc w:val="center"/>
              <w:ind w:right="97"/>
              <w:spacing w:after="0" w:line="142" w:lineRule="exact"/>
              <w:rPr>
                <w:sz w:val="20"/>
                <w:szCs w:val="20"/>
                <w:color w:val="auto"/>
              </w:rPr>
            </w:pPr>
            <w:r>
              <w:rPr>
                <w:rFonts w:ascii="Arial" w:cs="Arial" w:eastAsia="Arial" w:hAnsi="Arial"/>
                <w:sz w:val="13"/>
                <w:szCs w:val="13"/>
                <w:b w:val="1"/>
                <w:bCs w:val="1"/>
                <w:color w:val="auto"/>
                <w:w w:val="86"/>
              </w:rPr>
              <w:t>subsidiary</w:t>
            </w:r>
          </w:p>
        </w:tc>
        <w:tc>
          <w:tcPr>
            <w:tcW w:w="1060" w:type="dxa"/>
            <w:vAlign w:val="bottom"/>
            <w:gridSpan w:val="3"/>
          </w:tcPr>
          <w:p>
            <w:pPr>
              <w:jc w:val="center"/>
              <w:ind w:right="20"/>
              <w:spacing w:after="0" w:line="142" w:lineRule="exact"/>
              <w:rPr>
                <w:sz w:val="20"/>
                <w:szCs w:val="20"/>
                <w:color w:val="auto"/>
              </w:rPr>
            </w:pPr>
            <w:r>
              <w:rPr>
                <w:rFonts w:ascii="Arial" w:cs="Arial" w:eastAsia="Arial" w:hAnsi="Arial"/>
                <w:sz w:val="13"/>
                <w:szCs w:val="13"/>
                <w:b w:val="1"/>
                <w:bCs w:val="1"/>
                <w:color w:val="auto"/>
                <w:w w:val="89"/>
              </w:rPr>
              <w:t>equity (deficit)</w:t>
            </w:r>
          </w:p>
        </w:tc>
        <w:tc>
          <w:tcPr>
            <w:tcW w:w="0" w:type="dxa"/>
            <w:vAlign w:val="bottom"/>
          </w:tcPr>
          <w:p>
            <w:pPr>
              <w:spacing w:after="0"/>
              <w:rPr>
                <w:sz w:val="1"/>
                <w:szCs w:val="1"/>
                <w:color w:val="auto"/>
              </w:rPr>
            </w:pPr>
          </w:p>
        </w:tc>
      </w:tr>
      <w:tr>
        <w:trPr>
          <w:trHeight w:val="142"/>
        </w:trPr>
        <w:tc>
          <w:tcPr>
            <w:tcW w:w="2040" w:type="dxa"/>
            <w:vAlign w:val="bottom"/>
            <w:tcBorders>
              <w:top w:val="single" w:sz="8" w:color="auto"/>
            </w:tcBorders>
            <w:shd w:val="clear" w:color="auto" w:fill="CFF0FC"/>
          </w:tcPr>
          <w:p>
            <w:pPr>
              <w:ind w:left="20"/>
              <w:spacing w:after="0" w:line="142" w:lineRule="exact"/>
              <w:rPr>
                <w:sz w:val="20"/>
                <w:szCs w:val="20"/>
                <w:color w:val="auto"/>
              </w:rPr>
            </w:pPr>
            <w:r>
              <w:rPr>
                <w:rFonts w:ascii="Arial" w:cs="Arial" w:eastAsia="Arial" w:hAnsi="Arial"/>
                <w:sz w:val="13"/>
                <w:szCs w:val="13"/>
                <w:color w:val="auto"/>
              </w:rPr>
              <w:t>Balances at December 31, 2019</w:t>
            </w:r>
          </w:p>
        </w:tc>
        <w:tc>
          <w:tcPr>
            <w:tcW w:w="960" w:type="dxa"/>
            <w:vAlign w:val="bottom"/>
            <w:tcBorders>
              <w:top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rPr>
              <w:t>69,516,626</w:t>
            </w:r>
          </w:p>
        </w:tc>
        <w:tc>
          <w:tcPr>
            <w:tcW w:w="1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rPr>
              <w:t>74,653</w:t>
            </w:r>
          </w:p>
        </w:tc>
        <w:tc>
          <w:tcPr>
            <w:tcW w:w="100" w:type="dxa"/>
            <w:vAlign w:val="bottom"/>
            <w:tcBorders>
              <w:top w:val="single" w:sz="8" w:color="auto"/>
              <w:right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28,397,955</w:t>
            </w:r>
          </w:p>
        </w:tc>
        <w:tc>
          <w:tcPr>
            <w:tcW w:w="280" w:type="dxa"/>
            <w:vAlign w:val="bottom"/>
            <w:tcBorders>
              <w:top w:val="single" w:sz="8" w:color="auto"/>
            </w:tcBorders>
            <w:shd w:val="clear" w:color="auto" w:fill="CFF0FC"/>
          </w:tcPr>
          <w:p>
            <w:pPr>
              <w:jc w:val="right"/>
              <w:ind w:right="117"/>
              <w:spacing w:after="0" w:line="142"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21</w:t>
            </w:r>
          </w:p>
        </w:tc>
        <w:tc>
          <w:tcPr>
            <w:tcW w:w="1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rPr>
              <w:t>443</w:t>
            </w:r>
          </w:p>
        </w:tc>
        <w:tc>
          <w:tcPr>
            <w:tcW w:w="1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(42,018 )</w:t>
            </w:r>
          </w:p>
        </w:tc>
        <w:tc>
          <w:tcPr>
            <w:tcW w:w="140" w:type="dxa"/>
            <w:vAlign w:val="bottom"/>
            <w:tcBorders>
              <w:top w:val="single" w:sz="8" w:color="auto"/>
            </w:tcBorders>
            <w:shd w:val="clear" w:color="auto" w:fill="CFF0FC"/>
          </w:tcPr>
          <w:p>
            <w:pPr>
              <w:ind w:left="60"/>
              <w:spacing w:after="0" w:line="142" w:lineRule="exact"/>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(147 )</w:t>
            </w:r>
          </w:p>
        </w:tc>
        <w:tc>
          <w:tcPr>
            <w:tcW w:w="1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440" w:type="dxa"/>
            <w:vAlign w:val="bottom"/>
            <w:tcBorders>
              <w:top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(41,701 )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40" w:type="dxa"/>
            <w:vAlign w:val="bottom"/>
          </w:tcPr>
          <w:p>
            <w:pPr>
              <w:ind w:left="20"/>
              <w:spacing w:after="0" w:line="108" w:lineRule="exact"/>
              <w:rPr>
                <w:sz w:val="20"/>
                <w:szCs w:val="20"/>
                <w:color w:val="auto"/>
              </w:rPr>
            </w:pPr>
            <w:r>
              <w:rPr>
                <w:rFonts w:ascii="Arial" w:cs="Arial" w:eastAsia="Arial" w:hAnsi="Arial"/>
                <w:sz w:val="12"/>
                <w:szCs w:val="12"/>
                <w:color w:val="auto"/>
              </w:rPr>
              <w:t>issuance of Series D redeemable</w:t>
            </w: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40" w:type="dxa"/>
            <w:vAlign w:val="bottom"/>
          </w:tcPr>
          <w:p>
            <w:pPr>
              <w:ind w:left="120"/>
              <w:spacing w:after="0" w:line="122" w:lineRule="exact"/>
              <w:rPr>
                <w:sz w:val="20"/>
                <w:szCs w:val="20"/>
                <w:color w:val="auto"/>
              </w:rPr>
            </w:pPr>
            <w:r>
              <w:rPr>
                <w:rFonts w:ascii="Arial" w:cs="Arial" w:eastAsia="Arial" w:hAnsi="Arial"/>
                <w:sz w:val="13"/>
                <w:szCs w:val="13"/>
                <w:color w:val="auto"/>
              </w:rPr>
              <w:t>convertible preferred stock, net</w:t>
            </w:r>
          </w:p>
        </w:tc>
        <w:tc>
          <w:tcPr>
            <w:tcW w:w="960" w:type="dxa"/>
            <w:vAlign w:val="bottom"/>
            <w:vMerge w:val="restart"/>
          </w:tcPr>
          <w:p>
            <w:pPr>
              <w:jc w:val="right"/>
              <w:ind w:right="17"/>
              <w:spacing w:after="0"/>
              <w:rPr>
                <w:sz w:val="20"/>
                <w:szCs w:val="20"/>
                <w:color w:val="auto"/>
              </w:rPr>
            </w:pPr>
            <w:r>
              <w:rPr>
                <w:rFonts w:ascii="Arial" w:cs="Arial" w:eastAsia="Arial" w:hAnsi="Arial"/>
                <w:sz w:val="13"/>
                <w:szCs w:val="13"/>
                <w:color w:val="auto"/>
              </w:rPr>
              <w:t>17,752,068</w:t>
            </w:r>
          </w:p>
        </w:tc>
        <w:tc>
          <w:tcPr>
            <w:tcW w:w="100" w:type="dxa"/>
            <w:vAlign w:val="bottom"/>
          </w:tcPr>
          <w:p>
            <w:pPr>
              <w:spacing w:after="0"/>
              <w:rPr>
                <w:sz w:val="10"/>
                <w:szCs w:val="10"/>
                <w:color w:val="auto"/>
              </w:rPr>
            </w:pP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color w:val="auto"/>
              </w:rPr>
              <w:t>119,666</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40" w:type="dxa"/>
            <w:vAlign w:val="bottom"/>
          </w:tcPr>
          <w:p>
            <w:pPr>
              <w:ind w:left="120"/>
              <w:spacing w:after="0"/>
              <w:rPr>
                <w:sz w:val="20"/>
                <w:szCs w:val="20"/>
                <w:color w:val="auto"/>
              </w:rPr>
            </w:pPr>
            <w:r>
              <w:rPr>
                <w:rFonts w:ascii="Arial" w:cs="Arial" w:eastAsia="Arial" w:hAnsi="Arial"/>
                <w:sz w:val="13"/>
                <w:szCs w:val="13"/>
                <w:color w:val="auto"/>
              </w:rPr>
              <w:t>of issuance costs of $334</w:t>
            </w: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756,416</w:t>
            </w:r>
          </w:p>
        </w:tc>
        <w:tc>
          <w:tcPr>
            <w:tcW w:w="28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194</w:t>
            </w: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611</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FF0FC"/>
          </w:tcPr>
          <w:p>
            <w:pPr>
              <w:ind w:left="20"/>
              <w:spacing w:after="0"/>
              <w:rPr>
                <w:sz w:val="20"/>
                <w:szCs w:val="20"/>
                <w:color w:val="auto"/>
              </w:rPr>
            </w:pPr>
            <w:r>
              <w:rPr>
                <w:rFonts w:ascii="Arial" w:cs="Arial" w:eastAsia="Arial" w:hAnsi="Arial"/>
                <w:sz w:val="13"/>
                <w:szCs w:val="13"/>
                <w:color w:val="auto"/>
                <w:w w:val="90"/>
              </w:rPr>
              <w:t>Stock issuance for litigation settlement</w:t>
            </w: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2,087,545</w:t>
            </w:r>
          </w:p>
        </w:tc>
        <w:tc>
          <w:tcPr>
            <w:tcW w:w="28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5,243</w:t>
            </w: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40" w:type="dxa"/>
            <w:vAlign w:val="bottom"/>
          </w:tcPr>
          <w:p>
            <w:pPr>
              <w:ind w:left="20"/>
              <w:spacing w:after="0" w:line="108" w:lineRule="exact"/>
              <w:rPr>
                <w:sz w:val="20"/>
                <w:szCs w:val="20"/>
                <w:color w:val="auto"/>
              </w:rPr>
            </w:pPr>
            <w:r>
              <w:rPr>
                <w:rFonts w:ascii="Arial" w:cs="Arial" w:eastAsia="Arial" w:hAnsi="Arial"/>
                <w:sz w:val="12"/>
                <w:szCs w:val="12"/>
                <w:color w:val="auto"/>
              </w:rPr>
              <w:t>Foreign currency translation</w:t>
            </w: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40" w:type="dxa"/>
            <w:vAlign w:val="bottom"/>
          </w:tcPr>
          <w:p>
            <w:pPr>
              <w:ind w:left="20"/>
              <w:spacing w:after="0" w:line="122" w:lineRule="exact"/>
              <w:rPr>
                <w:sz w:val="20"/>
                <w:szCs w:val="20"/>
                <w:color w:val="auto"/>
              </w:rPr>
            </w:pPr>
            <w:r>
              <w:rPr>
                <w:rFonts w:ascii="Arial" w:cs="Arial" w:eastAsia="Arial" w:hAnsi="Arial"/>
                <w:sz w:val="13"/>
                <w:szCs w:val="13"/>
                <w:color w:val="auto"/>
              </w:rPr>
              <w:t>adjustment,</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212</w:t>
            </w:r>
          </w:p>
        </w:tc>
        <w:tc>
          <w:tcPr>
            <w:tcW w:w="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212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40" w:type="dxa"/>
            <w:vAlign w:val="bottom"/>
          </w:tcPr>
          <w:p>
            <w:pPr>
              <w:ind w:left="120"/>
              <w:spacing w:after="0"/>
              <w:rPr>
                <w:sz w:val="20"/>
                <w:szCs w:val="20"/>
                <w:color w:val="auto"/>
              </w:rPr>
            </w:pPr>
            <w:r>
              <w:rPr>
                <w:rFonts w:ascii="Arial" w:cs="Arial" w:eastAsia="Arial" w:hAnsi="Arial"/>
                <w:sz w:val="13"/>
                <w:szCs w:val="13"/>
                <w:color w:val="auto"/>
              </w:rPr>
              <w:t>net of tax</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Net income</w:t>
            </w:r>
          </w:p>
        </w:tc>
        <w:tc>
          <w:tcPr>
            <w:tcW w:w="96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right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19,411</w:t>
            </w:r>
          </w:p>
        </w:tc>
        <w:tc>
          <w:tcPr>
            <w:tcW w:w="14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19,411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40" w:type="dxa"/>
            <w:vAlign w:val="bottom"/>
          </w:tcPr>
          <w:p>
            <w:pPr>
              <w:ind w:left="20"/>
              <w:spacing w:after="0" w:line="122" w:lineRule="exact"/>
              <w:rPr>
                <w:sz w:val="20"/>
                <w:szCs w:val="20"/>
                <w:color w:val="auto"/>
              </w:rPr>
            </w:pPr>
            <w:r>
              <w:rPr>
                <w:rFonts w:ascii="Arial" w:cs="Arial" w:eastAsia="Arial" w:hAnsi="Arial"/>
                <w:sz w:val="13"/>
                <w:szCs w:val="13"/>
                <w:color w:val="auto"/>
              </w:rPr>
              <w:t>Balances at December 31, 2020</w:t>
            </w:r>
          </w:p>
        </w:tc>
        <w:tc>
          <w:tcPr>
            <w:tcW w:w="960" w:type="dxa"/>
            <w:vAlign w:val="bottom"/>
            <w:tcBorders>
              <w:bottom w:val="single" w:sz="8" w:color="auto"/>
            </w:tcBorders>
          </w:tcPr>
          <w:p>
            <w:pPr>
              <w:jc w:val="right"/>
              <w:ind w:right="17"/>
              <w:spacing w:after="0" w:line="122" w:lineRule="exact"/>
              <w:rPr>
                <w:sz w:val="20"/>
                <w:szCs w:val="20"/>
                <w:color w:val="auto"/>
              </w:rPr>
            </w:pPr>
            <w:r>
              <w:rPr>
                <w:rFonts w:ascii="Arial" w:cs="Arial" w:eastAsia="Arial" w:hAnsi="Arial"/>
                <w:sz w:val="13"/>
                <w:szCs w:val="13"/>
                <w:color w:val="auto"/>
              </w:rPr>
              <w:t>87,268,694</w:t>
            </w:r>
          </w:p>
        </w:tc>
        <w:tc>
          <w:tcPr>
            <w:tcW w:w="1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ind w:right="17"/>
              <w:spacing w:after="0" w:line="122" w:lineRule="exact"/>
              <w:rPr>
                <w:sz w:val="20"/>
                <w:szCs w:val="20"/>
                <w:color w:val="auto"/>
              </w:rPr>
            </w:pPr>
            <w:r>
              <w:rPr>
                <w:rFonts w:ascii="Arial" w:cs="Arial" w:eastAsia="Arial" w:hAnsi="Arial"/>
                <w:sz w:val="13"/>
                <w:szCs w:val="13"/>
                <w:color w:val="auto"/>
              </w:rPr>
              <w:t>194,319</w:t>
            </w:r>
          </w:p>
        </w:tc>
        <w:tc>
          <w:tcPr>
            <w:tcW w:w="100" w:type="dxa"/>
            <w:vAlign w:val="bottom"/>
            <w:tcBorders>
              <w:bottom w:val="single" w:sz="8" w:color="auto"/>
              <w:right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31,241,916</w:t>
            </w:r>
          </w:p>
        </w:tc>
        <w:tc>
          <w:tcPr>
            <w:tcW w:w="280" w:type="dxa"/>
            <w:vAlign w:val="bottom"/>
            <w:tcBorders>
              <w:bottom w:val="single" w:sz="8" w:color="auto"/>
            </w:tcBorders>
          </w:tcPr>
          <w:p>
            <w:pPr>
              <w:jc w:val="right"/>
              <w:ind w:right="117"/>
              <w:spacing w:after="0" w:line="122" w:lineRule="exact"/>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23</w:t>
            </w:r>
          </w:p>
        </w:tc>
        <w:tc>
          <w:tcPr>
            <w:tcW w:w="1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7"/>
              <w:spacing w:after="0" w:line="122" w:lineRule="exact"/>
              <w:rPr>
                <w:sz w:val="20"/>
                <w:szCs w:val="20"/>
                <w:color w:val="auto"/>
              </w:rPr>
            </w:pPr>
            <w:r>
              <w:rPr>
                <w:rFonts w:ascii="Arial" w:cs="Arial" w:eastAsia="Arial" w:hAnsi="Arial"/>
                <w:sz w:val="13"/>
                <w:szCs w:val="13"/>
                <w:color w:val="auto"/>
              </w:rPr>
              <w:t>6,491</w:t>
            </w:r>
          </w:p>
        </w:tc>
        <w:tc>
          <w:tcPr>
            <w:tcW w:w="1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(22,607 )</w:t>
            </w:r>
          </w:p>
        </w:tc>
        <w:tc>
          <w:tcPr>
            <w:tcW w:w="140" w:type="dxa"/>
            <w:vAlign w:val="bottom"/>
            <w:tcBorders>
              <w:bottom w:val="single" w:sz="8" w:color="auto"/>
            </w:tcBorders>
          </w:tcPr>
          <w:p>
            <w:pPr>
              <w:ind w:left="60"/>
              <w:spacing w:after="0" w:line="122" w:lineRule="exact"/>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37"/>
              <w:spacing w:after="0" w:line="122" w:lineRule="exact"/>
              <w:rPr>
                <w:sz w:val="20"/>
                <w:szCs w:val="20"/>
                <w:color w:val="auto"/>
              </w:rPr>
            </w:pPr>
            <w:r>
              <w:rPr>
                <w:rFonts w:ascii="Arial" w:cs="Arial" w:eastAsia="Arial" w:hAnsi="Arial"/>
                <w:sz w:val="13"/>
                <w:szCs w:val="13"/>
                <w:color w:val="auto"/>
              </w:rPr>
              <w:t>65</w:t>
            </w:r>
          </w:p>
        </w:tc>
        <w:tc>
          <w:tcPr>
            <w:tcW w:w="1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tcPr>
          <w:p>
            <w:pPr>
              <w:jc w:val="right"/>
              <w:ind w:right="17"/>
              <w:spacing w:after="0" w:line="122"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(16,028 )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40" w:type="dxa"/>
            <w:vAlign w:val="bottom"/>
            <w:shd w:val="clear" w:color="auto" w:fill="CFF0FC"/>
          </w:tcPr>
          <w:p>
            <w:pPr>
              <w:ind w:left="20"/>
              <w:spacing w:after="0" w:line="129" w:lineRule="exact"/>
              <w:rPr>
                <w:sz w:val="20"/>
                <w:szCs w:val="20"/>
                <w:color w:val="auto"/>
              </w:rPr>
            </w:pPr>
            <w:r>
              <w:rPr>
                <w:rFonts w:ascii="Arial" w:cs="Arial" w:eastAsia="Arial" w:hAnsi="Arial"/>
                <w:sz w:val="13"/>
                <w:szCs w:val="13"/>
                <w:color w:val="auto"/>
              </w:rPr>
              <w:t>Exercise of stock options</w:t>
            </w: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tcBorders>
              <w:right w:val="single" w:sz="8" w:color="auto"/>
            </w:tcBorders>
            <w:shd w:val="clear" w:color="auto" w:fill="CFF0FC"/>
          </w:tcPr>
          <w:p>
            <w:pPr>
              <w:spacing w:after="0"/>
              <w:rPr>
                <w:sz w:val="11"/>
                <w:szCs w:val="11"/>
                <w:color w:val="auto"/>
              </w:rPr>
            </w:pPr>
          </w:p>
        </w:tc>
        <w:tc>
          <w:tcPr>
            <w:tcW w:w="9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1,289,652</w:t>
            </w: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2</w:t>
            </w: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17"/>
              <w:spacing w:after="0" w:line="129" w:lineRule="exact"/>
              <w:rPr>
                <w:sz w:val="20"/>
                <w:szCs w:val="20"/>
                <w:color w:val="auto"/>
              </w:rPr>
            </w:pPr>
            <w:r>
              <w:rPr>
                <w:rFonts w:ascii="Arial" w:cs="Arial" w:eastAsia="Arial" w:hAnsi="Arial"/>
                <w:sz w:val="13"/>
                <w:szCs w:val="13"/>
                <w:color w:val="auto"/>
              </w:rPr>
              <w:t>642</w:t>
            </w: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644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6,586</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6,586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4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w w:val="98"/>
              </w:rPr>
              <w:t>Issuance of common stock upon initial</w:t>
            </w:r>
          </w:p>
        </w:tc>
        <w:tc>
          <w:tcPr>
            <w:tcW w:w="9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tcBorders>
              <w:right w:val="single" w:sz="8" w:color="auto"/>
            </w:tcBorders>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40" w:type="dxa"/>
            <w:vAlign w:val="bottom"/>
            <w:shd w:val="clear" w:color="auto" w:fill="CFF0FC"/>
          </w:tcPr>
          <w:p>
            <w:pPr>
              <w:ind w:left="120"/>
              <w:spacing w:after="0" w:line="122" w:lineRule="exact"/>
              <w:rPr>
                <w:sz w:val="20"/>
                <w:szCs w:val="20"/>
                <w:color w:val="auto"/>
              </w:rPr>
            </w:pPr>
            <w:r>
              <w:rPr>
                <w:rFonts w:ascii="Arial" w:cs="Arial" w:eastAsia="Arial" w:hAnsi="Arial"/>
                <w:sz w:val="13"/>
                <w:szCs w:val="13"/>
                <w:color w:val="auto"/>
                <w:w w:val="97"/>
              </w:rPr>
              <w:t>public offering, net of underwriting</w:t>
            </w: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tcBorders>
              <w:right w:val="single" w:sz="8" w:color="auto"/>
            </w:tcBorders>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shd w:val="clear" w:color="auto" w:fill="CFF0FC"/>
          </w:tcPr>
          <w:p>
            <w:pPr>
              <w:ind w:left="120"/>
              <w:spacing w:after="0" w:line="122" w:lineRule="exact"/>
              <w:rPr>
                <w:sz w:val="20"/>
                <w:szCs w:val="20"/>
                <w:color w:val="auto"/>
              </w:rPr>
            </w:pPr>
            <w:r>
              <w:rPr>
                <w:rFonts w:ascii="Arial" w:cs="Arial" w:eastAsia="Arial" w:hAnsi="Arial"/>
                <w:sz w:val="13"/>
                <w:szCs w:val="13"/>
                <w:color w:val="auto"/>
              </w:rPr>
              <w:t>discounts and commissions and</w:t>
            </w: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tcBorders>
              <w:right w:val="single" w:sz="8" w:color="auto"/>
            </w:tcBorders>
            <w:shd w:val="clear" w:color="auto" w:fill="CFF0FC"/>
          </w:tcPr>
          <w:p>
            <w:pPr>
              <w:spacing w:after="0"/>
              <w:rPr>
                <w:sz w:val="10"/>
                <w:szCs w:val="10"/>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13,949,401</w:t>
            </w:r>
          </w:p>
        </w:tc>
        <w:tc>
          <w:tcPr>
            <w:tcW w:w="280" w:type="dxa"/>
            <w:vAlign w:val="bottom"/>
            <w:shd w:val="clear" w:color="auto" w:fill="CFF0FC"/>
          </w:tcPr>
          <w:p>
            <w:pPr>
              <w:spacing w:after="0"/>
              <w:rPr>
                <w:sz w:val="10"/>
                <w:szCs w:val="10"/>
                <w:color w:val="auto"/>
              </w:rPr>
            </w:pPr>
          </w:p>
        </w:tc>
        <w:tc>
          <w:tcPr>
            <w:tcW w:w="3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18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215,675</w:t>
            </w:r>
          </w:p>
        </w:tc>
        <w:tc>
          <w:tcPr>
            <w:tcW w:w="1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215,689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other offering costs</w:t>
            </w: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tcBorders>
              <w:right w:val="single" w:sz="8" w:color="auto"/>
            </w:tcBorders>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2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40" w:type="dxa"/>
            <w:vAlign w:val="bottom"/>
          </w:tcPr>
          <w:p>
            <w:pPr>
              <w:ind w:left="20"/>
              <w:spacing w:after="0" w:line="108" w:lineRule="exact"/>
              <w:rPr>
                <w:sz w:val="20"/>
                <w:szCs w:val="20"/>
                <w:color w:val="auto"/>
              </w:rPr>
            </w:pPr>
            <w:r>
              <w:rPr>
                <w:rFonts w:ascii="Arial" w:cs="Arial" w:eastAsia="Arial" w:hAnsi="Arial"/>
                <w:sz w:val="12"/>
                <w:szCs w:val="12"/>
                <w:color w:val="auto"/>
                <w:w w:val="98"/>
              </w:rPr>
              <w:t>Conversion of redeemable convertible</w:t>
            </w: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40" w:type="dxa"/>
            <w:vAlign w:val="bottom"/>
          </w:tcPr>
          <w:p>
            <w:pPr>
              <w:ind w:left="120"/>
              <w:spacing w:after="0" w:line="122" w:lineRule="exact"/>
              <w:rPr>
                <w:sz w:val="20"/>
                <w:szCs w:val="20"/>
                <w:color w:val="auto"/>
              </w:rPr>
            </w:pPr>
            <w:r>
              <w:rPr>
                <w:rFonts w:ascii="Arial" w:cs="Arial" w:eastAsia="Arial" w:hAnsi="Arial"/>
                <w:sz w:val="13"/>
                <w:szCs w:val="13"/>
                <w:color w:val="auto"/>
              </w:rPr>
              <w:t>preferred stock to common stock</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40" w:type="dxa"/>
            <w:vAlign w:val="bottom"/>
          </w:tcPr>
          <w:p>
            <w:pPr>
              <w:ind w:left="20"/>
              <w:spacing w:after="0" w:line="122" w:lineRule="exact"/>
              <w:rPr>
                <w:sz w:val="20"/>
                <w:szCs w:val="20"/>
                <w:color w:val="auto"/>
              </w:rPr>
            </w:pPr>
            <w:r>
              <w:rPr>
                <w:rFonts w:ascii="Arial" w:cs="Arial" w:eastAsia="Arial" w:hAnsi="Arial"/>
                <w:sz w:val="13"/>
                <w:szCs w:val="13"/>
                <w:color w:val="auto"/>
              </w:rPr>
              <w:t>upon</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(87,268,694 )</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(194,319 )</w:t>
            </w:r>
          </w:p>
        </w:tc>
        <w:tc>
          <w:tcPr>
            <w:tcW w:w="100" w:type="dxa"/>
            <w:vAlign w:val="bottom"/>
            <w:tcBorders>
              <w:right w:val="single" w:sz="8" w:color="auto"/>
            </w:tcBorders>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87,268,694</w:t>
            </w:r>
          </w:p>
        </w:tc>
        <w:tc>
          <w:tcPr>
            <w:tcW w:w="28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87</w:t>
            </w:r>
          </w:p>
        </w:tc>
        <w:tc>
          <w:tcPr>
            <w:tcW w:w="180" w:type="dxa"/>
            <w:vAlign w:val="bottom"/>
          </w:tcPr>
          <w:p>
            <w:pPr>
              <w:spacing w:after="0"/>
              <w:rPr>
                <w:sz w:val="10"/>
                <w:szCs w:val="10"/>
                <w:color w:val="auto"/>
              </w:rPr>
            </w:pPr>
          </w:p>
        </w:tc>
        <w:tc>
          <w:tcPr>
            <w:tcW w:w="720" w:type="dxa"/>
            <w:vAlign w:val="bottom"/>
            <w:vMerge w:val="restart"/>
          </w:tcPr>
          <w:p>
            <w:pPr>
              <w:jc w:val="right"/>
              <w:ind w:right="17"/>
              <w:spacing w:after="0"/>
              <w:rPr>
                <w:sz w:val="20"/>
                <w:szCs w:val="20"/>
                <w:color w:val="auto"/>
              </w:rPr>
            </w:pPr>
            <w:r>
              <w:rPr>
                <w:rFonts w:ascii="Arial" w:cs="Arial" w:eastAsia="Arial" w:hAnsi="Arial"/>
                <w:sz w:val="13"/>
                <w:szCs w:val="13"/>
                <w:color w:val="auto"/>
              </w:rPr>
              <w:t>194,231</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194,318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40" w:type="dxa"/>
            <w:vAlign w:val="bottom"/>
          </w:tcPr>
          <w:p>
            <w:pPr>
              <w:ind w:left="120"/>
              <w:spacing w:after="0"/>
              <w:rPr>
                <w:sz w:val="20"/>
                <w:szCs w:val="20"/>
                <w:color w:val="auto"/>
              </w:rPr>
            </w:pPr>
            <w:r>
              <w:rPr>
                <w:rFonts w:ascii="Arial" w:cs="Arial" w:eastAsia="Arial" w:hAnsi="Arial"/>
                <w:sz w:val="13"/>
                <w:szCs w:val="13"/>
                <w:color w:val="auto"/>
              </w:rPr>
              <w:t>initial public offering</w:t>
            </w: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40" w:type="dxa"/>
            <w:vAlign w:val="bottom"/>
            <w:shd w:val="clear" w:color="auto" w:fill="CFF0FC"/>
          </w:tcPr>
          <w:p>
            <w:pPr>
              <w:ind w:left="20"/>
              <w:spacing w:after="0" w:line="109" w:lineRule="exact"/>
              <w:rPr>
                <w:sz w:val="20"/>
                <w:szCs w:val="20"/>
                <w:color w:val="auto"/>
              </w:rPr>
            </w:pPr>
            <w:r>
              <w:rPr>
                <w:rFonts w:ascii="Arial" w:cs="Arial" w:eastAsia="Arial" w:hAnsi="Arial"/>
                <w:sz w:val="12"/>
                <w:szCs w:val="12"/>
                <w:color w:val="auto"/>
              </w:rPr>
              <w:t>Foreign currency translation</w:t>
            </w:r>
          </w:p>
        </w:tc>
        <w:tc>
          <w:tcPr>
            <w:tcW w:w="9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tcBorders>
              <w:right w:val="single" w:sz="8" w:color="auto"/>
            </w:tcBorders>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40" w:type="dxa"/>
            <w:vAlign w:val="bottom"/>
            <w:shd w:val="clear" w:color="auto" w:fill="CFF0FC"/>
          </w:tcPr>
          <w:p>
            <w:pPr>
              <w:ind w:left="20"/>
              <w:spacing w:after="0" w:line="122" w:lineRule="exact"/>
              <w:rPr>
                <w:sz w:val="20"/>
                <w:szCs w:val="20"/>
                <w:color w:val="auto"/>
              </w:rPr>
            </w:pPr>
            <w:r>
              <w:rPr>
                <w:rFonts w:ascii="Arial" w:cs="Arial" w:eastAsia="Arial" w:hAnsi="Arial"/>
                <w:sz w:val="13"/>
                <w:szCs w:val="13"/>
                <w:color w:val="auto"/>
              </w:rPr>
              <w:t>adjustment,</w:t>
            </w: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tcBorders>
              <w:right w:val="single" w:sz="8" w:color="auto"/>
            </w:tcBorders>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832</w:t>
            </w:r>
          </w:p>
        </w:tc>
        <w:tc>
          <w:tcPr>
            <w:tcW w:w="14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832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net of tax</w:t>
            </w: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tcBorders>
              <w:right w:val="single" w:sz="8" w:color="auto"/>
            </w:tcBorders>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3,001</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right"/>
              <w:ind w:right="17"/>
              <w:spacing w:after="0"/>
              <w:rPr>
                <w:sz w:val="20"/>
                <w:szCs w:val="20"/>
                <w:color w:val="auto"/>
              </w:rPr>
            </w:pPr>
            <w:r>
              <w:rPr>
                <w:rFonts w:ascii="Arial" w:cs="Arial" w:eastAsia="Arial" w:hAnsi="Arial"/>
                <w:sz w:val="13"/>
                <w:szCs w:val="13"/>
                <w:color w:val="auto"/>
              </w:rPr>
              <w:t>26</w:t>
            </w: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3,027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Noncontrolling interest</w:t>
            </w:r>
          </w:p>
        </w:tc>
        <w:tc>
          <w:tcPr>
            <w:tcW w:w="96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right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317</w:t>
            </w:r>
          </w:p>
        </w:tc>
        <w:tc>
          <w:tcPr>
            <w:tcW w:w="14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40" w:type="dxa"/>
            <w:vAlign w:val="bottom"/>
          </w:tcPr>
          <w:p>
            <w:pPr>
              <w:ind w:left="20"/>
              <w:spacing w:after="0" w:line="142" w:lineRule="exact"/>
              <w:rPr>
                <w:sz w:val="20"/>
                <w:szCs w:val="20"/>
                <w:color w:val="auto"/>
              </w:rPr>
            </w:pPr>
            <w:r>
              <w:rPr>
                <w:rFonts w:ascii="Arial" w:cs="Arial" w:eastAsia="Arial" w:hAnsi="Arial"/>
                <w:sz w:val="13"/>
                <w:szCs w:val="13"/>
                <w:color w:val="auto"/>
              </w:rPr>
              <w:t>Balances at December 31, 2021</w:t>
            </w:r>
          </w:p>
        </w:tc>
        <w:tc>
          <w:tcPr>
            <w:tcW w:w="9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right w:val="single" w:sz="8" w:color="auto"/>
            </w:tcBorders>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133,749,663</w:t>
            </w:r>
          </w:p>
        </w:tc>
        <w:tc>
          <w:tcPr>
            <w:tcW w:w="2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126</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rPr>
              <w:t>423,625</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(19,606 )</w:t>
            </w:r>
          </w:p>
        </w:tc>
        <w:tc>
          <w:tcPr>
            <w:tcW w:w="1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3"/>
                <w:szCs w:val="13"/>
                <w:color w:val="auto"/>
              </w:rPr>
              <w:t>897</w:t>
            </w: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rPr>
              <w:t>343</w:t>
            </w: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405,385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2418080</wp:posOffset>
            </wp:positionH>
            <wp:positionV relativeFrom="paragraph">
              <wp:posOffset>-2720975</wp:posOffset>
            </wp:positionV>
            <wp:extent cx="34290" cy="1282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128270"/>
                    </a:xfrm>
                    <a:prstGeom prst="rect">
                      <a:avLst/>
                    </a:prstGeom>
                    <a:noFill/>
                  </pic:spPr>
                </pic:pic>
              </a:graphicData>
            </a:graphic>
          </wp:anchor>
        </w:drawing>
      </w: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Cytek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4"/>
                <w:szCs w:val="14"/>
                <w:color w:val="auto"/>
              </w:rPr>
            </w:pPr>
          </w:p>
        </w:tc>
        <w:tc>
          <w:tcPr>
            <w:tcW w:w="1320" w:type="dxa"/>
            <w:vAlign w:val="bottom"/>
          </w:tcPr>
          <w:p>
            <w:pPr>
              <w:jc w:val="right"/>
              <w:ind w:right="671"/>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jc w:val="right"/>
              <w:ind w:right="651"/>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6"/>
        </w:trPr>
        <w:tc>
          <w:tcPr>
            <w:tcW w:w="74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Net income</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3,027</w:t>
            </w:r>
          </w:p>
        </w:tc>
        <w:tc>
          <w:tcPr>
            <w:tcW w:w="820" w:type="dxa"/>
            <w:vAlign w:val="bottom"/>
            <w:gridSpan w:val="2"/>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19,411</w:t>
            </w:r>
          </w:p>
        </w:tc>
        <w:tc>
          <w:tcPr>
            <w:tcW w:w="0" w:type="dxa"/>
            <w:vAlign w:val="bottom"/>
          </w:tcPr>
          <w:p>
            <w:pPr>
              <w:spacing w:after="0"/>
              <w:rPr>
                <w:sz w:val="1"/>
                <w:szCs w:val="1"/>
                <w:color w:val="auto"/>
              </w:rPr>
            </w:pPr>
          </w:p>
        </w:tc>
      </w:tr>
      <w:tr>
        <w:trPr>
          <w:trHeight w:val="162"/>
        </w:trPr>
        <w:tc>
          <w:tcPr>
            <w:tcW w:w="7680" w:type="dxa"/>
            <w:vAlign w:val="bottom"/>
            <w:gridSpan w:val="2"/>
            <w:shd w:val="clear" w:color="auto" w:fill="CFF0FC"/>
          </w:tcPr>
          <w:p>
            <w:pPr>
              <w:ind w:left="20"/>
              <w:spacing w:after="0" w:line="162" w:lineRule="exact"/>
              <w:rPr>
                <w:sz w:val="20"/>
                <w:szCs w:val="20"/>
                <w:color w:val="auto"/>
              </w:rPr>
            </w:pPr>
            <w:r>
              <w:rPr>
                <w:rFonts w:ascii="Arial" w:cs="Arial" w:eastAsia="Arial" w:hAnsi="Arial"/>
                <w:sz w:val="18"/>
                <w:szCs w:val="18"/>
                <w:color w:val="auto"/>
              </w:rPr>
              <w:t>Adjustments to reconcile net income to net cash provided by</w:t>
            </w:r>
          </w:p>
        </w:tc>
        <w:tc>
          <w:tcPr>
            <w:tcW w:w="3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operating activities:</w:t>
            </w: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1,242</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3"/>
        </w:trPr>
        <w:tc>
          <w:tcPr>
            <w:tcW w:w="76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Allowance for doubtful accounts</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3"/>
        </w:trPr>
        <w:tc>
          <w:tcPr>
            <w:tcW w:w="7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6,586</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03"/>
        </w:trPr>
        <w:tc>
          <w:tcPr>
            <w:tcW w:w="76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Gain on equity method investment</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(40 )</w:t>
            </w: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Loss on lease exit cost</w:t>
            </w:r>
          </w:p>
        </w:tc>
        <w:tc>
          <w:tcPr>
            <w:tcW w:w="38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283</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Provision for excess and obsolete inventory</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488</w:t>
            </w: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03"/>
        </w:trPr>
        <w:tc>
          <w:tcPr>
            <w:tcW w:w="7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Interest expenses for accretion of the legal settlement liabilities</w:t>
            </w:r>
          </w:p>
        </w:tc>
        <w:tc>
          <w:tcPr>
            <w:tcW w:w="38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1,690</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3"/>
        </w:trPr>
        <w:tc>
          <w:tcPr>
            <w:tcW w:w="76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 in operating assets and liabilities:</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Trade accounts receivable</w:t>
            </w:r>
          </w:p>
        </w:tc>
        <w:tc>
          <w:tcPr>
            <w:tcW w:w="3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(12,367 )</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3"/>
        </w:trPr>
        <w:tc>
          <w:tcPr>
            <w:tcW w:w="7680" w:type="dxa"/>
            <w:vAlign w:val="bottom"/>
            <w:gridSpan w:val="2"/>
            <w:shd w:val="clear" w:color="auto" w:fill="CFF0FC"/>
          </w:tcPr>
          <w:p>
            <w:pPr>
              <w:ind w:left="380"/>
              <w:spacing w:after="0" w:line="202" w:lineRule="exact"/>
              <w:rPr>
                <w:sz w:val="20"/>
                <w:szCs w:val="20"/>
                <w:color w:val="auto"/>
              </w:rPr>
            </w:pPr>
            <w:r>
              <w:rPr>
                <w:rFonts w:ascii="Arial" w:cs="Arial" w:eastAsia="Arial" w:hAnsi="Arial"/>
                <w:sz w:val="18"/>
                <w:szCs w:val="18"/>
                <w:color w:val="auto"/>
              </w:rPr>
              <w:t>Inventories</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(7,068 )</w:t>
            </w: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(5,704 )</w:t>
            </w:r>
          </w:p>
        </w:tc>
        <w:tc>
          <w:tcPr>
            <w:tcW w:w="0" w:type="dxa"/>
            <w:vAlign w:val="bottom"/>
          </w:tcPr>
          <w:p>
            <w:pPr>
              <w:spacing w:after="0"/>
              <w:rPr>
                <w:sz w:val="1"/>
                <w:szCs w:val="1"/>
                <w:color w:val="auto"/>
              </w:rPr>
            </w:pPr>
          </w:p>
        </w:tc>
      </w:tr>
      <w:tr>
        <w:trPr>
          <w:trHeight w:val="203"/>
        </w:trPr>
        <w:tc>
          <w:tcPr>
            <w:tcW w:w="76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Prepaid expenses and other assets</w:t>
            </w:r>
          </w:p>
        </w:tc>
        <w:tc>
          <w:tcPr>
            <w:tcW w:w="3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(6,252 )</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(8,216 )</w:t>
            </w:r>
          </w:p>
        </w:tc>
        <w:tc>
          <w:tcPr>
            <w:tcW w:w="0" w:type="dxa"/>
            <w:vAlign w:val="bottom"/>
          </w:tcPr>
          <w:p>
            <w:pPr>
              <w:spacing w:after="0"/>
              <w:rPr>
                <w:sz w:val="1"/>
                <w:szCs w:val="1"/>
                <w:color w:val="auto"/>
              </w:rPr>
            </w:pPr>
          </w:p>
        </w:tc>
      </w:tr>
      <w:tr>
        <w:trPr>
          <w:trHeight w:val="203"/>
        </w:trPr>
        <w:tc>
          <w:tcPr>
            <w:tcW w:w="7680" w:type="dxa"/>
            <w:vAlign w:val="bottom"/>
            <w:gridSpan w:val="2"/>
            <w:shd w:val="clear" w:color="auto" w:fill="CFF0FC"/>
          </w:tcPr>
          <w:p>
            <w:pPr>
              <w:ind w:left="380"/>
              <w:spacing w:after="0" w:line="202" w:lineRule="exact"/>
              <w:rPr>
                <w:sz w:val="20"/>
                <w:szCs w:val="20"/>
                <w:color w:val="auto"/>
              </w:rPr>
            </w:pPr>
            <w:r>
              <w:rPr>
                <w:rFonts w:ascii="Arial" w:cs="Arial" w:eastAsia="Arial" w:hAnsi="Arial"/>
                <w:sz w:val="18"/>
                <w:szCs w:val="18"/>
                <w:color w:val="auto"/>
              </w:rPr>
              <w:t>Trade accounts payable</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(256 )</w:t>
            </w: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03"/>
        </w:trPr>
        <w:tc>
          <w:tcPr>
            <w:tcW w:w="76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Accrued expenses and other liabilities</w:t>
            </w:r>
          </w:p>
        </w:tc>
        <w:tc>
          <w:tcPr>
            <w:tcW w:w="38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10,978</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203"/>
        </w:trPr>
        <w:tc>
          <w:tcPr>
            <w:tcW w:w="7680" w:type="dxa"/>
            <w:vAlign w:val="bottom"/>
            <w:gridSpan w:val="2"/>
            <w:shd w:val="clear" w:color="auto" w:fill="CFF0FC"/>
          </w:tcPr>
          <w:p>
            <w:pPr>
              <w:ind w:left="380"/>
              <w:spacing w:after="0" w:line="202" w:lineRule="exact"/>
              <w:rPr>
                <w:sz w:val="20"/>
                <w:szCs w:val="20"/>
                <w:color w:val="auto"/>
              </w:rPr>
            </w:pPr>
            <w:r>
              <w:rPr>
                <w:rFonts w:ascii="Arial" w:cs="Arial" w:eastAsia="Arial" w:hAnsi="Arial"/>
                <w:sz w:val="18"/>
                <w:szCs w:val="18"/>
                <w:color w:val="auto"/>
              </w:rPr>
              <w:t>Legal settlement liabilities</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(3,693 )</w:t>
            </w: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3"/>
        </w:trPr>
        <w:tc>
          <w:tcPr>
            <w:tcW w:w="76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Deferred revenue</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10,012</w:t>
            </w:r>
          </w:p>
        </w:tc>
        <w:tc>
          <w:tcPr>
            <w:tcW w:w="1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gridSpan w:val="2"/>
            <w:shd w:val="clear" w:color="auto" w:fill="CFF0FC"/>
          </w:tcPr>
          <w:p>
            <w:pPr>
              <w:ind w:left="56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4,630</w:t>
            </w:r>
          </w:p>
        </w:tc>
        <w:tc>
          <w:tcPr>
            <w:tcW w:w="18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15,156</w:t>
            </w:r>
          </w:p>
        </w:tc>
        <w:tc>
          <w:tcPr>
            <w:tcW w:w="0" w:type="dxa"/>
            <w:vAlign w:val="bottom"/>
          </w:tcPr>
          <w:p>
            <w:pPr>
              <w:spacing w:after="0"/>
              <w:rPr>
                <w:sz w:val="1"/>
                <w:szCs w:val="1"/>
                <w:color w:val="auto"/>
              </w:rPr>
            </w:pPr>
          </w:p>
        </w:tc>
      </w:tr>
      <w:tr>
        <w:trPr>
          <w:trHeight w:val="196"/>
        </w:trPr>
        <w:tc>
          <w:tcPr>
            <w:tcW w:w="768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Purchase of property and equipment</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(4,364 )</w:t>
            </w: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(1,547 )</w:t>
            </w:r>
          </w:p>
        </w:tc>
        <w:tc>
          <w:tcPr>
            <w:tcW w:w="0" w:type="dxa"/>
            <w:vAlign w:val="bottom"/>
          </w:tcPr>
          <w:p>
            <w:pPr>
              <w:spacing w:after="0"/>
              <w:rPr>
                <w:sz w:val="1"/>
                <w:szCs w:val="1"/>
                <w:color w:val="auto"/>
              </w:rPr>
            </w:pPr>
          </w:p>
        </w:tc>
      </w:tr>
      <w:tr>
        <w:trPr>
          <w:trHeight w:val="203"/>
        </w:trPr>
        <w:tc>
          <w:tcPr>
            <w:tcW w:w="7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Acquisition of business</w:t>
            </w:r>
          </w:p>
        </w:tc>
        <w:tc>
          <w:tcPr>
            <w:tcW w:w="3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(17,000 )</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Payment for additional investment in Cytek Japan, net of cash acquired</w:t>
            </w:r>
          </w:p>
        </w:tc>
        <w:tc>
          <w:tcPr>
            <w:tcW w:w="3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371</w:t>
            </w:r>
          </w:p>
        </w:tc>
        <w:tc>
          <w:tcPr>
            <w:tcW w:w="18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80" w:type="dxa"/>
            <w:vAlign w:val="bottom"/>
            <w:gridSpan w:val="2"/>
          </w:tcPr>
          <w:p>
            <w:pPr>
              <w:ind w:left="560"/>
              <w:spacing w:after="0" w:line="196" w:lineRule="exact"/>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(20,993 )</w:t>
            </w:r>
          </w:p>
        </w:tc>
        <w:tc>
          <w:tcPr>
            <w:tcW w:w="1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(1,547 )</w:t>
            </w:r>
          </w:p>
        </w:tc>
        <w:tc>
          <w:tcPr>
            <w:tcW w:w="0" w:type="dxa"/>
            <w:vAlign w:val="bottom"/>
          </w:tcPr>
          <w:p>
            <w:pPr>
              <w:spacing w:after="0"/>
              <w:rPr>
                <w:sz w:val="1"/>
                <w:szCs w:val="1"/>
                <w:color w:val="auto"/>
              </w:rPr>
            </w:pPr>
          </w:p>
        </w:tc>
      </w:tr>
      <w:tr>
        <w:trPr>
          <w:trHeight w:val="196"/>
        </w:trPr>
        <w:tc>
          <w:tcPr>
            <w:tcW w:w="768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Proceeds from Paycheck Protection Program loan</w:t>
            </w:r>
          </w:p>
        </w:tc>
        <w:tc>
          <w:tcPr>
            <w:tcW w:w="38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4,082</w:t>
            </w:r>
          </w:p>
        </w:tc>
        <w:tc>
          <w:tcPr>
            <w:tcW w:w="0" w:type="dxa"/>
            <w:vAlign w:val="bottom"/>
          </w:tcPr>
          <w:p>
            <w:pPr>
              <w:spacing w:after="0"/>
              <w:rPr>
                <w:sz w:val="1"/>
                <w:szCs w:val="1"/>
                <w:color w:val="auto"/>
              </w:rPr>
            </w:pPr>
          </w:p>
        </w:tc>
      </w:tr>
      <w:tr>
        <w:trPr>
          <w:trHeight w:val="203"/>
        </w:trPr>
        <w:tc>
          <w:tcPr>
            <w:tcW w:w="76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Repayment of Paycheck Protection Program loan</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(2,772 )</w:t>
            </w: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(1,310 )</w:t>
            </w:r>
          </w:p>
        </w:tc>
        <w:tc>
          <w:tcPr>
            <w:tcW w:w="0" w:type="dxa"/>
            <w:vAlign w:val="bottom"/>
          </w:tcPr>
          <w:p>
            <w:pPr>
              <w:spacing w:after="0"/>
              <w:rPr>
                <w:sz w:val="1"/>
                <w:szCs w:val="1"/>
                <w:color w:val="auto"/>
              </w:rPr>
            </w:pPr>
          </w:p>
        </w:tc>
      </w:tr>
      <w:tr>
        <w:trPr>
          <w:trHeight w:val="203"/>
        </w:trPr>
        <w:tc>
          <w:tcPr>
            <w:tcW w:w="7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Net proceeds from issuance of Series D redeemable convertible preferred stock</w:t>
            </w:r>
          </w:p>
        </w:tc>
        <w:tc>
          <w:tcPr>
            <w:tcW w:w="38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119,666</w:t>
            </w:r>
          </w:p>
        </w:tc>
        <w:tc>
          <w:tcPr>
            <w:tcW w:w="0" w:type="dxa"/>
            <w:vAlign w:val="bottom"/>
          </w:tcPr>
          <w:p>
            <w:pPr>
              <w:spacing w:after="0"/>
              <w:rPr>
                <w:sz w:val="1"/>
                <w:szCs w:val="1"/>
                <w:color w:val="auto"/>
              </w:rPr>
            </w:pPr>
          </w:p>
        </w:tc>
      </w:tr>
      <w:tr>
        <w:trPr>
          <w:trHeight w:val="162"/>
        </w:trPr>
        <w:tc>
          <w:tcPr>
            <w:tcW w:w="7680" w:type="dxa"/>
            <w:vAlign w:val="bottom"/>
            <w:gridSpan w:val="2"/>
            <w:shd w:val="clear" w:color="auto" w:fill="CFF0FC"/>
          </w:tcPr>
          <w:p>
            <w:pPr>
              <w:ind w:left="200"/>
              <w:spacing w:after="0" w:line="162" w:lineRule="exact"/>
              <w:rPr>
                <w:sz w:val="20"/>
                <w:szCs w:val="20"/>
                <w:color w:val="auto"/>
              </w:rPr>
            </w:pPr>
            <w:r>
              <w:rPr>
                <w:rFonts w:ascii="Arial" w:cs="Arial" w:eastAsia="Arial" w:hAnsi="Arial"/>
                <w:sz w:val="18"/>
                <w:szCs w:val="18"/>
                <w:color w:val="auto"/>
              </w:rPr>
              <w:t>Proceeds from initial public offering, net of underwriting discounts and</w:t>
            </w:r>
          </w:p>
        </w:tc>
        <w:tc>
          <w:tcPr>
            <w:tcW w:w="380" w:type="dxa"/>
            <w:vAlign w:val="bottom"/>
            <w:shd w:val="clear" w:color="auto" w:fill="CFF0FC"/>
          </w:tcPr>
          <w:p>
            <w:pPr>
              <w:spacing w:after="0"/>
              <w:rPr>
                <w:sz w:val="14"/>
                <w:szCs w:val="14"/>
                <w:color w:val="auto"/>
              </w:rPr>
            </w:pPr>
          </w:p>
        </w:tc>
        <w:tc>
          <w:tcPr>
            <w:tcW w:w="1320" w:type="dxa"/>
            <w:vAlign w:val="bottom"/>
            <w:vMerge w:val="restart"/>
            <w:shd w:val="clear" w:color="auto" w:fill="CFF0FC"/>
          </w:tcPr>
          <w:p>
            <w:pPr>
              <w:jc w:val="right"/>
              <w:ind w:right="11"/>
              <w:spacing w:after="0"/>
              <w:rPr>
                <w:sz w:val="20"/>
                <w:szCs w:val="20"/>
                <w:color w:val="auto"/>
              </w:rPr>
            </w:pPr>
            <w:r>
              <w:rPr>
                <w:rFonts w:ascii="Arial" w:cs="Arial" w:eastAsia="Arial" w:hAnsi="Arial"/>
                <w:sz w:val="18"/>
                <w:szCs w:val="18"/>
                <w:color w:val="auto"/>
              </w:rPr>
              <w:t>215,689</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commissions and other offering costs</w:t>
            </w:r>
          </w:p>
        </w:tc>
        <w:tc>
          <w:tcPr>
            <w:tcW w:w="380" w:type="dxa"/>
            <w:vAlign w:val="bottom"/>
            <w:shd w:val="clear" w:color="auto" w:fill="CFF0FC"/>
          </w:tcPr>
          <w:p>
            <w:pPr>
              <w:spacing w:after="0"/>
              <w:rPr>
                <w:sz w:val="18"/>
                <w:szCs w:val="18"/>
                <w:color w:val="auto"/>
              </w:rPr>
            </w:pPr>
          </w:p>
        </w:tc>
        <w:tc>
          <w:tcPr>
            <w:tcW w:w="132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Proceeds from issuance of common stock upon exercise of stock options</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642</w:t>
            </w:r>
          </w:p>
        </w:tc>
        <w:tc>
          <w:tcPr>
            <w:tcW w:w="1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gridSpan w:val="2"/>
            <w:shd w:val="clear" w:color="auto" w:fill="CFF0FC"/>
          </w:tcPr>
          <w:p>
            <w:pPr>
              <w:ind w:left="56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213,559</w:t>
            </w:r>
          </w:p>
        </w:tc>
        <w:tc>
          <w:tcPr>
            <w:tcW w:w="18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122,607</w:t>
            </w:r>
          </w:p>
        </w:tc>
        <w:tc>
          <w:tcPr>
            <w:tcW w:w="0" w:type="dxa"/>
            <w:vAlign w:val="bottom"/>
          </w:tcPr>
          <w:p>
            <w:pPr>
              <w:spacing w:after="0"/>
              <w:rPr>
                <w:sz w:val="1"/>
                <w:szCs w:val="1"/>
                <w:color w:val="auto"/>
              </w:rPr>
            </w:pPr>
          </w:p>
        </w:tc>
      </w:tr>
      <w:tr>
        <w:trPr>
          <w:trHeight w:val="155"/>
        </w:trPr>
        <w:tc>
          <w:tcPr>
            <w:tcW w:w="7680" w:type="dxa"/>
            <w:vAlign w:val="bottom"/>
            <w:gridSpan w:val="2"/>
          </w:tcPr>
          <w:p>
            <w:pPr>
              <w:ind w:left="20"/>
              <w:spacing w:after="0" w:line="156" w:lineRule="exact"/>
              <w:rPr>
                <w:sz w:val="20"/>
                <w:szCs w:val="20"/>
                <w:color w:val="auto"/>
              </w:rPr>
            </w:pPr>
            <w:r>
              <w:rPr>
                <w:rFonts w:ascii="Arial" w:cs="Arial" w:eastAsia="Arial" w:hAnsi="Arial"/>
                <w:sz w:val="18"/>
                <w:szCs w:val="18"/>
                <w:b w:val="1"/>
                <w:bCs w:val="1"/>
                <w:color w:val="auto"/>
              </w:rPr>
              <w:t>Effect of exchange rate changes on cash, cash equivalents and</w:t>
            </w:r>
          </w:p>
        </w:tc>
        <w:tc>
          <w:tcPr>
            <w:tcW w:w="380" w:type="dxa"/>
            <w:vAlign w:val="bottom"/>
          </w:tcPr>
          <w:p>
            <w:pPr>
              <w:spacing w:after="0"/>
              <w:rPr>
                <w:sz w:val="13"/>
                <w:szCs w:val="13"/>
                <w:color w:val="auto"/>
              </w:rPr>
            </w:pPr>
          </w:p>
        </w:tc>
        <w:tc>
          <w:tcPr>
            <w:tcW w:w="1320" w:type="dxa"/>
            <w:vAlign w:val="bottom"/>
            <w:vMerge w:val="restart"/>
          </w:tcPr>
          <w:p>
            <w:pPr>
              <w:jc w:val="right"/>
              <w:ind w:right="11"/>
              <w:spacing w:after="0"/>
              <w:rPr>
                <w:sz w:val="20"/>
                <w:szCs w:val="20"/>
                <w:color w:val="auto"/>
              </w:rPr>
            </w:pPr>
            <w:r>
              <w:rPr>
                <w:rFonts w:ascii="Arial" w:cs="Arial" w:eastAsia="Arial" w:hAnsi="Arial"/>
                <w:sz w:val="18"/>
                <w:szCs w:val="18"/>
                <w:color w:val="auto"/>
              </w:rPr>
              <w:t>1,303</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(587 )</w:t>
            </w:r>
          </w:p>
        </w:tc>
        <w:tc>
          <w:tcPr>
            <w:tcW w:w="0" w:type="dxa"/>
            <w:vAlign w:val="bottom"/>
          </w:tcPr>
          <w:p>
            <w:pPr>
              <w:spacing w:after="0"/>
              <w:rPr>
                <w:sz w:val="1"/>
                <w:szCs w:val="1"/>
                <w:color w:val="auto"/>
              </w:rPr>
            </w:pPr>
          </w:p>
        </w:tc>
      </w:tr>
      <w:tr>
        <w:trPr>
          <w:trHeight w:val="216"/>
        </w:trPr>
        <w:tc>
          <w:tcPr>
            <w:tcW w:w="7680" w:type="dxa"/>
            <w:vAlign w:val="bottom"/>
            <w:gridSpan w:val="2"/>
          </w:tcPr>
          <w:p>
            <w:pPr>
              <w:ind w:left="160"/>
              <w:spacing w:after="0"/>
              <w:rPr>
                <w:sz w:val="20"/>
                <w:szCs w:val="20"/>
                <w:color w:val="auto"/>
              </w:rPr>
            </w:pPr>
            <w:r>
              <w:rPr>
                <w:rFonts w:ascii="Arial" w:cs="Arial" w:eastAsia="Arial" w:hAnsi="Arial"/>
                <w:sz w:val="18"/>
                <w:szCs w:val="18"/>
                <w:b w:val="1"/>
                <w:bCs w:val="1"/>
                <w:color w:val="auto"/>
              </w:rPr>
              <w:t>restricted cash</w:t>
            </w:r>
          </w:p>
        </w:tc>
        <w:tc>
          <w:tcPr>
            <w:tcW w:w="3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Cash, cash equivalents and restricted cash:</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Net increase in cash, cash equivalents and restricted cash</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198,499</w:t>
            </w:r>
          </w:p>
        </w:tc>
        <w:tc>
          <w:tcPr>
            <w:tcW w:w="1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135,629</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Cash, cash equivalents and restricted cash at beginning of period</w:t>
            </w:r>
          </w:p>
        </w:tc>
        <w:tc>
          <w:tcPr>
            <w:tcW w:w="3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166,119</w:t>
            </w:r>
          </w:p>
        </w:tc>
        <w:tc>
          <w:tcPr>
            <w:tcW w:w="18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30,490</w:t>
            </w:r>
          </w:p>
        </w:tc>
        <w:tc>
          <w:tcPr>
            <w:tcW w:w="0" w:type="dxa"/>
            <w:vAlign w:val="bottom"/>
          </w:tcPr>
          <w:p>
            <w:pPr>
              <w:spacing w:after="0"/>
              <w:rPr>
                <w:sz w:val="1"/>
                <w:szCs w:val="1"/>
                <w:color w:val="auto"/>
              </w:rPr>
            </w:pPr>
          </w:p>
        </w:tc>
      </w:tr>
      <w:tr>
        <w:trPr>
          <w:trHeight w:val="196"/>
        </w:trPr>
        <w:tc>
          <w:tcPr>
            <w:tcW w:w="76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Cash, cash equivalents and restricted cash at end of period</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364,618</w:t>
            </w:r>
          </w:p>
        </w:tc>
        <w:tc>
          <w:tcPr>
            <w:tcW w:w="820" w:type="dxa"/>
            <w:vAlign w:val="bottom"/>
            <w:gridSpan w:val="2"/>
          </w:tcPr>
          <w:p>
            <w:pPr>
              <w:jc w:val="right"/>
              <w:ind w:right="45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166,119</w:t>
            </w:r>
          </w:p>
        </w:tc>
        <w:tc>
          <w:tcPr>
            <w:tcW w:w="0" w:type="dxa"/>
            <w:vAlign w:val="bottom"/>
          </w:tcPr>
          <w:p>
            <w:pPr>
              <w:spacing w:after="0"/>
              <w:rPr>
                <w:sz w:val="1"/>
                <w:szCs w:val="1"/>
                <w:color w:val="auto"/>
              </w:rPr>
            </w:pPr>
          </w:p>
        </w:tc>
      </w:tr>
      <w:tr>
        <w:trPr>
          <w:trHeight w:val="20"/>
        </w:trPr>
        <w:tc>
          <w:tcPr>
            <w:tcW w:w="76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Cash paid for taxes</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2,863</w:t>
            </w:r>
          </w:p>
        </w:tc>
        <w:tc>
          <w:tcPr>
            <w:tcW w:w="820" w:type="dxa"/>
            <w:vAlign w:val="bottom"/>
            <w:gridSpan w:val="2"/>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0"/>
        </w:trPr>
        <w:tc>
          <w:tcPr>
            <w:tcW w:w="76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tcBorders>
              <w:bottom w:val="single" w:sz="8" w:color="CFF0FC"/>
            </w:tcBorders>
            <w:gridSpan w:val="2"/>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Non-cash investing and financing activities:</w:t>
            </w:r>
          </w:p>
        </w:tc>
        <w:tc>
          <w:tcPr>
            <w:tcW w:w="38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8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Fixed asset purchases in accounts payable at period end</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134</w:t>
            </w:r>
          </w:p>
        </w:tc>
        <w:tc>
          <w:tcPr>
            <w:tcW w:w="820" w:type="dxa"/>
            <w:vAlign w:val="bottom"/>
            <w:gridSpan w:val="2"/>
          </w:tcPr>
          <w:p>
            <w:pPr>
              <w:jc w:val="right"/>
              <w:ind w:right="45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80" w:type="dxa"/>
            <w:vAlign w:val="bottom"/>
            <w:tcBorders>
              <w:bottom w:val="single" w:sz="8" w:color="CFF0FC"/>
            </w:tcBorders>
            <w:gridSpan w:val="2"/>
            <w:shd w:val="clear" w:color="auto" w:fill="CFF0FC"/>
          </w:tcPr>
          <w:p>
            <w:pPr>
              <w:ind w:left="200"/>
              <w:spacing w:after="0" w:line="183" w:lineRule="exact"/>
              <w:rPr>
                <w:sz w:val="20"/>
                <w:szCs w:val="20"/>
                <w:color w:val="auto"/>
              </w:rPr>
            </w:pPr>
            <w:r>
              <w:rPr>
                <w:rFonts w:ascii="Arial" w:cs="Arial" w:eastAsia="Arial" w:hAnsi="Arial"/>
                <w:sz w:val="18"/>
                <w:szCs w:val="18"/>
                <w:color w:val="auto"/>
              </w:rPr>
              <w:t>Intangible asset in accrued expenses at period end</w:t>
            </w:r>
          </w:p>
        </w:tc>
        <w:tc>
          <w:tcPr>
            <w:tcW w:w="380" w:type="dxa"/>
            <w:vAlign w:val="bottom"/>
            <w:tcBorders>
              <w:bottom w:val="single" w:sz="8" w:color="auto"/>
            </w:tcBorders>
            <w:shd w:val="clear" w:color="auto" w:fill="CFF0FC"/>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11"/>
              <w:spacing w:after="0" w:line="183" w:lineRule="exact"/>
              <w:rPr>
                <w:sz w:val="20"/>
                <w:szCs w:val="20"/>
                <w:color w:val="auto"/>
              </w:rPr>
            </w:pPr>
            <w:r>
              <w:rPr>
                <w:rFonts w:ascii="Arial" w:cs="Arial" w:eastAsia="Arial" w:hAnsi="Arial"/>
                <w:sz w:val="18"/>
                <w:szCs w:val="18"/>
                <w:color w:val="auto"/>
              </w:rPr>
              <w:t>93</w:t>
            </w:r>
          </w:p>
        </w:tc>
        <w:tc>
          <w:tcPr>
            <w:tcW w:w="1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50"/>
              <w:spacing w:after="0" w:line="18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11"/>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7680" w:type="dxa"/>
            <w:vAlign w:val="bottom"/>
            <w:gridSpan w:val="2"/>
          </w:tcPr>
          <w:p>
            <w:pPr>
              <w:ind w:left="200"/>
              <w:spacing w:after="0" w:line="183" w:lineRule="exact"/>
              <w:rPr>
                <w:sz w:val="20"/>
                <w:szCs w:val="20"/>
                <w:color w:val="auto"/>
              </w:rPr>
            </w:pPr>
            <w:r>
              <w:rPr>
                <w:rFonts w:ascii="Arial" w:cs="Arial" w:eastAsia="Arial" w:hAnsi="Arial"/>
                <w:sz w:val="18"/>
                <w:szCs w:val="18"/>
                <w:color w:val="auto"/>
              </w:rPr>
              <w:t>Stock option exercise in accounts receivable at period end</w:t>
            </w:r>
          </w:p>
        </w:tc>
        <w:tc>
          <w:tcPr>
            <w:tcW w:w="380" w:type="dxa"/>
            <w:vAlign w:val="bottom"/>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line="183"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50"/>
              <w:spacing w:after="0" w:line="183"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line="183"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6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80" w:type="dxa"/>
            <w:vAlign w:val="bottom"/>
            <w:tcBorders>
              <w:bottom w:val="single" w:sz="8" w:color="CFF0FC"/>
            </w:tcBorders>
            <w:gridSpan w:val="2"/>
            <w:shd w:val="clear" w:color="auto" w:fill="CFF0FC"/>
          </w:tcPr>
          <w:p>
            <w:pPr>
              <w:ind w:left="200"/>
              <w:spacing w:after="0" w:line="183" w:lineRule="exact"/>
              <w:rPr>
                <w:sz w:val="20"/>
                <w:szCs w:val="20"/>
                <w:color w:val="auto"/>
              </w:rPr>
            </w:pPr>
            <w:r>
              <w:rPr>
                <w:rFonts w:ascii="Arial" w:cs="Arial" w:eastAsia="Arial" w:hAnsi="Arial"/>
                <w:sz w:val="18"/>
                <w:szCs w:val="18"/>
                <w:color w:val="auto"/>
              </w:rPr>
              <w:t>Common stock issuance for legal settlement</w:t>
            </w:r>
          </w:p>
        </w:tc>
        <w:tc>
          <w:tcPr>
            <w:tcW w:w="380" w:type="dxa"/>
            <w:vAlign w:val="bottom"/>
            <w:tcBorders>
              <w:bottom w:val="single" w:sz="8" w:color="auto"/>
            </w:tcBorders>
            <w:shd w:val="clear" w:color="auto" w:fill="CFF0FC"/>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11"/>
              <w:spacing w:after="0" w:line="183"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50"/>
              <w:spacing w:after="0" w:line="18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11"/>
              <w:spacing w:after="0" w:line="183" w:lineRule="exact"/>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-3528060</wp:posOffset>
            </wp:positionV>
            <wp:extent cx="12001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-3005455</wp:posOffset>
            </wp:positionV>
            <wp:extent cx="12001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-1839595</wp:posOffset>
            </wp:positionV>
            <wp:extent cx="12001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-1196340</wp:posOffset>
            </wp:positionV>
            <wp:extent cx="12001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-622300</wp:posOffset>
            </wp:positionV>
            <wp:extent cx="12001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-333375</wp:posOffset>
            </wp:positionV>
            <wp:extent cx="1200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-316865</wp:posOffset>
            </wp:positionV>
            <wp:extent cx="12001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1200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200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7" w:name="page78"/>
    <w:bookmarkEnd w:id="77"/>
    <w:p>
      <w:pPr>
        <w:jc w:val="center"/>
        <w:ind w:right="40"/>
        <w:spacing w:after="0"/>
        <w:rPr>
          <w:sz w:val="20"/>
          <w:szCs w:val="20"/>
          <w:color w:val="auto"/>
        </w:rPr>
      </w:pPr>
      <w:r>
        <w:rPr>
          <w:rFonts w:ascii="Arial" w:cs="Arial" w:eastAsia="Arial" w:hAnsi="Arial"/>
          <w:sz w:val="18"/>
          <w:szCs w:val="18"/>
          <w:b w:val="1"/>
          <w:bCs w:val="1"/>
          <w:color w:val="auto"/>
        </w:rPr>
        <w:t>Cytek Biosciences, Inc.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86"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8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Cytek Biosciences, Inc. (“Cytek” or the “Company”) is a leading cell analysis solutions company advancing the next generation of cell analysis tools by leveraging novel technical approaches. The Company has focused on becoming the premier cell analysis company through continued innovation that facilitates scientific advances in biomedical research and clinical applications.</w:t>
      </w:r>
    </w:p>
    <w:p>
      <w:pPr>
        <w:spacing w:after="0" w:line="14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Company has successfully developed and manufactured its full spectrum flow cytometry platform (“instrument(s)” or “product(s)”). The Company believes its core instruments, the Aurora and Northern Lights systems, are the first full spectrum flow cytometers able to deliver high-resolution, high-content and high-sensitivity cell analysis by utilizing the full spectrum of fluorescence signatures from multiple lasers to distinguish fluorescent tags on single cells (“Full Spectrum Profiling” or “FSP”). The Company’s FSP platform includes instruments, accessories, reagents, software, and services to provide a comprehensive and integrated suite of solutions for its customers.</w:t>
      </w:r>
    </w:p>
    <w:p>
      <w:pPr>
        <w:spacing w:after="0" w:line="162"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The Company was incorporated in the state of Delaware in December 2014 and is headquartered in Fremont, California with offices, manufacturing facilities and distribution channels across the globe.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8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July 2021, the Company priced its initial public offering (“IPO”) of 13,949,401 shares of common stock, which included the full exercise by the underwriters of their option to purchase an additional 2,184,695 shares from the Company, at an initial public offering price of $17.00 per share for gross proceeds of $237.1 million, which resulted in net proceeds to the Company of approximately $215.7 million, after deducting underwriting discounts and commissions of approximately $17.3 million and offering-related transaction costs of approximately $5.3 million. In addition, certain selling stockholders offered and sold an additional 2,799,929 shares or common stock in the IPO. The Company did not receive any proceeds from the sale of such shares by the selling stockholders.</w:t>
      </w:r>
    </w:p>
    <w:p>
      <w:pPr>
        <w:spacing w:after="0" w:line="149"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6"/>
          <w:szCs w:val="16"/>
          <w:color w:val="auto"/>
        </w:rPr>
        <w:t>In addition, in connection with the completion of the IPO on July 27, 2021, all outstanding shares of convertible preferred stock (see Note 11) were automatically converted into 87,268,694 shares of the Company’s common stock and were reclassified as permanent equity. Further, immediately following the closing of the IPO, the Company amended and restated its certificate of incorporation such that the total number of shares of common stock authorized to be issued was 1,000,000,000 and the total number of shares of preferred stock authorized to be issued was 10,000,000. Following the IPO, there are no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shares of convertible preferred stock outstanding</w:t>
      </w:r>
      <w:r>
        <w:rPr>
          <w:rFonts w:ascii="Arial" w:cs="Arial" w:eastAsia="Arial" w:hAnsi="Arial"/>
          <w:sz w:val="21"/>
          <w:szCs w:val="21"/>
          <w:color w:val="auto"/>
        </w:rPr>
        <w:t>.</w:t>
      </w:r>
    </w:p>
    <w:p>
      <w:pPr>
        <w:spacing w:after="0" w:line="176"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08"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The Company has prepared the accompanying consolidated financial statements in accordance with accounting principles generally accepted in the United States of America (“U.S. GAAP”). Any reference in these notes to applicable guidance is meant to refer to the authoritative U.S. GAAP as found in the Accounting Standards Codification (“ASC”) and Accounting Standards Updates (“ASUs”) of the Financial Accounting Standards Board (“FASB”).</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The consolidated financial statements include the accounts of Cytek Biosciences, Inc., its wholly-owned subsidiaries, Cytek Limited (HK), Cytek Biosciences B.V. (Europe), Cytek (Shanghai) Biosciences Co., Ltd., Cytek Biosciences (Wuxi) Co., Ltd., Cytoville Biosciences Shanghai Co., Ltd. and Cytek (Shanghai) Software Development Technology Co., Ltd. and its majority-owned subsidiary, Cytek Japan Kabushiki Kaisha (“Cytek Japan”). The noncontrolling interest is presented in stockholders’ equity (deficit) in the consolidated balance sheets and consolidated statements of redeemable convertible preferred stock and stockholders’ equity (deficit). All intercompany accounts and transactions have been eliminated in consolidation.</w:t>
      </w:r>
    </w:p>
    <w:p>
      <w:pPr>
        <w:spacing w:after="0" w:line="119"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On July 16, 2021, the Company effected a 1.3333-for-1 stock split of its common stock and redeemable convertible preferred stock (the “Stock Split”). All share and per share information has been retroactively adjusted to reflect the Stock Split for all periods presented.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 and voting interest entities</w:t>
      </w:r>
    </w:p>
    <w:p>
      <w:pPr>
        <w:spacing w:after="0" w:line="17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Company determines whether it has a controlling financial interest in an entity by first evaluating whether the entity is a variable interest entity (“VIE”) and therefore subject to the consolidation requirements under the VIE model. Only if the entity does not meet the definition of a VIE, the Company will apply the voting interest model (“VOE”) or other applicable GAAP. VOEs are entities in which the total equity investment at risk is sufficient to enable the entity to finance itself independently and provides the equity holders with the obligation to absorb losses, the right to receive residual returns and the right to make decisions about the entity’s activities.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8" w:name="page79"/>
    <w:bookmarkEnd w:id="78"/>
    <w:p>
      <w:pPr>
        <w:jc w:val="both"/>
        <w:spacing w:after="0"/>
        <w:rPr>
          <w:sz w:val="20"/>
          <w:szCs w:val="20"/>
          <w:color w:val="auto"/>
        </w:rPr>
      </w:pPr>
      <w:r>
        <w:rPr>
          <w:rFonts w:ascii="Arial" w:cs="Arial" w:eastAsia="Arial" w:hAnsi="Arial"/>
          <w:sz w:val="18"/>
          <w:szCs w:val="18"/>
          <w:color w:val="auto"/>
        </w:rPr>
        <w:t>Company consolidates VOEs in which it has greater than 50% of the voting shares and that other equity holders do not have substantive voting, participating or liquidation rights. As defined in applicable accounting standards, VIEs are entities that lack one or more of the characteristics of a voting interest entity. A controlling financial interest in a VIE is present when an enterprise has both the power to direct the activities of the VIE that most significantly impact the VIE’s economic performance and an obligation to absorb losses or the right to receive benefits that could potentially be significant to the VIE. The Company consolidates a VIE where it has been determined that the Company is the primary beneficiary of the entity’s operations. The Company does not currently hold an interest in a VIE.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and assumptions that affect the reported amounts of assets, liabilities, revenue and expenses and the disclosure of contingent assets and liabilities in the Company’s consolidated financial statements and accompanying notes as of the date of the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7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The Company is subject to risks and uncertainties as a result of the COVID-19 pandemic. The future impact of the COVID-19 pandemic remains uncertain as its global impact continues to rapidly evolve. In December 2019, a novel strain of coronavirus, which causes the disease known as COVID-19, was reported to have surfaced in Wuhan, China. Since then, COVID-19 coronavirus has spread globally. In March 2020, the World Health Organization declared the COVID-19 outbreak a pandemic. The COVID-19 pandemic has impacted, and may continue to impact, the Company’s manufacturing facilities (in Fremont and San Diego, California and Wuxi, China) and its third-party manufacturers and suppliers, which could disrupt its supply chain or the availability or cost of materials. The effects of the public health directives and the Company’s work-from-home policies may negatively impact productivity, disrupt its business and delay Company’s operations, the magnitude of which will depend, in part, on the length and severity of the restrictions and other limitations on the Company’s ability to conduct business in the ordinary course. These and similar, and perhaps more severe, disruptions in the Company’s operations could negatively impact business, results of operations and financial condition, including its ability to obtain financing. For the year ended December 31, 2021 and 2020, the Company has not incurred impairment losses in the carrying values of its assets as a result of the pandemic and is not aware of any specific related event or circumstances that would require the Company to revise its estimates reflected in these consolidated financial statements.</w:t>
      </w:r>
    </w:p>
    <w:p>
      <w:pPr>
        <w:spacing w:after="0" w:line="156"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The Company cannot be certain what the overall impact of the COVID-19 pandemic will be on its business and prospects. The extent to which the COVID-19 pandemic will further directly or indirectly impact its business, results of operations, financial condition, liquidity and research and development costs will depend on future developments that are highly uncertain, including variant strains of the virus, the degree of their vaccine resistance and as a result of new information that may emerge concerning COVID-19, the actions taken to contain or treat it, and the duration and intensity of the related effects. In addition, the Company could see some limitations on employee resources that would otherwise be focused on its operation including but not limited to sickness of employees or their families, the desire of employees to avoid contact with large groups of people, and increased reliance on working from home. If the financial markets and/or the overall economy are adversely impacted for an extended period, the Company’s business, financial condition, results of operations and prospects may be adversely affected.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18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Executive Officer, who is the chief operating decision maker, reviews financial information on an aggregate basis for allocating and evaluating financial performance. The Company operates and manages its business as one reportable and operating segment.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185"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The Company has determined that the functional and reporting currency for its operations across the globe is the functional currency of the Company’s international subsidiaries. Accordingly, all foreign balance sheet accounts have been translated into U.S. dollars using the rate of exchange at the respective balance sheet date. Components of the consolidated statements of operations and comprehensive income have been translated at the average exchange rate for the year or the reporting period. Translation gains and losses are recorded in accumulated other comprehensive income as a component of stockholders’ equity (deficit). Gains or losses arising from currency exchange rate fluctuations on transactions denominated in a currency other than the local functional currency are included in the consolidated statements of operations and comprehensive income.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8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Company considers all highly liquid investments with a maturity of three months or less when purchased to be cash equivalents. Cash equivalents are carried at cost, which approximates fair value.</w:t>
      </w:r>
    </w:p>
    <w:p>
      <w:pPr>
        <w:spacing w:after="0" w:line="13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Company’s cash and cash equivalents consist of money held in demand depositary accounts and money market funds. The carrying amount of cash and cash equivalents was $364.6 million and $165.2 million as of December 31, 2021 and 2020, respectively, which approximates fair value and was determined based upon Level 1 inputs. The money market account is valued using quoted market prices with no valuation adjustments applied and is categorized as Level 1. The Company limits its credit risk associated with cash and cash equivalents by maintaining its bank accounts at major and reputable financial institutions. The Company’s cash and cash equivalents balance exceeded the federally insured limit of $250,000 as of December 31, 2021 and 2020.</w:t>
      </w:r>
    </w:p>
    <w:p>
      <w:pPr>
        <w:spacing w:after="0" w:line="16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Company classifies restricted cash as current and noncurrent on the accompanying consolidated balance sheets based upon the term of the remaining restrictions.</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cash, cash equivalents and restricted cash on the consolidated balance sheets (in thousands):</w:t>
      </w:r>
    </w:p>
    <w:p>
      <w:pPr>
        <w:sectPr>
          <w:pgSz w:w="11900" w:h="16838" w:orient="portrait"/>
          <w:cols w:equalWidth="0" w:num="1">
            <w:col w:w="11240"/>
          </w:cols>
          <w:pgMar w:left="320" w:top="436"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Money market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Restricted cash</w:t>
      </w:r>
    </w:p>
    <w:p>
      <w:pPr>
        <w:spacing w:after="0" w:line="7" w:lineRule="exact"/>
        <w:rPr>
          <w:sz w:val="20"/>
          <w:szCs w:val="20"/>
          <w:color w:val="auto"/>
        </w:rPr>
      </w:pPr>
    </w:p>
    <w:p>
      <w:pPr>
        <w:ind w:left="160" w:right="1480" w:hanging="134"/>
        <w:spacing w:after="0" w:line="226" w:lineRule="auto"/>
        <w:rPr>
          <w:sz w:val="20"/>
          <w:szCs w:val="20"/>
          <w:color w:val="auto"/>
        </w:rPr>
      </w:pPr>
      <w:r>
        <w:rPr>
          <w:rFonts w:ascii="Arial" w:cs="Arial" w:eastAsia="Arial" w:hAnsi="Arial"/>
          <w:sz w:val="18"/>
          <w:szCs w:val="18"/>
          <w:color w:val="auto"/>
        </w:rPr>
        <w:t>Total cash, cash equivalents and restricted cash as presented on the consolidated statements of cash flows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net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700" w:type="dxa"/>
            <w:vAlign w:val="bottom"/>
          </w:tcPr>
          <w:p>
            <w:pPr>
              <w:jc w:val="right"/>
              <w:ind w:right="556"/>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jc w:val="right"/>
              <w:ind w:right="516"/>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2020</w:t>
            </w:r>
          </w:p>
        </w:tc>
      </w:tr>
      <w:tr>
        <w:trPr>
          <w:trHeight w:val="182"/>
        </w:trPr>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line="182" w:lineRule="exact"/>
              <w:rPr>
                <w:sz w:val="20"/>
                <w:szCs w:val="20"/>
                <w:color w:val="auto"/>
              </w:rPr>
            </w:pPr>
            <w:r>
              <w:rPr>
                <w:rFonts w:ascii="Arial" w:cs="Arial" w:eastAsia="Arial" w:hAnsi="Arial"/>
                <w:sz w:val="18"/>
                <w:szCs w:val="18"/>
                <w:color w:val="auto"/>
              </w:rPr>
              <w:t>18,939</w:t>
            </w:r>
          </w:p>
        </w:tc>
        <w:tc>
          <w:tcPr>
            <w:tcW w:w="160" w:type="dxa"/>
            <w:vAlign w:val="bottom"/>
          </w:tcPr>
          <w:p>
            <w:pPr>
              <w:spacing w:after="0"/>
              <w:rPr>
                <w:sz w:val="15"/>
                <w:szCs w:val="15"/>
                <w:color w:val="auto"/>
              </w:rPr>
            </w:pP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10,651</w:t>
            </w:r>
          </w:p>
        </w:tc>
      </w:tr>
      <w:tr>
        <w:trPr>
          <w:trHeight w:val="203"/>
        </w:trPr>
        <w:tc>
          <w:tcPr>
            <w:tcW w:w="34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345,679</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154,580</w:t>
            </w:r>
          </w:p>
        </w:tc>
      </w:tr>
      <w:tr>
        <w:trPr>
          <w:trHeight w:val="217"/>
        </w:trPr>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r>
      <w:tr>
        <w:trPr>
          <w:trHeight w:val="331"/>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364,618</w:t>
            </w: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166,119</w:t>
            </w: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674" w:lineRule="exact"/>
        <w:rPr>
          <w:sz w:val="20"/>
          <w:szCs w:val="20"/>
          <w:color w:val="auto"/>
        </w:rPr>
      </w:pPr>
    </w:p>
    <w:p>
      <w:pPr>
        <w:sectPr>
          <w:pgSz w:w="11900" w:h="16838" w:orient="portrait"/>
          <w:cols w:equalWidth="0" w:num="2">
            <w:col w:w="6320" w:space="720"/>
            <w:col w:w="4200"/>
          </w:cols>
          <w:pgMar w:left="320" w:top="436" w:right="339" w:bottom="1440" w:gutter="0" w:footer="0" w:header="0"/>
          <w:type w:val="continuous"/>
        </w:sectPr>
      </w:pPr>
    </w:p>
    <w:p>
      <w:pPr>
        <w:jc w:val="both"/>
        <w:ind w:firstLine="509"/>
        <w:spacing w:after="0" w:line="272" w:lineRule="auto"/>
        <w:rPr>
          <w:sz w:val="20"/>
          <w:szCs w:val="20"/>
          <w:color w:val="auto"/>
        </w:rPr>
      </w:pPr>
      <w:r>
        <w:rPr>
          <w:rFonts w:ascii="Arial" w:cs="Arial" w:eastAsia="Arial" w:hAnsi="Arial"/>
          <w:sz w:val="16"/>
          <w:szCs w:val="16"/>
          <w:color w:val="auto"/>
        </w:rPr>
        <w:t>Trade accounts receivable are recorded at the invoiced amount and do not bear interest. The Company maintains an allowance for doubtful accounts for estimated losses inherent in its accounts receivable portfolio. In establishing the required allowance, management considers historical losses adjusted to take into account current market conditions and the Company’s customers’ respective financial conditions, the amounts of receivables in dispute and the current receivables aging and current payment patterns. To the extent identified, account balances are charged off against the allowance after all means of collection have been exhausted and the potential for recovery is considered remote. To date, the Company’s customers have primarily been large pharmaceutical companies, biopharmaceutical companies, leading academic research centers and clinical research organizations and therefore, the Company has not had any material write-offs or allowance for doubtful accounts for the presented periods. The following is a summary of the accounts receivables allowance for doubtful accounts for the year ended December 31, 2021 and 2020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800" w:type="dxa"/>
            <w:vAlign w:val="bottom"/>
          </w:tcPr>
          <w:p>
            <w:pPr>
              <w:ind w:left="20"/>
              <w:spacing w:after="0"/>
              <w:rPr>
                <w:sz w:val="20"/>
                <w:szCs w:val="20"/>
                <w:color w:val="auto"/>
              </w:rPr>
            </w:pPr>
            <w:r>
              <w:rPr>
                <w:rFonts w:ascii="Arial" w:cs="Arial" w:eastAsia="Arial" w:hAnsi="Arial"/>
                <w:sz w:val="14"/>
                <w:szCs w:val="14"/>
                <w:b w:val="1"/>
                <w:bCs w:val="1"/>
                <w:color w:val="auto"/>
              </w:rPr>
              <w:t>Allowance for doubtful accounts</w:t>
            </w:r>
          </w:p>
        </w:tc>
        <w:tc>
          <w:tcPr>
            <w:tcW w:w="10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3"/>
        </w:trPr>
        <w:tc>
          <w:tcPr>
            <w:tcW w:w="8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Balance at December 31, 2019</w:t>
            </w:r>
          </w:p>
        </w:tc>
        <w:tc>
          <w:tcPr>
            <w:tcW w:w="1040" w:type="dxa"/>
            <w:vAlign w:val="bottom"/>
            <w:shd w:val="clear" w:color="auto" w:fill="CFF0FC"/>
          </w:tcPr>
          <w:p>
            <w:pPr>
              <w:jc w:val="right"/>
              <w:ind w:right="85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8800" w:type="dxa"/>
            <w:vAlign w:val="bottom"/>
          </w:tcPr>
          <w:p>
            <w:pPr>
              <w:ind w:left="200"/>
              <w:spacing w:after="0" w:line="202" w:lineRule="exact"/>
              <w:rPr>
                <w:sz w:val="20"/>
                <w:szCs w:val="20"/>
                <w:color w:val="auto"/>
              </w:rPr>
            </w:pPr>
            <w:r>
              <w:rPr>
                <w:rFonts w:ascii="Arial" w:cs="Arial" w:eastAsia="Arial" w:hAnsi="Arial"/>
                <w:sz w:val="18"/>
                <w:szCs w:val="18"/>
                <w:color w:val="auto"/>
              </w:rPr>
              <w:t>Addition during the period</w:t>
            </w:r>
          </w:p>
        </w:tc>
        <w:tc>
          <w:tcPr>
            <w:tcW w:w="1040" w:type="dxa"/>
            <w:vAlign w:val="bottom"/>
          </w:tcPr>
          <w:p>
            <w:pPr>
              <w:spacing w:after="0"/>
              <w:rPr>
                <w:sz w:val="17"/>
                <w:szCs w:val="17"/>
                <w:color w:val="auto"/>
              </w:rPr>
            </w:pP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175</w:t>
            </w:r>
          </w:p>
        </w:tc>
      </w:tr>
      <w:tr>
        <w:trPr>
          <w:trHeight w:val="203"/>
        </w:trPr>
        <w:tc>
          <w:tcPr>
            <w:tcW w:w="88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Utilization of allowance for doubtful accounts</w:t>
            </w:r>
          </w:p>
        </w:tc>
        <w:tc>
          <w:tcPr>
            <w:tcW w:w="10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196"/>
        </w:trPr>
        <w:tc>
          <w:tcPr>
            <w:tcW w:w="8800" w:type="dxa"/>
            <w:vAlign w:val="bottom"/>
          </w:tcPr>
          <w:p>
            <w:pPr>
              <w:ind w:left="20"/>
              <w:spacing w:after="0" w:line="196" w:lineRule="exact"/>
              <w:rPr>
                <w:sz w:val="20"/>
                <w:szCs w:val="20"/>
                <w:color w:val="auto"/>
              </w:rPr>
            </w:pPr>
            <w:r>
              <w:rPr>
                <w:rFonts w:ascii="Arial" w:cs="Arial" w:eastAsia="Arial" w:hAnsi="Arial"/>
                <w:sz w:val="18"/>
                <w:szCs w:val="18"/>
                <w:color w:val="auto"/>
              </w:rPr>
              <w:t>Balance at December 31, 2020</w:t>
            </w:r>
          </w:p>
        </w:tc>
        <w:tc>
          <w:tcPr>
            <w:tcW w:w="1040" w:type="dxa"/>
            <w:vAlign w:val="bottom"/>
          </w:tcPr>
          <w:p>
            <w:pPr>
              <w:jc w:val="right"/>
              <w:ind w:right="85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175</w:t>
            </w:r>
          </w:p>
        </w:tc>
      </w:tr>
      <w:tr>
        <w:trPr>
          <w:trHeight w:val="203"/>
        </w:trPr>
        <w:tc>
          <w:tcPr>
            <w:tcW w:w="88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 during the period</w:t>
            </w:r>
          </w:p>
        </w:tc>
        <w:tc>
          <w:tcPr>
            <w:tcW w:w="104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8800" w:type="dxa"/>
            <w:vAlign w:val="bottom"/>
          </w:tcPr>
          <w:p>
            <w:pPr>
              <w:ind w:left="200"/>
              <w:spacing w:after="0" w:line="202" w:lineRule="exact"/>
              <w:rPr>
                <w:sz w:val="20"/>
                <w:szCs w:val="20"/>
                <w:color w:val="auto"/>
              </w:rPr>
            </w:pPr>
            <w:r>
              <w:rPr>
                <w:rFonts w:ascii="Arial" w:cs="Arial" w:eastAsia="Arial" w:hAnsi="Arial"/>
                <w:sz w:val="18"/>
                <w:szCs w:val="18"/>
                <w:color w:val="auto"/>
              </w:rPr>
              <w:t>Utilization of allowance for doubtful accounts</w:t>
            </w:r>
          </w:p>
        </w:tc>
        <w:tc>
          <w:tcPr>
            <w:tcW w:w="10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(172 )</w:t>
            </w:r>
          </w:p>
        </w:tc>
      </w:tr>
      <w:tr>
        <w:trPr>
          <w:trHeight w:val="236"/>
        </w:trPr>
        <w:tc>
          <w:tcPr>
            <w:tcW w:w="88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December 31, 2021</w:t>
            </w:r>
          </w:p>
        </w:tc>
        <w:tc>
          <w:tcPr>
            <w:tcW w:w="1040" w:type="dxa"/>
            <w:vAlign w:val="bottom"/>
            <w:tcBorders>
              <w:bottom w:val="single" w:sz="8" w:color="auto"/>
            </w:tcBorders>
            <w:shd w:val="clear" w:color="auto" w:fill="CFF0FC"/>
          </w:tcPr>
          <w:p>
            <w:pPr>
              <w:jc w:val="right"/>
              <w:ind w:right="85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Inventories are stated at the lower of cost and net realizable value. Cost is computed using standard cost, which approximates actual cost on a first-in, first-out basis. Inventory that is obsolete or in excess of forecasted usage is written down to its estimated net realizable value based on assumptions about future demand and market conditions. Inventory write-downs are charged to cost of sales and establish a new cost basis for the inventory. Inventories include raw materials, work-in-process and finished goods.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Property and equipment are recorded at cost, net of accumulated depreciation. Depreciation is recorded using the straight-line method based on the estimated useful lives of the depreciable property or, for leasehold improvements, the remaining term of the lease, whichever is shorter. Assets not yet placed in use are not depreciated. The Company’s estimated useful lives of its property and equipment are as follows: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168"/>
        </w:trPr>
        <w:tc>
          <w:tcPr>
            <w:tcW w:w="45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Estimated Useful Lives</w:t>
            </w:r>
          </w:p>
        </w:tc>
        <w:tc>
          <w:tcPr>
            <w:tcW w:w="1800" w:type="dxa"/>
            <w:vAlign w:val="bottom"/>
          </w:tcPr>
          <w:p>
            <w:pPr>
              <w:spacing w:after="0"/>
              <w:rPr>
                <w:sz w:val="14"/>
                <w:szCs w:val="14"/>
                <w:color w:val="auto"/>
              </w:rPr>
            </w:pPr>
          </w:p>
        </w:tc>
      </w:tr>
      <w:tr>
        <w:trPr>
          <w:trHeight w:val="176"/>
        </w:trPr>
        <w:tc>
          <w:tcPr>
            <w:tcW w:w="4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Furniture and fixtures</w:t>
            </w:r>
          </w:p>
        </w:tc>
        <w:tc>
          <w:tcPr>
            <w:tcW w:w="3500" w:type="dxa"/>
            <w:vAlign w:val="bottom"/>
            <w:shd w:val="clear" w:color="auto" w:fill="CFF0FC"/>
          </w:tcPr>
          <w:p>
            <w:pPr>
              <w:spacing w:after="0"/>
              <w:rPr>
                <w:sz w:val="15"/>
                <w:szCs w:val="15"/>
                <w:color w:val="auto"/>
              </w:rPr>
            </w:pPr>
          </w:p>
        </w:tc>
        <w:tc>
          <w:tcPr>
            <w:tcW w:w="3220" w:type="dxa"/>
            <w:vAlign w:val="bottom"/>
            <w:gridSpan w:val="2"/>
            <w:shd w:val="clear" w:color="auto" w:fill="CFF0FC"/>
          </w:tcPr>
          <w:p>
            <w:pPr>
              <w:jc w:val="center"/>
              <w:ind w:right="1800"/>
              <w:spacing w:after="0"/>
              <w:rPr>
                <w:sz w:val="20"/>
                <w:szCs w:val="20"/>
                <w:color w:val="auto"/>
              </w:rPr>
            </w:pPr>
            <w:r>
              <w:rPr>
                <w:rFonts w:ascii="Arial" w:cs="Arial" w:eastAsia="Arial" w:hAnsi="Arial"/>
                <w:sz w:val="14"/>
                <w:szCs w:val="14"/>
                <w:color w:val="auto"/>
                <w:w w:val="91"/>
              </w:rPr>
              <w:t>7 years</w:t>
            </w:r>
          </w:p>
        </w:tc>
      </w:tr>
      <w:tr>
        <w:trPr>
          <w:trHeight w:val="175"/>
        </w:trPr>
        <w:tc>
          <w:tcPr>
            <w:tcW w:w="4520" w:type="dxa"/>
            <w:vAlign w:val="bottom"/>
          </w:tcPr>
          <w:p>
            <w:pPr>
              <w:ind w:left="20"/>
              <w:spacing w:after="0"/>
              <w:rPr>
                <w:sz w:val="20"/>
                <w:szCs w:val="20"/>
                <w:color w:val="auto"/>
              </w:rPr>
            </w:pPr>
            <w:r>
              <w:rPr>
                <w:rFonts w:ascii="Arial" w:cs="Arial" w:eastAsia="Arial" w:hAnsi="Arial"/>
                <w:sz w:val="14"/>
                <w:szCs w:val="14"/>
                <w:color w:val="auto"/>
              </w:rPr>
              <w:t>Laboratory equipment</w:t>
            </w:r>
          </w:p>
        </w:tc>
        <w:tc>
          <w:tcPr>
            <w:tcW w:w="3500" w:type="dxa"/>
            <w:vAlign w:val="bottom"/>
          </w:tcPr>
          <w:p>
            <w:pPr>
              <w:spacing w:after="0"/>
              <w:rPr>
                <w:sz w:val="15"/>
                <w:szCs w:val="15"/>
                <w:color w:val="auto"/>
              </w:rPr>
            </w:pPr>
          </w:p>
        </w:tc>
        <w:tc>
          <w:tcPr>
            <w:tcW w:w="3220" w:type="dxa"/>
            <w:vAlign w:val="bottom"/>
            <w:gridSpan w:val="2"/>
          </w:tcPr>
          <w:p>
            <w:pPr>
              <w:jc w:val="center"/>
              <w:ind w:right="1800"/>
              <w:spacing w:after="0"/>
              <w:rPr>
                <w:sz w:val="20"/>
                <w:szCs w:val="20"/>
                <w:color w:val="auto"/>
              </w:rPr>
            </w:pPr>
            <w:r>
              <w:rPr>
                <w:rFonts w:ascii="Arial" w:cs="Arial" w:eastAsia="Arial" w:hAnsi="Arial"/>
                <w:sz w:val="14"/>
                <w:szCs w:val="14"/>
                <w:color w:val="auto"/>
                <w:w w:val="91"/>
              </w:rPr>
              <w:t>5 years</w:t>
            </w:r>
          </w:p>
        </w:tc>
      </w:tr>
      <w:tr>
        <w:trPr>
          <w:trHeight w:val="176"/>
        </w:trPr>
        <w:tc>
          <w:tcPr>
            <w:tcW w:w="4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Office and computer equipment</w:t>
            </w:r>
          </w:p>
        </w:tc>
        <w:tc>
          <w:tcPr>
            <w:tcW w:w="3500" w:type="dxa"/>
            <w:vAlign w:val="bottom"/>
            <w:shd w:val="clear" w:color="auto" w:fill="CFF0FC"/>
          </w:tcPr>
          <w:p>
            <w:pPr>
              <w:spacing w:after="0"/>
              <w:rPr>
                <w:sz w:val="15"/>
                <w:szCs w:val="15"/>
                <w:color w:val="auto"/>
              </w:rPr>
            </w:pPr>
          </w:p>
        </w:tc>
        <w:tc>
          <w:tcPr>
            <w:tcW w:w="3220" w:type="dxa"/>
            <w:vAlign w:val="bottom"/>
            <w:gridSpan w:val="2"/>
            <w:shd w:val="clear" w:color="auto" w:fill="CFF0FC"/>
          </w:tcPr>
          <w:p>
            <w:pPr>
              <w:jc w:val="center"/>
              <w:ind w:right="1800"/>
              <w:spacing w:after="0"/>
              <w:rPr>
                <w:sz w:val="20"/>
                <w:szCs w:val="20"/>
                <w:color w:val="auto"/>
              </w:rPr>
            </w:pPr>
            <w:r>
              <w:rPr>
                <w:rFonts w:ascii="Arial" w:cs="Arial" w:eastAsia="Arial" w:hAnsi="Arial"/>
                <w:sz w:val="14"/>
                <w:szCs w:val="14"/>
                <w:color w:val="auto"/>
                <w:w w:val="91"/>
              </w:rPr>
              <w:t>3 years</w:t>
            </w:r>
          </w:p>
        </w:tc>
      </w:tr>
      <w:tr>
        <w:trPr>
          <w:trHeight w:val="182"/>
        </w:trPr>
        <w:tc>
          <w:tcPr>
            <w:tcW w:w="452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6720" w:type="dxa"/>
            <w:vAlign w:val="bottom"/>
            <w:gridSpan w:val="3"/>
          </w:tcPr>
          <w:p>
            <w:pPr>
              <w:jc w:val="center"/>
              <w:ind w:left="1628"/>
              <w:spacing w:after="0"/>
              <w:rPr>
                <w:sz w:val="20"/>
                <w:szCs w:val="20"/>
                <w:color w:val="auto"/>
              </w:rPr>
            </w:pPr>
            <w:r>
              <w:rPr>
                <w:rFonts w:ascii="Arial" w:cs="Arial" w:eastAsia="Arial" w:hAnsi="Arial"/>
                <w:sz w:val="14"/>
                <w:szCs w:val="14"/>
                <w:color w:val="auto"/>
                <w:w w:val="92"/>
              </w:rPr>
              <w:t>Shorter of expected lease term or estimated useful life</w:t>
            </w:r>
          </w:p>
        </w:tc>
      </w:tr>
    </w:tbl>
    <w:p>
      <w:pPr>
        <w:spacing w:after="0" w:line="20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Upon sale or retirement of the assets, the cost and related accumulated depreciation are removed from the accounts and the resulting gain or loss is recognized in the consolidated statement of operations and comprehensive income. Expenditures for general maintenance and repairs are expensed as incurred.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 net</w:t>
      </w:r>
    </w:p>
    <w:p>
      <w:pPr>
        <w:spacing w:after="0" w:line="18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 xml:space="preserve">In July 2015, the Company entered into a purchase agreement with Cytek Development Technology (“Cytek Tech”) involving the acquisition of substantially all assets of Cytek Tech for the aggregate purchase amount of $900,000 in cash and the assumption of Cytek Tech liabilities. The Company recorded goodwill of $476,000 and intangible assets of $476,000 at the transaction date. The addition of goodwill in 2021 is discussed in Note 8, </w:t>
      </w:r>
      <w:r>
        <w:rPr>
          <w:rFonts w:ascii="Arial" w:cs="Arial" w:eastAsia="Arial" w:hAnsi="Arial"/>
          <w:sz w:val="18"/>
          <w:szCs w:val="18"/>
          <w:i w:val="1"/>
          <w:iCs w:val="1"/>
          <w:color w:val="auto"/>
        </w:rPr>
        <w:t>Acquisition</w:t>
      </w:r>
      <w:r>
        <w:rPr>
          <w:rFonts w:ascii="Arial" w:cs="Arial" w:eastAsia="Arial" w:hAnsi="Arial"/>
          <w:sz w:val="18"/>
          <w:szCs w:val="18"/>
          <w:color w:val="auto"/>
        </w:rPr>
        <w:t>.</w:t>
      </w:r>
    </w:p>
    <w:p>
      <w:pPr>
        <w:spacing w:after="0" w:line="147"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Goodwill represents the excess of the purchase price over the fair value of the net tangible and identifiable intangible assets acquired in a business combination. Intangible assets resulting from the acquisition of entities are estimated by management based on the fair value of assets received. Intangible assets are amortized on a straight-line basis over the estimated useful lives. The Company’s estimated useful lives of its intangible assets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020" w:type="dxa"/>
            <w:vAlign w:val="bottom"/>
          </w:tcPr>
          <w:p>
            <w:pPr>
              <w:spacing w:after="0"/>
              <w:rPr>
                <w:sz w:val="14"/>
                <w:szCs w:val="14"/>
                <w:color w:val="auto"/>
              </w:rPr>
            </w:pPr>
          </w:p>
        </w:tc>
        <w:tc>
          <w:tcPr>
            <w:tcW w:w="3220" w:type="dxa"/>
            <w:vAlign w:val="bottom"/>
            <w:gridSpan w:val="2"/>
          </w:tcPr>
          <w:p>
            <w:pPr>
              <w:jc w:val="center"/>
              <w:ind w:right="1820"/>
              <w:spacing w:after="0"/>
              <w:rPr>
                <w:sz w:val="20"/>
                <w:szCs w:val="20"/>
                <w:color w:val="auto"/>
              </w:rPr>
            </w:pPr>
            <w:r>
              <w:rPr>
                <w:rFonts w:ascii="Arial" w:cs="Arial" w:eastAsia="Arial" w:hAnsi="Arial"/>
                <w:sz w:val="14"/>
                <w:szCs w:val="14"/>
                <w:b w:val="1"/>
                <w:bCs w:val="1"/>
                <w:color w:val="auto"/>
                <w:w w:val="91"/>
              </w:rPr>
              <w:t>Estimated Useful Lives</w:t>
            </w:r>
          </w:p>
        </w:tc>
      </w:tr>
      <w:tr>
        <w:trPr>
          <w:trHeight w:val="176"/>
        </w:trPr>
        <w:tc>
          <w:tcPr>
            <w:tcW w:w="8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Patent</w:t>
            </w:r>
          </w:p>
        </w:tc>
        <w:tc>
          <w:tcPr>
            <w:tcW w:w="1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20 years</w:t>
            </w:r>
          </w:p>
        </w:tc>
        <w:tc>
          <w:tcPr>
            <w:tcW w:w="1820" w:type="dxa"/>
            <w:vAlign w:val="bottom"/>
            <w:shd w:val="clear" w:color="auto" w:fill="CFF0FC"/>
          </w:tcPr>
          <w:p>
            <w:pPr>
              <w:spacing w:after="0"/>
              <w:rPr>
                <w:sz w:val="15"/>
                <w:szCs w:val="15"/>
                <w:color w:val="auto"/>
              </w:rPr>
            </w:pPr>
          </w:p>
        </w:tc>
      </w:tr>
      <w:tr>
        <w:trPr>
          <w:trHeight w:val="175"/>
        </w:trPr>
        <w:tc>
          <w:tcPr>
            <w:tcW w:w="8020" w:type="dxa"/>
            <w:vAlign w:val="bottom"/>
          </w:tcPr>
          <w:p>
            <w:pPr>
              <w:ind w:left="20"/>
              <w:spacing w:after="0"/>
              <w:rPr>
                <w:sz w:val="20"/>
                <w:szCs w:val="20"/>
                <w:color w:val="auto"/>
              </w:rPr>
            </w:pPr>
            <w:r>
              <w:rPr>
                <w:rFonts w:ascii="Arial" w:cs="Arial" w:eastAsia="Arial" w:hAnsi="Arial"/>
                <w:sz w:val="14"/>
                <w:szCs w:val="14"/>
                <w:color w:val="auto"/>
              </w:rPr>
              <w:t>Trademarks</w:t>
            </w:r>
          </w:p>
        </w:tc>
        <w:tc>
          <w:tcPr>
            <w:tcW w:w="3220" w:type="dxa"/>
            <w:vAlign w:val="bottom"/>
            <w:gridSpan w:val="2"/>
          </w:tcPr>
          <w:p>
            <w:pPr>
              <w:jc w:val="center"/>
              <w:ind w:right="1820"/>
              <w:spacing w:after="0"/>
              <w:rPr>
                <w:sz w:val="20"/>
                <w:szCs w:val="20"/>
                <w:color w:val="auto"/>
              </w:rPr>
            </w:pPr>
            <w:r>
              <w:rPr>
                <w:rFonts w:ascii="Arial" w:cs="Arial" w:eastAsia="Arial" w:hAnsi="Arial"/>
                <w:sz w:val="14"/>
                <w:szCs w:val="14"/>
                <w:color w:val="auto"/>
                <w:w w:val="89"/>
              </w:rPr>
              <w:t>10 years</w:t>
            </w:r>
          </w:p>
        </w:tc>
      </w:tr>
      <w:tr>
        <w:trPr>
          <w:trHeight w:val="176"/>
        </w:trPr>
        <w:tc>
          <w:tcPr>
            <w:tcW w:w="8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Tradename</w:t>
            </w:r>
          </w:p>
        </w:tc>
        <w:tc>
          <w:tcPr>
            <w:tcW w:w="3220" w:type="dxa"/>
            <w:vAlign w:val="bottom"/>
            <w:gridSpan w:val="2"/>
            <w:shd w:val="clear" w:color="auto" w:fill="CFF0FC"/>
          </w:tcPr>
          <w:p>
            <w:pPr>
              <w:jc w:val="center"/>
              <w:ind w:right="1820"/>
              <w:spacing w:after="0"/>
              <w:rPr>
                <w:sz w:val="20"/>
                <w:szCs w:val="20"/>
                <w:color w:val="auto"/>
              </w:rPr>
            </w:pPr>
            <w:r>
              <w:rPr>
                <w:rFonts w:ascii="Arial" w:cs="Arial" w:eastAsia="Arial" w:hAnsi="Arial"/>
                <w:sz w:val="14"/>
                <w:szCs w:val="14"/>
                <w:color w:val="auto"/>
                <w:w w:val="87"/>
              </w:rPr>
              <w:t>4 years</w:t>
            </w:r>
          </w:p>
        </w:tc>
      </w:tr>
      <w:tr>
        <w:trPr>
          <w:trHeight w:val="175"/>
        </w:trPr>
        <w:tc>
          <w:tcPr>
            <w:tcW w:w="8020" w:type="dxa"/>
            <w:vAlign w:val="bottom"/>
          </w:tcPr>
          <w:p>
            <w:pPr>
              <w:ind w:left="20"/>
              <w:spacing w:after="0"/>
              <w:rPr>
                <w:sz w:val="20"/>
                <w:szCs w:val="20"/>
                <w:color w:val="auto"/>
              </w:rPr>
            </w:pPr>
            <w:r>
              <w:rPr>
                <w:rFonts w:ascii="Arial" w:cs="Arial" w:eastAsia="Arial" w:hAnsi="Arial"/>
                <w:sz w:val="14"/>
                <w:szCs w:val="14"/>
                <w:color w:val="auto"/>
              </w:rPr>
              <w:t>Customer relationship</w:t>
            </w:r>
          </w:p>
        </w:tc>
        <w:tc>
          <w:tcPr>
            <w:tcW w:w="3220" w:type="dxa"/>
            <w:vAlign w:val="bottom"/>
            <w:gridSpan w:val="2"/>
          </w:tcPr>
          <w:p>
            <w:pPr>
              <w:jc w:val="center"/>
              <w:ind w:right="1820"/>
              <w:spacing w:after="0"/>
              <w:rPr>
                <w:sz w:val="20"/>
                <w:szCs w:val="20"/>
                <w:color w:val="auto"/>
              </w:rPr>
            </w:pPr>
            <w:r>
              <w:rPr>
                <w:rFonts w:ascii="Arial" w:cs="Arial" w:eastAsia="Arial" w:hAnsi="Arial"/>
                <w:sz w:val="14"/>
                <w:szCs w:val="14"/>
                <w:color w:val="auto"/>
                <w:w w:val="87"/>
              </w:rPr>
              <w:t>7 years</w:t>
            </w:r>
          </w:p>
        </w:tc>
      </w:tr>
      <w:tr>
        <w:trPr>
          <w:trHeight w:val="176"/>
        </w:trPr>
        <w:tc>
          <w:tcPr>
            <w:tcW w:w="8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Reagent licenses</w:t>
            </w:r>
          </w:p>
        </w:tc>
        <w:tc>
          <w:tcPr>
            <w:tcW w:w="3220" w:type="dxa"/>
            <w:vAlign w:val="bottom"/>
            <w:gridSpan w:val="2"/>
            <w:shd w:val="clear" w:color="auto" w:fill="CFF0FC"/>
          </w:tcPr>
          <w:p>
            <w:pPr>
              <w:jc w:val="center"/>
              <w:ind w:right="1820"/>
              <w:spacing w:after="0"/>
              <w:rPr>
                <w:sz w:val="20"/>
                <w:szCs w:val="20"/>
                <w:color w:val="auto"/>
              </w:rPr>
            </w:pPr>
            <w:r>
              <w:rPr>
                <w:rFonts w:ascii="Arial" w:cs="Arial" w:eastAsia="Arial" w:hAnsi="Arial"/>
                <w:sz w:val="14"/>
                <w:szCs w:val="14"/>
                <w:color w:val="auto"/>
                <w:w w:val="87"/>
              </w:rPr>
              <w:t>7 years</w:t>
            </w:r>
          </w:p>
        </w:tc>
      </w:tr>
      <w:tr>
        <w:trPr>
          <w:trHeight w:val="182"/>
        </w:trPr>
        <w:tc>
          <w:tcPr>
            <w:tcW w:w="8020" w:type="dxa"/>
            <w:vAlign w:val="bottom"/>
          </w:tcPr>
          <w:p>
            <w:pPr>
              <w:ind w:left="20"/>
              <w:spacing w:after="0"/>
              <w:rPr>
                <w:sz w:val="20"/>
                <w:szCs w:val="20"/>
                <w:color w:val="auto"/>
              </w:rPr>
            </w:pPr>
            <w:r>
              <w:rPr>
                <w:rFonts w:ascii="Arial" w:cs="Arial" w:eastAsia="Arial" w:hAnsi="Arial"/>
                <w:sz w:val="14"/>
                <w:szCs w:val="14"/>
                <w:color w:val="auto"/>
              </w:rPr>
              <w:t>IP license</w:t>
            </w:r>
          </w:p>
        </w:tc>
        <w:tc>
          <w:tcPr>
            <w:tcW w:w="3220" w:type="dxa"/>
            <w:vAlign w:val="bottom"/>
            <w:gridSpan w:val="2"/>
          </w:tcPr>
          <w:p>
            <w:pPr>
              <w:jc w:val="center"/>
              <w:ind w:right="1820"/>
              <w:spacing w:after="0"/>
              <w:rPr>
                <w:sz w:val="20"/>
                <w:szCs w:val="20"/>
                <w:color w:val="auto"/>
              </w:rPr>
            </w:pPr>
            <w:r>
              <w:rPr>
                <w:rFonts w:ascii="Arial" w:cs="Arial" w:eastAsia="Arial" w:hAnsi="Arial"/>
                <w:sz w:val="14"/>
                <w:szCs w:val="14"/>
                <w:color w:val="auto"/>
                <w:w w:val="87"/>
              </w:rPr>
              <w:t>5 years</w:t>
            </w:r>
          </w:p>
        </w:tc>
      </w:tr>
    </w:tbl>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Impairment of Long-Lived Assets</w:t>
      </w:r>
    </w:p>
    <w:p>
      <w:pPr>
        <w:spacing w:after="0" w:line="17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Long-lived assets with finite lives include property and equipment and acquired intangible assets. The Company evaluates long-lived assets, including acquired intangible assets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w:t>
      </w:r>
    </w:p>
    <w:p>
      <w:pPr>
        <w:spacing w:after="0" w:line="335"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Goodwill and indefinite-lived intangible assets are not amortized but rather tested for impairment at least annually in the fourth quarter, or more frequently if events or changes in circumstances indicate that impairment may exist. Goodwill impairment is recognized when the quantitative assessment results in the carrying value of the reporting unit exceeding its fair value, in which case an impairment charge is recorded to goodwill to the extent the carrying value exceeds the fair value, limited to the amount of goodwill. The Company did not recognize any impairment of goodwill for all periods presented.</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71"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5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81" w:name="page82"/>
    <w:bookmarkEnd w:id="81"/>
    <w:p>
      <w:pPr>
        <w:jc w:val="both"/>
        <w:ind w:firstLine="509"/>
        <w:spacing w:after="0" w:line="248" w:lineRule="auto"/>
        <w:rPr>
          <w:sz w:val="20"/>
          <w:szCs w:val="20"/>
          <w:color w:val="auto"/>
        </w:rPr>
      </w:pPr>
      <w:r>
        <w:rPr>
          <w:rFonts w:ascii="Arial" w:cs="Arial" w:eastAsia="Arial" w:hAnsi="Arial"/>
          <w:sz w:val="18"/>
          <w:szCs w:val="18"/>
          <w:color w:val="auto"/>
        </w:rPr>
        <w:t>The categorization of a financial instrument within the valuation hierarchy is based on the lowest level of input that is significant to the fair value measurement. The Company recognizes transfers between levels of the fair value hierarchy on the date of the event or change in circumstances that caused the transfer.</w:t>
      </w:r>
    </w:p>
    <w:p>
      <w:pPr>
        <w:spacing w:after="0" w:line="15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carrying amounts reflected in the consolidated balance sheets for cash and cash equivalents, restricted cash, trade accounts receivable, net, trade accounts payable and accrued expenses approximate their fair values.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The Company’s product revenue consists of sales of its instrument systems and accessories. The Company recognizes product revenue at the point in time when control of the instrument is transferred to the customer.</w:t>
      </w:r>
    </w:p>
    <w:p>
      <w:pPr>
        <w:spacing w:after="0" w:line="13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w:t>
      </w:r>
    </w:p>
    <w:p>
      <w:pPr>
        <w:spacing w:after="0" w:line="155"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4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Invoicing for products occurs upon delivery and payment terms are 30 to 90 days. Service contracts are invoiced upfront and payment terms are generally 30 days. For those arrangements that have terms greater than one year, any payments received upfront are for reasons other than financing. Revenue is recognized only to the extent that it is probable that a significant reversal of the cumulative amount recognized will not occur in future periods. Variable consideration is not material.</w:t>
      </w:r>
    </w:p>
    <w:p>
      <w:pPr>
        <w:spacing w:after="0" w:line="16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Certain of the Company’s sales contracts involve the delivery or performance of multiple products and services within contractually binding arrangements. The Company has determined these performance obligations qualify as distinct performance obligations, as the customer can benefit from the good or service on its own or together with other resources that are readily available to the customer, and the Company’s promise to transfer the good or service is separately identifiable from other promises in the contract. For these arrangements that contain multiple performance obligations, the Company allocates transaction price based on the relative standalone selling price (“SSP”) method by comparing the SSP of each distinct performance obligation to the total value of the contract. The Company uses a range of amounts to estimate SSP for products and services sold together in a contract to determine whether there is a discount to be allocated based on the relative SSP of the various products and services. In instances where SSP is not directly observable, such as when the Company does not sell the product or service separately, the Company determines the SSP using information that may include market conditions and other observable inputs.</w:t>
      </w:r>
    </w:p>
    <w:p>
      <w:pPr>
        <w:spacing w:after="0" w:line="143"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Sales, value-add and other taxes, collected from customers concurrent with revenue generating activities and remitted to governmental authorities are not included in revenue. Shipping and handling costs associated with outbound freight are accounted for as a fulfillment cost and are included in cost of sales.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7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Company’s standard arrangement for sales to end users is a purchase order or an executed contract. Revenue is recognized upon transfer of control of the product to the customer, which occurs at a point in time depending on the shipping terms.</w:t>
      </w:r>
    </w:p>
    <w:p>
      <w:pPr>
        <w:spacing w:after="0" w:line="144"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The Company’s arrangements with its distributors include a purchase order. The purchase order is governed by terms and conditions set forth in the applicable distribution agreement. Revenue is recognized upon transfer of control of the products to the distributor, which occurs at a point in time depending on the shipping terms.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18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 Service contracts are typically between one and three years.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8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Contract liabilities consist of fees invoiced or paid by the Company’s customers for which the associated services have not been performed and revenue has not been recognized based on the Company’s revenue recognition criteria described above. Such amounts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2" w:name="page83"/>
    <w:bookmarkEnd w:id="82"/>
    <w:p>
      <w:pPr>
        <w:jc w:val="both"/>
        <w:ind w:right="20"/>
        <w:spacing w:after="0" w:line="291" w:lineRule="auto"/>
        <w:rPr>
          <w:sz w:val="20"/>
          <w:szCs w:val="20"/>
          <w:color w:val="auto"/>
        </w:rPr>
      </w:pPr>
      <w:r>
        <w:rPr>
          <w:rFonts w:ascii="Arial" w:cs="Arial" w:eastAsia="Arial" w:hAnsi="Arial"/>
          <w:sz w:val="17"/>
          <w:szCs w:val="17"/>
          <w:color w:val="auto"/>
        </w:rPr>
        <w:t>are reported as deferred revenue for service and customer deposits for instruments on the consolidated balance sheets. Deferred revenue that is expected to be recognized during the following 12 months is recorded as a current liability and the remaining portion is recorded as noncurrent.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Assurance-type product warranties</w:t>
      </w:r>
    </w:p>
    <w:p>
      <w:pPr>
        <w:spacing w:after="0" w:line="17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The Company provides a one-year assurance-type warranty that is included with the sale of its instruments. At the time revenue is recognized for the products, the Company establishes an accrual for estimated warranty expense based on historical data and trends of product reliability and costs of repairing and replacing defective products. The Company exercises judgment in estimating the expected product warranty costs, using data such as the historical repair costs. While management believes that historical experience provides a reliable basis for estimating such warranty cost, unforeseen quality issues or component failure rates could result in future costs in excess of such estimates, or alternatively, improved quality and reliability in the Company’s products could result in actual expenses that are below those currently estimated.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7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Deferred offering costs, which consist of direct incremental legal, consulting, banking and accounting fees relating to the Company’s planned initial public offering, are capitalized, and will be offset against proceeds from the IPO upon the effectiveness of the offering. In the event an anticipated offering is terminated, deferred offering costs will be expensed. On July 27, 2021, the Company completed the IPO; accordingly, the Company recognized the initial public offering costs of approximately $5.3 million as a reduction from gross proceeds associated with the IPO through additional paid-in capital in the accompanying condensed consolidated balance sheet. Accordingly, there were no deferred offering costs as of December 31, 2021. As of December 31, 2020 there were no capitalized deferred offering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7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Research and development costs are expensed as incurred. Research and development expenses to date consist primarily of salaries, benefits, stock-based compensation, independent contractor costs, laboratory supplies, equipment maintenance, materials expenses, and software license fees. Payments made prior to the receipt of goods or services to be used in research and development activities are recorded as prepaid expenses until the related goods or services are received.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7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cost of advertising, marketing and media is expensed as incurred. For the year ended December 31, 2021 and 2020, advertising, marketing and media expenses totaled $1.8 million and $1.0 million,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The Company maintains an equity incentive compensation plan under which incentive stock options and nonqualified stock options to purchase common stock, and restricted stock units for common stock, are granted to employees and non-employee consultants. Stock-based compensation cost is measured at the grant date, based on the fair value of the award, and is recognized as expense over the requisite service period. The fair value of stock options granted to employees is estimated using the Black-Scholes option pricing model. The Company records forfeitures as they occur. The weighted-average assumptions used in estimating the fair value of stock options granted during each of the periods presented are:</w:t>
      </w:r>
    </w:p>
    <w:p>
      <w:pPr>
        <w:spacing w:after="0" w:line="13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Expected Volatility—Expected volatility is estimated by studying the volatility of selected industry peers deemed to be comparable to our business corresponding to the expected term of the awards.</w:t>
      </w:r>
    </w:p>
    <w:p>
      <w:pPr>
        <w:spacing w:after="0" w:line="130"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Expected Term—Expected term represents the period that our stock-based awards are expected to be outstanding and is determined using the simplified method.</w:t>
      </w:r>
    </w:p>
    <w:p>
      <w:pPr>
        <w:spacing w:after="0" w:line="144"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Dividend Yield— The expected dividend yield is zero as we have never declared or paid cash dividends and have no current plans to do so in the foreseeable future.</w:t>
      </w:r>
    </w:p>
    <w:p>
      <w:pPr>
        <w:spacing w:after="0" w:line="130"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Risk-Free Interest Rate—The risk-free interest rate is based on the U.S. Treasury zero-coupon issued in effect at the time of grant for periods corresponding with the expected term of the option.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Company accounts for income taxes under an asset and liability approach. Deferred income taxes comprise the impact of temporary differences between assets and liabilities recognized for financial reporting purposes and the amounts recognized for income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3" w:name="page84"/>
    <w:bookmarkEnd w:id="83"/>
    <w:p>
      <w:pPr>
        <w:jc w:val="both"/>
        <w:ind w:right="20"/>
        <w:spacing w:after="0" w:line="291" w:lineRule="auto"/>
        <w:rPr>
          <w:sz w:val="20"/>
          <w:szCs w:val="20"/>
          <w:color w:val="auto"/>
        </w:rPr>
      </w:pPr>
      <w:r>
        <w:rPr>
          <w:rFonts w:ascii="Arial" w:cs="Arial" w:eastAsia="Arial" w:hAnsi="Arial"/>
          <w:sz w:val="17"/>
          <w:szCs w:val="17"/>
          <w:color w:val="auto"/>
        </w:rPr>
        <w:t>tax reporting purposes, net operating loss carryforwards, and other tax credit carryforwards measured by applying currently enacted tax laws. A valuation allowance is provided when necessary to reduce deferred tax assets to an amount that is more likely than not to be realized.</w:t>
      </w:r>
    </w:p>
    <w:p>
      <w:pPr>
        <w:spacing w:after="0" w:line="12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Company determines whether a tax position is more likely than not to be sustained upon examination, including resolution of any related appeals or litigation processes, based on the technical merits of the position. The Company uses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The Company’s policy for interest and penalties related to uncertain tax positions is to recognize interest and penalties, if any, in interest expense and other expense, respectively, in the accompanying consolidated statement of operations. Accrued interest and penalties, if any, are included in accrued expenses in the consolidated balance sheet.</w:t>
      </w:r>
    </w:p>
    <w:p>
      <w:pPr>
        <w:spacing w:after="0" w:line="15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files income tax returns in the U.S. federal jurisdiction, various U.S. state jurisdictions and foreign jurisdictions. The U.S.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and foreign income tax purposes.</w:t>
      </w:r>
    </w:p>
    <w:p>
      <w:pPr>
        <w:spacing w:after="0" w:line="16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The Company intends to reinvest its undistributed earnings of its foreign operations. Following enactment of the 2017 Tax Cuts and Jobs Act, the repatriation of cash to the United States is generally no longer taxable for federal income tax purposes. However, the repatriation of cash held outside the United States could be subject to applicable foreign withholding taxes and state income taxes. The Company may remit foreign earnings to the United States to the extent it is tax efficient to do so. It does not expect the tax impact from remitting these earnings to be material. The Company adopted this guidance on January 1, 2021 on a prospective basis, and the adoption did not have a material impact to the Company’s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common stockholders per share</w:t>
      </w:r>
    </w:p>
    <w:p>
      <w:pPr>
        <w:spacing w:after="0" w:line="185"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Basic net income attributable to common stockholders per share and diluted net income attributable to common stockholders per share are computed using the weighted-average number of shares of common stock outstanding for the period. Net income per share attributable to common stockholders is calculated using the two-class method, which is an earnings allocation formula that determines net income per share for the holders of shares of the Company’s common stock and participating securities. The Company’s redeemable convertible preferred stock contains participation rights in any dividend paid by the Company and is deemed to be a participating security. The participating securities include a contractual obligation to participate in the income of the Company and are included in the calculation of net income per share in the periods in which net income is recorded.</w:t>
      </w:r>
    </w:p>
    <w:p>
      <w:pPr>
        <w:spacing w:after="0" w:line="12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Diluted net income attributable to common stockholders per share is computed using the more dilutive of (a) the two-class method or (b) the if-converted method. The Company allocates earnings first to preferred stockholders based on non-cumulative dividend rights if and when declared and then to common and preferred stockholders based on ownership interests. The weighted-average number of shares of common stock included in the computation of diluted net income attributable to common stockholders per share gives effect to all potentially dilutive common stock equivalents, including outstanding options and redeemable convertible preferred stock.</w:t>
      </w:r>
    </w:p>
    <w:p>
      <w:pPr>
        <w:spacing w:after="0" w:line="16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Common stock equivalents are excluded from the computation of diluted net income attributable to common stockholders per share if their effect is antidilutive.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85"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The Company uses the acquisition method of accounting under ASC 805, Business Combinations. Each acquired company’s operating results are included in the Company's consolidated financial statements starting on the date of acquisition. The purchase price is equivalent to the fair value of consideration transferred. Tangible and identifiable intangible assets acquired and liabilities assumed as of the date of acquisition are recorded at the acquisition date fair value. Goodwill is recognized for the excess of purchase price over the net fair value of assets acquired and liabilities assumed.</w:t>
      </w:r>
    </w:p>
    <w:p>
      <w:pPr>
        <w:spacing w:after="0" w:line="115"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Amounts allocated to assets and liabilities are based upon fair values. Such valuations require management to make significant estimates and assumptions, especially with respect to the identifiable intangible assets. Management makes estimates of fair value based upon assumptions believed to be reasonable and that of a market participant. These estimates are based on historical experience and information obtained from the management of the acquired companies and the estimates are inherently uncertain. The separately identifiable intangible assets generally include customer relationships, trade names, and reagent licenses.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4" w:name="page85"/>
    <w:bookmarkEnd w:id="84"/>
    <w:p>
      <w:pPr>
        <w:jc w:val="both"/>
        <w:ind w:firstLine="509"/>
        <w:spacing w:after="0" w:line="239"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The Company has, however, elected to early- adopt as permitted certain new or revised accounting standards as of dates that may or may not coincide with the effective dates of public companies. These standards include the following:</w:t>
      </w:r>
    </w:p>
    <w:p>
      <w:pPr>
        <w:spacing w:after="0" w:line="16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(“Topic 606”). Topic 606 and its related amendments supersede Revenue Recognition (Topic 605), issued in June 2010, and provides principles for recognizing revenue for goods and services in a manner consistent with the transfer of control of those goods and services to the customer. The Company adopted the requirements of Topic 606 using the modified retrospective method on January 1, 2018 with such adoption not having a material impact to the Company’s consolidated financial statements. Under the modified retrospective method, this guidance is applied to those contracts that were not completed as of January 1, 2019, with no restatement of contracts that were commenced and completed within fiscal years prior to January 1, 2019, and the prior period comparable financial information continues to be presented under the guidance of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(“ASC 605”).</w:t>
      </w:r>
    </w:p>
    <w:p>
      <w:pPr>
        <w:spacing w:after="0" w:line="13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Requirements for Fair Value Measurement </w:t>
      </w:r>
      <w:r>
        <w:rPr>
          <w:rFonts w:ascii="Arial" w:cs="Arial" w:eastAsia="Arial" w:hAnsi="Arial"/>
          <w:sz w:val="17"/>
          <w:szCs w:val="17"/>
          <w:color w:val="auto"/>
        </w:rPr>
        <w:t>("Topic 820"), which amends the disclosure requirements for fair value measurements by removing, modifying,</w:t>
      </w:r>
      <w:r>
        <w:rPr>
          <w:rFonts w:ascii="Arial" w:cs="Arial" w:eastAsia="Arial" w:hAnsi="Arial"/>
          <w:sz w:val="17"/>
          <w:szCs w:val="17"/>
          <w:i w:val="1"/>
          <w:iCs w:val="1"/>
          <w:color w:val="auto"/>
        </w:rPr>
        <w:t xml:space="preserve"> </w:t>
      </w:r>
      <w:r>
        <w:rPr>
          <w:rFonts w:ascii="Arial" w:cs="Arial" w:eastAsia="Arial" w:hAnsi="Arial"/>
          <w:sz w:val="17"/>
          <w:szCs w:val="17"/>
          <w:color w:val="auto"/>
        </w:rPr>
        <w:t>and adding certain disclosures. This new standard was effective for the Company January 1, 2020. This will require application of the new accounting guidance at the beginning of the earliest comparative period presented in the year of adoption. The Company adopted the requirements of Topic 820 on January 1, 2020 with such adoption not having a material impact to the Company’s consolidated financial statements.</w:t>
      </w:r>
    </w:p>
    <w:p>
      <w:pPr>
        <w:spacing w:after="0" w:line="14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("Topic 740"). The objective of the guidance is to simplify the accounting for income taxes by removing certain exceptions to the general principles in Topic 740 and to provide more consistent application to improve the comparability of financial statements. The guidance is effective for fiscal years beginning after December 15, 2021, and interim periods within fiscal years beginning after December 15, 2022, with early adoption permitted. The Company early adopted this guidance on January 1, 2021, and the adoption did not have a material impact to the Company’s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85"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as subsequently amended (“Topic 842”), to improve financial reporting and disclosures about leasing transactions. This ASU requires companies that lease assets to recognize on the balance sheet the assets and liabilities for the rights and obligations created by those leases, where the lease terms exceed 12 months. The recognition, measurement and presentation of expense and cash flows arising from a lease by a lessee will depend primarily on its classification as a finance or operating lease; both types of leases will be recognized on the balance sheet. This ASU also requires disclosures to help financial statement users to better understand the amount, timing and uncertainty of cash flows arising from leases. On June 3, 2020, the FASB issued ASU 2020-05, which amended the effective dates of Topic 842 to give immediate relief from business disruptions caused by the COVID-19 pandemic and provides a one-year deferral of the effective date for nonpublic companies. Therefore, for public companies, the effective date is still December 15, 2018, while the effective date for private companies will now be fiscal years beginning after December 15, 2021, and interim periods within fiscal years beginning after December 15, 2022. As the Company qualifies as an emerging growth company, the new lease standard is effective for the Company on January 1, 2022. The Company will use the optional transition method to the modified retrospective approach in which Topic 842 will not be applied to comparative periods presented and incremental disclosures are not required for periods before the Company’s adoption of Topic 842. The Company has elected this transition approach as well as the package of practical expedients permitted under the transition guidance within the new standard, which allowed the Company to carry forward the historical lease classification of contracts entered into prior to January 1, 2022. As a result of electing the package of practical expedients described above, existing leases and related initial direct costs have not been reassessed prior to the effective date, and therefore, adoption of the lease standard did not have an impact on the Company’s previously reported consolidated financial statements. The Company also elected the following practical expedients: (i) combining lease and non-lease components for all asset classes and (ii) leases with an initial term of 12 months or less are not recorded in the Consolidated Balance Sheets, and the associated lease payments are recognized in the Consolidated Statements of Operations on a straight-line basis over the lease term. The Company is also implementing a new software to manage the lease portfolio and perform the accounting required under Topic 842. The Company expects the adoption of Topic 842 will result in the recognition of total right-of-use assets between $13.1 million and $15.0 million and total lease liabilities between $13.7 million and $15.6 million. The Company does not expect the adoption of Topic 842 to have a material impact to the consolidated statements of operations and comprehensive income, redeemable convertible preferred stock and stockholders' equity (deficit), or cash flows.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5" w:name="page86"/>
    <w:bookmarkEnd w:id="85"/>
    <w:p>
      <w:pPr>
        <w:jc w:val="both"/>
        <w:ind w:firstLine="509"/>
        <w:spacing w:after="0" w:line="241"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replaces the existing incurred loss impairment model with an expected credit loss model and requires a financial asset measured at</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cost to be presented at the net amount expected to be collected. This new standard is effective for the Company in the fiscal year beginning January 1, 2023 and must be adopted using a modified retrospective approach, with certain exceptions. The Company is currently evaluating the impact of this standard on its consolidated financial statements.</w:t>
      </w:r>
    </w:p>
    <w:p>
      <w:pPr>
        <w:spacing w:after="0" w:line="158"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of credit risk and other risks and uncertainties</w:t>
      </w:r>
    </w:p>
    <w:p>
      <w:pPr>
        <w:spacing w:after="0" w:line="175"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The Company maintains accounts in federally insured financial institutions in excess of federally insured limits. Management believes the Company is not exposed to significant credit risk due to the financial position of the depository institutions in which these deposits are held and of the money market funds in which these investments are made.</w:t>
      </w:r>
    </w:p>
    <w:p>
      <w:pPr>
        <w:spacing w:after="0" w:line="143" w:lineRule="exact"/>
        <w:rPr>
          <w:sz w:val="20"/>
          <w:szCs w:val="20"/>
          <w:color w:val="auto"/>
        </w:rPr>
      </w:pPr>
    </w:p>
    <w:p>
      <w:pPr>
        <w:ind w:right="7680" w:firstLine="8"/>
        <w:spacing w:after="0" w:line="391" w:lineRule="auto"/>
        <w:tabs>
          <w:tab w:leader="none" w:pos="509"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from contracts with customers </w:t>
      </w:r>
      <w:r>
        <w:rPr>
          <w:rFonts w:ascii="Arial" w:cs="Arial" w:eastAsia="Arial" w:hAnsi="Arial"/>
          <w:sz w:val="18"/>
          <w:szCs w:val="18"/>
          <w:i w:val="1"/>
          <w:iCs w:val="1"/>
          <w:color w:val="auto"/>
        </w:rPr>
        <w:t>Disaggregation of revenue</w:t>
      </w:r>
    </w:p>
    <w:p>
      <w:pPr>
        <w:spacing w:after="0" w:line="32" w:lineRule="exact"/>
        <w:rPr>
          <w:sz w:val="20"/>
          <w:szCs w:val="20"/>
          <w:color w:val="auto"/>
        </w:rPr>
      </w:pPr>
    </w:p>
    <w:p>
      <w:pPr>
        <w:ind w:right="660" w:firstLine="509"/>
        <w:spacing w:after="0" w:line="261" w:lineRule="auto"/>
        <w:rPr>
          <w:sz w:val="20"/>
          <w:szCs w:val="20"/>
          <w:color w:val="auto"/>
        </w:rPr>
      </w:pPr>
      <w:r>
        <w:rPr>
          <w:rFonts w:ascii="Arial" w:cs="Arial" w:eastAsia="Arial" w:hAnsi="Arial"/>
          <w:sz w:val="18"/>
          <w:szCs w:val="18"/>
          <w:color w:val="auto"/>
        </w:rPr>
        <w:t>The following table depicts the disaggregation of revenue by sales channel mix and customer mix as defined by the nature of workflows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Year ended December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Sales channel mix</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Direct sales channel</w:t>
            </w:r>
          </w:p>
        </w:tc>
        <w:tc>
          <w:tcPr>
            <w:tcW w:w="960" w:type="dxa"/>
            <w:vAlign w:val="bottom"/>
          </w:tcPr>
          <w:p>
            <w:pPr>
              <w:jc w:val="right"/>
              <w:ind w:right="774"/>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5"/>
              </w:rPr>
              <w:t>110,520</w:t>
            </w:r>
          </w:p>
        </w:tc>
        <w:tc>
          <w:tcPr>
            <w:tcW w:w="860" w:type="dxa"/>
            <w:vAlign w:val="bottom"/>
            <w:gridSpan w:val="2"/>
          </w:tcPr>
          <w:p>
            <w:pPr>
              <w:jc w:val="right"/>
              <w:ind w:right="47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77,106</w:t>
            </w: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Distributor channel</w:t>
            </w:r>
          </w:p>
        </w:tc>
        <w:tc>
          <w:tcPr>
            <w:tcW w:w="9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17,430</w:t>
            </w:r>
          </w:p>
        </w:tc>
        <w:tc>
          <w:tcPr>
            <w:tcW w:w="2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15,733</w:t>
            </w: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revenue, net</w:t>
            </w:r>
          </w:p>
        </w:tc>
        <w:tc>
          <w:tcPr>
            <w:tcW w:w="960" w:type="dxa"/>
            <w:vAlign w:val="bottom"/>
          </w:tcPr>
          <w:p>
            <w:pPr>
              <w:jc w:val="right"/>
              <w:ind w:right="774"/>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w w:val="95"/>
              </w:rPr>
              <w:t>127,950</w:t>
            </w:r>
          </w:p>
        </w:tc>
        <w:tc>
          <w:tcPr>
            <w:tcW w:w="860" w:type="dxa"/>
            <w:vAlign w:val="bottom"/>
            <w:gridSpan w:val="2"/>
          </w:tcPr>
          <w:p>
            <w:pPr>
              <w:jc w:val="right"/>
              <w:ind w:right="47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92,839</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Customer mix</w:t>
            </w: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Academia and government</w:t>
            </w:r>
          </w:p>
        </w:tc>
        <w:tc>
          <w:tcPr>
            <w:tcW w:w="960" w:type="dxa"/>
            <w:vAlign w:val="bottom"/>
            <w:shd w:val="clear" w:color="auto" w:fill="CFF0FC"/>
          </w:tcPr>
          <w:p>
            <w:pPr>
              <w:jc w:val="right"/>
              <w:ind w:right="774"/>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59,415</w:t>
            </w:r>
          </w:p>
        </w:tc>
        <w:tc>
          <w:tcPr>
            <w:tcW w:w="860" w:type="dxa"/>
            <w:vAlign w:val="bottom"/>
            <w:gridSpan w:val="2"/>
            <w:shd w:val="clear" w:color="auto" w:fill="CFF0FC"/>
          </w:tcPr>
          <w:p>
            <w:pPr>
              <w:jc w:val="right"/>
              <w:ind w:right="47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45,674</w:t>
            </w:r>
          </w:p>
        </w:tc>
        <w:tc>
          <w:tcPr>
            <w:tcW w:w="0" w:type="dxa"/>
            <w:vAlign w:val="bottom"/>
          </w:tcPr>
          <w:p>
            <w:pPr>
              <w:spacing w:after="0"/>
              <w:rPr>
                <w:sz w:val="1"/>
                <w:szCs w:val="1"/>
                <w:color w:val="auto"/>
              </w:rPr>
            </w:pPr>
          </w:p>
        </w:tc>
      </w:tr>
      <w:tr>
        <w:trPr>
          <w:trHeight w:val="162"/>
        </w:trPr>
        <w:tc>
          <w:tcPr>
            <w:tcW w:w="7680" w:type="dxa"/>
            <w:vAlign w:val="bottom"/>
          </w:tcPr>
          <w:p>
            <w:pPr>
              <w:ind w:left="200"/>
              <w:spacing w:after="0" w:line="162" w:lineRule="exact"/>
              <w:rPr>
                <w:sz w:val="20"/>
                <w:szCs w:val="20"/>
                <w:color w:val="auto"/>
              </w:rPr>
            </w:pPr>
            <w:r>
              <w:rPr>
                <w:rFonts w:ascii="Arial" w:cs="Arial" w:eastAsia="Arial" w:hAnsi="Arial"/>
                <w:sz w:val="18"/>
                <w:szCs w:val="18"/>
                <w:color w:val="auto"/>
              </w:rPr>
              <w:t>Biotechnology, pharmaceutical, distributor and contract research</w:t>
            </w:r>
          </w:p>
        </w:tc>
        <w:tc>
          <w:tcPr>
            <w:tcW w:w="9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68,535</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47,165</w:t>
            </w:r>
          </w:p>
        </w:tc>
        <w:tc>
          <w:tcPr>
            <w:tcW w:w="0" w:type="dxa"/>
            <w:vAlign w:val="bottom"/>
          </w:tcPr>
          <w:p>
            <w:pPr>
              <w:spacing w:after="0"/>
              <w:rPr>
                <w:sz w:val="1"/>
                <w:szCs w:val="1"/>
                <w:color w:val="auto"/>
              </w:rPr>
            </w:pPr>
          </w:p>
        </w:tc>
      </w:tr>
      <w:tr>
        <w:trPr>
          <w:trHeight w:val="203"/>
        </w:trPr>
        <w:tc>
          <w:tcPr>
            <w:tcW w:w="7680" w:type="dxa"/>
            <w:vAlign w:val="bottom"/>
          </w:tcPr>
          <w:p>
            <w:pPr>
              <w:ind w:left="340"/>
              <w:spacing w:after="0" w:line="202" w:lineRule="exact"/>
              <w:rPr>
                <w:sz w:val="20"/>
                <w:szCs w:val="20"/>
                <w:color w:val="auto"/>
              </w:rPr>
            </w:pPr>
            <w:r>
              <w:rPr>
                <w:rFonts w:ascii="Arial" w:cs="Arial" w:eastAsia="Arial" w:hAnsi="Arial"/>
                <w:sz w:val="18"/>
                <w:szCs w:val="18"/>
                <w:color w:val="auto"/>
              </w:rPr>
              <w:t>organizations</w:t>
            </w: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 net</w:t>
            </w:r>
          </w:p>
        </w:tc>
        <w:tc>
          <w:tcPr>
            <w:tcW w:w="960" w:type="dxa"/>
            <w:vAlign w:val="bottom"/>
            <w:tcBorders>
              <w:bottom w:val="single" w:sz="8" w:color="auto"/>
            </w:tcBorders>
            <w:shd w:val="clear" w:color="auto" w:fill="CFF0FC"/>
          </w:tcPr>
          <w:p>
            <w:pPr>
              <w:jc w:val="right"/>
              <w:ind w:right="774"/>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5"/>
              </w:rPr>
              <w:t>127,950</w:t>
            </w: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92,839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-939165</wp:posOffset>
            </wp:positionV>
            <wp:extent cx="12001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1200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1200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Revenue by geographical markets is presented in Note 21, </w:t>
      </w:r>
      <w:r>
        <w:rPr>
          <w:rFonts w:ascii="Arial" w:cs="Arial" w:eastAsia="Arial" w:hAnsi="Arial"/>
          <w:sz w:val="18"/>
          <w:szCs w:val="18"/>
          <w:i w:val="1"/>
          <w:iCs w:val="1"/>
          <w:color w:val="auto"/>
        </w:rPr>
        <w:t>Geographic areas</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8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following table includes estimated revenues expected to be recognized in the future related to performance obligations that are unsatisfied (or partially satisfied) as of December 31, 2021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98"/>
              </w:rPr>
              <w:t>Less than 1 year</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8"/>
              </w:rPr>
              <w:t>Greater than 1 year</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Product revenue</w:t>
            </w: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555</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Service revenue</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6,526</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9,790</w:t>
            </w:r>
          </w:p>
        </w:tc>
      </w:tr>
      <w:tr>
        <w:trPr>
          <w:trHeight w:val="236"/>
        </w:trPr>
        <w:tc>
          <w:tcPr>
            <w:tcW w:w="76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7,081</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9,790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1200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1200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provides information about receivables, deferred revenue from contracts with customers, and customer deposits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376"/>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376"/>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52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2020</w:t>
            </w:r>
          </w:p>
        </w:tc>
      </w:tr>
      <w:tr>
        <w:trPr>
          <w:trHeight w:val="196"/>
        </w:trPr>
        <w:tc>
          <w:tcPr>
            <w:tcW w:w="52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Trade accounts receivable</w:t>
            </w:r>
          </w:p>
        </w:tc>
        <w:tc>
          <w:tcPr>
            <w:tcW w:w="24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29,760</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16,990</w:t>
            </w:r>
          </w:p>
        </w:tc>
      </w:tr>
      <w:tr>
        <w:trPr>
          <w:trHeight w:val="203"/>
        </w:trPr>
        <w:tc>
          <w:tcPr>
            <w:tcW w:w="5260" w:type="dxa"/>
            <w:vAlign w:val="bottom"/>
          </w:tcPr>
          <w:p>
            <w:pPr>
              <w:ind w:left="20"/>
              <w:spacing w:after="0" w:line="202" w:lineRule="exact"/>
              <w:rPr>
                <w:sz w:val="20"/>
                <w:szCs w:val="20"/>
                <w:color w:val="auto"/>
              </w:rPr>
            </w:pPr>
            <w:r>
              <w:rPr>
                <w:rFonts w:ascii="Arial" w:cs="Arial" w:eastAsia="Arial" w:hAnsi="Arial"/>
                <w:sz w:val="18"/>
                <w:szCs w:val="18"/>
                <w:color w:val="auto"/>
              </w:rPr>
              <w:t>Contract liabilities:</w:t>
            </w:r>
          </w:p>
        </w:tc>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2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26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16,871</w:t>
            </w:r>
          </w:p>
        </w:tc>
        <w:tc>
          <w:tcPr>
            <w:tcW w:w="44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7,121</w:t>
            </w:r>
          </w:p>
        </w:tc>
      </w:tr>
      <w:tr>
        <w:trPr>
          <w:trHeight w:val="203"/>
        </w:trPr>
        <w:tc>
          <w:tcPr>
            <w:tcW w:w="5260" w:type="dxa"/>
            <w:vAlign w:val="bottom"/>
          </w:tcPr>
          <w:p>
            <w:pPr>
              <w:ind w:left="200"/>
              <w:spacing w:after="0" w:line="202" w:lineRule="exact"/>
              <w:rPr>
                <w:sz w:val="20"/>
                <w:szCs w:val="20"/>
                <w:color w:val="auto"/>
              </w:rPr>
            </w:pPr>
            <w:r>
              <w:rPr>
                <w:rFonts w:ascii="Arial" w:cs="Arial" w:eastAsia="Arial" w:hAnsi="Arial"/>
                <w:sz w:val="18"/>
                <w:szCs w:val="18"/>
                <w:color w:val="auto"/>
                <w:w w:val="97"/>
              </w:rPr>
              <w:t>Customer deposits, which are included in 'Other current liabilities'</w:t>
            </w:r>
          </w:p>
        </w:tc>
        <w:tc>
          <w:tcPr>
            <w:tcW w:w="24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1,018</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624</w:t>
            </w:r>
          </w:p>
        </w:tc>
      </w:tr>
      <w:tr>
        <w:trPr>
          <w:trHeight w:val="236"/>
        </w:trPr>
        <w:tc>
          <w:tcPr>
            <w:tcW w:w="526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contract liabilities</w:t>
            </w:r>
          </w:p>
        </w:tc>
        <w:tc>
          <w:tcPr>
            <w:tcW w:w="24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17,889</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7,745</w:t>
            </w:r>
          </w:p>
        </w:tc>
      </w:tr>
      <w:tr>
        <w:trPr>
          <w:trHeight w:val="547"/>
        </w:trPr>
        <w:tc>
          <w:tcPr>
            <w:tcW w:w="5260" w:type="dxa"/>
            <w:vAlign w:val="bottom"/>
          </w:tcPr>
          <w:p>
            <w:pPr>
              <w:spacing w:after="0"/>
              <w:rPr>
                <w:sz w:val="24"/>
                <w:szCs w:val="24"/>
                <w:color w:val="auto"/>
              </w:rPr>
            </w:pPr>
          </w:p>
        </w:tc>
        <w:tc>
          <w:tcPr>
            <w:tcW w:w="2420" w:type="dxa"/>
            <w:vAlign w:val="bottom"/>
          </w:tcPr>
          <w:p>
            <w:pPr>
              <w:jc w:val="right"/>
              <w:ind w:right="1870"/>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75"/>
        </w:trPr>
        <w:tc>
          <w:tcPr>
            <w:tcW w:w="5260" w:type="dxa"/>
            <w:vAlign w:val="bottom"/>
            <w:tcBorders>
              <w:bottom w:val="single" w:sz="8" w:color="9A9A9A"/>
            </w:tcBorders>
          </w:tcPr>
          <w:p>
            <w:pPr>
              <w:spacing w:after="0"/>
              <w:rPr>
                <w:sz w:val="6"/>
                <w:szCs w:val="6"/>
                <w:color w:val="auto"/>
              </w:rPr>
            </w:pPr>
          </w:p>
        </w:tc>
        <w:tc>
          <w:tcPr>
            <w:tcW w:w="24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4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4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-445135</wp:posOffset>
            </wp:positionV>
            <wp:extent cx="1200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-427990</wp:posOffset>
            </wp:positionV>
            <wp:extent cx="1200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6" w:name="page87"/>
    <w:bookmarkEnd w:id="86"/>
    <w:p>
      <w:pPr>
        <w:ind w:left="520"/>
        <w:spacing w:after="0"/>
        <w:rPr>
          <w:sz w:val="20"/>
          <w:szCs w:val="20"/>
          <w:color w:val="auto"/>
        </w:rPr>
      </w:pPr>
      <w:r>
        <w:rPr>
          <w:rFonts w:ascii="Arial" w:cs="Arial" w:eastAsia="Arial" w:hAnsi="Arial"/>
          <w:sz w:val="18"/>
          <w:szCs w:val="18"/>
          <w:color w:val="auto"/>
        </w:rPr>
        <w:t>The following provides a rollforward of the contract liabilities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Contract liabilities</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3"/>
        </w:trPr>
        <w:tc>
          <w:tcPr>
            <w:tcW w:w="76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Balance at December 31, 2019</w:t>
            </w:r>
          </w:p>
        </w:tc>
        <w:tc>
          <w:tcPr>
            <w:tcW w:w="2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5,253</w:t>
            </w:r>
          </w:p>
        </w:tc>
      </w:tr>
      <w:tr>
        <w:trPr>
          <w:trHeight w:val="203"/>
        </w:trPr>
        <w:tc>
          <w:tcPr>
            <w:tcW w:w="180" w:type="dxa"/>
            <w:vAlign w:val="bottom"/>
          </w:tcPr>
          <w:p>
            <w:pPr>
              <w:spacing w:after="0"/>
              <w:rPr>
                <w:sz w:val="17"/>
                <w:szCs w:val="17"/>
                <w:color w:val="auto"/>
              </w:rPr>
            </w:pPr>
          </w:p>
        </w:tc>
        <w:tc>
          <w:tcPr>
            <w:tcW w:w="7500" w:type="dxa"/>
            <w:vAlign w:val="bottom"/>
          </w:tcPr>
          <w:p>
            <w:pPr>
              <w:ind w:left="20"/>
              <w:spacing w:after="0" w:line="202" w:lineRule="exact"/>
              <w:rPr>
                <w:sz w:val="20"/>
                <w:szCs w:val="20"/>
                <w:color w:val="auto"/>
              </w:rPr>
            </w:pPr>
            <w:r>
              <w:rPr>
                <w:rFonts w:ascii="Arial" w:cs="Arial" w:eastAsia="Arial" w:hAnsi="Arial"/>
                <w:sz w:val="18"/>
                <w:szCs w:val="18"/>
                <w:color w:val="auto"/>
              </w:rPr>
              <w:t>Revenue recognized</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(10,678 )</w:t>
            </w:r>
          </w:p>
        </w:tc>
      </w:tr>
      <w:tr>
        <w:trPr>
          <w:trHeight w:val="203"/>
        </w:trPr>
        <w:tc>
          <w:tcPr>
            <w:tcW w:w="180" w:type="dxa"/>
            <w:vAlign w:val="bottom"/>
            <w:tcBorders>
              <w:bottom w:val="single" w:sz="8" w:color="CFF0FC"/>
            </w:tcBorders>
            <w:shd w:val="clear" w:color="auto" w:fill="CFF0FC"/>
          </w:tcPr>
          <w:p>
            <w:pPr>
              <w:spacing w:after="0"/>
              <w:rPr>
                <w:sz w:val="17"/>
                <w:szCs w:val="17"/>
                <w:color w:val="auto"/>
              </w:rPr>
            </w:pPr>
          </w:p>
        </w:tc>
        <w:tc>
          <w:tcPr>
            <w:tcW w:w="75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 deferred</w:t>
            </w:r>
          </w:p>
        </w:tc>
        <w:tc>
          <w:tcPr>
            <w:tcW w:w="24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13,170</w:t>
            </w:r>
          </w:p>
        </w:tc>
      </w:tr>
      <w:tr>
        <w:trPr>
          <w:trHeight w:val="196"/>
        </w:trPr>
        <w:tc>
          <w:tcPr>
            <w:tcW w:w="768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Balance at December 31, 2020</w:t>
            </w:r>
          </w:p>
        </w:tc>
        <w:tc>
          <w:tcPr>
            <w:tcW w:w="240" w:type="dxa"/>
            <w:vAlign w:val="bottom"/>
          </w:tcPr>
          <w:p>
            <w:pPr>
              <w:spacing w:after="0"/>
              <w:rPr>
                <w:sz w:val="17"/>
                <w:szCs w:val="17"/>
                <w:color w:val="auto"/>
              </w:rPr>
            </w:pPr>
          </w:p>
        </w:tc>
        <w:tc>
          <w:tcPr>
            <w:tcW w:w="1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7,745</w:t>
            </w:r>
          </w:p>
        </w:tc>
      </w:tr>
      <w:tr>
        <w:trPr>
          <w:trHeight w:val="203"/>
        </w:trPr>
        <w:tc>
          <w:tcPr>
            <w:tcW w:w="180" w:type="dxa"/>
            <w:vAlign w:val="bottom"/>
            <w:shd w:val="clear" w:color="auto" w:fill="CFF0FC"/>
          </w:tcPr>
          <w:p>
            <w:pPr>
              <w:spacing w:after="0"/>
              <w:rPr>
                <w:sz w:val="17"/>
                <w:szCs w:val="17"/>
                <w:color w:val="auto"/>
              </w:rPr>
            </w:pPr>
          </w:p>
        </w:tc>
        <w:tc>
          <w:tcPr>
            <w:tcW w:w="7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 recognized</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(15,008 )</w:t>
            </w:r>
          </w:p>
        </w:tc>
      </w:tr>
      <w:tr>
        <w:trPr>
          <w:trHeight w:val="203"/>
        </w:trPr>
        <w:tc>
          <w:tcPr>
            <w:tcW w:w="180" w:type="dxa"/>
            <w:vAlign w:val="bottom"/>
          </w:tcPr>
          <w:p>
            <w:pPr>
              <w:spacing w:after="0"/>
              <w:rPr>
                <w:sz w:val="17"/>
                <w:szCs w:val="17"/>
                <w:color w:val="auto"/>
              </w:rPr>
            </w:pPr>
          </w:p>
        </w:tc>
        <w:tc>
          <w:tcPr>
            <w:tcW w:w="7500" w:type="dxa"/>
            <w:vAlign w:val="bottom"/>
          </w:tcPr>
          <w:p>
            <w:pPr>
              <w:ind w:left="20"/>
              <w:spacing w:after="0" w:line="202" w:lineRule="exact"/>
              <w:rPr>
                <w:sz w:val="20"/>
                <w:szCs w:val="20"/>
                <w:color w:val="auto"/>
              </w:rPr>
            </w:pPr>
            <w:r>
              <w:rPr>
                <w:rFonts w:ascii="Arial" w:cs="Arial" w:eastAsia="Arial" w:hAnsi="Arial"/>
                <w:sz w:val="18"/>
                <w:szCs w:val="18"/>
                <w:color w:val="auto"/>
              </w:rPr>
              <w:t>Revenue deferred</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25,152</w:t>
            </w:r>
          </w:p>
        </w:tc>
      </w:tr>
      <w:tr>
        <w:trPr>
          <w:trHeight w:val="236"/>
        </w:trPr>
        <w:tc>
          <w:tcPr>
            <w:tcW w:w="7680" w:type="dxa"/>
            <w:vAlign w:val="bottom"/>
            <w:tcBorders>
              <w:bottom w:val="single" w:sz="8" w:color="CFF0FC"/>
            </w:tcBorders>
            <w:gridSpan w:val="2"/>
            <w:shd w:val="clear" w:color="auto" w:fill="CFF0FC"/>
          </w:tcPr>
          <w:p>
            <w:pPr>
              <w:ind w:left="120"/>
              <w:spacing w:after="0" w:line="196" w:lineRule="exact"/>
              <w:rPr>
                <w:sz w:val="20"/>
                <w:szCs w:val="20"/>
                <w:color w:val="auto"/>
              </w:rPr>
            </w:pPr>
            <w:r>
              <w:rPr>
                <w:rFonts w:ascii="Arial" w:cs="Arial" w:eastAsia="Arial" w:hAnsi="Arial"/>
                <w:sz w:val="18"/>
                <w:szCs w:val="18"/>
                <w:color w:val="auto"/>
              </w:rPr>
              <w:t>Balance at December 31, 2021</w:t>
            </w:r>
          </w:p>
        </w:tc>
        <w:tc>
          <w:tcPr>
            <w:tcW w:w="24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17,889</w:t>
            </w:r>
          </w:p>
        </w:tc>
      </w:tr>
      <w:tr>
        <w:trPr>
          <w:trHeight w:val="467"/>
        </w:trPr>
        <w:tc>
          <w:tcPr>
            <w:tcW w:w="180" w:type="dxa"/>
            <w:vAlign w:val="bottom"/>
          </w:tcPr>
          <w:p>
            <w:pPr>
              <w:spacing w:after="0"/>
              <w:rPr>
                <w:sz w:val="20"/>
                <w:szCs w:val="20"/>
                <w:color w:val="auto"/>
              </w:rPr>
            </w:pPr>
            <w:r>
              <w:rPr>
                <w:rFonts w:ascii="Arial" w:cs="Arial" w:eastAsia="Arial" w:hAnsi="Arial"/>
                <w:sz w:val="18"/>
                <w:szCs w:val="18"/>
                <w:b w:val="1"/>
                <w:bCs w:val="1"/>
                <w:color w:val="auto"/>
              </w:rPr>
              <w:t>5.</w:t>
            </w:r>
          </w:p>
        </w:tc>
        <w:tc>
          <w:tcPr>
            <w:tcW w:w="7500" w:type="dxa"/>
            <w:vAlign w:val="bottom"/>
          </w:tcPr>
          <w:p>
            <w:pPr>
              <w:ind w:left="340"/>
              <w:spacing w:after="0"/>
              <w:rPr>
                <w:sz w:val="20"/>
                <w:szCs w:val="20"/>
                <w:color w:val="auto"/>
              </w:rPr>
            </w:pPr>
            <w:r>
              <w:rPr>
                <w:rFonts w:ascii="Arial" w:cs="Arial" w:eastAsia="Arial" w:hAnsi="Arial"/>
                <w:sz w:val="18"/>
                <w:szCs w:val="18"/>
                <w:b w:val="1"/>
                <w:bCs w:val="1"/>
                <w:color w:val="auto"/>
              </w:rPr>
              <w:t>Balance sheet details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78"/>
        </w:trPr>
        <w:tc>
          <w:tcPr>
            <w:tcW w:w="7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Inventories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92"/>
        </w:trPr>
        <w:tc>
          <w:tcPr>
            <w:tcW w:w="180" w:type="dxa"/>
            <w:vAlign w:val="bottom"/>
          </w:tcPr>
          <w:p>
            <w:pPr>
              <w:spacing w:after="0"/>
              <w:rPr>
                <w:sz w:val="24"/>
                <w:szCs w:val="24"/>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The following table shows the components of inventory (in thousands):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28"/>
        </w:trPr>
        <w:tc>
          <w:tcPr>
            <w:tcW w:w="18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right"/>
              <w:ind w:right="373"/>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18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196"/>
        </w:trPr>
        <w:tc>
          <w:tcPr>
            <w:tcW w:w="768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Raw materials</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17,260</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12,882</w:t>
            </w:r>
          </w:p>
        </w:tc>
      </w:tr>
      <w:tr>
        <w:trPr>
          <w:trHeight w:val="203"/>
        </w:trPr>
        <w:tc>
          <w:tcPr>
            <w:tcW w:w="76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Work in progress</w:t>
            </w:r>
          </w:p>
        </w:tc>
        <w:tc>
          <w:tcPr>
            <w:tcW w:w="240" w:type="dxa"/>
            <w:vAlign w:val="bottom"/>
          </w:tcPr>
          <w:p>
            <w:pPr>
              <w:spacing w:after="0"/>
              <w:rPr>
                <w:sz w:val="17"/>
                <w:szCs w:val="17"/>
                <w:color w:val="auto"/>
              </w:rPr>
            </w:pP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2,297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3,135</w:t>
            </w:r>
          </w:p>
        </w:tc>
      </w:tr>
      <w:tr>
        <w:trPr>
          <w:trHeight w:val="203"/>
        </w:trPr>
        <w:tc>
          <w:tcPr>
            <w:tcW w:w="768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12,614</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7,001</w:t>
            </w:r>
          </w:p>
        </w:tc>
      </w:tr>
      <w:tr>
        <w:trPr>
          <w:trHeight w:val="196"/>
        </w:trPr>
        <w:tc>
          <w:tcPr>
            <w:tcW w:w="76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inventories</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32,171</w:t>
            </w:r>
          </w:p>
        </w:tc>
        <w:tc>
          <w:tcPr>
            <w:tcW w:w="4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23,018</w:t>
            </w:r>
          </w:p>
        </w:tc>
      </w:tr>
      <w:tr>
        <w:trPr>
          <w:trHeight w:val="20"/>
        </w:trPr>
        <w:tc>
          <w:tcPr>
            <w:tcW w:w="18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-159385</wp:posOffset>
            </wp:positionV>
            <wp:extent cx="12001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components of prepaid expenses and other current assets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194"/>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2020</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Prepaid expenses:</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Prepaid inventory</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397</w:t>
            </w:r>
          </w:p>
        </w:tc>
        <w:tc>
          <w:tcPr>
            <w:tcW w:w="60" w:type="dxa"/>
            <w:vAlign w:val="bottom"/>
          </w:tcPr>
          <w:p>
            <w:pPr>
              <w:spacing w:after="0"/>
              <w:rPr>
                <w:sz w:val="17"/>
                <w:szCs w:val="17"/>
                <w:color w:val="auto"/>
              </w:rPr>
            </w:pPr>
          </w:p>
        </w:tc>
        <w:tc>
          <w:tcPr>
            <w:tcW w:w="3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rent</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162</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Prepaid insurance</w:t>
            </w: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1,873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2,132</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690</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Tax refund receivable</w:t>
            </w:r>
          </w:p>
        </w:tc>
        <w:tc>
          <w:tcPr>
            <w:tcW w:w="2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(127 )</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1,114</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708</w:t>
            </w:r>
          </w:p>
        </w:tc>
        <w:tc>
          <w:tcPr>
            <w:tcW w:w="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445</w:t>
            </w: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prepaid expenses and other current assets</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5,184</w:t>
            </w:r>
          </w:p>
        </w:tc>
        <w:tc>
          <w:tcPr>
            <w:tcW w:w="6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2,495</w:t>
            </w:r>
          </w:p>
        </w:tc>
      </w:tr>
      <w:tr>
        <w:trPr>
          <w:trHeight w:val="507"/>
        </w:trPr>
        <w:tc>
          <w:tcPr>
            <w:tcW w:w="7680" w:type="dxa"/>
            <w:vAlign w:val="bottom"/>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92"/>
        </w:trPr>
        <w:tc>
          <w:tcPr>
            <w:tcW w:w="7680" w:type="dxa"/>
            <w:vAlign w:val="bottom"/>
          </w:tcPr>
          <w:p>
            <w:pPr>
              <w:ind w:left="520"/>
              <w:spacing w:after="0"/>
              <w:rPr>
                <w:sz w:val="20"/>
                <w:szCs w:val="20"/>
                <w:color w:val="auto"/>
              </w:rPr>
            </w:pPr>
            <w:r>
              <w:rPr>
                <w:rFonts w:ascii="Arial" w:cs="Arial" w:eastAsia="Arial" w:hAnsi="Arial"/>
                <w:sz w:val="18"/>
                <w:szCs w:val="18"/>
                <w:color w:val="auto"/>
              </w:rPr>
              <w:t>The following table shows the components of accrued expenses (in thousands):</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01"/>
        </w:trPr>
        <w:tc>
          <w:tcPr>
            <w:tcW w:w="7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center"/>
              <w:ind w:right="234"/>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2020</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Accrued expenses:</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Accrued compensation and related benefits</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9,117</w:t>
            </w:r>
          </w:p>
        </w:tc>
        <w:tc>
          <w:tcPr>
            <w:tcW w:w="60" w:type="dxa"/>
            <w:vAlign w:val="bottom"/>
          </w:tcPr>
          <w:p>
            <w:pPr>
              <w:spacing w:after="0"/>
              <w:rPr>
                <w:sz w:val="17"/>
                <w:szCs w:val="17"/>
                <w:color w:val="auto"/>
              </w:rPr>
            </w:pPr>
          </w:p>
        </w:tc>
        <w:tc>
          <w:tcPr>
            <w:tcW w:w="3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5,563</w:t>
            </w: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Professional service fees</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1,119</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359</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Purchases</w:t>
            </w: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2,483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2,065</w:t>
            </w: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Product warranty</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1,760</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969</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w:t>
            </w: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accrued expenses</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15,251</w:t>
            </w:r>
          </w:p>
        </w:tc>
        <w:tc>
          <w:tcPr>
            <w:tcW w:w="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-1859280</wp:posOffset>
            </wp:positionV>
            <wp:extent cx="9461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-1842135</wp:posOffset>
            </wp:positionV>
            <wp:extent cx="946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12001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1200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9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 the product warranty analysis refer to Note 19.</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Other current liabilities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components of other current liabilities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375"/>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375"/>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44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r>
      <w:tr>
        <w:trPr>
          <w:trHeight w:val="196"/>
        </w:trPr>
        <w:tc>
          <w:tcPr>
            <w:tcW w:w="4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Other current liabilities:</w:t>
            </w:r>
          </w:p>
        </w:tc>
        <w:tc>
          <w:tcPr>
            <w:tcW w:w="3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03"/>
        </w:trPr>
        <w:tc>
          <w:tcPr>
            <w:tcW w:w="4480" w:type="dxa"/>
            <w:vAlign w:val="bottom"/>
          </w:tcPr>
          <w:p>
            <w:pPr>
              <w:ind w:left="200"/>
              <w:spacing w:after="0" w:line="202" w:lineRule="exact"/>
              <w:rPr>
                <w:sz w:val="20"/>
                <w:szCs w:val="20"/>
                <w:color w:val="auto"/>
              </w:rPr>
            </w:pPr>
            <w:r>
              <w:rPr>
                <w:rFonts w:ascii="Arial" w:cs="Arial" w:eastAsia="Arial" w:hAnsi="Arial"/>
                <w:sz w:val="18"/>
                <w:szCs w:val="18"/>
                <w:color w:val="auto"/>
              </w:rPr>
              <w:t>Customer deposits</w:t>
            </w:r>
          </w:p>
        </w:tc>
        <w:tc>
          <w:tcPr>
            <w:tcW w:w="34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1,018</w:t>
            </w:r>
          </w:p>
        </w:tc>
        <w:tc>
          <w:tcPr>
            <w:tcW w:w="4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624</w:t>
            </w:r>
          </w:p>
        </w:tc>
      </w:tr>
      <w:tr>
        <w:trPr>
          <w:trHeight w:val="203"/>
        </w:trPr>
        <w:tc>
          <w:tcPr>
            <w:tcW w:w="4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Paycheck Protection Program loan (Note 16)</w:t>
            </w:r>
          </w:p>
        </w:tc>
        <w:tc>
          <w:tcPr>
            <w:tcW w:w="3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2,772</w:t>
            </w:r>
          </w:p>
        </w:tc>
      </w:tr>
      <w:tr>
        <w:trPr>
          <w:trHeight w:val="203"/>
        </w:trPr>
        <w:tc>
          <w:tcPr>
            <w:tcW w:w="4480" w:type="dxa"/>
            <w:vAlign w:val="bottom"/>
          </w:tcPr>
          <w:p>
            <w:pPr>
              <w:ind w:left="200"/>
              <w:spacing w:after="0" w:line="202" w:lineRule="exact"/>
              <w:rPr>
                <w:sz w:val="20"/>
                <w:szCs w:val="20"/>
                <w:color w:val="auto"/>
              </w:rPr>
            </w:pPr>
            <w:r>
              <w:rPr>
                <w:rFonts w:ascii="Arial" w:cs="Arial" w:eastAsia="Arial" w:hAnsi="Arial"/>
                <w:sz w:val="18"/>
                <w:szCs w:val="18"/>
                <w:color w:val="auto"/>
              </w:rPr>
              <w:t>Income tax payable</w:t>
            </w:r>
          </w:p>
        </w:tc>
        <w:tc>
          <w:tcPr>
            <w:tcW w:w="3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2,476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468</w:t>
            </w:r>
          </w:p>
        </w:tc>
      </w:tr>
      <w:tr>
        <w:trPr>
          <w:trHeight w:val="203"/>
        </w:trPr>
        <w:tc>
          <w:tcPr>
            <w:tcW w:w="4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Sales and use tax payable</w:t>
            </w:r>
          </w:p>
        </w:tc>
        <w:tc>
          <w:tcPr>
            <w:tcW w:w="3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1,403</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566</w:t>
            </w:r>
          </w:p>
        </w:tc>
      </w:tr>
      <w:tr>
        <w:trPr>
          <w:trHeight w:val="203"/>
        </w:trPr>
        <w:tc>
          <w:tcPr>
            <w:tcW w:w="448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3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1,455</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196</w:t>
            </w:r>
          </w:p>
        </w:tc>
      </w:tr>
      <w:tr>
        <w:trPr>
          <w:trHeight w:val="236"/>
        </w:trPr>
        <w:tc>
          <w:tcPr>
            <w:tcW w:w="44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other current liabilities</w:t>
            </w:r>
          </w:p>
        </w:tc>
        <w:tc>
          <w:tcPr>
            <w:tcW w:w="3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6,352</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4,626</w:t>
            </w:r>
          </w:p>
        </w:tc>
      </w:tr>
      <w:tr>
        <w:trPr>
          <w:trHeight w:val="548"/>
        </w:trPr>
        <w:tc>
          <w:tcPr>
            <w:tcW w:w="4480" w:type="dxa"/>
            <w:vAlign w:val="bottom"/>
          </w:tcPr>
          <w:p>
            <w:pPr>
              <w:spacing w:after="0"/>
              <w:rPr>
                <w:sz w:val="24"/>
                <w:szCs w:val="24"/>
                <w:color w:val="auto"/>
              </w:rPr>
            </w:pPr>
          </w:p>
        </w:tc>
        <w:tc>
          <w:tcPr>
            <w:tcW w:w="3200" w:type="dxa"/>
            <w:vAlign w:val="bottom"/>
          </w:tcPr>
          <w:p>
            <w:pPr>
              <w:jc w:val="right"/>
              <w:ind w:right="1870"/>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02"/>
        </w:trPr>
        <w:tc>
          <w:tcPr>
            <w:tcW w:w="4480" w:type="dxa"/>
            <w:vAlign w:val="bottom"/>
            <w:tcBorders>
              <w:bottom w:val="single" w:sz="8" w:color="9A9A9A"/>
            </w:tcBorders>
          </w:tcPr>
          <w:p>
            <w:pPr>
              <w:spacing w:after="0"/>
              <w:rPr>
                <w:sz w:val="8"/>
                <w:szCs w:val="8"/>
                <w:color w:val="auto"/>
              </w:rPr>
            </w:pPr>
          </w:p>
        </w:tc>
        <w:tc>
          <w:tcPr>
            <w:tcW w:w="3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-462280</wp:posOffset>
            </wp:positionV>
            <wp:extent cx="1200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-445135</wp:posOffset>
            </wp:positionV>
            <wp:extent cx="12001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8" w:name="page89"/>
    <w:bookmarkEnd w:id="88"/>
    <w:p>
      <w:pPr>
        <w:ind w:left="520" w:hanging="512"/>
        <w:spacing w:after="0"/>
        <w:tabs>
          <w:tab w:leader="none" w:pos="5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8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(an exit price) in an orderly transaction between market participants at the reporting date. The categorization of a financial instrument within the valuation hierarchy is based on the lowest level of input that is significant to the fair value measurement. The following table sets forth the fair value of the Company’s financial assets and liabilities by level within the fair value hierarchy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44"/>
              <w:spacing w:after="0"/>
              <w:rPr>
                <w:sz w:val="20"/>
                <w:szCs w:val="20"/>
                <w:color w:val="auto"/>
              </w:rPr>
            </w:pPr>
            <w:r>
              <w:rPr>
                <w:rFonts w:ascii="Arial" w:cs="Arial" w:eastAsia="Arial" w:hAnsi="Arial"/>
                <w:sz w:val="14"/>
                <w:szCs w:val="14"/>
                <w:b w:val="1"/>
                <w:bCs w:val="1"/>
                <w:color w:val="auto"/>
                <w:w w:val="91"/>
              </w:rPr>
              <w:t>Quoted prices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24"/>
              <w:spacing w:after="0"/>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63"/>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24"/>
              <w:spacing w:after="0"/>
              <w:rPr>
                <w:sz w:val="20"/>
                <w:szCs w:val="20"/>
                <w:color w:val="auto"/>
              </w:rPr>
            </w:pPr>
            <w:r>
              <w:rPr>
                <w:rFonts w:ascii="Arial" w:cs="Arial" w:eastAsia="Arial" w:hAnsi="Arial"/>
                <w:sz w:val="14"/>
                <w:szCs w:val="14"/>
                <w:b w:val="1"/>
                <w:bCs w:val="1"/>
                <w:color w:val="auto"/>
                <w:w w:val="94"/>
              </w:rPr>
              <w:t>markets for</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43"/>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Significant</w:t>
            </w:r>
          </w:p>
        </w:tc>
      </w:tr>
      <w:tr>
        <w:trPr>
          <w:trHeight w:val="176"/>
        </w:trPr>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24"/>
              <w:spacing w:after="0"/>
              <w:rPr>
                <w:sz w:val="20"/>
                <w:szCs w:val="20"/>
                <w:color w:val="auto"/>
              </w:rPr>
            </w:pPr>
            <w:r>
              <w:rPr>
                <w:rFonts w:ascii="Arial" w:cs="Arial" w:eastAsia="Arial" w:hAnsi="Arial"/>
                <w:sz w:val="14"/>
                <w:szCs w:val="14"/>
                <w:b w:val="1"/>
                <w:bCs w:val="1"/>
                <w:color w:val="auto"/>
                <w:w w:val="91"/>
              </w:rPr>
              <w:t>identical</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63"/>
              <w:spacing w:after="0"/>
              <w:rPr>
                <w:sz w:val="20"/>
                <w:szCs w:val="20"/>
                <w:color w:val="auto"/>
              </w:rPr>
            </w:pPr>
            <w:r>
              <w:rPr>
                <w:rFonts w:ascii="Arial" w:cs="Arial" w:eastAsia="Arial" w:hAnsi="Arial"/>
                <w:sz w:val="14"/>
                <w:szCs w:val="14"/>
                <w:b w:val="1"/>
                <w:bCs w:val="1"/>
                <w:color w:val="auto"/>
                <w:w w:val="89"/>
              </w:rPr>
              <w:t>observable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122"/>
              <w:spacing w:after="0"/>
              <w:rPr>
                <w:sz w:val="20"/>
                <w:szCs w:val="20"/>
                <w:color w:val="auto"/>
              </w:rPr>
            </w:pPr>
            <w:r>
              <w:rPr>
                <w:rFonts w:ascii="Arial" w:cs="Arial" w:eastAsia="Arial" w:hAnsi="Arial"/>
                <w:sz w:val="14"/>
                <w:szCs w:val="14"/>
                <w:b w:val="1"/>
                <w:bCs w:val="1"/>
                <w:color w:val="auto"/>
                <w:w w:val="90"/>
              </w:rPr>
              <w:t>unobservable</w:t>
            </w:r>
          </w:p>
        </w:tc>
      </w:tr>
      <w:tr>
        <w:trPr>
          <w:trHeight w:val="176"/>
        </w:trPr>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24"/>
              <w:spacing w:after="0"/>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63"/>
              <w:spacing w:after="0"/>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122"/>
              <w:spacing w:after="0"/>
              <w:rPr>
                <w:sz w:val="20"/>
                <w:szCs w:val="20"/>
                <w:color w:val="auto"/>
              </w:rPr>
            </w:pPr>
            <w:r>
              <w:rPr>
                <w:rFonts w:ascii="Arial" w:cs="Arial" w:eastAsia="Arial" w:hAnsi="Arial"/>
                <w:sz w:val="14"/>
                <w:szCs w:val="14"/>
                <w:b w:val="1"/>
                <w:bCs w:val="1"/>
                <w:color w:val="auto"/>
                <w:w w:val="90"/>
              </w:rPr>
              <w:t>inputs</w:t>
            </w:r>
          </w:p>
        </w:tc>
      </w:tr>
      <w:tr>
        <w:trPr>
          <w:trHeight w:val="185"/>
        </w:trPr>
        <w:tc>
          <w:tcPr>
            <w:tcW w:w="55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1"/>
              </w:rPr>
              <w:t>(level 1)</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1"/>
              </w:rPr>
              <w:t>(level 2)</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1"/>
              </w:rPr>
              <w:t>(level 3)</w:t>
            </w:r>
          </w:p>
        </w:tc>
      </w:tr>
      <w:tr>
        <w:trPr>
          <w:trHeight w:val="196"/>
        </w:trPr>
        <w:tc>
          <w:tcPr>
            <w:tcW w:w="5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Assets:</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5560" w:type="dxa"/>
            <w:vAlign w:val="bottom"/>
          </w:tcPr>
          <w:p>
            <w:pPr>
              <w:ind w:left="20"/>
              <w:spacing w:after="0" w:line="202" w:lineRule="exact"/>
              <w:rPr>
                <w:sz w:val="20"/>
                <w:szCs w:val="20"/>
                <w:color w:val="auto"/>
              </w:rPr>
            </w:pPr>
            <w:r>
              <w:rPr>
                <w:rFonts w:ascii="Arial" w:cs="Arial" w:eastAsia="Arial" w:hAnsi="Arial"/>
                <w:sz w:val="18"/>
                <w:szCs w:val="18"/>
                <w:color w:val="auto"/>
              </w:rPr>
              <w:t>Money market funds</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154,580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4"/>
              <w:spacing w:after="0" w:line="202" w:lineRule="exact"/>
              <w:rPr>
                <w:sz w:val="20"/>
                <w:szCs w:val="20"/>
                <w:color w:val="auto"/>
              </w:rPr>
            </w:pPr>
            <w:r>
              <w:rPr>
                <w:rFonts w:ascii="Arial" w:cs="Arial" w:eastAsia="Arial" w:hAnsi="Arial"/>
                <w:sz w:val="18"/>
                <w:szCs w:val="18"/>
                <w:color w:val="auto"/>
              </w:rPr>
              <w:t>154,580</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ind w:left="82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ind w:left="860"/>
              <w:spacing w:after="0" w:line="202" w:lineRule="exact"/>
              <w:rPr>
                <w:sz w:val="20"/>
                <w:szCs w:val="20"/>
                <w:color w:val="auto"/>
              </w:rPr>
            </w:pPr>
            <w:r>
              <w:rPr>
                <w:rFonts w:ascii="Arial" w:cs="Arial" w:eastAsia="Arial" w:hAnsi="Arial"/>
                <w:sz w:val="18"/>
                <w:szCs w:val="18"/>
                <w:color w:val="auto"/>
              </w:rPr>
              <w:t>—</w:t>
            </w:r>
          </w:p>
        </w:tc>
      </w:tr>
      <w:tr>
        <w:trPr>
          <w:trHeight w:val="236"/>
        </w:trPr>
        <w:tc>
          <w:tcPr>
            <w:tcW w:w="55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154,580</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ind w:right="4"/>
              <w:spacing w:after="0" w:line="196" w:lineRule="exact"/>
              <w:rPr>
                <w:sz w:val="20"/>
                <w:szCs w:val="20"/>
                <w:color w:val="auto"/>
              </w:rPr>
            </w:pPr>
            <w:r>
              <w:rPr>
                <w:rFonts w:ascii="Arial" w:cs="Arial" w:eastAsia="Arial" w:hAnsi="Arial"/>
                <w:sz w:val="18"/>
                <w:szCs w:val="18"/>
                <w:color w:val="auto"/>
              </w:rPr>
              <w:t>154,580</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ind w:left="820"/>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ind w:left="860"/>
              <w:spacing w:after="0" w:line="196" w:lineRule="exact"/>
              <w:rPr>
                <w:sz w:val="20"/>
                <w:szCs w:val="20"/>
                <w:color w:val="auto"/>
              </w:rPr>
            </w:pPr>
            <w:r>
              <w:rPr>
                <w:rFonts w:ascii="Arial" w:cs="Arial" w:eastAsia="Arial" w:hAnsi="Arial"/>
                <w:sz w:val="18"/>
                <w:szCs w:val="18"/>
                <w:color w:val="auto"/>
              </w:rPr>
              <w:t>—</w:t>
            </w:r>
          </w:p>
        </w:tc>
      </w:tr>
      <w:tr>
        <w:trPr>
          <w:trHeight w:val="349"/>
        </w:trPr>
        <w:tc>
          <w:tcPr>
            <w:tcW w:w="5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center"/>
              <w:ind w:right="144"/>
              <w:spacing w:after="0"/>
              <w:rPr>
                <w:sz w:val="20"/>
                <w:szCs w:val="20"/>
                <w:color w:val="auto"/>
              </w:rPr>
            </w:pPr>
            <w:r>
              <w:rPr>
                <w:rFonts w:ascii="Arial" w:cs="Arial" w:eastAsia="Arial" w:hAnsi="Arial"/>
                <w:sz w:val="14"/>
                <w:szCs w:val="14"/>
                <w:b w:val="1"/>
                <w:bCs w:val="1"/>
                <w:color w:val="auto"/>
                <w:w w:val="91"/>
              </w:rPr>
              <w:t>Quoted prices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24"/>
              <w:spacing w:after="0"/>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63"/>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24"/>
              <w:spacing w:after="0"/>
              <w:rPr>
                <w:sz w:val="20"/>
                <w:szCs w:val="20"/>
                <w:color w:val="auto"/>
              </w:rPr>
            </w:pPr>
            <w:r>
              <w:rPr>
                <w:rFonts w:ascii="Arial" w:cs="Arial" w:eastAsia="Arial" w:hAnsi="Arial"/>
                <w:sz w:val="14"/>
                <w:szCs w:val="14"/>
                <w:b w:val="1"/>
                <w:bCs w:val="1"/>
                <w:color w:val="auto"/>
                <w:w w:val="94"/>
              </w:rPr>
              <w:t>markets for</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43"/>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Significant</w:t>
            </w:r>
          </w:p>
        </w:tc>
      </w:tr>
      <w:tr>
        <w:trPr>
          <w:trHeight w:val="175"/>
        </w:trPr>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24"/>
              <w:spacing w:after="0"/>
              <w:rPr>
                <w:sz w:val="20"/>
                <w:szCs w:val="20"/>
                <w:color w:val="auto"/>
              </w:rPr>
            </w:pPr>
            <w:r>
              <w:rPr>
                <w:rFonts w:ascii="Arial" w:cs="Arial" w:eastAsia="Arial" w:hAnsi="Arial"/>
                <w:sz w:val="14"/>
                <w:szCs w:val="14"/>
                <w:b w:val="1"/>
                <w:bCs w:val="1"/>
                <w:color w:val="auto"/>
                <w:w w:val="91"/>
              </w:rPr>
              <w:t>identical</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63"/>
              <w:spacing w:after="0"/>
              <w:rPr>
                <w:sz w:val="20"/>
                <w:szCs w:val="20"/>
                <w:color w:val="auto"/>
              </w:rPr>
            </w:pPr>
            <w:r>
              <w:rPr>
                <w:rFonts w:ascii="Arial" w:cs="Arial" w:eastAsia="Arial" w:hAnsi="Arial"/>
                <w:sz w:val="14"/>
                <w:szCs w:val="14"/>
                <w:b w:val="1"/>
                <w:bCs w:val="1"/>
                <w:color w:val="auto"/>
                <w:w w:val="89"/>
              </w:rPr>
              <w:t>observable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122"/>
              <w:spacing w:after="0"/>
              <w:rPr>
                <w:sz w:val="20"/>
                <w:szCs w:val="20"/>
                <w:color w:val="auto"/>
              </w:rPr>
            </w:pPr>
            <w:r>
              <w:rPr>
                <w:rFonts w:ascii="Arial" w:cs="Arial" w:eastAsia="Arial" w:hAnsi="Arial"/>
                <w:sz w:val="14"/>
                <w:szCs w:val="14"/>
                <w:b w:val="1"/>
                <w:bCs w:val="1"/>
                <w:color w:val="auto"/>
                <w:w w:val="90"/>
              </w:rPr>
              <w:t>unobservable</w:t>
            </w:r>
          </w:p>
        </w:tc>
      </w:tr>
      <w:tr>
        <w:trPr>
          <w:trHeight w:val="176"/>
        </w:trPr>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24"/>
              <w:spacing w:after="0"/>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63"/>
              <w:spacing w:after="0"/>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122"/>
              <w:spacing w:after="0"/>
              <w:rPr>
                <w:sz w:val="20"/>
                <w:szCs w:val="20"/>
                <w:color w:val="auto"/>
              </w:rPr>
            </w:pPr>
            <w:r>
              <w:rPr>
                <w:rFonts w:ascii="Arial" w:cs="Arial" w:eastAsia="Arial" w:hAnsi="Arial"/>
                <w:sz w:val="14"/>
                <w:szCs w:val="14"/>
                <w:b w:val="1"/>
                <w:bCs w:val="1"/>
                <w:color w:val="auto"/>
                <w:w w:val="90"/>
              </w:rPr>
              <w:t>inputs</w:t>
            </w:r>
          </w:p>
        </w:tc>
      </w:tr>
      <w:tr>
        <w:trPr>
          <w:trHeight w:val="185"/>
        </w:trPr>
        <w:tc>
          <w:tcPr>
            <w:tcW w:w="55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6"/>
              </w:rPr>
              <w:t>2021</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1"/>
              </w:rPr>
              <w:t>(level 1)</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1"/>
              </w:rPr>
              <w:t>(level 2)</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1"/>
              </w:rPr>
              <w:t>(level 3)</w:t>
            </w:r>
          </w:p>
        </w:tc>
      </w:tr>
      <w:tr>
        <w:trPr>
          <w:trHeight w:val="196"/>
        </w:trPr>
        <w:tc>
          <w:tcPr>
            <w:tcW w:w="5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Assets:</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5560" w:type="dxa"/>
            <w:vAlign w:val="bottom"/>
          </w:tcPr>
          <w:p>
            <w:pPr>
              <w:ind w:left="20"/>
              <w:spacing w:after="0" w:line="202" w:lineRule="exact"/>
              <w:rPr>
                <w:sz w:val="20"/>
                <w:szCs w:val="20"/>
                <w:color w:val="auto"/>
              </w:rPr>
            </w:pPr>
            <w:r>
              <w:rPr>
                <w:rFonts w:ascii="Arial" w:cs="Arial" w:eastAsia="Arial" w:hAnsi="Arial"/>
                <w:sz w:val="18"/>
                <w:szCs w:val="18"/>
                <w:color w:val="auto"/>
              </w:rPr>
              <w:t>Money market funds</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345,679</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4"/>
              <w:spacing w:after="0" w:line="202" w:lineRule="exact"/>
              <w:rPr>
                <w:sz w:val="20"/>
                <w:szCs w:val="20"/>
                <w:color w:val="auto"/>
              </w:rPr>
            </w:pPr>
            <w:r>
              <w:rPr>
                <w:rFonts w:ascii="Arial" w:cs="Arial" w:eastAsia="Arial" w:hAnsi="Arial"/>
                <w:sz w:val="18"/>
                <w:szCs w:val="18"/>
                <w:color w:val="auto"/>
              </w:rPr>
              <w:t>345,679</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ind w:left="82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ind w:left="860"/>
              <w:spacing w:after="0" w:line="202" w:lineRule="exact"/>
              <w:rPr>
                <w:sz w:val="20"/>
                <w:szCs w:val="20"/>
                <w:color w:val="auto"/>
              </w:rPr>
            </w:pPr>
            <w:r>
              <w:rPr>
                <w:rFonts w:ascii="Arial" w:cs="Arial" w:eastAsia="Arial" w:hAnsi="Arial"/>
                <w:sz w:val="18"/>
                <w:szCs w:val="18"/>
                <w:color w:val="auto"/>
              </w:rPr>
              <w:t>—</w:t>
            </w:r>
          </w:p>
        </w:tc>
      </w:tr>
      <w:tr>
        <w:trPr>
          <w:trHeight w:val="236"/>
        </w:trPr>
        <w:tc>
          <w:tcPr>
            <w:tcW w:w="55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345,679</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ind w:right="4"/>
              <w:spacing w:after="0" w:line="196" w:lineRule="exact"/>
              <w:rPr>
                <w:sz w:val="20"/>
                <w:szCs w:val="20"/>
                <w:color w:val="auto"/>
              </w:rPr>
            </w:pPr>
            <w:r>
              <w:rPr>
                <w:rFonts w:ascii="Arial" w:cs="Arial" w:eastAsia="Arial" w:hAnsi="Arial"/>
                <w:sz w:val="18"/>
                <w:szCs w:val="18"/>
                <w:color w:val="auto"/>
              </w:rPr>
              <w:t>345,679</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ind w:left="820"/>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ind w:left="860"/>
              <w:spacing w:after="0" w:line="196"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-1250950</wp:posOffset>
            </wp:positionV>
            <wp:extent cx="9461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-1233805</wp:posOffset>
            </wp:positionV>
            <wp:extent cx="946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-1250950</wp:posOffset>
            </wp:positionV>
            <wp:extent cx="857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-1233805</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-1250950</wp:posOffset>
            </wp:positionV>
            <wp:extent cx="857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-1233805</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-25400</wp:posOffset>
            </wp:positionV>
            <wp:extent cx="946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-8255</wp:posOffset>
            </wp:positionV>
            <wp:extent cx="9461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857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-8255</wp:posOffset>
            </wp:positionV>
            <wp:extent cx="857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76"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Company did not have any transfers of financial assets measured at fair value on a recurring basis to or from Level 1, Level 2 or Level 3 for any of the periods presented.</w:t>
      </w:r>
    </w:p>
    <w:p>
      <w:pPr>
        <w:spacing w:after="0" w:line="140"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75"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shows the components of property and equipment, net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74"/>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ind w:right="354"/>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2020</w:t>
            </w:r>
          </w:p>
        </w:tc>
      </w:tr>
      <w:tr>
        <w:trPr>
          <w:trHeight w:val="196"/>
        </w:trPr>
        <w:tc>
          <w:tcPr>
            <w:tcW w:w="7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Laboratory equipment</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2,410</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1,396</w:t>
            </w: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7"/>
                <w:szCs w:val="17"/>
                <w:color w:val="auto"/>
              </w:rPr>
            </w:pPr>
          </w:p>
        </w:tc>
        <w:tc>
          <w:tcPr>
            <w:tcW w:w="14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3,021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1,108</w:t>
            </w:r>
          </w:p>
        </w:tc>
      </w:tr>
      <w:tr>
        <w:trPr>
          <w:trHeight w:val="203"/>
        </w:trPr>
        <w:tc>
          <w:tcPr>
            <w:tcW w:w="7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344</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Office and computer equipment</w:t>
            </w:r>
          </w:p>
        </w:tc>
        <w:tc>
          <w:tcPr>
            <w:tcW w:w="220" w:type="dxa"/>
            <w:vAlign w:val="bottom"/>
          </w:tcPr>
          <w:p>
            <w:pPr>
              <w:spacing w:after="0"/>
              <w:rPr>
                <w:sz w:val="17"/>
                <w:szCs w:val="17"/>
                <w:color w:val="auto"/>
              </w:rPr>
            </w:pPr>
          </w:p>
        </w:tc>
        <w:tc>
          <w:tcPr>
            <w:tcW w:w="14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673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372</w:t>
            </w:r>
          </w:p>
        </w:tc>
      </w:tr>
      <w:tr>
        <w:trPr>
          <w:trHeight w:val="203"/>
        </w:trPr>
        <w:tc>
          <w:tcPr>
            <w:tcW w:w="73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1,263</w:t>
            </w:r>
          </w:p>
        </w:tc>
        <w:tc>
          <w:tcPr>
            <w:tcW w:w="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198</w:t>
            </w:r>
          </w:p>
        </w:tc>
      </w:tr>
      <w:tr>
        <w:trPr>
          <w:trHeight w:val="196"/>
        </w:trPr>
        <w:tc>
          <w:tcPr>
            <w:tcW w:w="7320" w:type="dxa"/>
            <w:vAlign w:val="bottom"/>
          </w:tcPr>
          <w:p>
            <w:pPr>
              <w:ind w:left="200"/>
              <w:spacing w:after="0" w:line="196" w:lineRule="exact"/>
              <w:rPr>
                <w:sz w:val="20"/>
                <w:szCs w:val="20"/>
                <w:color w:val="auto"/>
              </w:rPr>
            </w:pPr>
            <w:r>
              <w:rPr>
                <w:rFonts w:ascii="Arial" w:cs="Arial" w:eastAsia="Arial" w:hAnsi="Arial"/>
                <w:sz w:val="18"/>
                <w:szCs w:val="18"/>
                <w:color w:val="auto"/>
              </w:rPr>
              <w:t>Total property and equipment</w:t>
            </w:r>
          </w:p>
        </w:tc>
        <w:tc>
          <w:tcPr>
            <w:tcW w:w="220" w:type="dxa"/>
            <w:vAlign w:val="bottom"/>
          </w:tcPr>
          <w:p>
            <w:pPr>
              <w:spacing w:after="0"/>
              <w:rPr>
                <w:sz w:val="17"/>
                <w:szCs w:val="17"/>
                <w:color w:val="auto"/>
              </w:rPr>
            </w:pPr>
          </w:p>
        </w:tc>
        <w:tc>
          <w:tcPr>
            <w:tcW w:w="1440" w:type="dxa"/>
            <w:vAlign w:val="bottom"/>
          </w:tcPr>
          <w:p>
            <w:pPr>
              <w:jc w:val="right"/>
              <w:ind w:right="14"/>
              <w:spacing w:after="0" w:line="196" w:lineRule="exact"/>
              <w:rPr>
                <w:sz w:val="20"/>
                <w:szCs w:val="20"/>
                <w:color w:val="auto"/>
              </w:rPr>
            </w:pPr>
            <w:r>
              <w:rPr>
                <w:rFonts w:ascii="Arial" w:cs="Arial" w:eastAsia="Arial" w:hAnsi="Arial"/>
                <w:sz w:val="18"/>
                <w:szCs w:val="18"/>
                <w:color w:val="auto"/>
              </w:rPr>
              <w:t>7,711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ind w:right="14"/>
              <w:spacing w:after="0" w:line="196" w:lineRule="exact"/>
              <w:rPr>
                <w:sz w:val="20"/>
                <w:szCs w:val="20"/>
                <w:color w:val="auto"/>
              </w:rPr>
            </w:pPr>
            <w:r>
              <w:rPr>
                <w:rFonts w:ascii="Arial" w:cs="Arial" w:eastAsia="Arial" w:hAnsi="Arial"/>
                <w:sz w:val="18"/>
                <w:szCs w:val="18"/>
                <w:color w:val="auto"/>
              </w:rPr>
              <w:t>3,074</w:t>
            </w:r>
          </w:p>
        </w:tc>
      </w:tr>
      <w:tr>
        <w:trPr>
          <w:trHeight w:val="203"/>
        </w:trPr>
        <w:tc>
          <w:tcPr>
            <w:tcW w:w="73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(1,860 )</w:t>
            </w:r>
          </w:p>
        </w:tc>
        <w:tc>
          <w:tcPr>
            <w:tcW w:w="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(934 )</w:t>
            </w:r>
          </w:p>
        </w:tc>
      </w:tr>
      <w:tr>
        <w:trPr>
          <w:trHeight w:val="196"/>
        </w:trPr>
        <w:tc>
          <w:tcPr>
            <w:tcW w:w="7320" w:type="dxa"/>
            <w:vAlign w:val="bottom"/>
          </w:tcPr>
          <w:p>
            <w:pPr>
              <w:ind w:left="200"/>
              <w:spacing w:after="0" w:line="182" w:lineRule="exact"/>
              <w:rPr>
                <w:sz w:val="20"/>
                <w:szCs w:val="20"/>
                <w:color w:val="auto"/>
              </w:rPr>
            </w:pPr>
            <w:r>
              <w:rPr>
                <w:rFonts w:ascii="Arial" w:cs="Arial" w:eastAsia="Arial" w:hAnsi="Arial"/>
                <w:sz w:val="18"/>
                <w:szCs w:val="18"/>
                <w:color w:val="auto"/>
              </w:rPr>
              <w:t>Property and equipment, net</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4"/>
              <w:spacing w:after="0" w:line="182" w:lineRule="exact"/>
              <w:rPr>
                <w:sz w:val="20"/>
                <w:szCs w:val="20"/>
                <w:color w:val="auto"/>
              </w:rPr>
            </w:pPr>
            <w:r>
              <w:rPr>
                <w:rFonts w:ascii="Arial" w:cs="Arial" w:eastAsia="Arial" w:hAnsi="Arial"/>
                <w:sz w:val="18"/>
                <w:szCs w:val="18"/>
                <w:color w:val="auto"/>
              </w:rPr>
              <w:t>5,851</w:t>
            </w:r>
          </w:p>
        </w:tc>
        <w:tc>
          <w:tcPr>
            <w:tcW w:w="400" w:type="dxa"/>
            <w:vAlign w:val="bottom"/>
            <w:gridSpan w:val="2"/>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14"/>
              <w:spacing w:after="0" w:line="182" w:lineRule="exact"/>
              <w:rPr>
                <w:sz w:val="20"/>
                <w:szCs w:val="20"/>
                <w:color w:val="auto"/>
              </w:rPr>
            </w:pPr>
            <w:r>
              <w:rPr>
                <w:rFonts w:ascii="Arial" w:cs="Arial" w:eastAsia="Arial" w:hAnsi="Arial"/>
                <w:sz w:val="18"/>
                <w:szCs w:val="18"/>
                <w:color w:val="auto"/>
              </w:rPr>
              <w:t>2,140</w:t>
            </w:r>
          </w:p>
        </w:tc>
      </w:tr>
      <w:tr>
        <w:trPr>
          <w:trHeight w:val="20"/>
        </w:trPr>
        <w:tc>
          <w:tcPr>
            <w:tcW w:w="7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-424815</wp:posOffset>
            </wp:positionV>
            <wp:extent cx="102870" cy="133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02870" cy="13398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-159385</wp:posOffset>
            </wp:positionV>
            <wp:extent cx="102870" cy="1600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2870" cy="160020"/>
                    </a:xfrm>
                    <a:prstGeom prst="rect">
                      <a:avLst/>
                    </a:prstGeom>
                    <a:noFill/>
                  </pic:spPr>
                </pic:pic>
              </a:graphicData>
            </a:graphic>
          </wp:anchor>
        </w:drawing>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depreciation expense for the year ended December 31, 2021, and 2020 was $908,000 and $532,000, respectively.</w:t>
      </w:r>
    </w:p>
    <w:p>
      <w:pPr>
        <w:spacing w:after="0" w:line="200" w:lineRule="exact"/>
        <w:rPr>
          <w:sz w:val="20"/>
          <w:szCs w:val="20"/>
          <w:color w:val="auto"/>
        </w:rPr>
      </w:pPr>
    </w:p>
    <w:p>
      <w:pPr>
        <w:spacing w:after="0" w:line="237" w:lineRule="exact"/>
        <w:rPr>
          <w:sz w:val="20"/>
          <w:szCs w:val="20"/>
          <w:color w:val="auto"/>
        </w:rPr>
      </w:pPr>
    </w:p>
    <w:p>
      <w:pPr>
        <w:ind w:left="520" w:hanging="512"/>
        <w:spacing w:after="0"/>
        <w:tabs>
          <w:tab w:leader="none" w:pos="5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18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On November 2, 2021, the Company completed the acquisition of the reagents business of Tonbo Biotechnologies Corporation ("Tonbo") for an aggregate cash consideration of $17 million. The acquired assets include a portfolio of life science research reagents related to cell preparation, flow cytometry, molecular immunology/polymerase chain reaction and cell culture covering application areas across immunology, apoptosis and immunoprofiling.</w:t>
      </w:r>
    </w:p>
    <w:p>
      <w:pPr>
        <w:spacing w:after="0" w:line="14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acquisition was accounted for as a business combination in accordance with ASC 805. The tangible and intangible assets acquired were recorded at fair value on the acquisition date. The purchase price allocation is based upon preliminary valuations and estimates and assumptions which are subject to change within the purchase price allocation period, generally one year from the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9" w:name="page90"/>
    <w:bookmarkEnd w:id="89"/>
    <w:p>
      <w:pPr>
        <w:jc w:val="both"/>
        <w:ind w:right="20"/>
        <w:spacing w:after="0" w:line="261" w:lineRule="auto"/>
        <w:rPr>
          <w:sz w:val="20"/>
          <w:szCs w:val="20"/>
          <w:color w:val="auto"/>
        </w:rPr>
      </w:pPr>
      <w:r>
        <w:rPr>
          <w:rFonts w:ascii="Arial" w:cs="Arial" w:eastAsia="Arial" w:hAnsi="Arial"/>
          <w:sz w:val="18"/>
          <w:szCs w:val="18"/>
          <w:color w:val="auto"/>
        </w:rPr>
        <w:t>acquisition date. The following table represents the allocation of the purchase price to the assets acquired by the Company as part of the acquisition included in the Company’s consolidated balance sheets, and is reconciled to the purchase price.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jc w:val="right"/>
              <w:ind w:right="731"/>
              <w:spacing w:after="0"/>
              <w:rPr>
                <w:sz w:val="20"/>
                <w:szCs w:val="20"/>
                <w:color w:val="auto"/>
              </w:rPr>
            </w:pPr>
            <w:r>
              <w:rPr>
                <w:rFonts w:ascii="Arial" w:cs="Arial" w:eastAsia="Arial" w:hAnsi="Arial"/>
                <w:sz w:val="18"/>
                <w:szCs w:val="18"/>
                <w:b w:val="1"/>
                <w:bCs w:val="1"/>
                <w:color w:val="auto"/>
              </w:rPr>
              <w:t>Tonbo</w:t>
            </w:r>
          </w:p>
        </w:tc>
      </w:tr>
      <w:tr>
        <w:trPr>
          <w:trHeight w:val="209"/>
        </w:trPr>
        <w:tc>
          <w:tcPr>
            <w:tcW w:w="9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jc w:val="right"/>
              <w:ind w:right="511"/>
              <w:spacing w:after="0"/>
              <w:rPr>
                <w:sz w:val="20"/>
                <w:szCs w:val="20"/>
                <w:color w:val="auto"/>
              </w:rPr>
            </w:pPr>
            <w:r>
              <w:rPr>
                <w:rFonts w:ascii="Arial" w:cs="Arial" w:eastAsia="Arial" w:hAnsi="Arial"/>
                <w:sz w:val="16"/>
                <w:szCs w:val="16"/>
                <w:color w:val="auto"/>
              </w:rPr>
              <w:t>(in thousands)</w:t>
            </w:r>
          </w:p>
        </w:tc>
      </w:tr>
      <w:tr>
        <w:trPr>
          <w:trHeight w:val="205"/>
        </w:trPr>
        <w:tc>
          <w:tcPr>
            <w:tcW w:w="9180" w:type="dxa"/>
            <w:vAlign w:val="bottom"/>
            <w:shd w:val="clear" w:color="auto" w:fill="CFF0FC"/>
          </w:tcPr>
          <w:p>
            <w:pPr>
              <w:ind w:left="20"/>
              <w:spacing w:after="0" w:line="206" w:lineRule="exact"/>
              <w:rPr>
                <w:sz w:val="20"/>
                <w:szCs w:val="20"/>
                <w:color w:val="auto"/>
              </w:rPr>
            </w:pPr>
            <w:r>
              <w:rPr>
                <w:rFonts w:ascii="Arial" w:cs="Arial" w:eastAsia="Arial" w:hAnsi="Arial"/>
                <w:sz w:val="18"/>
                <w:szCs w:val="18"/>
                <w:color w:val="auto"/>
              </w:rPr>
              <w:t>Current assets</w:t>
            </w:r>
          </w:p>
        </w:tc>
        <w:tc>
          <w:tcPr>
            <w:tcW w:w="320" w:type="dxa"/>
            <w:vAlign w:val="bottom"/>
            <w:shd w:val="clear" w:color="auto" w:fill="CFF0FC"/>
          </w:tcPr>
          <w:p>
            <w:pPr>
              <w:jc w:val="right"/>
              <w:ind w:right="130"/>
              <w:spacing w:after="0" w:line="206" w:lineRule="exact"/>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line="206" w:lineRule="exact"/>
              <w:rPr>
                <w:sz w:val="20"/>
                <w:szCs w:val="20"/>
                <w:color w:val="auto"/>
              </w:rPr>
            </w:pPr>
            <w:r>
              <w:rPr>
                <w:rFonts w:ascii="Arial" w:cs="Arial" w:eastAsia="Arial" w:hAnsi="Arial"/>
                <w:sz w:val="18"/>
                <w:szCs w:val="18"/>
                <w:color w:val="auto"/>
              </w:rPr>
              <w:t>2,549</w:t>
            </w:r>
          </w:p>
        </w:tc>
      </w:tr>
      <w:tr>
        <w:trPr>
          <w:trHeight w:val="203"/>
        </w:trPr>
        <w:tc>
          <w:tcPr>
            <w:tcW w:w="9180" w:type="dxa"/>
            <w:vAlign w:val="bottom"/>
          </w:tcPr>
          <w:p>
            <w:pPr>
              <w:ind w:left="20"/>
              <w:spacing w:after="0" w:line="202" w:lineRule="exact"/>
              <w:rPr>
                <w:sz w:val="20"/>
                <w:szCs w:val="20"/>
                <w:color w:val="auto"/>
              </w:rPr>
            </w:pPr>
            <w:r>
              <w:rPr>
                <w:rFonts w:ascii="Arial" w:cs="Arial" w:eastAsia="Arial" w:hAnsi="Arial"/>
                <w:sz w:val="18"/>
                <w:szCs w:val="18"/>
                <w:color w:val="auto"/>
              </w:rPr>
              <w:t>Fixed Assets</w:t>
            </w:r>
          </w:p>
        </w:tc>
        <w:tc>
          <w:tcPr>
            <w:tcW w:w="32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r>
      <w:tr>
        <w:trPr>
          <w:trHeight w:val="203"/>
        </w:trPr>
        <w:tc>
          <w:tcPr>
            <w:tcW w:w="9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Reagent licenses</w:t>
            </w:r>
          </w:p>
        </w:tc>
        <w:tc>
          <w:tcPr>
            <w:tcW w:w="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1,800</w:t>
            </w:r>
          </w:p>
        </w:tc>
      </w:tr>
      <w:tr>
        <w:trPr>
          <w:trHeight w:val="203"/>
        </w:trPr>
        <w:tc>
          <w:tcPr>
            <w:tcW w:w="9180" w:type="dxa"/>
            <w:vAlign w:val="bottom"/>
          </w:tcPr>
          <w:p>
            <w:pPr>
              <w:ind w:left="20"/>
              <w:spacing w:after="0" w:line="202" w:lineRule="exact"/>
              <w:rPr>
                <w:sz w:val="20"/>
                <w:szCs w:val="20"/>
                <w:color w:val="auto"/>
              </w:rPr>
            </w:pPr>
            <w:r>
              <w:rPr>
                <w:rFonts w:ascii="Arial" w:cs="Arial" w:eastAsia="Arial" w:hAnsi="Arial"/>
                <w:sz w:val="18"/>
                <w:szCs w:val="18"/>
                <w:color w:val="auto"/>
              </w:rPr>
              <w:t>Tradename</w:t>
            </w:r>
          </w:p>
        </w:tc>
        <w:tc>
          <w:tcPr>
            <w:tcW w:w="32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700</w:t>
            </w:r>
          </w:p>
        </w:tc>
      </w:tr>
      <w:tr>
        <w:trPr>
          <w:trHeight w:val="203"/>
        </w:trPr>
        <w:tc>
          <w:tcPr>
            <w:tcW w:w="91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32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2,200</w:t>
            </w:r>
          </w:p>
        </w:tc>
      </w:tr>
      <w:tr>
        <w:trPr>
          <w:trHeight w:val="196"/>
        </w:trPr>
        <w:tc>
          <w:tcPr>
            <w:tcW w:w="9180" w:type="dxa"/>
            <w:vAlign w:val="bottom"/>
          </w:tcPr>
          <w:p>
            <w:pPr>
              <w:ind w:left="20"/>
              <w:spacing w:after="0" w:line="196" w:lineRule="exact"/>
              <w:rPr>
                <w:sz w:val="20"/>
                <w:szCs w:val="20"/>
                <w:color w:val="auto"/>
              </w:rPr>
            </w:pPr>
            <w:r>
              <w:rPr>
                <w:rFonts w:ascii="Arial" w:cs="Arial" w:eastAsia="Arial" w:hAnsi="Arial"/>
                <w:sz w:val="18"/>
                <w:szCs w:val="18"/>
                <w:color w:val="auto"/>
              </w:rPr>
              <w:t>Total identifiable net assets acquired</w:t>
            </w:r>
          </w:p>
        </w:tc>
        <w:tc>
          <w:tcPr>
            <w:tcW w:w="320" w:type="dxa"/>
            <w:vAlign w:val="bottom"/>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7,332</w:t>
            </w:r>
          </w:p>
        </w:tc>
      </w:tr>
      <w:tr>
        <w:trPr>
          <w:trHeight w:val="203"/>
        </w:trPr>
        <w:tc>
          <w:tcPr>
            <w:tcW w:w="91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32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9,668</w:t>
            </w:r>
          </w:p>
        </w:tc>
      </w:tr>
      <w:tr>
        <w:trPr>
          <w:trHeight w:val="196"/>
        </w:trPr>
        <w:tc>
          <w:tcPr>
            <w:tcW w:w="9180" w:type="dxa"/>
            <w:vAlign w:val="bottom"/>
          </w:tcPr>
          <w:p>
            <w:pPr>
              <w:ind w:left="200"/>
              <w:spacing w:after="0" w:line="182" w:lineRule="exact"/>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17,000</w:t>
            </w:r>
          </w:p>
        </w:tc>
      </w:tr>
      <w:tr>
        <w:trPr>
          <w:trHeight w:val="20"/>
        </w:trPr>
        <w:tc>
          <w:tcPr>
            <w:tcW w:w="9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$9.7 million of goodwill arising from the Tonbo acquisition is primarily attributed to significant time-to-market advantages, as the Company gained immediate access to Tonbo’s products, existing relationships and business infrastructure and Tonbo’s knowledgeable and experienced workforce. The goodwill is expected to be deductible for tax purposes.</w:t>
      </w:r>
    </w:p>
    <w:p>
      <w:pPr>
        <w:spacing w:after="0" w:line="141"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color w:val="auto"/>
        </w:rPr>
        <w:t>Intangible assets eligible for recognition separate from goodwill were those that satisfied either the contractual or legal criterion or the separability criterion in the accounting guidance. The identifiable intangible assets acquired and their estimated useful lives for amortization are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40" w:type="dxa"/>
            <w:vAlign w:val="bottom"/>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2"/>
          </w:tcPr>
          <w:p>
            <w:pPr>
              <w:jc w:val="center"/>
              <w:ind w:right="2290"/>
              <w:spacing w:after="0"/>
              <w:rPr>
                <w:sz w:val="20"/>
                <w:szCs w:val="20"/>
                <w:color w:val="auto"/>
              </w:rPr>
            </w:pPr>
            <w:r>
              <w:rPr>
                <w:rFonts w:ascii="Arial" w:cs="Arial" w:eastAsia="Arial" w:hAnsi="Arial"/>
                <w:sz w:val="18"/>
                <w:szCs w:val="18"/>
                <w:b w:val="1"/>
                <w:bCs w:val="1"/>
                <w:color w:val="auto"/>
                <w:w w:val="87"/>
              </w:rPr>
              <w:t>Tonbo</w:t>
            </w:r>
          </w:p>
        </w:tc>
        <w:tc>
          <w:tcPr>
            <w:tcW w:w="540" w:type="dxa"/>
            <w:vAlign w:val="bottom"/>
            <w:tcBorders>
              <w:bottom w:val="single" w:sz="8" w:color="auto"/>
            </w:tcBorders>
          </w:tcPr>
          <w:p>
            <w:pPr>
              <w:spacing w:after="0"/>
              <w:rPr>
                <w:sz w:val="19"/>
                <w:szCs w:val="19"/>
                <w:color w:val="auto"/>
              </w:rPr>
            </w:pPr>
          </w:p>
        </w:tc>
      </w:tr>
      <w:tr>
        <w:trPr>
          <w:trHeight w:val="196"/>
        </w:trPr>
        <w:tc>
          <w:tcPr>
            <w:tcW w:w="4640" w:type="dxa"/>
            <w:vAlign w:val="bottom"/>
          </w:tcPr>
          <w:p>
            <w:pPr>
              <w:spacing w:after="0"/>
              <w:rPr>
                <w:sz w:val="17"/>
                <w:szCs w:val="17"/>
                <w:color w:val="auto"/>
              </w:rPr>
            </w:pPr>
          </w:p>
        </w:tc>
        <w:tc>
          <w:tcPr>
            <w:tcW w:w="20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Fair Value</w:t>
            </w:r>
          </w:p>
        </w:tc>
        <w:tc>
          <w:tcPr>
            <w:tcW w:w="8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800" w:type="dxa"/>
            <w:vAlign w:val="bottom"/>
            <w:tcBorders>
              <w:bottom w:val="single" w:sz="8" w:color="auto"/>
            </w:tcBorders>
          </w:tcPr>
          <w:p>
            <w:pPr>
              <w:ind w:left="1000"/>
              <w:spacing w:after="0" w:line="196" w:lineRule="exact"/>
              <w:rPr>
                <w:sz w:val="20"/>
                <w:szCs w:val="20"/>
                <w:color w:val="auto"/>
              </w:rPr>
            </w:pPr>
            <w:r>
              <w:rPr>
                <w:rFonts w:ascii="Arial" w:cs="Arial" w:eastAsia="Arial" w:hAnsi="Arial"/>
                <w:sz w:val="18"/>
                <w:szCs w:val="18"/>
                <w:b w:val="1"/>
                <w:bCs w:val="1"/>
                <w:color w:val="auto"/>
              </w:rPr>
              <w:t>Useful life (years)</w:t>
            </w:r>
          </w:p>
        </w:tc>
        <w:tc>
          <w:tcPr>
            <w:tcW w:w="540" w:type="dxa"/>
            <w:vAlign w:val="bottom"/>
            <w:tcBorders>
              <w:bottom w:val="single" w:sz="8" w:color="auto"/>
            </w:tcBorders>
          </w:tcPr>
          <w:p>
            <w:pPr>
              <w:spacing w:after="0"/>
              <w:rPr>
                <w:sz w:val="17"/>
                <w:szCs w:val="17"/>
                <w:color w:val="auto"/>
              </w:rPr>
            </w:pPr>
          </w:p>
        </w:tc>
      </w:tr>
      <w:tr>
        <w:trPr>
          <w:trHeight w:val="183"/>
        </w:trPr>
        <w:tc>
          <w:tcPr>
            <w:tcW w:w="46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00" w:type="dxa"/>
            <w:vAlign w:val="bottom"/>
            <w:gridSpan w:val="3"/>
          </w:tcPr>
          <w:p>
            <w:pPr>
              <w:jc w:val="center"/>
              <w:ind w:right="1430"/>
              <w:spacing w:after="0" w:line="183" w:lineRule="exact"/>
              <w:rPr>
                <w:sz w:val="20"/>
                <w:szCs w:val="20"/>
                <w:color w:val="auto"/>
              </w:rPr>
            </w:pPr>
            <w:r>
              <w:rPr>
                <w:rFonts w:ascii="Arial" w:cs="Arial" w:eastAsia="Arial" w:hAnsi="Arial"/>
                <w:sz w:val="16"/>
                <w:szCs w:val="16"/>
                <w:color w:val="auto"/>
                <w:w w:val="90"/>
              </w:rPr>
              <w:t>(In thousands, except for years)</w:t>
            </w:r>
          </w:p>
        </w:tc>
        <w:tc>
          <w:tcPr>
            <w:tcW w:w="540" w:type="dxa"/>
            <w:vAlign w:val="bottom"/>
          </w:tcPr>
          <w:p>
            <w:pPr>
              <w:spacing w:after="0"/>
              <w:rPr>
                <w:sz w:val="15"/>
                <w:szCs w:val="15"/>
                <w:color w:val="auto"/>
              </w:rPr>
            </w:pPr>
          </w:p>
        </w:tc>
      </w:tr>
      <w:tr>
        <w:trPr>
          <w:trHeight w:val="203"/>
        </w:trPr>
        <w:tc>
          <w:tcPr>
            <w:tcW w:w="4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2060" w:type="dxa"/>
            <w:vAlign w:val="bottom"/>
            <w:shd w:val="clear" w:color="auto" w:fill="CFF0FC"/>
          </w:tcPr>
          <w:p>
            <w:pPr>
              <w:jc w:val="right"/>
              <w:ind w:right="187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2,200</w:t>
            </w:r>
          </w:p>
        </w:tc>
        <w:tc>
          <w:tcPr>
            <w:tcW w:w="340" w:type="dxa"/>
            <w:vAlign w:val="bottom"/>
            <w:shd w:val="clear" w:color="auto" w:fill="CFF0FC"/>
          </w:tcPr>
          <w:p>
            <w:pPr>
              <w:spacing w:after="0"/>
              <w:rPr>
                <w:sz w:val="17"/>
                <w:szCs w:val="17"/>
                <w:color w:val="auto"/>
              </w:rPr>
            </w:pPr>
          </w:p>
        </w:tc>
        <w:tc>
          <w:tcPr>
            <w:tcW w:w="28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r>
      <w:tr>
        <w:trPr>
          <w:trHeight w:val="203"/>
        </w:trPr>
        <w:tc>
          <w:tcPr>
            <w:tcW w:w="4640" w:type="dxa"/>
            <w:vAlign w:val="bottom"/>
          </w:tcPr>
          <w:p>
            <w:pPr>
              <w:ind w:left="20"/>
              <w:spacing w:after="0" w:line="202" w:lineRule="exact"/>
              <w:rPr>
                <w:sz w:val="20"/>
                <w:szCs w:val="20"/>
                <w:color w:val="auto"/>
              </w:rPr>
            </w:pPr>
            <w:r>
              <w:rPr>
                <w:rFonts w:ascii="Arial" w:cs="Arial" w:eastAsia="Arial" w:hAnsi="Arial"/>
                <w:sz w:val="18"/>
                <w:szCs w:val="18"/>
                <w:color w:val="auto"/>
              </w:rPr>
              <w:t>Reagent licenses</w:t>
            </w:r>
          </w:p>
        </w:tc>
        <w:tc>
          <w:tcPr>
            <w:tcW w:w="20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1,800</w:t>
            </w:r>
          </w:p>
        </w:tc>
        <w:tc>
          <w:tcPr>
            <w:tcW w:w="3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r>
      <w:tr>
        <w:trPr>
          <w:trHeight w:val="202"/>
        </w:trPr>
        <w:tc>
          <w:tcPr>
            <w:tcW w:w="4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Tradename</w:t>
            </w:r>
          </w:p>
        </w:tc>
        <w:tc>
          <w:tcPr>
            <w:tcW w:w="20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700</w:t>
            </w:r>
          </w:p>
        </w:tc>
        <w:tc>
          <w:tcPr>
            <w:tcW w:w="340" w:type="dxa"/>
            <w:vAlign w:val="bottom"/>
            <w:tcBorders>
              <w:bottom w:val="single" w:sz="8" w:color="CFF0FC"/>
            </w:tcBorders>
            <w:shd w:val="clear" w:color="auto" w:fill="CFF0FC"/>
          </w:tcPr>
          <w:p>
            <w:pPr>
              <w:spacing w:after="0"/>
              <w:rPr>
                <w:sz w:val="17"/>
                <w:szCs w:val="17"/>
                <w:color w:val="auto"/>
              </w:rPr>
            </w:pPr>
          </w:p>
        </w:tc>
        <w:tc>
          <w:tcPr>
            <w:tcW w:w="280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r>
      <w:tr>
        <w:trPr>
          <w:trHeight w:val="196"/>
        </w:trPr>
        <w:tc>
          <w:tcPr>
            <w:tcW w:w="4640" w:type="dxa"/>
            <w:vAlign w:val="bottom"/>
          </w:tcPr>
          <w:p>
            <w:pPr>
              <w:ind w:left="200"/>
              <w:spacing w:after="0" w:line="182" w:lineRule="exact"/>
              <w:rPr>
                <w:sz w:val="20"/>
                <w:szCs w:val="20"/>
                <w:color w:val="auto"/>
              </w:rPr>
            </w:pPr>
            <w:r>
              <w:rPr>
                <w:rFonts w:ascii="Arial" w:cs="Arial" w:eastAsia="Arial" w:hAnsi="Arial"/>
                <w:sz w:val="18"/>
                <w:szCs w:val="18"/>
                <w:color w:val="auto"/>
              </w:rPr>
              <w:t>Total</w:t>
            </w:r>
          </w:p>
        </w:tc>
        <w:tc>
          <w:tcPr>
            <w:tcW w:w="2060" w:type="dxa"/>
            <w:vAlign w:val="bottom"/>
            <w:tcBorders>
              <w:bottom w:val="single" w:sz="8" w:color="auto"/>
            </w:tcBorders>
          </w:tcPr>
          <w:p>
            <w:pPr>
              <w:jc w:val="right"/>
              <w:ind w:right="187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4,700</w:t>
            </w:r>
          </w:p>
        </w:tc>
        <w:tc>
          <w:tcPr>
            <w:tcW w:w="3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46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-159385</wp:posOffset>
            </wp:positionV>
            <wp:extent cx="22288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22885" cy="5715"/>
                    </a:xfrm>
                    <a:prstGeom prst="rect">
                      <a:avLst/>
                    </a:prstGeom>
                    <a:noFill/>
                  </pic:spPr>
                </pic:pic>
              </a:graphicData>
            </a:graphic>
          </wp:anchor>
        </w:drawing>
      </w:r>
    </w:p>
    <w:p>
      <w:pPr>
        <w:spacing w:after="0" w:line="27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customer relationships intangible asset represents the fair value of the underlying relationships with Tonbo’s customers. The tradename intangible asset represents the fair value of brand and name recognition associated with the marketing of Tonbo's reagents. The reagent license intangible asset represents the fair value of access to certain antibodies to manufacture reagents.</w:t>
      </w:r>
    </w:p>
    <w:p>
      <w:pPr>
        <w:spacing w:after="0" w:line="14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fair value of the customer relationships intangible asset was determined based on the excess earnings method; the fair values of the tradename intangible assets were determined based on the relief-from-royalty method; and the fair value of the reagent license intangible asset was determined based on the cost approach method. The key assumptions used in estimating the fair values of intangible assets included forecasted financial information; customer retention rates; royalty rate of 2.0% for the tradename intangible assets; discount rate of 13.0% for all intangible assets; and certain other assumptions.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acquired intangibles are being amortized over their estimated useful lives using the straight-line method of amortization.</w:t>
      </w:r>
    </w:p>
    <w:p>
      <w:pPr>
        <w:spacing w:after="0" w:line="17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fair value assigned to the assets acquired are based on reasonable assumptions and estimates that market participants would use. Actual results may differ from these estimates and assumptions.</w:t>
      </w:r>
    </w:p>
    <w:p>
      <w:pPr>
        <w:spacing w:after="0" w:line="14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results of operations for the acquisition are included in the consolidated financial statements of the Company from the date of the acquisition and net revenues and operating loss are not material. The Company has not included pro forma financial information related to the acquisition as the overall impact to the financial statements was not material. Transaction costs incurred by the Company related to the acquisition totaled approximately $230,000 for the year ended December 31, 2021, which were expensed and recorded as a component of general and administrative expenses in the consolidated statement of operations.</w:t>
      </w:r>
    </w:p>
    <w:p>
      <w:pPr>
        <w:spacing w:after="0" w:line="145"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net</w:t>
      </w:r>
    </w:p>
    <w:p>
      <w:pPr>
        <w:spacing w:after="0" w:line="189"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color w:val="auto"/>
        </w:rPr>
        <w:t>The addition of goodwill for the year ended December 31, 2021 is discussed in Note 8. There were no changes in goodwill for the year ended December 31, 2020.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0" w:name="page91"/>
    <w:bookmarkEnd w:id="90"/>
    <w:p>
      <w:pPr>
        <w:ind w:left="520"/>
        <w:spacing w:after="0"/>
        <w:rPr>
          <w:sz w:val="20"/>
          <w:szCs w:val="20"/>
          <w:color w:val="auto"/>
        </w:rPr>
      </w:pPr>
      <w:r>
        <w:rPr>
          <w:rFonts w:ascii="Arial" w:cs="Arial" w:eastAsia="Arial" w:hAnsi="Arial"/>
          <w:sz w:val="18"/>
          <w:szCs w:val="18"/>
          <w:color w:val="auto"/>
        </w:rPr>
        <w:t>The following table shows the components of intangible assets, net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ind w:right="374"/>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374"/>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Patents and trademarks</w:t>
            </w: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387</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288</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Tradename</w:t>
            </w:r>
          </w:p>
        </w:tc>
        <w:tc>
          <w:tcPr>
            <w:tcW w:w="260" w:type="dxa"/>
            <w:vAlign w:val="bottom"/>
          </w:tcPr>
          <w:p>
            <w:pPr>
              <w:spacing w:after="0"/>
              <w:rPr>
                <w:sz w:val="17"/>
                <w:szCs w:val="17"/>
                <w:color w:val="auto"/>
              </w:rPr>
            </w:pPr>
          </w:p>
        </w:tc>
        <w:tc>
          <w:tcPr>
            <w:tcW w:w="14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700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IP license</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476</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476</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17"/>
                <w:szCs w:val="17"/>
                <w:color w:val="auto"/>
              </w:rPr>
            </w:pPr>
          </w:p>
        </w:tc>
        <w:tc>
          <w:tcPr>
            <w:tcW w:w="14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2,200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Reagent license</w:t>
            </w:r>
          </w:p>
        </w:tc>
        <w:tc>
          <w:tcPr>
            <w:tcW w:w="2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1,800</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196"/>
        </w:trPr>
        <w:tc>
          <w:tcPr>
            <w:tcW w:w="7680" w:type="dxa"/>
            <w:vAlign w:val="bottom"/>
          </w:tcPr>
          <w:p>
            <w:pPr>
              <w:ind w:left="200"/>
              <w:spacing w:after="0" w:line="196" w:lineRule="exact"/>
              <w:rPr>
                <w:sz w:val="20"/>
                <w:szCs w:val="20"/>
                <w:color w:val="auto"/>
              </w:rPr>
            </w:pPr>
            <w:r>
              <w:rPr>
                <w:rFonts w:ascii="Arial" w:cs="Arial" w:eastAsia="Arial" w:hAnsi="Arial"/>
                <w:sz w:val="18"/>
                <w:szCs w:val="18"/>
                <w:color w:val="auto"/>
              </w:rPr>
              <w:t>Total intangible assets</w:t>
            </w:r>
          </w:p>
        </w:tc>
        <w:tc>
          <w:tcPr>
            <w:tcW w:w="260" w:type="dxa"/>
            <w:vAlign w:val="bottom"/>
          </w:tcPr>
          <w:p>
            <w:pPr>
              <w:spacing w:after="0"/>
              <w:rPr>
                <w:sz w:val="17"/>
                <w:szCs w:val="17"/>
                <w:color w:val="auto"/>
              </w:rPr>
            </w:pPr>
          </w:p>
        </w:tc>
        <w:tc>
          <w:tcPr>
            <w:tcW w:w="1440" w:type="dxa"/>
            <w:vAlign w:val="bottom"/>
          </w:tcPr>
          <w:p>
            <w:pPr>
              <w:jc w:val="right"/>
              <w:ind w:right="14"/>
              <w:spacing w:after="0" w:line="196" w:lineRule="exact"/>
              <w:rPr>
                <w:sz w:val="20"/>
                <w:szCs w:val="20"/>
                <w:color w:val="auto"/>
              </w:rPr>
            </w:pPr>
            <w:r>
              <w:rPr>
                <w:rFonts w:ascii="Arial" w:cs="Arial" w:eastAsia="Arial" w:hAnsi="Arial"/>
                <w:sz w:val="18"/>
                <w:szCs w:val="18"/>
                <w:color w:val="auto"/>
              </w:rPr>
              <w:t>5,563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14"/>
              <w:spacing w:after="0" w:line="196" w:lineRule="exact"/>
              <w:rPr>
                <w:sz w:val="20"/>
                <w:szCs w:val="20"/>
                <w:color w:val="auto"/>
              </w:rPr>
            </w:pPr>
            <w:r>
              <w:rPr>
                <w:rFonts w:ascii="Arial" w:cs="Arial" w:eastAsia="Arial" w:hAnsi="Arial"/>
                <w:sz w:val="18"/>
                <w:szCs w:val="18"/>
                <w:color w:val="auto"/>
              </w:rPr>
              <w:t>764</w:t>
            </w: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Less: accumulated amortization</w:t>
            </w:r>
          </w:p>
        </w:tc>
        <w:tc>
          <w:tcPr>
            <w:tcW w:w="2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(824 )</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(490 )</w:t>
            </w:r>
          </w:p>
        </w:tc>
      </w:tr>
      <w:tr>
        <w:trPr>
          <w:trHeight w:val="196"/>
        </w:trPr>
        <w:tc>
          <w:tcPr>
            <w:tcW w:w="7680" w:type="dxa"/>
            <w:vAlign w:val="bottom"/>
          </w:tcPr>
          <w:p>
            <w:pPr>
              <w:ind w:left="200"/>
              <w:spacing w:after="0" w:line="182" w:lineRule="exact"/>
              <w:rPr>
                <w:sz w:val="20"/>
                <w:szCs w:val="20"/>
                <w:color w:val="auto"/>
              </w:rPr>
            </w:pPr>
            <w:r>
              <w:rPr>
                <w:rFonts w:ascii="Arial" w:cs="Arial" w:eastAsia="Arial" w:hAnsi="Arial"/>
                <w:sz w:val="18"/>
                <w:szCs w:val="18"/>
                <w:color w:val="auto"/>
              </w:rPr>
              <w:t>Intangible assets, net</w:t>
            </w:r>
          </w:p>
        </w:tc>
        <w:tc>
          <w:tcPr>
            <w:tcW w:w="260" w:type="dxa"/>
            <w:vAlign w:val="bottom"/>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line="182" w:lineRule="exact"/>
              <w:rPr>
                <w:sz w:val="20"/>
                <w:szCs w:val="20"/>
                <w:color w:val="auto"/>
              </w:rPr>
            </w:pPr>
            <w:r>
              <w:rPr>
                <w:rFonts w:ascii="Arial" w:cs="Arial" w:eastAsia="Arial" w:hAnsi="Arial"/>
                <w:sz w:val="18"/>
                <w:szCs w:val="18"/>
                <w:color w:val="auto"/>
              </w:rPr>
              <w:t>4,739</w:t>
            </w:r>
          </w:p>
        </w:tc>
        <w:tc>
          <w:tcPr>
            <w:tcW w:w="42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line="182" w:lineRule="exact"/>
              <w:rPr>
                <w:sz w:val="20"/>
                <w:szCs w:val="20"/>
                <w:color w:val="auto"/>
              </w:rPr>
            </w:pPr>
            <w:r>
              <w:rPr>
                <w:rFonts w:ascii="Arial" w:cs="Arial" w:eastAsia="Arial" w:hAnsi="Arial"/>
                <w:sz w:val="18"/>
                <w:szCs w:val="18"/>
                <w:color w:val="auto"/>
              </w:rPr>
              <w:t>274</w:t>
            </w:r>
          </w:p>
        </w:tc>
      </w:tr>
      <w:tr>
        <w:trPr>
          <w:trHeight w:val="20"/>
        </w:trPr>
        <w:tc>
          <w:tcPr>
            <w:tcW w:w="7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-424815</wp:posOffset>
            </wp:positionV>
            <wp:extent cx="11112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-159385</wp:posOffset>
            </wp:positionV>
            <wp:extent cx="11112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1125" cy="5715"/>
                    </a:xfrm>
                    <a:prstGeom prst="rect">
                      <a:avLst/>
                    </a:prstGeom>
                    <a:noFill/>
                  </pic:spPr>
                </pic:pic>
              </a:graphicData>
            </a:graphic>
          </wp:anchor>
        </w:drawing>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amortization expense for the year ended December 31, 2021 and 2020 were approximately $334,000, and $71,000.</w:t>
      </w:r>
    </w:p>
    <w:p>
      <w:pPr>
        <w:spacing w:after="0" w:line="167" w:lineRule="exact"/>
        <w:rPr>
          <w:sz w:val="20"/>
          <w:szCs w:val="20"/>
          <w:color w:val="auto"/>
        </w:rPr>
      </w:pPr>
    </w:p>
    <w:p>
      <w:pPr>
        <w:ind w:left="520" w:hanging="512"/>
        <w:spacing w:after="0"/>
        <w:tabs>
          <w:tab w:leader="none" w:pos="5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Legal settlement liability</w:t>
      </w:r>
    </w:p>
    <w:p>
      <w:pPr>
        <w:spacing w:after="0" w:line="175"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On February 13, 2018, Becton, Dickinson, and Company (“BD”) filed a lawsuit against the Company alleging trade secret misappropriation and copyright infringement. On October 6, 2020, the Company entered into a Settlement, License and Equity Issuance Agreement with BD pursuant to which the Company and BD agreed to a mutual release of all claims against each other as of the date thereof (the “BD Agreement”). Additionally, BD granted Cytek a non-exclusive, irrevocable, perpetual, worldwide and non-transferrable license to certain BD patents and covenanted that it would not enforce or permit or encourage the enforcement of BD patents against Cytek or its affiliates in connection with the development, manufacture, use, importation, offer for sale or sale of its then-current instruments. In exchange, the Company agreed that Cytek and its affiliates would not dispute or challenge in a legal proceeding the validity, enforceability or scope of the applicable BD patent claims and agreed to make certain payments to BD, including (i) a one-time upfront payment of $2.0 million, (ii) a low single digit royalty payment for ten years, based on net sales of certain of its products, (iii) $6.0 million milestone payment upon the occurrence of a certain sales threshold, and (iv) a specified payment upon the closing of a change of control transaction, if any. The Company also issued 2,087,545 shares of the Company’s common stock to BD during the year ended December 31, 2020 in connection with the BD settlement. As of December 31, 2021, the specified sales milestone has been achieved.</w:t>
      </w:r>
    </w:p>
    <w:p>
      <w:pPr>
        <w:spacing w:after="0" w:line="15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The Company separated the settlement agreement into two elements, the litigation settlement and future licensing rights. The Company could not readily determine the fair value of the litigation settlement of prior infringement claims between the Company and BD. Therefore, the Company applied the residual method and allocated the difference between the total present value consideration payable under the BD Agreement and the estimated fair value of the future licensing rights to the litigation settlement element. The Company determined the estimated fair value of the future licensing rights based on the relief from royalty method. The significant assumptions used were the market royalty rate estimated as a royalty rate that a market participant would pay to license the BD intellectual property, forecasted sales subject to the market royalty rate and the discount rate.</w:t>
      </w:r>
    </w:p>
    <w:p>
      <w:pPr>
        <w:spacing w:after="0" w:line="13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The Company recorded $3.3 million and $2.5 million product cost of sales related to royalty expense for the year ended December 31, 2021 and 2020, respectively. The Company recorded $1.7 million, and $323,000 of interest expense for the year ended December 31, 2021 and 2020, respectively, to accrete the present value discount of the payment streams over the payment period of ten years from the settlement date using the effective interest rate method. The Company made a one-time upfront payment and issued 2,087,545 shares of the Company’s common stock to BD during the year ended December 31, 2020. The Company recorded legal settlement liability on the consolidated balance sheets of $15.2 million and $17.2 million as of December 31, 2021 and December 31, 2020, respectively, and will record licensing expense in future periods.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components of the legal settlement liability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377"/>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right"/>
              <w:ind w:right="357"/>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r>
      <w:tr>
        <w:trPr>
          <w:trHeight w:val="185"/>
        </w:trPr>
        <w:tc>
          <w:tcPr>
            <w:tcW w:w="38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6"/>
                <w:szCs w:val="16"/>
                <w:color w:val="auto"/>
              </w:rPr>
            </w:pPr>
          </w:p>
        </w:tc>
      </w:tr>
      <w:tr>
        <w:trPr>
          <w:trHeight w:val="196"/>
        </w:trPr>
        <w:tc>
          <w:tcPr>
            <w:tcW w:w="3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Current:</w:t>
            </w:r>
          </w:p>
        </w:tc>
        <w:tc>
          <w:tcPr>
            <w:tcW w:w="3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860" w:type="dxa"/>
            <w:vAlign w:val="bottom"/>
          </w:tcPr>
          <w:p>
            <w:pPr>
              <w:ind w:left="200"/>
              <w:spacing w:after="0" w:line="202" w:lineRule="exact"/>
              <w:rPr>
                <w:sz w:val="20"/>
                <w:szCs w:val="20"/>
                <w:color w:val="auto"/>
              </w:rPr>
            </w:pPr>
            <w:r>
              <w:rPr>
                <w:rFonts w:ascii="Arial" w:cs="Arial" w:eastAsia="Arial" w:hAnsi="Arial"/>
                <w:sz w:val="18"/>
                <w:szCs w:val="18"/>
                <w:color w:val="auto"/>
              </w:rPr>
              <w:t>Legal settlement liability</w:t>
            </w:r>
          </w:p>
        </w:tc>
        <w:tc>
          <w:tcPr>
            <w:tcW w:w="36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1,463</w:t>
            </w:r>
          </w:p>
        </w:tc>
        <w:tc>
          <w:tcPr>
            <w:tcW w:w="4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6,253</w:t>
            </w:r>
          </w:p>
        </w:tc>
        <w:tc>
          <w:tcPr>
            <w:tcW w:w="460" w:type="dxa"/>
            <w:vAlign w:val="bottom"/>
          </w:tcPr>
          <w:p>
            <w:pPr>
              <w:spacing w:after="0"/>
              <w:rPr>
                <w:sz w:val="17"/>
                <w:szCs w:val="17"/>
                <w:color w:val="auto"/>
              </w:rPr>
            </w:pPr>
          </w:p>
        </w:tc>
      </w:tr>
      <w:tr>
        <w:trPr>
          <w:trHeight w:val="203"/>
        </w:trPr>
        <w:tc>
          <w:tcPr>
            <w:tcW w:w="3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Noncurrent:</w:t>
            </w:r>
          </w:p>
        </w:tc>
        <w:tc>
          <w:tcPr>
            <w:tcW w:w="3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860" w:type="dxa"/>
            <w:vAlign w:val="bottom"/>
          </w:tcPr>
          <w:p>
            <w:pPr>
              <w:ind w:left="200"/>
              <w:spacing w:after="0" w:line="202" w:lineRule="exact"/>
              <w:rPr>
                <w:sz w:val="20"/>
                <w:szCs w:val="20"/>
                <w:color w:val="auto"/>
              </w:rPr>
            </w:pPr>
            <w:r>
              <w:rPr>
                <w:rFonts w:ascii="Arial" w:cs="Arial" w:eastAsia="Arial" w:hAnsi="Arial"/>
                <w:sz w:val="18"/>
                <w:szCs w:val="18"/>
                <w:color w:val="auto"/>
              </w:rPr>
              <w:t>Legal settlement liability</w:t>
            </w:r>
          </w:p>
        </w:tc>
        <w:tc>
          <w:tcPr>
            <w:tcW w:w="34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13,745</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10,959</w:t>
            </w:r>
          </w:p>
        </w:tc>
        <w:tc>
          <w:tcPr>
            <w:tcW w:w="460" w:type="dxa"/>
            <w:vAlign w:val="bottom"/>
          </w:tcPr>
          <w:p>
            <w:pPr>
              <w:spacing w:after="0"/>
              <w:rPr>
                <w:sz w:val="17"/>
                <w:szCs w:val="17"/>
                <w:color w:val="auto"/>
              </w:rPr>
            </w:pPr>
          </w:p>
        </w:tc>
      </w:tr>
      <w:tr>
        <w:trPr>
          <w:trHeight w:val="236"/>
        </w:trPr>
        <w:tc>
          <w:tcPr>
            <w:tcW w:w="38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legal settlement liability</w:t>
            </w:r>
          </w:p>
        </w:tc>
        <w:tc>
          <w:tcPr>
            <w:tcW w:w="34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15,208</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17,212</w:t>
            </w:r>
          </w:p>
        </w:tc>
        <w:tc>
          <w:tcPr>
            <w:tcW w:w="460" w:type="dxa"/>
            <w:vAlign w:val="bottom"/>
          </w:tcPr>
          <w:p>
            <w:pPr>
              <w:spacing w:after="0"/>
              <w:rPr>
                <w:sz w:val="20"/>
                <w:szCs w:val="20"/>
                <w:color w:val="auto"/>
              </w:rPr>
            </w:pPr>
          </w:p>
        </w:tc>
      </w:tr>
      <w:tr>
        <w:trPr>
          <w:trHeight w:val="534"/>
        </w:trPr>
        <w:tc>
          <w:tcPr>
            <w:tcW w:w="3860" w:type="dxa"/>
            <w:vAlign w:val="bottom"/>
          </w:tcPr>
          <w:p>
            <w:pPr>
              <w:spacing w:after="0"/>
              <w:rPr>
                <w:sz w:val="24"/>
                <w:szCs w:val="24"/>
                <w:color w:val="auto"/>
              </w:rPr>
            </w:pPr>
          </w:p>
        </w:tc>
        <w:tc>
          <w:tcPr>
            <w:tcW w:w="3420" w:type="dxa"/>
            <w:vAlign w:val="bottom"/>
          </w:tcPr>
          <w:p>
            <w:pPr>
              <w:jc w:val="right"/>
              <w:ind w:right="1470"/>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01"/>
        </w:trPr>
        <w:tc>
          <w:tcPr>
            <w:tcW w:w="3860" w:type="dxa"/>
            <w:vAlign w:val="bottom"/>
            <w:tcBorders>
              <w:bottom w:val="single" w:sz="8" w:color="9A9A9A"/>
            </w:tcBorders>
          </w:tcPr>
          <w:p>
            <w:pPr>
              <w:spacing w:after="0"/>
              <w:rPr>
                <w:sz w:val="8"/>
                <w:szCs w:val="8"/>
                <w:color w:val="auto"/>
              </w:rPr>
            </w:pPr>
          </w:p>
        </w:tc>
        <w:tc>
          <w:tcPr>
            <w:tcW w:w="34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-453390</wp:posOffset>
            </wp:positionV>
            <wp:extent cx="1028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-436245</wp:posOffset>
            </wp:positionV>
            <wp:extent cx="1028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1" w:name="page92"/>
    <w:bookmarkEnd w:id="91"/>
    <w:p>
      <w:pPr>
        <w:ind w:left="520" w:hanging="512"/>
        <w:spacing w:after="0"/>
        <w:tabs>
          <w:tab w:leader="none" w:pos="5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w:t>
      </w:r>
    </w:p>
    <w:p>
      <w:pPr>
        <w:spacing w:after="0" w:line="18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March 2015, the Company entered into a Series A Preferred Stock Purchase Agreement (“Series A Agreement”) with certain investors pursuant to which it sold and issued 9,799,755 shares of Series A redeemable convertible preferred stock (“Series A shares”) at a purchase price of $0.38 per share in the initial closing. In July 2015, the Company sold and issued an additional 8,166,462 Series A shares at a purchase price of $0.38 per share pursuant to a subsequent closing under the Series A Agreement. In October 2015, the Company sold and issued an additional 14,699,632 Series A shares at a purchase price of $0.38 per share pursuant to a milestone closing under the Series A Agreement. A total of 32,665,849 Series A shares were issued for $12.2 million, net of issuance costs of $89,000.</w:t>
      </w:r>
    </w:p>
    <w:p>
      <w:pPr>
        <w:spacing w:after="0" w:line="14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December 2016, the Company entered into a Series B Preferred Stock Purchase Agreement (“Series B Agreement”) with certain investors pursuant to which it sold and issued 9,888,639 shares of Series B convertible redeemable preferred stock (“Series B shares”) at a purchase price of $0.75 per share in the initial closing. In January 2018, the Company sold and issued an additional 6,110,957 Series B shares at a purchase price of $0.75 per share pursuant to a milestone closing under the Series B Agreement.</w:t>
      </w:r>
    </w:p>
    <w:p>
      <w:pPr>
        <w:spacing w:after="0" w:line="16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In September 2018, the Company entered into a Series C Preferred Stock Purchase Agreement (“Series C Agreement”) with certain investors pursuant to which it sold and issued 18,717,804 shares of Series C convertible redeemable preferred stock (“Series C shares” and together with Series A shares, Series B shares and Series C shares, the “2018 Preferred Stock”) at a purchase price of $2.40 per share in the initial closing. In November and December 2018, the Company sold and issued an additional 2,501,265 and 2,084,387 Series C shares, respectively, at a purchase price of $2.40 per share pursuant to subsequent closings under the Series C Agreement.</w:t>
      </w:r>
    </w:p>
    <w:p>
      <w:pPr>
        <w:spacing w:after="0" w:line="14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October 2018, the Company repurchased 2,452,270 Series A shares at a price per share of $2.04 (“Series A Repurchase”), for an aggregate purchase price of $5.0 million. In connection with the Series A Repurchase, the Company filed a Certificate of Retirement with the Secretary of State in the State of Delaware to (i) cancel and retire the repurchased shares as required by the Company’s Amended and Restated Certificate of Incorporation, (ii) reduce the number of 2018 Preferred Stock authorized under the Company’s Amended and Restated Certificate of Incorporation to 70,212,570 from 72,664,850 and (iii) reduce the number of Series A shares authorized under the Company’s Amended and Restated Certificate of Incorporation 30,213,574 from 32,665,849.</w:t>
      </w:r>
    </w:p>
    <w:p>
      <w:pPr>
        <w:spacing w:after="0" w:line="16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October 2020, under the amended and restated certificate of incorporation dated October 22, 2020 (“October COI”), the Company issued 17,752,068 shares of Series D redeemable convertible preferred stock (“Series D shares” and together with Series A shares, Series B shares, Series C shares, the “Preferred Stock”) at a purchase price of $6.76 per share for net proceeds of $119.7 million and authorized the reduction of the Series C to 23,303,456.</w:t>
      </w:r>
    </w:p>
    <w:p>
      <w:pPr>
        <w:spacing w:after="0" w:line="14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In July 2021, all of the then-outstanding shares of Preferred Stock automatically converted into 87,268,694 shares of common stock immediately upon the closing of Company’s IPO.</w:t>
      </w:r>
    </w:p>
    <w:p>
      <w:pPr>
        <w:spacing w:after="0" w:line="14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 classified its Preferred Stock as temporary equity in the accompanying consolidated balance sheets due to terms that allow for redemption of the shares upon certain change in control events that are outside of the Company’s control, including sale or transfer of control of the Company, as holders of the Preferred Stock could cause redemption of the shares in these situations.</w:t>
      </w:r>
    </w:p>
    <w:p>
      <w:pPr>
        <w:spacing w:after="0" w:line="137"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89" w:lineRule="exact"/>
        <w:rPr>
          <w:sz w:val="20"/>
          <w:szCs w:val="20"/>
          <w:color w:val="auto"/>
        </w:rPr>
      </w:pPr>
    </w:p>
    <w:p>
      <w:pPr>
        <w:jc w:val="both"/>
        <w:ind w:left="20" w:right="20" w:firstLine="509"/>
        <w:spacing w:after="0" w:line="241" w:lineRule="auto"/>
        <w:rPr>
          <w:sz w:val="20"/>
          <w:szCs w:val="20"/>
          <w:color w:val="auto"/>
        </w:rPr>
      </w:pPr>
      <w:r>
        <w:rPr>
          <w:rFonts w:ascii="Arial" w:cs="Arial" w:eastAsia="Arial" w:hAnsi="Arial"/>
          <w:sz w:val="18"/>
          <w:szCs w:val="18"/>
          <w:color w:val="auto"/>
        </w:rPr>
        <w:t>As of December 31, 2021, the Company has authorized 1,000,000,000 shares of common stock at $0.001 par value. Holders of common stock are entitled to one vote per share, and to receive dividends, only and if declared by the Board of Directors and, upon liquidation or dissolution, are entitled to receive all assets available for distribution to stockholders, subordinate to the rights, preferences and privileges of any outstanding Preferred Stock with respect to dividends and in connection with a liquidation, winding up and dissolution of the Company. The holders have no preemptive or other subscription rights.</w:t>
      </w:r>
    </w:p>
    <w:p>
      <w:pPr>
        <w:spacing w:after="0" w:line="142" w:lineRule="exact"/>
        <w:rPr>
          <w:sz w:val="20"/>
          <w:szCs w:val="20"/>
          <w:color w:val="auto"/>
        </w:rPr>
      </w:pPr>
    </w:p>
    <w:p>
      <w:pPr>
        <w:jc w:val="both"/>
        <w:ind w:left="20" w:right="20" w:firstLine="509"/>
        <w:spacing w:after="0" w:line="250" w:lineRule="auto"/>
        <w:rPr>
          <w:sz w:val="20"/>
          <w:szCs w:val="20"/>
          <w:color w:val="auto"/>
        </w:rPr>
      </w:pPr>
      <w:r>
        <w:rPr>
          <w:rFonts w:ascii="Arial" w:cs="Arial" w:eastAsia="Arial" w:hAnsi="Arial"/>
          <w:sz w:val="22"/>
          <w:szCs w:val="22"/>
          <w:color w:val="auto"/>
        </w:rPr>
        <w:t>O</w:t>
      </w:r>
      <w:r>
        <w:rPr>
          <w:rFonts w:ascii="Arial" w:cs="Arial" w:eastAsia="Arial" w:hAnsi="Arial"/>
          <w:sz w:val="17"/>
          <w:szCs w:val="17"/>
          <w:color w:val="auto"/>
        </w:rPr>
        <w:t>n July 16, 2021, the Board and the Company’s stockholders approved an amendment and restatement of the Company’s certificate of</w:t>
      </w:r>
      <w:r>
        <w:rPr>
          <w:rFonts w:ascii="Arial" w:cs="Arial" w:eastAsia="Arial" w:hAnsi="Arial"/>
          <w:sz w:val="22"/>
          <w:szCs w:val="22"/>
          <w:color w:val="auto"/>
        </w:rPr>
        <w:t xml:space="preserve"> </w:t>
      </w:r>
      <w:r>
        <w:rPr>
          <w:rFonts w:ascii="Arial" w:cs="Arial" w:eastAsia="Arial" w:hAnsi="Arial"/>
          <w:sz w:val="17"/>
          <w:szCs w:val="17"/>
          <w:color w:val="auto"/>
        </w:rPr>
        <w:t>incorporation to effect the Stock Split, which became effective upon filing with the Secretary of State of the State of Delaware on July 16, 2021</w:t>
      </w:r>
      <w:r>
        <w:rPr>
          <w:rFonts w:ascii="Arial" w:cs="Arial" w:eastAsia="Arial" w:hAnsi="Arial"/>
          <w:sz w:val="21"/>
          <w:szCs w:val="21"/>
          <w:color w:val="auto"/>
        </w:rPr>
        <w:t>.</w:t>
      </w:r>
    </w:p>
    <w:p>
      <w:pPr>
        <w:spacing w:after="0" w:line="155" w:lineRule="exact"/>
        <w:rPr>
          <w:sz w:val="20"/>
          <w:szCs w:val="20"/>
          <w:color w:val="auto"/>
        </w:rPr>
      </w:pPr>
    </w:p>
    <w:p>
      <w:pPr>
        <w:jc w:val="both"/>
        <w:ind w:left="20" w:right="20" w:firstLine="509"/>
        <w:spacing w:after="0" w:line="248" w:lineRule="auto"/>
        <w:rPr>
          <w:sz w:val="20"/>
          <w:szCs w:val="20"/>
          <w:color w:val="auto"/>
        </w:rPr>
      </w:pPr>
      <w:r>
        <w:rPr>
          <w:rFonts w:ascii="Arial" w:cs="Arial" w:eastAsia="Arial" w:hAnsi="Arial"/>
          <w:sz w:val="18"/>
          <w:szCs w:val="18"/>
          <w:color w:val="auto"/>
        </w:rPr>
        <w:t>On July 16, 2021, the Board and the Company’s stockholders approved an amendment and restatement of the Company’s certificate of incorporation, which became effective immediately following the closing of the IPO on July 27, 2021 and filing with the Secretary of State of the State of Delaware.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December 31, 2021, the Company had three stock-based compensation plans (the “Plans”) which are described below.</w:t>
      </w:r>
    </w:p>
    <w:p>
      <w:pPr>
        <w:spacing w:after="0" w:line="17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color w:val="auto"/>
        </w:rPr>
        <w:t>2015 Equity Incentive Plan</w:t>
      </w:r>
    </w:p>
    <w:p>
      <w:pPr>
        <w:spacing w:after="0" w:line="185" w:lineRule="exact"/>
        <w:rPr>
          <w:sz w:val="20"/>
          <w:szCs w:val="20"/>
          <w:color w:val="auto"/>
        </w:rPr>
      </w:pPr>
    </w:p>
    <w:p>
      <w:pPr>
        <w:jc w:val="both"/>
        <w:ind w:left="20" w:firstLine="509"/>
        <w:spacing w:after="0" w:line="241" w:lineRule="auto"/>
        <w:rPr>
          <w:sz w:val="20"/>
          <w:szCs w:val="20"/>
          <w:color w:val="auto"/>
        </w:rPr>
      </w:pPr>
      <w:r>
        <w:rPr>
          <w:rFonts w:ascii="Arial" w:cs="Arial" w:eastAsia="Arial" w:hAnsi="Arial"/>
          <w:sz w:val="18"/>
          <w:szCs w:val="18"/>
          <w:color w:val="auto"/>
        </w:rPr>
        <w:t>In March 2015, the Board approved the 2015 Equity Incentive Plan (“2015 Plan”), which provided for the granting of stock options to employees, directors and consultants of the Company. As of December 31, 2021, there were 5,999,819 shares of common stock reserved for issuance pursuant to equity awards outstanding under the 2015 Plan. As of the effective date of the 2021 Plan described below, the 2015 Plan was terminated and no further equity awards may be granted pursuant to the 2015 Plan. Outstanding stock options granted under the 2015 Plan will continue to be governed by the provisions of the 2015 Plan until expiration or exercise, whichever is earlier.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Equity Incentive Plan</w:t>
      </w:r>
    </w:p>
    <w:p>
      <w:pPr>
        <w:spacing w:after="0" w:line="185" w:lineRule="exact"/>
        <w:rPr>
          <w:sz w:val="20"/>
          <w:szCs w:val="20"/>
          <w:color w:val="auto"/>
        </w:rPr>
      </w:pPr>
    </w:p>
    <w:p>
      <w:pPr>
        <w:jc w:val="both"/>
        <w:ind w:left="20" w:firstLine="509"/>
        <w:spacing w:after="0" w:line="272" w:lineRule="auto"/>
        <w:rPr>
          <w:sz w:val="20"/>
          <w:szCs w:val="20"/>
          <w:color w:val="auto"/>
        </w:rPr>
      </w:pPr>
      <w:r>
        <w:rPr>
          <w:rFonts w:ascii="Arial" w:cs="Arial" w:eastAsia="Arial" w:hAnsi="Arial"/>
          <w:sz w:val="16"/>
          <w:szCs w:val="16"/>
          <w:color w:val="auto"/>
        </w:rPr>
        <w:t>In July 2021, the Board approved the 2021 Equity Incentive Plan (the “2021 Plan”), which provides for the granting of stock options, stock appreciation rights, restricted stock awards, restricted stock unit ("RSU") awards, performance awards, and other awards to employees, directors and consultants of the Company. The 2021 Plan became effective on July 22, 2021 in connection with the IPO. Upon the 2021 Plan’s effective date, there were 18,000,000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2021 Plan will increase automatically by an amount equal to 4% of the number of shares of the Company’s common stock outstanding on the preceding December 31, unless the Company’s Board of Directors elects to authorize a lesser number of shares prior to the applicable January 1. As of December 31, 2021, the total number of shares of common stock available for issuance under the 2021 Plan was 15,231,739 shares.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Employee Stock Purchase Plan</w:t>
      </w:r>
    </w:p>
    <w:p>
      <w:pPr>
        <w:spacing w:after="0" w:line="185" w:lineRule="exact"/>
        <w:rPr>
          <w:sz w:val="20"/>
          <w:szCs w:val="20"/>
          <w:color w:val="auto"/>
        </w:rPr>
      </w:pPr>
    </w:p>
    <w:p>
      <w:pPr>
        <w:jc w:val="both"/>
        <w:ind w:left="20" w:firstLine="509"/>
        <w:spacing w:after="0" w:line="257" w:lineRule="auto"/>
        <w:rPr>
          <w:sz w:val="20"/>
          <w:szCs w:val="20"/>
          <w:color w:val="auto"/>
        </w:rPr>
      </w:pPr>
      <w:r>
        <w:rPr>
          <w:rFonts w:ascii="Arial" w:cs="Arial" w:eastAsia="Arial" w:hAnsi="Arial"/>
          <w:sz w:val="17"/>
          <w:szCs w:val="17"/>
          <w:color w:val="auto"/>
        </w:rPr>
        <w:t>In July 2021, the Board approved the 2021 Employee Stock Purchase Plan (the “ESPP”). The ESPP became effective on July 22, 2021 in connection with the IPO. Upon the ESPP’s effective date, there were 2,000,000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ESPP will increase automatically by an amount equal to the lesser of (1) 1% of the number of shares of the Company’s common stock outstanding on the preceding December 31, (2) 5,000,000 shares and (3) a number of shares determined by the Board. As of December 31, 2021, none of the shares have been purchased under the ESPP plan.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common stock</w:t>
      </w:r>
    </w:p>
    <w:p>
      <w:pPr>
        <w:spacing w:after="0" w:line="185" w:lineRule="exact"/>
        <w:rPr>
          <w:sz w:val="20"/>
          <w:szCs w:val="20"/>
          <w:color w:val="auto"/>
        </w:rPr>
      </w:pPr>
    </w:p>
    <w:p>
      <w:pPr>
        <w:jc w:val="both"/>
        <w:ind w:left="20" w:firstLine="509"/>
        <w:spacing w:after="0" w:line="272" w:lineRule="auto"/>
        <w:rPr>
          <w:sz w:val="20"/>
          <w:szCs w:val="20"/>
          <w:color w:val="auto"/>
        </w:rPr>
      </w:pPr>
      <w:r>
        <w:rPr>
          <w:rFonts w:ascii="Arial" w:cs="Arial" w:eastAsia="Arial" w:hAnsi="Arial"/>
          <w:sz w:val="16"/>
          <w:szCs w:val="16"/>
          <w:color w:val="auto"/>
        </w:rPr>
        <w:t>The fair value of the shares of common stock underlying the stock options has historically been determined by the Board. Because there has been no public market for the Company’s common stock, the Board has determined fair value of the common stock at the time of the option grant by considering a number of objective and subjective factors including valuation of comparable companies, sales of redeemable convertible preferred stock to unrelated third parties, operating and financial performance, the lack of liquidity of capital stock and general and industry specific economic outlook, amongst others. In determining the fair value of the common stock, the methodologies used to estimate the enterprise value were performed using methodologies, approaches and assumptions consistent with the American Institute of Certified Public Accountants Accounting Practice Aid, Valuation of Privately-Held-Company Equity Securities Issued as Compensation. The fair value of the underlying common stock will be determined by the Board, after consideration of a third-party valuation report, until the Company’s common stock is listed on an established stock exchange or national market system.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93" w:name="page94"/>
    <w:bookmarkEnd w:id="93"/>
    <w:p>
      <w:pPr>
        <w:ind w:left="520" w:hanging="512"/>
        <w:spacing w:after="0"/>
        <w:tabs>
          <w:tab w:leader="none" w:pos="5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stock option activity during the periods indicated (in thousands except share and per share data):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2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1"/>
              </w:rPr>
              <w:t>Number of options</w:t>
            </w:r>
          </w:p>
        </w:tc>
        <w:tc>
          <w:tcPr>
            <w:tcW w:w="140" w:type="dxa"/>
            <w:vAlign w:val="bottom"/>
          </w:tcPr>
          <w:p>
            <w:pPr>
              <w:spacing w:after="0"/>
              <w:rPr>
                <w:sz w:val="12"/>
                <w:szCs w:val="12"/>
                <w:color w:val="auto"/>
              </w:rPr>
            </w:pPr>
          </w:p>
        </w:tc>
        <w:tc>
          <w:tcPr>
            <w:tcW w:w="1300" w:type="dxa"/>
            <w:vAlign w:val="bottom"/>
            <w:gridSpan w:val="2"/>
            <w:vMerge w:val="restart"/>
          </w:tcPr>
          <w:p>
            <w:pPr>
              <w:jc w:val="right"/>
              <w:ind w:right="51"/>
              <w:spacing w:after="0"/>
              <w:rPr>
                <w:sz w:val="20"/>
                <w:szCs w:val="20"/>
                <w:color w:val="auto"/>
              </w:rPr>
            </w:pPr>
            <w:r>
              <w:rPr>
                <w:rFonts w:ascii="Arial" w:cs="Arial" w:eastAsia="Arial" w:hAnsi="Arial"/>
                <w:sz w:val="14"/>
                <w:szCs w:val="14"/>
                <w:b w:val="1"/>
                <w:bCs w:val="1"/>
                <w:color w:val="auto"/>
                <w:w w:val="94"/>
              </w:rPr>
              <w:t>Weighted-average</w:t>
            </w:r>
          </w:p>
        </w:tc>
        <w:tc>
          <w:tcPr>
            <w:tcW w:w="1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40" w:type="dxa"/>
            <w:vAlign w:val="bottom"/>
          </w:tcPr>
          <w:p>
            <w:pPr>
              <w:spacing w:after="0"/>
              <w:rPr>
                <w:sz w:val="16"/>
                <w:szCs w:val="16"/>
                <w:color w:val="auto"/>
              </w:rPr>
            </w:pPr>
          </w:p>
        </w:tc>
        <w:tc>
          <w:tcPr>
            <w:tcW w:w="12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2"/>
              </w:rPr>
              <w:t>exercise price</w:t>
            </w:r>
          </w:p>
        </w:tc>
        <w:tc>
          <w:tcPr>
            <w:tcW w:w="14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6"/>
        </w:trPr>
        <w:tc>
          <w:tcPr>
            <w:tcW w:w="5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as of December 31, 2019</w:t>
            </w:r>
          </w:p>
        </w:tc>
        <w:tc>
          <w:tcPr>
            <w:tcW w:w="128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5,219,930</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0.38</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8.04</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03"/>
        </w:trPr>
        <w:tc>
          <w:tcPr>
            <w:tcW w:w="5740" w:type="dxa"/>
            <w:vAlign w:val="bottom"/>
          </w:tcPr>
          <w:p>
            <w:pPr>
              <w:ind w:left="200"/>
              <w:spacing w:after="0" w:line="202" w:lineRule="exact"/>
              <w:rPr>
                <w:sz w:val="20"/>
                <w:szCs w:val="20"/>
                <w:color w:val="auto"/>
              </w:rPr>
            </w:pPr>
            <w:r>
              <w:rPr>
                <w:rFonts w:ascii="Arial" w:cs="Arial" w:eastAsia="Arial" w:hAnsi="Arial"/>
                <w:sz w:val="18"/>
                <w:szCs w:val="18"/>
                <w:color w:val="auto"/>
              </w:rPr>
              <w:t>Options granted</w:t>
            </w:r>
          </w:p>
        </w:tc>
        <w:tc>
          <w:tcPr>
            <w:tcW w:w="12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1,748,320</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1.37</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Options exercised</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(756,416 )</w:t>
            </w:r>
          </w:p>
        </w:tc>
        <w:tc>
          <w:tcPr>
            <w:tcW w:w="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0.26</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200"/>
              <w:spacing w:after="0" w:line="202" w:lineRule="exact"/>
              <w:rPr>
                <w:sz w:val="20"/>
                <w:szCs w:val="20"/>
                <w:color w:val="auto"/>
              </w:rPr>
            </w:pPr>
            <w:r>
              <w:rPr>
                <w:rFonts w:ascii="Arial" w:cs="Arial" w:eastAsia="Arial" w:hAnsi="Arial"/>
                <w:sz w:val="18"/>
                <w:szCs w:val="18"/>
                <w:color w:val="auto"/>
              </w:rPr>
              <w:t>Options forfeited</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(37,056 )</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0.92</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as of December 31, 2020</w:t>
            </w:r>
          </w:p>
        </w:tc>
        <w:tc>
          <w:tcPr>
            <w:tcW w:w="1280" w:type="dxa"/>
            <w:vAlign w:val="bottom"/>
            <w:tcBorders>
              <w:top w:val="single" w:sz="8" w:color="auto"/>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6,174,778</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0.67</w:t>
            </w:r>
          </w:p>
        </w:tc>
        <w:tc>
          <w:tcPr>
            <w:tcW w:w="14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7.79</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11,405</w:t>
            </w:r>
          </w:p>
        </w:tc>
        <w:tc>
          <w:tcPr>
            <w:tcW w:w="0" w:type="dxa"/>
            <w:vAlign w:val="bottom"/>
          </w:tcPr>
          <w:p>
            <w:pPr>
              <w:spacing w:after="0"/>
              <w:rPr>
                <w:sz w:val="1"/>
                <w:szCs w:val="1"/>
                <w:color w:val="auto"/>
              </w:rPr>
            </w:pPr>
          </w:p>
        </w:tc>
      </w:tr>
      <w:tr>
        <w:trPr>
          <w:trHeight w:val="183"/>
        </w:trPr>
        <w:tc>
          <w:tcPr>
            <w:tcW w:w="5740" w:type="dxa"/>
            <w:vAlign w:val="bottom"/>
          </w:tcPr>
          <w:p>
            <w:pPr>
              <w:ind w:left="200"/>
              <w:spacing w:after="0" w:line="183" w:lineRule="exact"/>
              <w:rPr>
                <w:sz w:val="20"/>
                <w:szCs w:val="20"/>
                <w:color w:val="auto"/>
              </w:rPr>
            </w:pPr>
            <w:r>
              <w:rPr>
                <w:rFonts w:ascii="Arial" w:cs="Arial" w:eastAsia="Arial" w:hAnsi="Arial"/>
                <w:sz w:val="18"/>
                <w:szCs w:val="18"/>
                <w:color w:val="auto"/>
              </w:rPr>
              <w:t>Options granted</w:t>
            </w:r>
          </w:p>
        </w:tc>
        <w:tc>
          <w:tcPr>
            <w:tcW w:w="1280" w:type="dxa"/>
            <w:vAlign w:val="bottom"/>
          </w:tcPr>
          <w:p>
            <w:pPr>
              <w:jc w:val="right"/>
              <w:ind w:right="33"/>
              <w:spacing w:after="0" w:line="183" w:lineRule="exact"/>
              <w:rPr>
                <w:sz w:val="20"/>
                <w:szCs w:val="20"/>
                <w:color w:val="auto"/>
              </w:rPr>
            </w:pPr>
            <w:r>
              <w:rPr>
                <w:rFonts w:ascii="Arial" w:cs="Arial" w:eastAsia="Arial" w:hAnsi="Arial"/>
                <w:sz w:val="18"/>
                <w:szCs w:val="18"/>
                <w:color w:val="auto"/>
              </w:rPr>
              <w:t>4,344,187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line="183" w:lineRule="exact"/>
              <w:rPr>
                <w:sz w:val="20"/>
                <w:szCs w:val="20"/>
                <w:color w:val="auto"/>
              </w:rPr>
            </w:pPr>
            <w:r>
              <w:rPr>
                <w:rFonts w:ascii="Arial" w:cs="Arial" w:eastAsia="Arial" w:hAnsi="Arial"/>
                <w:sz w:val="18"/>
                <w:szCs w:val="18"/>
                <w:color w:val="auto"/>
              </w:rPr>
              <w:t>12.99</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Options exercised</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(1,289,652 )</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0.51</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200"/>
              <w:spacing w:after="0" w:line="202" w:lineRule="exact"/>
              <w:rPr>
                <w:sz w:val="20"/>
                <w:szCs w:val="20"/>
                <w:color w:val="auto"/>
              </w:rPr>
            </w:pPr>
            <w:r>
              <w:rPr>
                <w:rFonts w:ascii="Arial" w:cs="Arial" w:eastAsia="Arial" w:hAnsi="Arial"/>
                <w:sz w:val="18"/>
                <w:szCs w:val="18"/>
                <w:color w:val="auto"/>
              </w:rPr>
              <w:t>Options forfeited</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(417,797 )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5.05</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Options expired</w:t>
            </w: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(5,666 )</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1.39</w:t>
            </w:r>
          </w:p>
        </w:tc>
        <w:tc>
          <w:tcPr>
            <w:tcW w:w="1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tcPr>
          <w:p>
            <w:pPr>
              <w:ind w:left="20"/>
              <w:spacing w:after="0" w:line="196" w:lineRule="exact"/>
              <w:rPr>
                <w:sz w:val="20"/>
                <w:szCs w:val="20"/>
                <w:color w:val="auto"/>
              </w:rPr>
            </w:pPr>
            <w:r>
              <w:rPr>
                <w:rFonts w:ascii="Arial" w:cs="Arial" w:eastAsia="Arial" w:hAnsi="Arial"/>
                <w:sz w:val="18"/>
                <w:szCs w:val="18"/>
                <w:color w:val="auto"/>
              </w:rPr>
              <w:t>Balance as of December 31, 2021</w:t>
            </w:r>
          </w:p>
        </w:tc>
        <w:tc>
          <w:tcPr>
            <w:tcW w:w="1280" w:type="dxa"/>
            <w:vAlign w:val="bottom"/>
          </w:tcPr>
          <w:p>
            <w:pPr>
              <w:jc w:val="right"/>
              <w:ind w:right="33"/>
              <w:spacing w:after="0" w:line="196" w:lineRule="exact"/>
              <w:rPr>
                <w:sz w:val="20"/>
                <w:szCs w:val="20"/>
                <w:color w:val="auto"/>
              </w:rPr>
            </w:pPr>
            <w:r>
              <w:rPr>
                <w:rFonts w:ascii="Arial" w:cs="Arial" w:eastAsia="Arial" w:hAnsi="Arial"/>
                <w:sz w:val="18"/>
                <w:szCs w:val="18"/>
                <w:color w:val="auto"/>
              </w:rPr>
              <w:t>8,805,850</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6.56</w:t>
            </w:r>
          </w:p>
        </w:tc>
        <w:tc>
          <w:tcPr>
            <w:tcW w:w="1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8.03</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147,623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Options unvested as of December 31, 2021</w:t>
            </w:r>
          </w:p>
        </w:tc>
        <w:tc>
          <w:tcPr>
            <w:tcW w:w="1280" w:type="dxa"/>
            <w:vAlign w:val="bottom"/>
            <w:tcBorders>
              <w:bottom w:val="single" w:sz="8" w:color="auto"/>
            </w:tcBorders>
            <w:shd w:val="clear" w:color="auto" w:fill="CFF0FC"/>
          </w:tcPr>
          <w:p>
            <w:pPr>
              <w:jc w:val="right"/>
              <w:ind w:right="33"/>
              <w:spacing w:after="0" w:line="183" w:lineRule="exact"/>
              <w:rPr>
                <w:sz w:val="20"/>
                <w:szCs w:val="20"/>
                <w:color w:val="auto"/>
              </w:rPr>
            </w:pPr>
            <w:r>
              <w:rPr>
                <w:rFonts w:ascii="Arial" w:cs="Arial" w:eastAsia="Arial" w:hAnsi="Arial"/>
                <w:sz w:val="18"/>
                <w:szCs w:val="18"/>
                <w:color w:val="auto"/>
              </w:rPr>
              <w:t>5,621,169</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9.96</w:t>
            </w:r>
          </w:p>
        </w:tc>
        <w:tc>
          <w:tcPr>
            <w:tcW w:w="1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9.11</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74,986</w:t>
            </w:r>
          </w:p>
        </w:tc>
        <w:tc>
          <w:tcPr>
            <w:tcW w:w="0" w:type="dxa"/>
            <w:vAlign w:val="bottom"/>
          </w:tcPr>
          <w:p>
            <w:pPr>
              <w:spacing w:after="0"/>
              <w:rPr>
                <w:sz w:val="1"/>
                <w:szCs w:val="1"/>
                <w:color w:val="auto"/>
              </w:rPr>
            </w:pPr>
          </w:p>
        </w:tc>
      </w:tr>
      <w:tr>
        <w:trPr>
          <w:trHeight w:val="183"/>
        </w:trPr>
        <w:tc>
          <w:tcPr>
            <w:tcW w:w="5740" w:type="dxa"/>
            <w:vAlign w:val="bottom"/>
          </w:tcPr>
          <w:p>
            <w:pPr>
              <w:ind w:left="20"/>
              <w:spacing w:after="0" w:line="183" w:lineRule="exact"/>
              <w:rPr>
                <w:sz w:val="20"/>
                <w:szCs w:val="20"/>
                <w:color w:val="auto"/>
              </w:rPr>
            </w:pPr>
            <w:r>
              <w:rPr>
                <w:rFonts w:ascii="Arial" w:cs="Arial" w:eastAsia="Arial" w:hAnsi="Arial"/>
                <w:sz w:val="18"/>
                <w:szCs w:val="18"/>
                <w:color w:val="auto"/>
              </w:rPr>
              <w:t>Options exercisable as of December 31, 2021</w:t>
            </w:r>
          </w:p>
        </w:tc>
        <w:tc>
          <w:tcPr>
            <w:tcW w:w="1280" w:type="dxa"/>
            <w:vAlign w:val="bottom"/>
          </w:tcPr>
          <w:p>
            <w:pPr>
              <w:jc w:val="right"/>
              <w:ind w:right="33"/>
              <w:spacing w:after="0" w:line="183" w:lineRule="exact"/>
              <w:rPr>
                <w:sz w:val="20"/>
                <w:szCs w:val="20"/>
                <w:color w:val="auto"/>
              </w:rPr>
            </w:pPr>
            <w:r>
              <w:rPr>
                <w:rFonts w:ascii="Arial" w:cs="Arial" w:eastAsia="Arial" w:hAnsi="Arial"/>
                <w:sz w:val="18"/>
                <w:szCs w:val="18"/>
                <w:color w:val="auto"/>
              </w:rPr>
              <w:t>3,184,681</w:t>
            </w:r>
          </w:p>
        </w:tc>
        <w:tc>
          <w:tcPr>
            <w:tcW w:w="30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83" w:lineRule="exact"/>
              <w:rPr>
                <w:sz w:val="20"/>
                <w:szCs w:val="20"/>
                <w:color w:val="auto"/>
              </w:rPr>
            </w:pPr>
            <w:r>
              <w:rPr>
                <w:rFonts w:ascii="Arial" w:cs="Arial" w:eastAsia="Arial" w:hAnsi="Arial"/>
                <w:sz w:val="18"/>
                <w:szCs w:val="18"/>
                <w:color w:val="auto"/>
              </w:rPr>
              <w:t>0.56</w:t>
            </w:r>
          </w:p>
        </w:tc>
        <w:tc>
          <w:tcPr>
            <w:tcW w:w="138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6.11</w:t>
            </w:r>
          </w:p>
        </w:tc>
        <w:tc>
          <w:tcPr>
            <w:tcW w:w="28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83" w:lineRule="exact"/>
              <w:rPr>
                <w:sz w:val="20"/>
                <w:szCs w:val="20"/>
                <w:color w:val="auto"/>
              </w:rPr>
            </w:pPr>
            <w:r>
              <w:rPr>
                <w:rFonts w:ascii="Arial" w:cs="Arial" w:eastAsia="Arial" w:hAnsi="Arial"/>
                <w:sz w:val="18"/>
                <w:szCs w:val="18"/>
                <w:color w:val="auto"/>
              </w:rPr>
              <w:t>72,637</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-1010920</wp:posOffset>
            </wp:positionV>
            <wp:extent cx="946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-993775</wp:posOffset>
            </wp:positionV>
            <wp:extent cx="946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-1010920</wp:posOffset>
            </wp:positionV>
            <wp:extent cx="939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-993775</wp:posOffset>
            </wp:positionV>
            <wp:extent cx="939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-1010920</wp:posOffset>
            </wp:positionV>
            <wp:extent cx="857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-993775</wp:posOffset>
            </wp:positionV>
            <wp:extent cx="857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-467995</wp:posOffset>
            </wp:positionV>
            <wp:extent cx="9461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-467995</wp:posOffset>
            </wp:positionV>
            <wp:extent cx="9398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-467995</wp:posOffset>
            </wp:positionV>
            <wp:extent cx="8572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-179070</wp:posOffset>
            </wp:positionV>
            <wp:extent cx="946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-161925</wp:posOffset>
            </wp:positionV>
            <wp:extent cx="946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-179070</wp:posOffset>
            </wp:positionV>
            <wp:extent cx="939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-161925</wp:posOffset>
            </wp:positionV>
            <wp:extent cx="939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-179070</wp:posOffset>
            </wp:positionV>
            <wp:extent cx="857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-161925</wp:posOffset>
            </wp:positionV>
            <wp:extent cx="857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76" w:lineRule="exact"/>
        <w:rPr>
          <w:sz w:val="20"/>
          <w:szCs w:val="20"/>
          <w:color w:val="auto"/>
        </w:rPr>
      </w:pPr>
    </w:p>
    <w:p>
      <w:pPr>
        <w:jc w:val="both"/>
        <w:ind w:right="60" w:firstLine="581"/>
        <w:spacing w:after="0" w:line="261" w:lineRule="auto"/>
        <w:rPr>
          <w:sz w:val="20"/>
          <w:szCs w:val="20"/>
          <w:color w:val="auto"/>
        </w:rPr>
      </w:pPr>
      <w:r>
        <w:rPr>
          <w:rFonts w:ascii="Arial" w:cs="Arial" w:eastAsia="Arial" w:hAnsi="Arial"/>
          <w:sz w:val="18"/>
          <w:szCs w:val="18"/>
          <w:color w:val="auto"/>
        </w:rPr>
        <w:t>The weighted-average grant date fair value of options granted during the year ended December 31, 2021 and 2020 was $10.42 and $0.97 per share, respectively.</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total fair value of options vested during each of the year ended December 31, 2021 and 2020 was $1.0 million and $0.5 million, respectively.</w:t>
      </w:r>
    </w:p>
    <w:p>
      <w:pPr>
        <w:spacing w:after="0" w:line="194" w:lineRule="exact"/>
        <w:rPr>
          <w:sz w:val="20"/>
          <w:szCs w:val="20"/>
          <w:color w:val="auto"/>
        </w:rPr>
      </w:pPr>
    </w:p>
    <w:p>
      <w:pPr>
        <w:ind w:right="520" w:firstLine="554"/>
        <w:spacing w:after="0" w:line="324" w:lineRule="auto"/>
        <w:rPr>
          <w:sz w:val="20"/>
          <w:szCs w:val="20"/>
          <w:color w:val="auto"/>
        </w:rPr>
      </w:pPr>
      <w:r>
        <w:rPr>
          <w:rFonts w:ascii="Arial" w:cs="Arial" w:eastAsia="Arial" w:hAnsi="Arial"/>
          <w:sz w:val="16"/>
          <w:szCs w:val="16"/>
          <w:color w:val="auto"/>
        </w:rPr>
        <w:t>There was $39.1 million of unrecognized stock-based compensation expense related to unvested stock options as of December 31, 2021. The unrecognized stock-based compensation expense is estimated to be recognized over a period of 3.03 years as of December 31, 2021.</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currently uses authorized and unissued shares to satisfy option exercises</w:t>
      </w:r>
      <w:r>
        <w:rPr>
          <w:rFonts w:ascii="Arial" w:cs="Arial" w:eastAsia="Arial" w:hAnsi="Arial"/>
          <w:sz w:val="21"/>
          <w:szCs w:val="21"/>
          <w:color w:val="auto"/>
        </w:rPr>
        <w:t>.</w:t>
      </w:r>
    </w:p>
    <w:p>
      <w:pPr>
        <w:spacing w:after="0" w:line="225" w:lineRule="exact"/>
        <w:rPr>
          <w:sz w:val="20"/>
          <w:szCs w:val="20"/>
          <w:color w:val="auto"/>
        </w:rPr>
      </w:pPr>
    </w:p>
    <w:p>
      <w:pPr>
        <w:ind w:firstLine="563"/>
        <w:spacing w:after="0" w:line="274" w:lineRule="auto"/>
        <w:rPr>
          <w:sz w:val="20"/>
          <w:szCs w:val="20"/>
          <w:color w:val="auto"/>
        </w:rPr>
      </w:pPr>
      <w:r>
        <w:rPr>
          <w:rFonts w:ascii="Arial" w:cs="Arial" w:eastAsia="Arial" w:hAnsi="Arial"/>
          <w:sz w:val="18"/>
          <w:szCs w:val="18"/>
          <w:color w:val="auto"/>
        </w:rPr>
        <w:t>The aggregate intrinsic value is calculated as the difference between the exercise price and the estimated fair value of the Company’s common stock as of December 31, 2021</w:t>
      </w:r>
      <w:r>
        <w:rPr>
          <w:rFonts w:ascii="Arial" w:cs="Arial" w:eastAsia="Arial" w:hAnsi="Arial"/>
          <w:sz w:val="21"/>
          <w:szCs w:val="21"/>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 Awards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RSU awards activity during the year ended December 31, 2021: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020" w:type="dxa"/>
            <w:vAlign w:val="bottom"/>
            <w:vMerge w:val="restart"/>
          </w:tcPr>
          <w:p>
            <w:pPr>
              <w:ind w:left="600"/>
              <w:spacing w:after="0"/>
              <w:rPr>
                <w:sz w:val="20"/>
                <w:szCs w:val="20"/>
                <w:color w:val="auto"/>
              </w:rPr>
            </w:pPr>
            <w:r>
              <w:rPr>
                <w:rFonts w:ascii="Arial" w:cs="Arial" w:eastAsia="Arial" w:hAnsi="Arial"/>
                <w:sz w:val="14"/>
                <w:szCs w:val="14"/>
                <w:b w:val="1"/>
                <w:bCs w:val="1"/>
                <w:color w:val="auto"/>
                <w:w w:val="85"/>
              </w:rPr>
              <w:t>Shares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94"/>
              </w:rPr>
              <w:t>Weighted-average grant</w:t>
            </w:r>
          </w:p>
        </w:tc>
        <w:tc>
          <w:tcPr>
            <w:tcW w:w="0" w:type="dxa"/>
            <w:vAlign w:val="bottom"/>
          </w:tcPr>
          <w:p>
            <w:pPr>
              <w:spacing w:after="0"/>
              <w:rPr>
                <w:sz w:val="1"/>
                <w:szCs w:val="1"/>
                <w:color w:val="auto"/>
              </w:rPr>
            </w:pPr>
          </w:p>
        </w:tc>
      </w:tr>
      <w:tr>
        <w:trPr>
          <w:trHeight w:val="185"/>
        </w:trPr>
        <w:tc>
          <w:tcPr>
            <w:tcW w:w="768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w w:val="95"/>
              </w:rPr>
              <w:t>date fair value per share</w:t>
            </w: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balance at December 31, 2020</w:t>
            </w: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59"/>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7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Granted</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86"/>
              </w:rPr>
              <w:t>104,876</w:t>
            </w:r>
          </w:p>
        </w:tc>
        <w:tc>
          <w:tcPr>
            <w:tcW w:w="840" w:type="dxa"/>
            <w:vAlign w:val="bottom"/>
            <w:gridSpan w:val="2"/>
          </w:tcPr>
          <w:p>
            <w:pPr>
              <w:jc w:val="right"/>
              <w:ind w:right="459"/>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03"/>
        </w:trPr>
        <w:tc>
          <w:tcPr>
            <w:tcW w:w="870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Vested</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459"/>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7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Forfeited</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59"/>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balance at December 31, 2021</w:t>
            </w:r>
          </w:p>
        </w:tc>
        <w:tc>
          <w:tcPr>
            <w:tcW w:w="1020" w:type="dxa"/>
            <w:vAlign w:val="bottom"/>
            <w:tcBorders>
              <w:top w:val="single" w:sz="8" w:color="auto"/>
              <w:bottom w:val="single" w:sz="8" w:color="auto"/>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6"/>
              </w:rPr>
              <w:t>104,876</w:t>
            </w:r>
          </w:p>
        </w:tc>
        <w:tc>
          <w:tcPr>
            <w:tcW w:w="20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ind w:right="459"/>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1200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12001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76" w:lineRule="exact"/>
        <w:rPr>
          <w:sz w:val="20"/>
          <w:szCs w:val="20"/>
          <w:color w:val="auto"/>
        </w:rPr>
      </w:pPr>
    </w:p>
    <w:p>
      <w:pPr>
        <w:ind w:right="720" w:firstLine="509"/>
        <w:spacing w:after="0" w:line="324" w:lineRule="auto"/>
        <w:rPr>
          <w:sz w:val="20"/>
          <w:szCs w:val="20"/>
          <w:color w:val="auto"/>
        </w:rPr>
      </w:pPr>
      <w:r>
        <w:rPr>
          <w:rFonts w:ascii="Arial" w:cs="Arial" w:eastAsia="Arial" w:hAnsi="Arial"/>
          <w:sz w:val="16"/>
          <w:szCs w:val="16"/>
          <w:color w:val="auto"/>
        </w:rPr>
        <w:t>There was $2.1 million of unrecognized stock-based compensation expense related to unvested RSU awards as of December 31, 2021. The unrecognized stock-based compensation expense is estimated to be recognized over a period of 3.77 years as of December 31, 2021.</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shows the allocation of stock-based compensation expense related to the Company’s stock-based awards (in thousands):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Year ended December 31,</w:t>
            </w:r>
          </w:p>
        </w:tc>
        <w:tc>
          <w:tcPr>
            <w:tcW w:w="1020" w:type="dxa"/>
            <w:vAlign w:val="bottom"/>
            <w:tcBorders>
              <w:bottom w:val="single" w:sz="8" w:color="auto"/>
            </w:tcBorders>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w w:val="83"/>
              </w:rPr>
              <w:t>2020</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Cost of sales</w:t>
            </w:r>
          </w:p>
        </w:tc>
        <w:tc>
          <w:tcPr>
            <w:tcW w:w="960" w:type="dxa"/>
            <w:vAlign w:val="bottom"/>
            <w:shd w:val="clear" w:color="auto" w:fill="CFF0FC"/>
          </w:tcPr>
          <w:p>
            <w:pPr>
              <w:jc w:val="right"/>
              <w:ind w:right="776"/>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1,508</w:t>
            </w: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232</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1,877</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1,375</w:t>
            </w: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183</w:t>
            </w:r>
          </w:p>
        </w:tc>
      </w:tr>
      <w:tr>
        <w:trPr>
          <w:trHeight w:val="202"/>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1,826</w:t>
            </w:r>
          </w:p>
        </w:tc>
        <w:tc>
          <w:tcPr>
            <w:tcW w:w="2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w:t>
            </w:r>
          </w:p>
        </w:tc>
      </w:tr>
      <w:tr>
        <w:trPr>
          <w:trHeight w:val="236"/>
        </w:trPr>
        <w:tc>
          <w:tcPr>
            <w:tcW w:w="76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stock-based compensation</w:t>
            </w:r>
          </w:p>
        </w:tc>
        <w:tc>
          <w:tcPr>
            <w:tcW w:w="960" w:type="dxa"/>
            <w:vAlign w:val="bottom"/>
            <w:tcBorders>
              <w:bottom w:val="single" w:sz="8" w:color="auto"/>
            </w:tcBorders>
            <w:shd w:val="clear" w:color="auto" w:fill="CFF0FC"/>
          </w:tcPr>
          <w:p>
            <w:pPr>
              <w:jc w:val="right"/>
              <w:ind w:right="776"/>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6,586</w:t>
            </w: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1200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1200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8"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The Company uses the Black-Scholes option pricing model to determine the fair value of stock options. The valuation model for stock compensation expense requires the Company to make assumptions and judgments about the variables used in the calculation including the expected term (weighted-average period of time that the options granted are expected to be outstanding), volatility of the Company’s common stock and an assumed-risk free interest rate. The following table shows the weighted-average valuation assumptions used in determining the fair value of employee stock options:</w:t>
      </w:r>
    </w:p>
    <w:p>
      <w:pPr>
        <w:spacing w:after="0" w:line="120"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60" w:type="dxa"/>
            <w:vAlign w:val="bottom"/>
          </w:tcPr>
          <w:p>
            <w:pPr>
              <w:spacing w:after="0"/>
              <w:rPr>
                <w:sz w:val="14"/>
                <w:szCs w:val="14"/>
                <w:color w:val="auto"/>
              </w:rPr>
            </w:pPr>
          </w:p>
        </w:tc>
        <w:tc>
          <w:tcPr>
            <w:tcW w:w="10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gridSpan w:val="2"/>
          </w:tcPr>
          <w:p>
            <w:pPr>
              <w:jc w:val="right"/>
              <w:ind w:right="710"/>
              <w:spacing w:after="0"/>
              <w:rPr>
                <w:sz w:val="20"/>
                <w:szCs w:val="20"/>
                <w:color w:val="auto"/>
              </w:rPr>
            </w:pPr>
            <w:r>
              <w:rPr>
                <w:rFonts w:ascii="Arial" w:cs="Arial" w:eastAsia="Arial" w:hAnsi="Arial"/>
                <w:sz w:val="14"/>
                <w:szCs w:val="14"/>
                <w:b w:val="1"/>
                <w:bCs w:val="1"/>
                <w:color w:val="auto"/>
              </w:rPr>
              <w:t>2020</w:t>
            </w: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Expected term (in years)</w:t>
            </w:r>
          </w:p>
        </w:tc>
        <w:tc>
          <w:tcPr>
            <w:tcW w:w="10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6.05</w:t>
            </w:r>
          </w:p>
        </w:tc>
        <w:tc>
          <w:tcPr>
            <w:tcW w:w="200" w:type="dxa"/>
            <w:vAlign w:val="bottom"/>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5.96</w:t>
            </w:r>
          </w:p>
        </w:tc>
      </w:tr>
      <w:tr>
        <w:trPr>
          <w:trHeight w:val="203"/>
        </w:trPr>
        <w:tc>
          <w:tcPr>
            <w:tcW w:w="86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90 %</w:t>
            </w:r>
          </w:p>
        </w:tc>
        <w:tc>
          <w:tcPr>
            <w:tcW w:w="1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83 %</w:t>
            </w:r>
          </w:p>
        </w:tc>
      </w:tr>
      <w:tr>
        <w:trPr>
          <w:trHeight w:val="203"/>
        </w:trPr>
        <w:tc>
          <w:tcPr>
            <w:tcW w:w="86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c>
          <w:tcPr>
            <w:tcW w:w="18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r>
      <w:tr>
        <w:trPr>
          <w:trHeight w:val="230"/>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6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80" w:type="dxa"/>
            <w:vAlign w:val="bottom"/>
          </w:tcPr>
          <w:p>
            <w:pPr>
              <w:jc w:val="right"/>
              <w:ind w:right="230"/>
              <w:spacing w:after="0"/>
              <w:rPr>
                <w:sz w:val="20"/>
                <w:szCs w:val="20"/>
                <w:color w:val="auto"/>
              </w:rPr>
            </w:pPr>
            <w:r>
              <w:rPr>
                <w:rFonts w:ascii="Arial" w:cs="Arial" w:eastAsia="Arial" w:hAnsi="Arial"/>
                <w:sz w:val="18"/>
                <w:szCs w:val="18"/>
                <w:color w:val="auto"/>
              </w:rPr>
              <w:t>—</w:t>
            </w:r>
          </w:p>
        </w:tc>
      </w:tr>
    </w:tbl>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stock-based compensation recorded for the ESPP was $58,000 for the year ended December 31, 2021.</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summarizes the weighted-average assumptions used in estimating the fair value of the ESPP for the initial offering period using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option-pricing model:</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20" w:type="dxa"/>
            <w:vAlign w:val="bottom"/>
          </w:tcPr>
          <w:p>
            <w:pPr>
              <w:spacing w:after="0"/>
              <w:rPr>
                <w:sz w:val="15"/>
                <w:szCs w:val="15"/>
                <w:color w:val="auto"/>
              </w:rPr>
            </w:pPr>
          </w:p>
        </w:tc>
        <w:tc>
          <w:tcPr>
            <w:tcW w:w="2020" w:type="dxa"/>
            <w:vAlign w:val="bottom"/>
          </w:tcPr>
          <w:p>
            <w:pPr>
              <w:jc w:val="right"/>
              <w:ind w:right="136"/>
              <w:spacing w:after="0"/>
              <w:rPr>
                <w:sz w:val="20"/>
                <w:szCs w:val="20"/>
                <w:color w:val="auto"/>
              </w:rPr>
            </w:pPr>
            <w:r>
              <w:rPr>
                <w:rFonts w:ascii="Arial" w:cs="Arial" w:eastAsia="Arial" w:hAnsi="Arial"/>
                <w:sz w:val="14"/>
                <w:szCs w:val="14"/>
                <w:b w:val="1"/>
                <w:bCs w:val="1"/>
                <w:color w:val="auto"/>
              </w:rPr>
              <w:t>Year ended December 31,</w:t>
            </w:r>
          </w:p>
        </w:tc>
      </w:tr>
      <w:tr>
        <w:trPr>
          <w:trHeight w:val="185"/>
        </w:trPr>
        <w:tc>
          <w:tcPr>
            <w:tcW w:w="9220" w:type="dxa"/>
            <w:vAlign w:val="bottom"/>
          </w:tcPr>
          <w:p>
            <w:pPr>
              <w:spacing w:after="0"/>
              <w:rPr>
                <w:sz w:val="16"/>
                <w:szCs w:val="16"/>
                <w:color w:val="auto"/>
              </w:rPr>
            </w:pPr>
          </w:p>
        </w:tc>
        <w:tc>
          <w:tcPr>
            <w:tcW w:w="2020" w:type="dxa"/>
            <w:vAlign w:val="bottom"/>
            <w:tcBorders>
              <w:bottom w:val="single" w:sz="8" w:color="auto"/>
            </w:tcBorders>
          </w:tcPr>
          <w:p>
            <w:pPr>
              <w:jc w:val="right"/>
              <w:ind w:right="896"/>
              <w:spacing w:after="0"/>
              <w:rPr>
                <w:sz w:val="20"/>
                <w:szCs w:val="20"/>
                <w:color w:val="auto"/>
              </w:rPr>
            </w:pPr>
            <w:r>
              <w:rPr>
                <w:rFonts w:ascii="Arial" w:cs="Arial" w:eastAsia="Arial" w:hAnsi="Arial"/>
                <w:sz w:val="14"/>
                <w:szCs w:val="14"/>
                <w:b w:val="1"/>
                <w:bCs w:val="1"/>
                <w:color w:val="auto"/>
              </w:rPr>
              <w:t>2021</w:t>
            </w:r>
          </w:p>
        </w:tc>
      </w:tr>
      <w:tr>
        <w:trPr>
          <w:trHeight w:val="196"/>
        </w:trPr>
        <w:tc>
          <w:tcPr>
            <w:tcW w:w="9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Expected term (in years)</w:t>
            </w:r>
          </w:p>
        </w:tc>
        <w:tc>
          <w:tcPr>
            <w:tcW w:w="2020" w:type="dxa"/>
            <w:vAlign w:val="bottom"/>
            <w:shd w:val="clear" w:color="auto" w:fill="CFF0FC"/>
          </w:tcPr>
          <w:p>
            <w:pPr>
              <w:jc w:val="right"/>
              <w:ind w:right="136"/>
              <w:spacing w:after="0" w:line="196" w:lineRule="exact"/>
              <w:rPr>
                <w:sz w:val="20"/>
                <w:szCs w:val="20"/>
                <w:color w:val="auto"/>
              </w:rPr>
            </w:pPr>
            <w:r>
              <w:rPr>
                <w:rFonts w:ascii="Arial" w:cs="Arial" w:eastAsia="Arial" w:hAnsi="Arial"/>
                <w:sz w:val="18"/>
                <w:szCs w:val="18"/>
                <w:color w:val="auto"/>
              </w:rPr>
              <w:t>0.5</w:t>
            </w: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75 %</w:t>
            </w: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2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r>
      <w:tr>
        <w:trPr>
          <w:trHeight w:val="230"/>
        </w:trPr>
        <w:tc>
          <w:tcPr>
            <w:tcW w:w="92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020" w:type="dxa"/>
            <w:vAlign w:val="bottom"/>
          </w:tcPr>
          <w:p>
            <w:pPr>
              <w:jc w:val="right"/>
              <w:ind w:right="236"/>
              <w:spacing w:after="0"/>
              <w:rPr>
                <w:sz w:val="20"/>
                <w:szCs w:val="20"/>
                <w:color w:val="auto"/>
              </w:rPr>
            </w:pPr>
            <w:r>
              <w:rPr>
                <w:rFonts w:ascii="Arial" w:cs="Arial" w:eastAsia="Arial" w:hAnsi="Arial"/>
                <w:sz w:val="18"/>
                <w:szCs w:val="18"/>
                <w:color w:val="auto"/>
              </w:rPr>
              <w:t>—</w:t>
            </w:r>
          </w:p>
        </w:tc>
      </w:tr>
    </w:tbl>
    <w:p>
      <w:pPr>
        <w:spacing w:after="0" w:line="224"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retirement savings plan</w:t>
      </w:r>
    </w:p>
    <w:p>
      <w:pPr>
        <w:spacing w:after="0" w:line="18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 currently maintains a 401(k) retirement savings plan the covers substantially all of its employees (“401(k) Plan”). The 401(k) Plan permits voluntary contributions by employees, a portion of which are matched by the Company. The Company’s contributions to the 401(k) Plan were approximately $770,000 and $584,000 for the year ended December 31, 2021 and 2020, respectively.</w:t>
      </w:r>
    </w:p>
    <w:p>
      <w:pPr>
        <w:spacing w:after="0" w:line="137"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For the years ended December 31, 2021 and 2020, income from continuing operations before taxes consisted of amounts related to U.S. operations and income associated with the Company’s foreign operations. The geographical breakdown of the Company’s income (loss) before provision for (benefit from) income taxes is as follows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60" w:type="dxa"/>
            <w:vAlign w:val="bottom"/>
          </w:tcPr>
          <w:p>
            <w:pPr>
              <w:spacing w:after="0"/>
              <w:rPr>
                <w:sz w:val="16"/>
                <w:szCs w:val="16"/>
                <w:color w:val="auto"/>
              </w:rPr>
            </w:pPr>
          </w:p>
        </w:tc>
        <w:tc>
          <w:tcPr>
            <w:tcW w:w="41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63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r>
      <w:tr>
        <w:trPr>
          <w:trHeight w:val="196"/>
        </w:trPr>
        <w:tc>
          <w:tcPr>
            <w:tcW w:w="42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Domestic</w:t>
            </w:r>
          </w:p>
        </w:tc>
        <w:tc>
          <w:tcPr>
            <w:tcW w:w="316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ind w:right="81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(1,870 )</w:t>
            </w:r>
          </w:p>
        </w:tc>
        <w:tc>
          <w:tcPr>
            <w:tcW w:w="32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14,136</w:t>
            </w:r>
          </w:p>
        </w:tc>
        <w:tc>
          <w:tcPr>
            <w:tcW w:w="220" w:type="dxa"/>
            <w:vAlign w:val="bottom"/>
          </w:tcPr>
          <w:p>
            <w:pPr>
              <w:spacing w:after="0"/>
              <w:rPr>
                <w:sz w:val="17"/>
                <w:szCs w:val="17"/>
                <w:color w:val="auto"/>
              </w:rPr>
            </w:pPr>
          </w:p>
        </w:tc>
      </w:tr>
      <w:tr>
        <w:trPr>
          <w:trHeight w:val="203"/>
        </w:trPr>
        <w:tc>
          <w:tcPr>
            <w:tcW w:w="4260" w:type="dxa"/>
            <w:vAlign w:val="bottom"/>
          </w:tcPr>
          <w:p>
            <w:pPr>
              <w:ind w:left="20"/>
              <w:spacing w:after="0" w:line="202" w:lineRule="exact"/>
              <w:rPr>
                <w:sz w:val="20"/>
                <w:szCs w:val="20"/>
                <w:color w:val="auto"/>
              </w:rPr>
            </w:pPr>
            <w:r>
              <w:rPr>
                <w:rFonts w:ascii="Arial" w:cs="Arial" w:eastAsia="Arial" w:hAnsi="Arial"/>
                <w:sz w:val="18"/>
                <w:szCs w:val="18"/>
                <w:color w:val="auto"/>
              </w:rPr>
              <w:t>International</w:t>
            </w:r>
          </w:p>
        </w:tc>
        <w:tc>
          <w:tcPr>
            <w:tcW w:w="31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7,808</w:t>
            </w:r>
          </w:p>
        </w:tc>
        <w:tc>
          <w:tcPr>
            <w:tcW w:w="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294</w:t>
            </w:r>
          </w:p>
        </w:tc>
        <w:tc>
          <w:tcPr>
            <w:tcW w:w="220" w:type="dxa"/>
            <w:vAlign w:val="bottom"/>
          </w:tcPr>
          <w:p>
            <w:pPr>
              <w:spacing w:after="0"/>
              <w:rPr>
                <w:sz w:val="17"/>
                <w:szCs w:val="17"/>
                <w:color w:val="auto"/>
              </w:rPr>
            </w:pPr>
          </w:p>
        </w:tc>
      </w:tr>
      <w:tr>
        <w:trPr>
          <w:trHeight w:val="236"/>
        </w:trPr>
        <w:tc>
          <w:tcPr>
            <w:tcW w:w="42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Profits before provision for income taxes</w:t>
            </w:r>
          </w:p>
        </w:tc>
        <w:tc>
          <w:tcPr>
            <w:tcW w:w="316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810"/>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5,938</w:t>
            </w:r>
          </w:p>
        </w:tc>
        <w:tc>
          <w:tcPr>
            <w:tcW w:w="3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15"/>
              <w:spacing w:after="0" w:line="182" w:lineRule="exact"/>
              <w:rPr>
                <w:sz w:val="20"/>
                <w:szCs w:val="20"/>
                <w:color w:val="auto"/>
              </w:rPr>
            </w:pPr>
            <w:r>
              <w:rPr>
                <w:rFonts w:ascii="Arial" w:cs="Arial" w:eastAsia="Arial" w:hAnsi="Arial"/>
                <w:sz w:val="18"/>
                <w:szCs w:val="18"/>
                <w:color w:val="auto"/>
              </w:rPr>
              <w:t>14,430</w:t>
            </w:r>
          </w:p>
        </w:tc>
        <w:tc>
          <w:tcPr>
            <w:tcW w:w="220" w:type="dxa"/>
            <w:vAlign w:val="bottom"/>
          </w:tcPr>
          <w:p>
            <w:pPr>
              <w:spacing w:after="0"/>
              <w:rPr>
                <w:sz w:val="20"/>
                <w:szCs w:val="20"/>
                <w:color w:val="auto"/>
              </w:rPr>
            </w:pPr>
          </w:p>
        </w:tc>
      </w:tr>
      <w:tr>
        <w:trPr>
          <w:trHeight w:val="548"/>
        </w:trPr>
        <w:tc>
          <w:tcPr>
            <w:tcW w:w="4260" w:type="dxa"/>
            <w:vAlign w:val="bottom"/>
          </w:tcPr>
          <w:p>
            <w:pPr>
              <w:spacing w:after="0"/>
              <w:rPr>
                <w:sz w:val="24"/>
                <w:szCs w:val="24"/>
                <w:color w:val="auto"/>
              </w:rPr>
            </w:pPr>
          </w:p>
        </w:tc>
        <w:tc>
          <w:tcPr>
            <w:tcW w:w="3160" w:type="dxa"/>
            <w:vAlign w:val="bottom"/>
          </w:tcPr>
          <w:p>
            <w:pPr>
              <w:jc w:val="right"/>
              <w:ind w:right="1619"/>
              <w:spacing w:after="0"/>
              <w:rPr>
                <w:sz w:val="20"/>
                <w:szCs w:val="20"/>
                <w:color w:val="auto"/>
              </w:rPr>
            </w:pPr>
            <w:r>
              <w:rPr>
                <w:rFonts w:ascii="Arial" w:cs="Arial" w:eastAsia="Arial" w:hAnsi="Arial"/>
                <w:sz w:val="18"/>
                <w:szCs w:val="18"/>
                <w:color w:val="auto"/>
              </w:rPr>
              <w:t>91</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75"/>
        </w:trPr>
        <w:tc>
          <w:tcPr>
            <w:tcW w:w="4260" w:type="dxa"/>
            <w:vAlign w:val="bottom"/>
            <w:tcBorders>
              <w:bottom w:val="single" w:sz="8" w:color="9A9A9A"/>
            </w:tcBorders>
          </w:tcPr>
          <w:p>
            <w:pPr>
              <w:spacing w:after="0"/>
              <w:rPr>
                <w:sz w:val="6"/>
                <w:szCs w:val="6"/>
                <w:color w:val="auto"/>
              </w:rPr>
            </w:pPr>
          </w:p>
        </w:tc>
        <w:tc>
          <w:tcPr>
            <w:tcW w:w="316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-445135</wp:posOffset>
            </wp:positionV>
            <wp:extent cx="1968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-427990</wp:posOffset>
            </wp:positionV>
            <wp:extent cx="19685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5" w:name="page96"/>
    <w:bookmarkEnd w:id="95"/>
    <w:p>
      <w:pPr>
        <w:ind w:left="520"/>
        <w:spacing w:after="0"/>
        <w:rPr>
          <w:sz w:val="20"/>
          <w:szCs w:val="20"/>
          <w:color w:val="auto"/>
        </w:rPr>
      </w:pPr>
      <w:r>
        <w:rPr>
          <w:rFonts w:ascii="Arial" w:cs="Arial" w:eastAsia="Arial" w:hAnsi="Arial"/>
          <w:sz w:val="18"/>
          <w:szCs w:val="18"/>
          <w:color w:val="auto"/>
        </w:rPr>
        <w:t>Income tax expense attributable to income from continuing operations consists of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39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ind w:right="63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r>
      <w:tr>
        <w:trPr>
          <w:trHeight w:val="196"/>
        </w:trPr>
        <w:tc>
          <w:tcPr>
            <w:tcW w:w="4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Current provisions for income taxes:</w:t>
            </w:r>
          </w:p>
        </w:tc>
        <w:tc>
          <w:tcPr>
            <w:tcW w:w="292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480" w:type="dxa"/>
            <w:vAlign w:val="bottom"/>
          </w:tcPr>
          <w:p>
            <w:pPr>
              <w:ind w:left="240"/>
              <w:spacing w:after="0" w:line="202" w:lineRule="exact"/>
              <w:rPr>
                <w:sz w:val="20"/>
                <w:szCs w:val="20"/>
                <w:color w:val="auto"/>
              </w:rPr>
            </w:pPr>
            <w:r>
              <w:rPr>
                <w:rFonts w:ascii="Arial" w:cs="Arial" w:eastAsia="Arial" w:hAnsi="Arial"/>
                <w:sz w:val="18"/>
                <w:szCs w:val="18"/>
                <w:color w:val="auto"/>
              </w:rPr>
              <w:t>Federal</w:t>
            </w:r>
          </w:p>
        </w:tc>
        <w:tc>
          <w:tcPr>
            <w:tcW w:w="3940" w:type="dxa"/>
            <w:vAlign w:val="bottom"/>
            <w:gridSpan w:val="3"/>
          </w:tcPr>
          <w:p>
            <w:pPr>
              <w:jc w:val="right"/>
              <w:ind w:right="92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3,666</w:t>
            </w:r>
          </w:p>
        </w:tc>
        <w:tc>
          <w:tcPr>
            <w:tcW w:w="700" w:type="dxa"/>
            <w:vAlign w:val="bottom"/>
            <w:gridSpan w:val="3"/>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1,108</w:t>
            </w:r>
          </w:p>
        </w:tc>
        <w:tc>
          <w:tcPr>
            <w:tcW w:w="220" w:type="dxa"/>
            <w:vAlign w:val="bottom"/>
          </w:tcPr>
          <w:p>
            <w:pPr>
              <w:spacing w:after="0"/>
              <w:rPr>
                <w:sz w:val="17"/>
                <w:szCs w:val="17"/>
                <w:color w:val="auto"/>
              </w:rPr>
            </w:pPr>
          </w:p>
        </w:tc>
      </w:tr>
      <w:tr>
        <w:trPr>
          <w:trHeight w:val="203"/>
        </w:trPr>
        <w:tc>
          <w:tcPr>
            <w:tcW w:w="4480" w:type="dxa"/>
            <w:vAlign w:val="bottom"/>
            <w:shd w:val="clear" w:color="auto" w:fill="CFF0FC"/>
          </w:tcPr>
          <w:p>
            <w:pPr>
              <w:ind w:left="240"/>
              <w:spacing w:after="0" w:line="202" w:lineRule="exact"/>
              <w:rPr>
                <w:sz w:val="20"/>
                <w:szCs w:val="20"/>
                <w:color w:val="auto"/>
              </w:rPr>
            </w:pPr>
            <w:r>
              <w:rPr>
                <w:rFonts w:ascii="Arial" w:cs="Arial" w:eastAsia="Arial" w:hAnsi="Arial"/>
                <w:sz w:val="18"/>
                <w:szCs w:val="18"/>
                <w:color w:val="auto"/>
              </w:rPr>
              <w:t>State</w:t>
            </w:r>
          </w:p>
        </w:tc>
        <w:tc>
          <w:tcPr>
            <w:tcW w:w="29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440</w:t>
            </w: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580</w:t>
            </w:r>
          </w:p>
        </w:tc>
        <w:tc>
          <w:tcPr>
            <w:tcW w:w="220" w:type="dxa"/>
            <w:vAlign w:val="bottom"/>
          </w:tcPr>
          <w:p>
            <w:pPr>
              <w:spacing w:after="0"/>
              <w:rPr>
                <w:sz w:val="17"/>
                <w:szCs w:val="17"/>
                <w:color w:val="auto"/>
              </w:rPr>
            </w:pPr>
          </w:p>
        </w:tc>
      </w:tr>
      <w:tr>
        <w:trPr>
          <w:trHeight w:val="203"/>
        </w:trPr>
        <w:tc>
          <w:tcPr>
            <w:tcW w:w="4480" w:type="dxa"/>
            <w:vAlign w:val="bottom"/>
          </w:tcPr>
          <w:p>
            <w:pPr>
              <w:ind w:left="240"/>
              <w:spacing w:after="0" w:line="202" w:lineRule="exact"/>
              <w:rPr>
                <w:sz w:val="20"/>
                <w:szCs w:val="20"/>
                <w:color w:val="auto"/>
              </w:rPr>
            </w:pPr>
            <w:r>
              <w:rPr>
                <w:rFonts w:ascii="Arial" w:cs="Arial" w:eastAsia="Arial" w:hAnsi="Arial"/>
                <w:sz w:val="18"/>
                <w:szCs w:val="18"/>
                <w:color w:val="auto"/>
              </w:rPr>
              <w:t>Foreign</w:t>
            </w:r>
          </w:p>
        </w:tc>
        <w:tc>
          <w:tcPr>
            <w:tcW w:w="29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601</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709</w:t>
            </w:r>
          </w:p>
        </w:tc>
        <w:tc>
          <w:tcPr>
            <w:tcW w:w="220" w:type="dxa"/>
            <w:vAlign w:val="bottom"/>
          </w:tcPr>
          <w:p>
            <w:pPr>
              <w:spacing w:after="0"/>
              <w:rPr>
                <w:sz w:val="17"/>
                <w:szCs w:val="17"/>
                <w:color w:val="auto"/>
              </w:rPr>
            </w:pPr>
          </w:p>
        </w:tc>
      </w:tr>
      <w:tr>
        <w:trPr>
          <w:trHeight w:val="196"/>
        </w:trPr>
        <w:tc>
          <w:tcPr>
            <w:tcW w:w="44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current</w:t>
            </w:r>
          </w:p>
        </w:tc>
        <w:tc>
          <w:tcPr>
            <w:tcW w:w="29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4,707</w:t>
            </w:r>
          </w:p>
        </w:tc>
        <w:tc>
          <w:tcPr>
            <w:tcW w:w="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2,397</w:t>
            </w:r>
          </w:p>
        </w:tc>
        <w:tc>
          <w:tcPr>
            <w:tcW w:w="220" w:type="dxa"/>
            <w:vAlign w:val="bottom"/>
          </w:tcPr>
          <w:p>
            <w:pPr>
              <w:spacing w:after="0"/>
              <w:rPr>
                <w:sz w:val="17"/>
                <w:szCs w:val="17"/>
                <w:color w:val="auto"/>
              </w:rPr>
            </w:pPr>
          </w:p>
        </w:tc>
      </w:tr>
      <w:tr>
        <w:trPr>
          <w:trHeight w:val="399"/>
        </w:trPr>
        <w:tc>
          <w:tcPr>
            <w:tcW w:w="4480" w:type="dxa"/>
            <w:vAlign w:val="bottom"/>
          </w:tcPr>
          <w:p>
            <w:pPr>
              <w:ind w:left="20"/>
              <w:spacing w:after="0"/>
              <w:rPr>
                <w:sz w:val="20"/>
                <w:szCs w:val="20"/>
                <w:color w:val="auto"/>
              </w:rPr>
            </w:pPr>
            <w:r>
              <w:rPr>
                <w:rFonts w:ascii="Arial" w:cs="Arial" w:eastAsia="Arial" w:hAnsi="Arial"/>
                <w:sz w:val="18"/>
                <w:szCs w:val="18"/>
                <w:color w:val="auto"/>
              </w:rPr>
              <w:t>Deferred tax expense (benefit):</w:t>
            </w: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3"/>
        </w:trPr>
        <w:tc>
          <w:tcPr>
            <w:tcW w:w="4480" w:type="dxa"/>
            <w:vAlign w:val="bottom"/>
            <w:shd w:val="clear" w:color="auto" w:fill="CFF0FC"/>
          </w:tcPr>
          <w:p>
            <w:pPr>
              <w:ind w:left="240"/>
              <w:spacing w:after="0" w:line="202" w:lineRule="exact"/>
              <w:rPr>
                <w:sz w:val="20"/>
                <w:szCs w:val="20"/>
                <w:color w:val="auto"/>
              </w:rPr>
            </w:pPr>
            <w:r>
              <w:rPr>
                <w:rFonts w:ascii="Arial" w:cs="Arial" w:eastAsia="Arial" w:hAnsi="Arial"/>
                <w:sz w:val="18"/>
                <w:szCs w:val="18"/>
                <w:color w:val="auto"/>
              </w:rPr>
              <w:t>Federal</w:t>
            </w:r>
          </w:p>
        </w:tc>
        <w:tc>
          <w:tcPr>
            <w:tcW w:w="29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6"/>
              </w:rPr>
              <w:t>(2,529 )</w:t>
            </w: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(4,956 )</w:t>
            </w:r>
          </w:p>
        </w:tc>
        <w:tc>
          <w:tcPr>
            <w:tcW w:w="220" w:type="dxa"/>
            <w:vAlign w:val="bottom"/>
          </w:tcPr>
          <w:p>
            <w:pPr>
              <w:spacing w:after="0"/>
              <w:rPr>
                <w:sz w:val="17"/>
                <w:szCs w:val="17"/>
                <w:color w:val="auto"/>
              </w:rPr>
            </w:pPr>
          </w:p>
        </w:tc>
      </w:tr>
      <w:tr>
        <w:trPr>
          <w:trHeight w:val="203"/>
        </w:trPr>
        <w:tc>
          <w:tcPr>
            <w:tcW w:w="4480" w:type="dxa"/>
            <w:vAlign w:val="bottom"/>
          </w:tcPr>
          <w:p>
            <w:pPr>
              <w:ind w:left="240"/>
              <w:spacing w:after="0" w:line="202" w:lineRule="exact"/>
              <w:rPr>
                <w:sz w:val="20"/>
                <w:szCs w:val="20"/>
                <w:color w:val="auto"/>
              </w:rPr>
            </w:pPr>
            <w:r>
              <w:rPr>
                <w:rFonts w:ascii="Arial" w:cs="Arial" w:eastAsia="Arial" w:hAnsi="Arial"/>
                <w:sz w:val="18"/>
                <w:szCs w:val="18"/>
                <w:color w:val="auto"/>
              </w:rPr>
              <w:t>State</w:t>
            </w:r>
          </w:p>
        </w:tc>
        <w:tc>
          <w:tcPr>
            <w:tcW w:w="2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(579 )</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(1,086 )</w:t>
            </w:r>
          </w:p>
        </w:tc>
        <w:tc>
          <w:tcPr>
            <w:tcW w:w="220" w:type="dxa"/>
            <w:vAlign w:val="bottom"/>
          </w:tcPr>
          <w:p>
            <w:pPr>
              <w:spacing w:after="0"/>
              <w:rPr>
                <w:sz w:val="17"/>
                <w:szCs w:val="17"/>
                <w:color w:val="auto"/>
              </w:rPr>
            </w:pPr>
          </w:p>
        </w:tc>
      </w:tr>
      <w:tr>
        <w:trPr>
          <w:trHeight w:val="203"/>
        </w:trPr>
        <w:tc>
          <w:tcPr>
            <w:tcW w:w="4480" w:type="dxa"/>
            <w:vAlign w:val="bottom"/>
            <w:tcBorders>
              <w:bottom w:val="single" w:sz="8" w:color="CFF0FC"/>
            </w:tcBorders>
            <w:shd w:val="clear" w:color="auto" w:fill="CFF0FC"/>
          </w:tcPr>
          <w:p>
            <w:pPr>
              <w:ind w:left="240"/>
              <w:spacing w:after="0" w:line="202" w:lineRule="exact"/>
              <w:rPr>
                <w:sz w:val="20"/>
                <w:szCs w:val="20"/>
                <w:color w:val="auto"/>
              </w:rPr>
            </w:pPr>
            <w:r>
              <w:rPr>
                <w:rFonts w:ascii="Arial" w:cs="Arial" w:eastAsia="Arial" w:hAnsi="Arial"/>
                <w:sz w:val="18"/>
                <w:szCs w:val="18"/>
                <w:color w:val="auto"/>
              </w:rPr>
              <w:t>Foreign</w:t>
            </w:r>
          </w:p>
        </w:tc>
        <w:tc>
          <w:tcPr>
            <w:tcW w:w="29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1,312</w:t>
            </w:r>
          </w:p>
        </w:tc>
        <w:tc>
          <w:tcPr>
            <w:tcW w:w="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(1,336 )</w:t>
            </w:r>
          </w:p>
        </w:tc>
        <w:tc>
          <w:tcPr>
            <w:tcW w:w="220" w:type="dxa"/>
            <w:vAlign w:val="bottom"/>
          </w:tcPr>
          <w:p>
            <w:pPr>
              <w:spacing w:after="0"/>
              <w:rPr>
                <w:sz w:val="17"/>
                <w:szCs w:val="17"/>
                <w:color w:val="auto"/>
              </w:rPr>
            </w:pPr>
          </w:p>
        </w:tc>
      </w:tr>
      <w:tr>
        <w:trPr>
          <w:trHeight w:val="196"/>
        </w:trPr>
        <w:tc>
          <w:tcPr>
            <w:tcW w:w="4480" w:type="dxa"/>
            <w:vAlign w:val="bottom"/>
          </w:tcPr>
          <w:p>
            <w:pPr>
              <w:ind w:left="20"/>
              <w:spacing w:after="0" w:line="196" w:lineRule="exact"/>
              <w:rPr>
                <w:sz w:val="20"/>
                <w:szCs w:val="20"/>
                <w:color w:val="auto"/>
              </w:rPr>
            </w:pPr>
            <w:r>
              <w:rPr>
                <w:rFonts w:ascii="Arial" w:cs="Arial" w:eastAsia="Arial" w:hAnsi="Arial"/>
                <w:sz w:val="18"/>
                <w:szCs w:val="18"/>
                <w:color w:val="auto"/>
              </w:rPr>
              <w:t>Total deferred tax expense (benefit)</w:t>
            </w:r>
          </w:p>
        </w:tc>
        <w:tc>
          <w:tcPr>
            <w:tcW w:w="29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6"/>
              </w:rPr>
              <w:t>(1,796 )</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(7,378 )</w:t>
            </w:r>
          </w:p>
        </w:tc>
        <w:tc>
          <w:tcPr>
            <w:tcW w:w="220" w:type="dxa"/>
            <w:vAlign w:val="bottom"/>
          </w:tcPr>
          <w:p>
            <w:pPr>
              <w:spacing w:after="0"/>
              <w:rPr>
                <w:sz w:val="17"/>
                <w:szCs w:val="17"/>
                <w:color w:val="auto"/>
              </w:rPr>
            </w:pPr>
          </w:p>
        </w:tc>
      </w:tr>
      <w:tr>
        <w:trPr>
          <w:trHeight w:val="196"/>
        </w:trPr>
        <w:tc>
          <w:tcPr>
            <w:tcW w:w="44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36"/>
        </w:trPr>
        <w:tc>
          <w:tcPr>
            <w:tcW w:w="44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provision for (benefit from) income taxes</w:t>
            </w:r>
          </w:p>
        </w:tc>
        <w:tc>
          <w:tcPr>
            <w:tcW w:w="29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gridSpan w:val="2"/>
            <w:shd w:val="clear" w:color="auto" w:fill="CFF0FC"/>
          </w:tcPr>
          <w:p>
            <w:pPr>
              <w:jc w:val="right"/>
              <w:ind w:right="920"/>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rPr>
              <w:t>2,911</w:t>
            </w:r>
          </w:p>
        </w:tc>
        <w:tc>
          <w:tcPr>
            <w:tcW w:w="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(4,981 )</w:t>
            </w:r>
          </w:p>
        </w:tc>
        <w:tc>
          <w:tcPr>
            <w:tcW w:w="220" w:type="dxa"/>
            <w:vAlign w:val="bottom"/>
          </w:tcPr>
          <w:p>
            <w:pPr>
              <w:spacing w:after="0"/>
              <w:rPr>
                <w:sz w:val="20"/>
                <w:szCs w:val="20"/>
                <w:color w:val="auto"/>
              </w:rPr>
            </w:pPr>
          </w:p>
        </w:tc>
      </w:tr>
      <w:tr>
        <w:trPr>
          <w:trHeight w:val="548"/>
        </w:trPr>
        <w:tc>
          <w:tcPr>
            <w:tcW w:w="4480" w:type="dxa"/>
            <w:vAlign w:val="bottom"/>
          </w:tcPr>
          <w:p>
            <w:pPr>
              <w:spacing w:after="0"/>
              <w:rPr>
                <w:sz w:val="20"/>
                <w:szCs w:val="20"/>
                <w:color w:val="auto"/>
              </w:rPr>
            </w:pPr>
            <w:r>
              <w:rPr>
                <w:rFonts w:ascii="Arial" w:cs="Arial" w:eastAsia="Arial" w:hAnsi="Arial"/>
                <w:sz w:val="18"/>
                <w:szCs w:val="18"/>
                <w:i w:val="1"/>
                <w:iCs w:val="1"/>
                <w:color w:val="auto"/>
              </w:rPr>
              <w:t>Tax rate reconciliation</w:t>
            </w: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78"/>
        </w:trPr>
        <w:tc>
          <w:tcPr>
            <w:tcW w:w="8420" w:type="dxa"/>
            <w:vAlign w:val="bottom"/>
            <w:gridSpan w:val="4"/>
          </w:tcPr>
          <w:p>
            <w:pPr>
              <w:jc w:val="right"/>
              <w:ind w:right="80"/>
              <w:spacing w:after="0"/>
              <w:rPr>
                <w:sz w:val="20"/>
                <w:szCs w:val="20"/>
                <w:color w:val="auto"/>
              </w:rPr>
            </w:pPr>
            <w:r>
              <w:rPr>
                <w:rFonts w:ascii="Arial" w:cs="Arial" w:eastAsia="Arial" w:hAnsi="Arial"/>
                <w:sz w:val="18"/>
                <w:szCs w:val="18"/>
                <w:color w:val="auto"/>
                <w:w w:val="97"/>
              </w:rPr>
              <w:t>The following table presents a reconciliation of the federal statutory rate to the Company’s effective tax rate:</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3"/>
        </w:trPr>
        <w:tc>
          <w:tcPr>
            <w:tcW w:w="4480" w:type="dxa"/>
            <w:vAlign w:val="bottom"/>
          </w:tcPr>
          <w:p>
            <w:pPr>
              <w:spacing w:after="0"/>
              <w:rPr>
                <w:sz w:val="21"/>
                <w:szCs w:val="21"/>
                <w:color w:val="auto"/>
              </w:rPr>
            </w:pPr>
          </w:p>
        </w:tc>
        <w:tc>
          <w:tcPr>
            <w:tcW w:w="39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63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1"/>
                <w:szCs w:val="21"/>
                <w:color w:val="auto"/>
              </w:rPr>
            </w:pPr>
          </w:p>
        </w:tc>
      </w:tr>
      <w:tr>
        <w:trPr>
          <w:trHeight w:val="196"/>
        </w:trPr>
        <w:tc>
          <w:tcPr>
            <w:tcW w:w="4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U.S. federal tax benefit at statutory rate</w:t>
            </w:r>
          </w:p>
        </w:tc>
        <w:tc>
          <w:tcPr>
            <w:tcW w:w="29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2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 xml:space="preserve">21.0 </w:t>
            </w:r>
            <w:r>
              <w:rPr>
                <w:rFonts w:ascii="Arial" w:cs="Arial" w:eastAsia="Arial" w:hAnsi="Arial"/>
                <w:sz w:val="16"/>
                <w:szCs w:val="16"/>
                <w:color w:val="auto"/>
              </w:rPr>
              <w:t>%</w:t>
            </w:r>
          </w:p>
        </w:tc>
      </w:tr>
      <w:tr>
        <w:trPr>
          <w:trHeight w:val="203"/>
        </w:trPr>
        <w:tc>
          <w:tcPr>
            <w:tcW w:w="4480" w:type="dxa"/>
            <w:vAlign w:val="bottom"/>
          </w:tcPr>
          <w:p>
            <w:pPr>
              <w:ind w:left="20"/>
              <w:spacing w:after="0" w:line="202" w:lineRule="exact"/>
              <w:rPr>
                <w:sz w:val="20"/>
                <w:szCs w:val="20"/>
                <w:color w:val="auto"/>
              </w:rPr>
            </w:pPr>
            <w:r>
              <w:rPr>
                <w:rFonts w:ascii="Arial" w:cs="Arial" w:eastAsia="Arial" w:hAnsi="Arial"/>
                <w:sz w:val="18"/>
                <w:szCs w:val="18"/>
                <w:color w:val="auto"/>
              </w:rPr>
              <w:t>State income taxes, net of federal benefit</w:t>
            </w:r>
          </w:p>
        </w:tc>
        <w:tc>
          <w:tcPr>
            <w:tcW w:w="2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(3.9 )</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5.5</w:t>
            </w:r>
          </w:p>
        </w:tc>
        <w:tc>
          <w:tcPr>
            <w:tcW w:w="220" w:type="dxa"/>
            <w:vAlign w:val="bottom"/>
          </w:tcPr>
          <w:p>
            <w:pPr>
              <w:spacing w:after="0"/>
              <w:rPr>
                <w:sz w:val="17"/>
                <w:szCs w:val="17"/>
                <w:color w:val="auto"/>
              </w:rPr>
            </w:pPr>
          </w:p>
        </w:tc>
      </w:tr>
      <w:tr>
        <w:trPr>
          <w:trHeight w:val="203"/>
        </w:trPr>
        <w:tc>
          <w:tcPr>
            <w:tcW w:w="4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income taxed at different rates</w:t>
            </w:r>
          </w:p>
        </w:tc>
        <w:tc>
          <w:tcPr>
            <w:tcW w:w="29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(9.6 )</w:t>
            </w: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(3.7 )</w:t>
            </w:r>
          </w:p>
        </w:tc>
        <w:tc>
          <w:tcPr>
            <w:tcW w:w="220" w:type="dxa"/>
            <w:vAlign w:val="bottom"/>
            <w:shd w:val="clear" w:color="auto" w:fill="CFF0FC"/>
          </w:tcPr>
          <w:p>
            <w:pPr>
              <w:spacing w:after="0"/>
              <w:rPr>
                <w:sz w:val="17"/>
                <w:szCs w:val="17"/>
                <w:color w:val="auto"/>
              </w:rPr>
            </w:pPr>
          </w:p>
        </w:tc>
      </w:tr>
      <w:tr>
        <w:trPr>
          <w:trHeight w:val="203"/>
        </w:trPr>
        <w:tc>
          <w:tcPr>
            <w:tcW w:w="4480" w:type="dxa"/>
            <w:vAlign w:val="bottom"/>
          </w:tcPr>
          <w:p>
            <w:pPr>
              <w:ind w:left="20"/>
              <w:spacing w:after="0" w:line="202" w:lineRule="exact"/>
              <w:rPr>
                <w:sz w:val="20"/>
                <w:szCs w:val="20"/>
                <w:color w:val="auto"/>
              </w:rPr>
            </w:pPr>
            <w:r>
              <w:rPr>
                <w:rFonts w:ascii="Arial" w:cs="Arial" w:eastAsia="Arial" w:hAnsi="Arial"/>
                <w:sz w:val="18"/>
                <w:szCs w:val="18"/>
                <w:color w:val="auto"/>
              </w:rPr>
              <w:t>Foreign-derived intangible income deduction</w:t>
            </w:r>
          </w:p>
        </w:tc>
        <w:tc>
          <w:tcPr>
            <w:tcW w:w="2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(3.9 )</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(1.5 )</w:t>
            </w:r>
          </w:p>
        </w:tc>
        <w:tc>
          <w:tcPr>
            <w:tcW w:w="220" w:type="dxa"/>
            <w:vAlign w:val="bottom"/>
          </w:tcPr>
          <w:p>
            <w:pPr>
              <w:spacing w:after="0"/>
              <w:rPr>
                <w:sz w:val="17"/>
                <w:szCs w:val="17"/>
                <w:color w:val="auto"/>
              </w:rPr>
            </w:pPr>
          </w:p>
        </w:tc>
      </w:tr>
      <w:tr>
        <w:trPr>
          <w:trHeight w:val="203"/>
        </w:trPr>
        <w:tc>
          <w:tcPr>
            <w:tcW w:w="4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and development credits</w:t>
            </w:r>
          </w:p>
        </w:tc>
        <w:tc>
          <w:tcPr>
            <w:tcW w:w="29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(6.6 )</w:t>
            </w: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(2.4 )</w:t>
            </w:r>
          </w:p>
        </w:tc>
        <w:tc>
          <w:tcPr>
            <w:tcW w:w="220" w:type="dxa"/>
            <w:vAlign w:val="bottom"/>
            <w:shd w:val="clear" w:color="auto" w:fill="CFF0FC"/>
          </w:tcPr>
          <w:p>
            <w:pPr>
              <w:spacing w:after="0"/>
              <w:rPr>
                <w:sz w:val="17"/>
                <w:szCs w:val="17"/>
                <w:color w:val="auto"/>
              </w:rPr>
            </w:pPr>
          </w:p>
        </w:tc>
      </w:tr>
      <w:tr>
        <w:trPr>
          <w:trHeight w:val="203"/>
        </w:trPr>
        <w:tc>
          <w:tcPr>
            <w:tcW w:w="4480" w:type="dxa"/>
            <w:vAlign w:val="bottom"/>
          </w:tcPr>
          <w:p>
            <w:pPr>
              <w:ind w:left="20"/>
              <w:spacing w:after="0" w:line="202" w:lineRule="exact"/>
              <w:rPr>
                <w:sz w:val="20"/>
                <w:szCs w:val="20"/>
                <w:color w:val="auto"/>
              </w:rPr>
            </w:pPr>
            <w:r>
              <w:rPr>
                <w:rFonts w:ascii="Arial" w:cs="Arial" w:eastAsia="Arial" w:hAnsi="Arial"/>
                <w:sz w:val="18"/>
                <w:szCs w:val="18"/>
                <w:color w:val="auto"/>
              </w:rPr>
              <w:t>Tax impact of foreign earnings and losses</w:t>
            </w:r>
          </w:p>
        </w:tc>
        <w:tc>
          <w:tcPr>
            <w:tcW w:w="2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r>
      <w:tr>
        <w:trPr>
          <w:trHeight w:val="203"/>
        </w:trPr>
        <w:tc>
          <w:tcPr>
            <w:tcW w:w="4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Subpart F</w:t>
            </w:r>
          </w:p>
        </w:tc>
        <w:tc>
          <w:tcPr>
            <w:tcW w:w="29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23.1</w:t>
            </w: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r>
      <w:tr>
        <w:trPr>
          <w:trHeight w:val="203"/>
        </w:trPr>
        <w:tc>
          <w:tcPr>
            <w:tcW w:w="4480" w:type="dxa"/>
            <w:vAlign w:val="bottom"/>
          </w:tcPr>
          <w:p>
            <w:pPr>
              <w:ind w:left="20"/>
              <w:spacing w:after="0" w:line="202" w:lineRule="exact"/>
              <w:rPr>
                <w:sz w:val="20"/>
                <w:szCs w:val="20"/>
                <w:color w:val="auto"/>
              </w:rPr>
            </w:pPr>
            <w:r>
              <w:rPr>
                <w:rFonts w:ascii="Arial" w:cs="Arial" w:eastAsia="Arial" w:hAnsi="Arial"/>
                <w:sz w:val="18"/>
                <w:szCs w:val="18"/>
                <w:color w:val="auto"/>
              </w:rPr>
              <w:t>Share-based compensation</w:t>
            </w:r>
          </w:p>
        </w:tc>
        <w:tc>
          <w:tcPr>
            <w:tcW w:w="2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21.7</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0.7</w:t>
            </w:r>
          </w:p>
        </w:tc>
        <w:tc>
          <w:tcPr>
            <w:tcW w:w="220" w:type="dxa"/>
            <w:vAlign w:val="bottom"/>
          </w:tcPr>
          <w:p>
            <w:pPr>
              <w:spacing w:after="0"/>
              <w:rPr>
                <w:sz w:val="17"/>
                <w:szCs w:val="17"/>
                <w:color w:val="auto"/>
              </w:rPr>
            </w:pPr>
          </w:p>
        </w:tc>
      </w:tr>
      <w:tr>
        <w:trPr>
          <w:trHeight w:val="203"/>
        </w:trPr>
        <w:tc>
          <w:tcPr>
            <w:tcW w:w="4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permanent adjustments</w:t>
            </w:r>
          </w:p>
        </w:tc>
        <w:tc>
          <w:tcPr>
            <w:tcW w:w="29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(3.2 )</w:t>
            </w:r>
          </w:p>
        </w:tc>
        <w:tc>
          <w:tcPr>
            <w:tcW w:w="220" w:type="dxa"/>
            <w:vAlign w:val="bottom"/>
            <w:shd w:val="clear" w:color="auto" w:fill="CFF0FC"/>
          </w:tcPr>
          <w:p>
            <w:pPr>
              <w:spacing w:after="0"/>
              <w:rPr>
                <w:sz w:val="17"/>
                <w:szCs w:val="17"/>
                <w:color w:val="auto"/>
              </w:rPr>
            </w:pPr>
          </w:p>
        </w:tc>
      </w:tr>
      <w:tr>
        <w:trPr>
          <w:trHeight w:val="203"/>
        </w:trPr>
        <w:tc>
          <w:tcPr>
            <w:tcW w:w="4480" w:type="dxa"/>
            <w:vAlign w:val="bottom"/>
          </w:tcPr>
          <w:p>
            <w:pPr>
              <w:ind w:left="20"/>
              <w:spacing w:after="0" w:line="202" w:lineRule="exact"/>
              <w:rPr>
                <w:sz w:val="20"/>
                <w:szCs w:val="20"/>
                <w:color w:val="auto"/>
              </w:rPr>
            </w:pPr>
            <w:r>
              <w:rPr>
                <w:rFonts w:ascii="Arial" w:cs="Arial" w:eastAsia="Arial" w:hAnsi="Arial"/>
                <w:sz w:val="18"/>
                <w:szCs w:val="18"/>
                <w:color w:val="auto"/>
              </w:rPr>
              <w:t>Prior year true up due to tax rate change</w:t>
            </w:r>
          </w:p>
        </w:tc>
        <w:tc>
          <w:tcPr>
            <w:tcW w:w="2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(0.6 )</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w:t>
            </w:r>
          </w:p>
        </w:tc>
        <w:tc>
          <w:tcPr>
            <w:tcW w:w="220" w:type="dxa"/>
            <w:vAlign w:val="bottom"/>
          </w:tcPr>
          <w:p>
            <w:pPr>
              <w:spacing w:after="0"/>
              <w:rPr>
                <w:sz w:val="17"/>
                <w:szCs w:val="17"/>
                <w:color w:val="auto"/>
              </w:rPr>
            </w:pPr>
          </w:p>
        </w:tc>
      </w:tr>
      <w:tr>
        <w:trPr>
          <w:trHeight w:val="203"/>
        </w:trPr>
        <w:tc>
          <w:tcPr>
            <w:tcW w:w="4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Change in valuation allowance, net</w:t>
            </w:r>
          </w:p>
        </w:tc>
        <w:tc>
          <w:tcPr>
            <w:tcW w:w="29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(53.4 )</w:t>
            </w:r>
          </w:p>
        </w:tc>
        <w:tc>
          <w:tcPr>
            <w:tcW w:w="220" w:type="dxa"/>
            <w:vAlign w:val="bottom"/>
            <w:shd w:val="clear" w:color="auto" w:fill="CFF0FC"/>
          </w:tcPr>
          <w:p>
            <w:pPr>
              <w:spacing w:after="0"/>
              <w:rPr>
                <w:sz w:val="17"/>
                <w:szCs w:val="17"/>
                <w:color w:val="auto"/>
              </w:rPr>
            </w:pPr>
          </w:p>
        </w:tc>
      </w:tr>
      <w:tr>
        <w:trPr>
          <w:trHeight w:val="203"/>
        </w:trPr>
        <w:tc>
          <w:tcPr>
            <w:tcW w:w="448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2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(2.2 )</w:t>
            </w:r>
          </w:p>
        </w:tc>
        <w:tc>
          <w:tcPr>
            <w:tcW w:w="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(0.5 )</w:t>
            </w:r>
          </w:p>
        </w:tc>
        <w:tc>
          <w:tcPr>
            <w:tcW w:w="220" w:type="dxa"/>
            <w:vAlign w:val="bottom"/>
          </w:tcPr>
          <w:p>
            <w:pPr>
              <w:spacing w:after="0"/>
              <w:rPr>
                <w:sz w:val="17"/>
                <w:szCs w:val="17"/>
                <w:color w:val="auto"/>
              </w:rPr>
            </w:pPr>
          </w:p>
        </w:tc>
      </w:tr>
      <w:tr>
        <w:trPr>
          <w:trHeight w:val="236"/>
        </w:trPr>
        <w:tc>
          <w:tcPr>
            <w:tcW w:w="44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Effective tax rate</w:t>
            </w:r>
          </w:p>
        </w:tc>
        <w:tc>
          <w:tcPr>
            <w:tcW w:w="29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48.9</w:t>
            </w:r>
          </w:p>
        </w:tc>
        <w:tc>
          <w:tcPr>
            <w:tcW w:w="2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(34.5 )</w:t>
            </w:r>
          </w:p>
        </w:tc>
        <w:tc>
          <w:tcPr>
            <w:tcW w:w="22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4"/>
              </w:rPr>
              <w:t>%</w:t>
            </w:r>
          </w:p>
        </w:tc>
      </w:tr>
      <w:tr>
        <w:trPr>
          <w:trHeight w:val="534"/>
        </w:trPr>
        <w:tc>
          <w:tcPr>
            <w:tcW w:w="4480" w:type="dxa"/>
            <w:vAlign w:val="bottom"/>
          </w:tcPr>
          <w:p>
            <w:pPr>
              <w:spacing w:after="0"/>
              <w:rPr>
                <w:sz w:val="24"/>
                <w:szCs w:val="24"/>
                <w:color w:val="auto"/>
              </w:rPr>
            </w:pPr>
          </w:p>
        </w:tc>
        <w:tc>
          <w:tcPr>
            <w:tcW w:w="2920" w:type="dxa"/>
            <w:vAlign w:val="bottom"/>
          </w:tcPr>
          <w:p>
            <w:pPr>
              <w:jc w:val="right"/>
              <w:ind w:right="1599"/>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01"/>
        </w:trPr>
        <w:tc>
          <w:tcPr>
            <w:tcW w:w="4480" w:type="dxa"/>
            <w:vAlign w:val="bottom"/>
            <w:tcBorders>
              <w:bottom w:val="single" w:sz="8" w:color="9A9A9A"/>
            </w:tcBorders>
          </w:tcPr>
          <w:p>
            <w:pPr>
              <w:spacing w:after="0"/>
              <w:rPr>
                <w:sz w:val="8"/>
                <w:szCs w:val="8"/>
                <w:color w:val="auto"/>
              </w:rPr>
            </w:pPr>
          </w:p>
        </w:tc>
        <w:tc>
          <w:tcPr>
            <w:tcW w:w="29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-3982720</wp:posOffset>
            </wp:positionV>
            <wp:extent cx="20574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-3331210</wp:posOffset>
            </wp:positionV>
            <wp:extent cx="20574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-2922270</wp:posOffset>
            </wp:positionV>
            <wp:extent cx="20574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-2905125</wp:posOffset>
            </wp:positionV>
            <wp:extent cx="20574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-453390</wp:posOffset>
            </wp:positionV>
            <wp:extent cx="19685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-436245</wp:posOffset>
            </wp:positionV>
            <wp:extent cx="1968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-453390</wp:posOffset>
            </wp:positionV>
            <wp:extent cx="1454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-436245</wp:posOffset>
            </wp:positionV>
            <wp:extent cx="1454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i w:val="1"/>
          <w:iCs w:val="1"/>
          <w:color w:val="auto"/>
        </w:rPr>
        <w:t>Significant components of deferred taxes</w:t>
      </w:r>
    </w:p>
    <w:p>
      <w:pPr>
        <w:spacing w:after="0" w:line="185"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tax effects of temporary differences and carryforwards that give rise to significant portions of the deferred tax assets and deferred tax liabilities at December 31, 2021 and 2020 are presented below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2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7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10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20" w:type="dxa"/>
            <w:vAlign w:val="bottom"/>
          </w:tcPr>
          <w:p>
            <w:pPr>
              <w:ind w:left="240"/>
              <w:spacing w:after="0" w:line="202" w:lineRule="exact"/>
              <w:rPr>
                <w:sz w:val="20"/>
                <w:szCs w:val="20"/>
                <w:color w:val="auto"/>
              </w:rPr>
            </w:pPr>
            <w:r>
              <w:rPr>
                <w:rFonts w:ascii="Arial" w:cs="Arial" w:eastAsia="Arial" w:hAnsi="Arial"/>
                <w:sz w:val="18"/>
                <w:szCs w:val="18"/>
                <w:color w:val="auto"/>
              </w:rPr>
              <w:t>Net operating loss Carryforwards</w:t>
            </w:r>
          </w:p>
        </w:tc>
        <w:tc>
          <w:tcPr>
            <w:tcW w:w="1000" w:type="dxa"/>
            <w:vAlign w:val="bottom"/>
          </w:tcPr>
          <w:p>
            <w:pPr>
              <w:jc w:val="right"/>
              <w:ind w:right="814"/>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632</w:t>
            </w:r>
          </w:p>
        </w:tc>
        <w:tc>
          <w:tcPr>
            <w:tcW w:w="6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03"/>
        </w:trPr>
        <w:tc>
          <w:tcPr>
            <w:tcW w:w="7420" w:type="dxa"/>
            <w:vAlign w:val="bottom"/>
            <w:shd w:val="clear" w:color="auto" w:fill="CFF0FC"/>
          </w:tcPr>
          <w:p>
            <w:pPr>
              <w:ind w:left="240"/>
              <w:spacing w:after="0" w:line="202" w:lineRule="exact"/>
              <w:rPr>
                <w:sz w:val="20"/>
                <w:szCs w:val="20"/>
                <w:color w:val="auto"/>
              </w:rPr>
            </w:pPr>
            <w:r>
              <w:rPr>
                <w:rFonts w:ascii="Arial" w:cs="Arial" w:eastAsia="Arial" w:hAnsi="Arial"/>
                <w:sz w:val="18"/>
                <w:szCs w:val="18"/>
                <w:color w:val="auto"/>
              </w:rPr>
              <w:t>Research and Development Credit Carryforward</w:t>
            </w:r>
          </w:p>
        </w:tc>
        <w:tc>
          <w:tcPr>
            <w:tcW w:w="10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430</w:t>
            </w: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3"/>
        </w:trPr>
        <w:tc>
          <w:tcPr>
            <w:tcW w:w="7420" w:type="dxa"/>
            <w:vAlign w:val="bottom"/>
          </w:tcPr>
          <w:p>
            <w:pPr>
              <w:ind w:left="240"/>
              <w:spacing w:after="0" w:line="202" w:lineRule="exact"/>
              <w:rPr>
                <w:sz w:val="20"/>
                <w:szCs w:val="20"/>
                <w:color w:val="auto"/>
              </w:rPr>
            </w:pPr>
            <w:r>
              <w:rPr>
                <w:rFonts w:ascii="Arial" w:cs="Arial" w:eastAsia="Arial" w:hAnsi="Arial"/>
                <w:sz w:val="18"/>
                <w:szCs w:val="18"/>
                <w:color w:val="auto"/>
              </w:rPr>
              <w:t>Stock Based Compensation</w:t>
            </w:r>
          </w:p>
        </w:tc>
        <w:tc>
          <w:tcPr>
            <w:tcW w:w="1000" w:type="dxa"/>
            <w:vAlign w:val="bottom"/>
          </w:tcPr>
          <w:p>
            <w:pPr>
              <w:spacing w:after="0"/>
              <w:rPr>
                <w:sz w:val="17"/>
                <w:szCs w:val="17"/>
                <w:color w:val="auto"/>
              </w:rPr>
            </w:pPr>
          </w:p>
        </w:tc>
        <w:tc>
          <w:tcPr>
            <w:tcW w:w="6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155</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7420" w:type="dxa"/>
            <w:vAlign w:val="bottom"/>
            <w:shd w:val="clear" w:color="auto" w:fill="CFF0FC"/>
          </w:tcPr>
          <w:p>
            <w:pPr>
              <w:ind w:left="240"/>
              <w:spacing w:after="0" w:line="202" w:lineRule="exact"/>
              <w:rPr>
                <w:sz w:val="20"/>
                <w:szCs w:val="20"/>
                <w:color w:val="auto"/>
              </w:rPr>
            </w:pPr>
            <w:r>
              <w:rPr>
                <w:rFonts w:ascii="Arial" w:cs="Arial" w:eastAsia="Arial" w:hAnsi="Arial"/>
                <w:sz w:val="18"/>
                <w:szCs w:val="18"/>
                <w:color w:val="auto"/>
              </w:rPr>
              <w:t>Depreciation and amortization</w:t>
            </w:r>
          </w:p>
        </w:tc>
        <w:tc>
          <w:tcPr>
            <w:tcW w:w="10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7420" w:type="dxa"/>
            <w:vAlign w:val="bottom"/>
          </w:tcPr>
          <w:p>
            <w:pPr>
              <w:ind w:left="240"/>
              <w:spacing w:after="0" w:line="202" w:lineRule="exact"/>
              <w:rPr>
                <w:sz w:val="20"/>
                <w:szCs w:val="20"/>
                <w:color w:val="auto"/>
              </w:rPr>
            </w:pPr>
            <w:r>
              <w:rPr>
                <w:rFonts w:ascii="Arial" w:cs="Arial" w:eastAsia="Arial" w:hAnsi="Arial"/>
                <w:sz w:val="18"/>
                <w:szCs w:val="18"/>
                <w:color w:val="auto"/>
              </w:rPr>
              <w:t>Legal Settlement</w:t>
            </w:r>
          </w:p>
        </w:tc>
        <w:tc>
          <w:tcPr>
            <w:tcW w:w="1000" w:type="dxa"/>
            <w:vAlign w:val="bottom"/>
          </w:tcPr>
          <w:p>
            <w:pPr>
              <w:spacing w:after="0"/>
              <w:rPr>
                <w:sz w:val="17"/>
                <w:szCs w:val="17"/>
                <w:color w:val="auto"/>
              </w:rPr>
            </w:pPr>
          </w:p>
        </w:tc>
        <w:tc>
          <w:tcPr>
            <w:tcW w:w="6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3,544</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4,216</w:t>
            </w:r>
          </w:p>
        </w:tc>
        <w:tc>
          <w:tcPr>
            <w:tcW w:w="0" w:type="dxa"/>
            <w:vAlign w:val="bottom"/>
          </w:tcPr>
          <w:p>
            <w:pPr>
              <w:spacing w:after="0"/>
              <w:rPr>
                <w:sz w:val="1"/>
                <w:szCs w:val="1"/>
                <w:color w:val="auto"/>
              </w:rPr>
            </w:pPr>
          </w:p>
        </w:tc>
      </w:tr>
      <w:tr>
        <w:trPr>
          <w:trHeight w:val="203"/>
        </w:trPr>
        <w:tc>
          <w:tcPr>
            <w:tcW w:w="7420" w:type="dxa"/>
            <w:vAlign w:val="bottom"/>
            <w:shd w:val="clear" w:color="auto" w:fill="CFF0FC"/>
          </w:tcPr>
          <w:p>
            <w:pPr>
              <w:ind w:left="240"/>
              <w:spacing w:after="0" w:line="202" w:lineRule="exact"/>
              <w:rPr>
                <w:sz w:val="20"/>
                <w:szCs w:val="20"/>
                <w:color w:val="auto"/>
              </w:rPr>
            </w:pPr>
            <w:r>
              <w:rPr>
                <w:rFonts w:ascii="Arial" w:cs="Arial" w:eastAsia="Arial" w:hAnsi="Arial"/>
                <w:sz w:val="18"/>
                <w:szCs w:val="18"/>
                <w:color w:val="auto"/>
              </w:rPr>
              <w:t>Deferred Revenue</w:t>
            </w:r>
          </w:p>
        </w:tc>
        <w:tc>
          <w:tcPr>
            <w:tcW w:w="10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2,595</w:t>
            </w: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03"/>
        </w:trPr>
        <w:tc>
          <w:tcPr>
            <w:tcW w:w="7420" w:type="dxa"/>
            <w:vAlign w:val="bottom"/>
          </w:tcPr>
          <w:p>
            <w:pPr>
              <w:ind w:left="240"/>
              <w:spacing w:after="0" w:line="202" w:lineRule="exact"/>
              <w:rPr>
                <w:sz w:val="20"/>
                <w:szCs w:val="20"/>
                <w:color w:val="auto"/>
              </w:rPr>
            </w:pPr>
            <w:r>
              <w:rPr>
                <w:rFonts w:ascii="Arial" w:cs="Arial" w:eastAsia="Arial" w:hAnsi="Arial"/>
                <w:sz w:val="18"/>
                <w:szCs w:val="18"/>
                <w:color w:val="auto"/>
              </w:rPr>
              <w:t>Inventory Reserve</w:t>
            </w:r>
          </w:p>
        </w:tc>
        <w:tc>
          <w:tcPr>
            <w:tcW w:w="1000" w:type="dxa"/>
            <w:vAlign w:val="bottom"/>
          </w:tcPr>
          <w:p>
            <w:pPr>
              <w:spacing w:after="0"/>
              <w:rPr>
                <w:sz w:val="17"/>
                <w:szCs w:val="17"/>
                <w:color w:val="auto"/>
              </w:rPr>
            </w:pPr>
          </w:p>
        </w:tc>
        <w:tc>
          <w:tcPr>
            <w:tcW w:w="6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792</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03"/>
        </w:trPr>
        <w:tc>
          <w:tcPr>
            <w:tcW w:w="7420" w:type="dxa"/>
            <w:vAlign w:val="bottom"/>
            <w:shd w:val="clear" w:color="auto" w:fill="CFF0FC"/>
          </w:tcPr>
          <w:p>
            <w:pPr>
              <w:ind w:left="240"/>
              <w:spacing w:after="0" w:line="202" w:lineRule="exact"/>
              <w:rPr>
                <w:sz w:val="20"/>
                <w:szCs w:val="20"/>
                <w:color w:val="auto"/>
              </w:rPr>
            </w:pPr>
            <w:r>
              <w:rPr>
                <w:rFonts w:ascii="Arial" w:cs="Arial" w:eastAsia="Arial" w:hAnsi="Arial"/>
                <w:sz w:val="18"/>
                <w:szCs w:val="18"/>
                <w:color w:val="auto"/>
              </w:rPr>
              <w:t>Accrued bonus</w:t>
            </w:r>
          </w:p>
        </w:tc>
        <w:tc>
          <w:tcPr>
            <w:tcW w:w="10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776</w:t>
            </w: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03"/>
        </w:trPr>
        <w:tc>
          <w:tcPr>
            <w:tcW w:w="7420" w:type="dxa"/>
            <w:vAlign w:val="bottom"/>
          </w:tcPr>
          <w:p>
            <w:pPr>
              <w:ind w:left="240"/>
              <w:spacing w:after="0" w:line="202" w:lineRule="exact"/>
              <w:rPr>
                <w:sz w:val="20"/>
                <w:szCs w:val="20"/>
                <w:color w:val="auto"/>
              </w:rPr>
            </w:pPr>
            <w:r>
              <w:rPr>
                <w:rFonts w:ascii="Arial" w:cs="Arial" w:eastAsia="Arial" w:hAnsi="Arial"/>
                <w:sz w:val="18"/>
                <w:szCs w:val="18"/>
                <w:color w:val="auto"/>
              </w:rPr>
              <w:t>Other accruals</w:t>
            </w:r>
          </w:p>
        </w:tc>
        <w:tc>
          <w:tcPr>
            <w:tcW w:w="10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1,510</w:t>
            </w:r>
          </w:p>
        </w:tc>
        <w:tc>
          <w:tcPr>
            <w:tcW w:w="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196"/>
        </w:trPr>
        <w:tc>
          <w:tcPr>
            <w:tcW w:w="7420" w:type="dxa"/>
            <w:vAlign w:val="bottom"/>
            <w:shd w:val="clear" w:color="auto" w:fill="CFF0FC"/>
          </w:tcPr>
          <w:p>
            <w:pPr>
              <w:ind w:left="60"/>
              <w:spacing w:after="0" w:line="196" w:lineRule="exact"/>
              <w:rPr>
                <w:sz w:val="20"/>
                <w:szCs w:val="20"/>
                <w:color w:val="auto"/>
              </w:rPr>
            </w:pPr>
            <w:r>
              <w:rPr>
                <w:rFonts w:ascii="Arial" w:cs="Arial" w:eastAsia="Arial" w:hAnsi="Arial"/>
                <w:sz w:val="18"/>
                <w:szCs w:val="18"/>
                <w:color w:val="auto"/>
              </w:rPr>
              <w:t>Gross deferred tax assets</w:t>
            </w:r>
          </w:p>
        </w:tc>
        <w:tc>
          <w:tcPr>
            <w:tcW w:w="10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8"/>
              </w:rPr>
              <w:t>10,434</w:t>
            </w: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8,200</w:t>
            </w:r>
          </w:p>
        </w:tc>
        <w:tc>
          <w:tcPr>
            <w:tcW w:w="0" w:type="dxa"/>
            <w:vAlign w:val="bottom"/>
          </w:tcPr>
          <w:p>
            <w:pPr>
              <w:spacing w:after="0"/>
              <w:rPr>
                <w:sz w:val="1"/>
                <w:szCs w:val="1"/>
                <w:color w:val="auto"/>
              </w:rPr>
            </w:pPr>
          </w:p>
        </w:tc>
      </w:tr>
      <w:tr>
        <w:trPr>
          <w:trHeight w:val="203"/>
        </w:trPr>
        <w:tc>
          <w:tcPr>
            <w:tcW w:w="7420" w:type="dxa"/>
            <w:vAlign w:val="bottom"/>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10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(483 )</w:t>
            </w:r>
          </w:p>
        </w:tc>
        <w:tc>
          <w:tcPr>
            <w:tcW w:w="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(418 )</w:t>
            </w:r>
          </w:p>
        </w:tc>
        <w:tc>
          <w:tcPr>
            <w:tcW w:w="0" w:type="dxa"/>
            <w:vAlign w:val="bottom"/>
          </w:tcPr>
          <w:p>
            <w:pPr>
              <w:spacing w:after="0"/>
              <w:rPr>
                <w:sz w:val="1"/>
                <w:szCs w:val="1"/>
                <w:color w:val="auto"/>
              </w:rPr>
            </w:pPr>
          </w:p>
        </w:tc>
      </w:tr>
      <w:tr>
        <w:trPr>
          <w:trHeight w:val="196"/>
        </w:trPr>
        <w:tc>
          <w:tcPr>
            <w:tcW w:w="7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deferred tax assets</w:t>
            </w:r>
          </w:p>
        </w:tc>
        <w:tc>
          <w:tcPr>
            <w:tcW w:w="1000" w:type="dxa"/>
            <w:vAlign w:val="bottom"/>
            <w:shd w:val="clear" w:color="auto" w:fill="CFF0FC"/>
          </w:tcPr>
          <w:p>
            <w:pPr>
              <w:jc w:val="right"/>
              <w:ind w:right="814"/>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9,951</w:t>
            </w: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7,782</w:t>
            </w:r>
          </w:p>
        </w:tc>
        <w:tc>
          <w:tcPr>
            <w:tcW w:w="0" w:type="dxa"/>
            <w:vAlign w:val="bottom"/>
          </w:tcPr>
          <w:p>
            <w:pPr>
              <w:spacing w:after="0"/>
              <w:rPr>
                <w:sz w:val="1"/>
                <w:szCs w:val="1"/>
                <w:color w:val="auto"/>
              </w:rPr>
            </w:pPr>
          </w:p>
        </w:tc>
      </w:tr>
      <w:tr>
        <w:trPr>
          <w:trHeight w:val="405"/>
        </w:trPr>
        <w:tc>
          <w:tcPr>
            <w:tcW w:w="7420" w:type="dxa"/>
            <w:vAlign w:val="bottom"/>
          </w:tcPr>
          <w:p>
            <w:pPr>
              <w:ind w:left="60"/>
              <w:spacing w:after="0"/>
              <w:rPr>
                <w:sz w:val="20"/>
                <w:szCs w:val="20"/>
                <w:color w:val="auto"/>
              </w:rPr>
            </w:pPr>
            <w:r>
              <w:rPr>
                <w:rFonts w:ascii="Arial" w:cs="Arial" w:eastAsia="Arial" w:hAnsi="Arial"/>
                <w:sz w:val="18"/>
                <w:szCs w:val="18"/>
                <w:color w:val="auto"/>
              </w:rPr>
              <w:t>Deferred tax liabilities</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420" w:type="dxa"/>
            <w:vAlign w:val="bottom"/>
            <w:shd w:val="clear" w:color="auto" w:fill="CFF0FC"/>
          </w:tcPr>
          <w:p>
            <w:pPr>
              <w:ind w:left="240"/>
              <w:spacing w:after="0" w:line="202" w:lineRule="exact"/>
              <w:rPr>
                <w:sz w:val="20"/>
                <w:szCs w:val="20"/>
                <w:color w:val="auto"/>
              </w:rPr>
            </w:pPr>
            <w:r>
              <w:rPr>
                <w:rFonts w:ascii="Arial" w:cs="Arial" w:eastAsia="Arial" w:hAnsi="Arial"/>
                <w:sz w:val="18"/>
                <w:szCs w:val="18"/>
                <w:color w:val="auto"/>
              </w:rPr>
              <w:t>Accounting method change</w:t>
            </w:r>
          </w:p>
        </w:tc>
        <w:tc>
          <w:tcPr>
            <w:tcW w:w="10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(196 )</w:t>
            </w: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(404 )</w:t>
            </w:r>
          </w:p>
        </w:tc>
        <w:tc>
          <w:tcPr>
            <w:tcW w:w="0" w:type="dxa"/>
            <w:vAlign w:val="bottom"/>
          </w:tcPr>
          <w:p>
            <w:pPr>
              <w:spacing w:after="0"/>
              <w:rPr>
                <w:sz w:val="1"/>
                <w:szCs w:val="1"/>
                <w:color w:val="auto"/>
              </w:rPr>
            </w:pPr>
          </w:p>
        </w:tc>
      </w:tr>
      <w:tr>
        <w:trPr>
          <w:trHeight w:val="203"/>
        </w:trPr>
        <w:tc>
          <w:tcPr>
            <w:tcW w:w="7420" w:type="dxa"/>
            <w:vAlign w:val="bottom"/>
          </w:tcPr>
          <w:p>
            <w:pPr>
              <w:ind w:left="240"/>
              <w:spacing w:after="0" w:line="202" w:lineRule="exact"/>
              <w:rPr>
                <w:sz w:val="20"/>
                <w:szCs w:val="20"/>
                <w:color w:val="auto"/>
              </w:rPr>
            </w:pPr>
            <w:r>
              <w:rPr>
                <w:rFonts w:ascii="Arial" w:cs="Arial" w:eastAsia="Arial" w:hAnsi="Arial"/>
                <w:sz w:val="18"/>
                <w:szCs w:val="18"/>
                <w:color w:val="auto"/>
              </w:rPr>
              <w:t>Depreciation and amortization</w:t>
            </w:r>
          </w:p>
        </w:tc>
        <w:tc>
          <w:tcPr>
            <w:tcW w:w="10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(581 )</w:t>
            </w:r>
          </w:p>
        </w:tc>
        <w:tc>
          <w:tcPr>
            <w:tcW w:w="3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deferred tax liabilities</w:t>
            </w:r>
          </w:p>
        </w:tc>
        <w:tc>
          <w:tcPr>
            <w:tcW w:w="1000" w:type="dxa"/>
            <w:vAlign w:val="bottom"/>
            <w:shd w:val="clear" w:color="auto" w:fill="CFF0FC"/>
          </w:tcPr>
          <w:p>
            <w:pPr>
              <w:jc w:val="right"/>
              <w:ind w:right="814"/>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(777 )</w:t>
            </w:r>
          </w:p>
        </w:tc>
        <w:tc>
          <w:tcPr>
            <w:tcW w:w="680" w:type="dxa"/>
            <w:vAlign w:val="bottom"/>
            <w:gridSpan w:val="2"/>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(404 )</w:t>
            </w:r>
          </w:p>
        </w:tc>
        <w:tc>
          <w:tcPr>
            <w:tcW w:w="0" w:type="dxa"/>
            <w:vAlign w:val="bottom"/>
          </w:tcPr>
          <w:p>
            <w:pPr>
              <w:spacing w:after="0"/>
              <w:rPr>
                <w:sz w:val="1"/>
                <w:szCs w:val="1"/>
                <w:color w:val="auto"/>
              </w:rPr>
            </w:pPr>
          </w:p>
        </w:tc>
      </w:tr>
      <w:tr>
        <w:trPr>
          <w:trHeight w:val="203"/>
        </w:trPr>
        <w:tc>
          <w:tcPr>
            <w:tcW w:w="74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20" w:type="dxa"/>
            <w:vAlign w:val="bottom"/>
            <w:vMerge w:val="restart"/>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20" w:type="dxa"/>
            <w:vAlign w:val="bottom"/>
          </w:tcPr>
          <w:p>
            <w:pPr>
              <w:ind w:left="20"/>
              <w:spacing w:after="0" w:line="182" w:lineRule="exact"/>
              <w:rPr>
                <w:sz w:val="20"/>
                <w:szCs w:val="20"/>
                <w:color w:val="auto"/>
              </w:rPr>
            </w:pPr>
            <w:r>
              <w:rPr>
                <w:rFonts w:ascii="Arial" w:cs="Arial" w:eastAsia="Arial" w:hAnsi="Arial"/>
                <w:sz w:val="18"/>
                <w:szCs w:val="18"/>
                <w:color w:val="auto"/>
              </w:rPr>
              <w:t>Net deferred tax assets (liabilities)</w:t>
            </w:r>
          </w:p>
        </w:tc>
        <w:tc>
          <w:tcPr>
            <w:tcW w:w="1000" w:type="dxa"/>
            <w:vAlign w:val="bottom"/>
            <w:tcBorders>
              <w:bottom w:val="single" w:sz="8" w:color="auto"/>
            </w:tcBorders>
          </w:tcPr>
          <w:p>
            <w:pPr>
              <w:jc w:val="right"/>
              <w:ind w:right="814"/>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9,174</w:t>
            </w:r>
          </w:p>
        </w:tc>
        <w:tc>
          <w:tcPr>
            <w:tcW w:w="32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1"/>
              <w:spacing w:after="0" w:line="182" w:lineRule="exact"/>
              <w:rPr>
                <w:sz w:val="20"/>
                <w:szCs w:val="20"/>
                <w:color w:val="auto"/>
              </w:rPr>
            </w:pPr>
            <w:r>
              <w:rPr>
                <w:rFonts w:ascii="Arial" w:cs="Arial" w:eastAsia="Arial" w:hAnsi="Arial"/>
                <w:sz w:val="18"/>
                <w:szCs w:val="18"/>
                <w:color w:val="auto"/>
              </w:rPr>
              <w:t>7,378</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assesses the available positive and negative evidence to estimate if sufficient future taxable income will be generated to utilize the existing deferred tax assets. During 2020 the Company released the valuation allowance on its U.S. deferred tax assets. The Company believes its deferred tax assets are more likely than not to be realized except for one entity in China which is expected to incur tax losses due to research and development deductions available.</w:t>
      </w:r>
    </w:p>
    <w:p>
      <w:pPr>
        <w:spacing w:after="0" w:line="14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As of December 31, 2021, the Company maintained a valuation allowance with respect to one of its foreign subsidiary’s net operating loss that it believes is not more likely than not to be realized. The Company will continue to reassess the valuation allowance annually and if future evidence allows for a partial or full release of the valuation allowance, a tax benefit will be recorded accordingly.</w:t>
      </w:r>
    </w:p>
    <w:p>
      <w:pPr>
        <w:spacing w:after="0" w:line="155"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As of December 31, 2021 and 2020, the Company had state net operating loss carryforwards of $2.1 million and $2.2 million, respectively, to reduce future taxable income. The state net operating loss begins to expire in 2036 if not utilized. As of December 31, 2021 and 2020, the Company had state tax credit carryforwards of $0.8 million and $0.1 million, respectively, to offset future tax liability. The credit carryforwards are not subject to expiration.</w:t>
      </w:r>
    </w:p>
    <w:p>
      <w:pPr>
        <w:spacing w:after="0" w:line="10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Internal Revenue Code Section 382 places a limitation on the amount of taxable income that can be offset by net operating loss carryforwards and tax credit carryforwards after a greater than 50% change in control in ownership. California has similar rules. The Company had performed a Section 382 analysis and determined that its capitalization have resulted in such a change in prior year and current year. Utilization of the net operating loss carryforwards and tax credit carryforwards had been subject to the annual limitations under IRC Section 382 and similar state provisions. The annual limitation may result in the expiration of the state net operating loss carryforwards before utilization.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tabular reconciliation of the total amounts of unrecognized tax benefits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420" w:type="dxa"/>
            <w:vAlign w:val="bottom"/>
          </w:tcPr>
          <w:p>
            <w:pPr>
              <w:spacing w:after="0"/>
              <w:rPr>
                <w:sz w:val="14"/>
                <w:szCs w:val="14"/>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2020</w:t>
            </w:r>
          </w:p>
        </w:tc>
      </w:tr>
      <w:tr>
        <w:trPr>
          <w:trHeight w:val="196"/>
        </w:trPr>
        <w:tc>
          <w:tcPr>
            <w:tcW w:w="7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Unrecognized tax benefits as of the beginning of the year</w:t>
            </w:r>
          </w:p>
        </w:tc>
        <w:tc>
          <w:tcPr>
            <w:tcW w:w="1040" w:type="dxa"/>
            <w:vAlign w:val="bottom"/>
            <w:shd w:val="clear" w:color="auto" w:fill="CFF0FC"/>
          </w:tcPr>
          <w:p>
            <w:pPr>
              <w:jc w:val="right"/>
              <w:ind w:right="85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737</w:t>
            </w: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234</w:t>
            </w:r>
          </w:p>
        </w:tc>
      </w:tr>
      <w:tr>
        <w:trPr>
          <w:trHeight w:val="203"/>
        </w:trPr>
        <w:tc>
          <w:tcPr>
            <w:tcW w:w="7420" w:type="dxa"/>
            <w:vAlign w:val="bottom"/>
          </w:tcPr>
          <w:p>
            <w:pPr>
              <w:ind w:left="20"/>
              <w:spacing w:after="0" w:line="202" w:lineRule="exact"/>
              <w:rPr>
                <w:sz w:val="20"/>
                <w:szCs w:val="20"/>
                <w:color w:val="auto"/>
              </w:rPr>
            </w:pPr>
            <w:r>
              <w:rPr>
                <w:rFonts w:ascii="Arial" w:cs="Arial" w:eastAsia="Arial" w:hAnsi="Arial"/>
                <w:sz w:val="18"/>
                <w:szCs w:val="18"/>
                <w:color w:val="auto"/>
              </w:rPr>
              <w:t>Increases related to prior year tax provisions</w:t>
            </w:r>
          </w:p>
        </w:tc>
        <w:tc>
          <w:tcPr>
            <w:tcW w:w="10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77</w:t>
            </w:r>
          </w:p>
        </w:tc>
      </w:tr>
      <w:tr>
        <w:trPr>
          <w:trHeight w:val="203"/>
        </w:trPr>
        <w:tc>
          <w:tcPr>
            <w:tcW w:w="74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Increase related to current year tax provisions</w:t>
            </w:r>
          </w:p>
        </w:tc>
        <w:tc>
          <w:tcPr>
            <w:tcW w:w="10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519</w:t>
            </w:r>
          </w:p>
        </w:tc>
        <w:tc>
          <w:tcPr>
            <w:tcW w:w="3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426</w:t>
            </w:r>
          </w:p>
        </w:tc>
      </w:tr>
      <w:tr>
        <w:trPr>
          <w:trHeight w:val="196"/>
        </w:trPr>
        <w:tc>
          <w:tcPr>
            <w:tcW w:w="7420" w:type="dxa"/>
            <w:vAlign w:val="bottom"/>
          </w:tcPr>
          <w:p>
            <w:pPr>
              <w:ind w:left="20"/>
              <w:spacing w:after="0" w:line="182" w:lineRule="exact"/>
              <w:rPr>
                <w:sz w:val="20"/>
                <w:szCs w:val="20"/>
                <w:color w:val="auto"/>
              </w:rPr>
            </w:pPr>
            <w:r>
              <w:rPr>
                <w:rFonts w:ascii="Arial" w:cs="Arial" w:eastAsia="Arial" w:hAnsi="Arial"/>
                <w:sz w:val="18"/>
                <w:szCs w:val="18"/>
                <w:color w:val="auto"/>
              </w:rPr>
              <w:t>Unrecognized tax benefits as of the end of the year</w:t>
            </w:r>
          </w:p>
        </w:tc>
        <w:tc>
          <w:tcPr>
            <w:tcW w:w="1040" w:type="dxa"/>
            <w:vAlign w:val="bottom"/>
          </w:tcPr>
          <w:p>
            <w:pPr>
              <w:jc w:val="right"/>
              <w:ind w:right="856"/>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1,321</w:t>
            </w:r>
          </w:p>
        </w:tc>
        <w:tc>
          <w:tcPr>
            <w:tcW w:w="680" w:type="dxa"/>
            <w:vAlign w:val="bottom"/>
            <w:gridSpan w:val="2"/>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line="182" w:lineRule="exact"/>
              <w:rPr>
                <w:sz w:val="20"/>
                <w:szCs w:val="20"/>
                <w:color w:val="auto"/>
              </w:rPr>
            </w:pPr>
            <w:r>
              <w:rPr>
                <w:rFonts w:ascii="Arial" w:cs="Arial" w:eastAsia="Arial" w:hAnsi="Arial"/>
                <w:sz w:val="18"/>
                <w:szCs w:val="18"/>
                <w:color w:val="auto"/>
              </w:rPr>
              <w:t>737</w:t>
            </w:r>
          </w:p>
        </w:tc>
      </w:tr>
      <w:tr>
        <w:trPr>
          <w:trHeight w:val="20"/>
        </w:trPr>
        <w:tc>
          <w:tcPr>
            <w:tcW w:w="7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-159385</wp:posOffset>
            </wp:positionV>
            <wp:extent cx="19685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96850" cy="5715"/>
                    </a:xfrm>
                    <a:prstGeom prst="rect">
                      <a:avLst/>
                    </a:prstGeom>
                    <a:noFill/>
                  </pic:spPr>
                </pic:pic>
              </a:graphicData>
            </a:graphic>
          </wp:anchor>
        </w:drawing>
      </w:r>
    </w:p>
    <w:p>
      <w:pPr>
        <w:spacing w:after="0" w:line="276"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Company accounts for uncertain tax positions under ASC 740. As of December 31, 2021 and 2020, there was approximately $1.3 million and $0.7 million of unrecognized tax benefits, respectively. Of the unrecognized tax benefits, $1.1 million and $0.6 million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97" w:name="page98"/>
    <w:bookmarkEnd w:id="97"/>
    <w:p>
      <w:pPr>
        <w:spacing w:after="0" w:line="248" w:lineRule="auto"/>
        <w:rPr>
          <w:sz w:val="20"/>
          <w:szCs w:val="20"/>
          <w:color w:val="auto"/>
        </w:rPr>
      </w:pPr>
      <w:r>
        <w:rPr>
          <w:rFonts w:ascii="Arial" w:cs="Arial" w:eastAsia="Arial" w:hAnsi="Arial"/>
          <w:sz w:val="18"/>
          <w:szCs w:val="18"/>
          <w:color w:val="auto"/>
        </w:rPr>
        <w:t>represents the amount that if recognized, would favorably affect the effective income tax rate in 2021 and 2020, respectively. The Company does not expect a significant change to its unrecognized tax benefits or recorded liabilities over the next twelve months. The unrecognized tax benefits may increase or change during the next year for items that arise in the ordinary course of business.</w:t>
      </w:r>
    </w:p>
    <w:p>
      <w:pPr>
        <w:spacing w:after="0" w:line="7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files income tax returns in U.S. federal jurisdiction, various state jurisdictions and foreign jurisdictions. The U.S.,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or foreign income tax purposes.</w:t>
      </w:r>
    </w:p>
    <w:p>
      <w:pPr>
        <w:spacing w:after="0" w:line="16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As of December 31, 2021, the Company’s management is asserting that it is their intent to indefinitely reinvest unremitted foreign earnings for all its foreign entities.</w:t>
      </w:r>
    </w:p>
    <w:p>
      <w:pPr>
        <w:spacing w:after="0" w:line="126" w:lineRule="exact"/>
        <w:rPr>
          <w:sz w:val="20"/>
          <w:szCs w:val="20"/>
          <w:color w:val="auto"/>
        </w:rPr>
      </w:pPr>
    </w:p>
    <w:p>
      <w:pPr>
        <w:ind w:left="520" w:hanging="512"/>
        <w:spacing w:after="0"/>
        <w:tabs>
          <w:tab w:leader="none" w:pos="5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agreements</w:t>
      </w:r>
    </w:p>
    <w:p>
      <w:pPr>
        <w:spacing w:after="0" w:line="171"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The Company leases office facilities under various non-cancelable leases that expire at various dates. Under certain leases, the Company is responsible for expenses related to operations, maintenance, repairs, and management fees that are accounted for as operating leases.</w:t>
      </w:r>
    </w:p>
    <w:p>
      <w:pPr>
        <w:spacing w:after="0" w:line="120"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The following table shows the future minimum lease payments for the operating leases excluding minimum sublease rentals of $0.6 million due in the future under non-cancelable sublease as of December 31, 2021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Operating leases</w:t>
            </w:r>
          </w:p>
        </w:tc>
        <w:tc>
          <w:tcPr>
            <w:tcW w:w="60" w:type="dxa"/>
            <w:vAlign w:val="bottom"/>
          </w:tcPr>
          <w:p>
            <w:pPr>
              <w:spacing w:after="0"/>
              <w:rPr>
                <w:sz w:val="16"/>
                <w:szCs w:val="16"/>
                <w:color w:val="auto"/>
              </w:rPr>
            </w:pPr>
          </w:p>
        </w:tc>
      </w:tr>
      <w:tr>
        <w:trPr>
          <w:trHeight w:val="196"/>
        </w:trPr>
        <w:tc>
          <w:tcPr>
            <w:tcW w:w="8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2,251</w:t>
            </w:r>
          </w:p>
        </w:tc>
        <w:tc>
          <w:tcPr>
            <w:tcW w:w="60" w:type="dxa"/>
            <w:vAlign w:val="bottom"/>
            <w:shd w:val="clear" w:color="auto" w:fill="CFF0FC"/>
          </w:tcPr>
          <w:p>
            <w:pPr>
              <w:spacing w:after="0"/>
              <w:rPr>
                <w:sz w:val="17"/>
                <w:szCs w:val="17"/>
                <w:color w:val="auto"/>
              </w:rPr>
            </w:pPr>
          </w:p>
        </w:tc>
      </w:tr>
      <w:tr>
        <w:trPr>
          <w:trHeight w:val="203"/>
        </w:trPr>
        <w:tc>
          <w:tcPr>
            <w:tcW w:w="882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380" w:type="dxa"/>
            <w:vAlign w:val="bottom"/>
          </w:tcPr>
          <w:p>
            <w:pPr>
              <w:spacing w:after="0"/>
              <w:rPr>
                <w:sz w:val="17"/>
                <w:szCs w:val="17"/>
                <w:color w:val="auto"/>
              </w:rPr>
            </w:pPr>
          </w:p>
        </w:tc>
        <w:tc>
          <w:tcPr>
            <w:tcW w:w="1980" w:type="dxa"/>
            <w:vAlign w:val="bottom"/>
          </w:tcPr>
          <w:p>
            <w:pPr>
              <w:jc w:val="right"/>
              <w:spacing w:after="0" w:line="202" w:lineRule="exact"/>
              <w:rPr>
                <w:sz w:val="20"/>
                <w:szCs w:val="20"/>
                <w:color w:val="auto"/>
              </w:rPr>
            </w:pPr>
            <w:r>
              <w:rPr>
                <w:rFonts w:ascii="Arial" w:cs="Arial" w:eastAsia="Arial" w:hAnsi="Arial"/>
                <w:sz w:val="18"/>
                <w:szCs w:val="18"/>
                <w:color w:val="auto"/>
              </w:rPr>
              <w:t>2,803</w:t>
            </w:r>
          </w:p>
        </w:tc>
        <w:tc>
          <w:tcPr>
            <w:tcW w:w="60" w:type="dxa"/>
            <w:vAlign w:val="bottom"/>
          </w:tcPr>
          <w:p>
            <w:pPr>
              <w:spacing w:after="0"/>
              <w:rPr>
                <w:sz w:val="17"/>
                <w:szCs w:val="17"/>
                <w:color w:val="auto"/>
              </w:rPr>
            </w:pPr>
          </w:p>
        </w:tc>
      </w:tr>
      <w:tr>
        <w:trPr>
          <w:trHeight w:val="203"/>
        </w:trPr>
        <w:tc>
          <w:tcPr>
            <w:tcW w:w="8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380" w:type="dxa"/>
            <w:vAlign w:val="bottom"/>
            <w:shd w:val="clear" w:color="auto" w:fill="CFF0FC"/>
          </w:tcPr>
          <w:p>
            <w:pPr>
              <w:spacing w:after="0"/>
              <w:rPr>
                <w:sz w:val="17"/>
                <w:szCs w:val="17"/>
                <w:color w:val="auto"/>
              </w:rPr>
            </w:pPr>
          </w:p>
        </w:tc>
        <w:tc>
          <w:tcPr>
            <w:tcW w:w="1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2,417</w:t>
            </w:r>
          </w:p>
        </w:tc>
        <w:tc>
          <w:tcPr>
            <w:tcW w:w="60" w:type="dxa"/>
            <w:vAlign w:val="bottom"/>
            <w:shd w:val="clear" w:color="auto" w:fill="CFF0FC"/>
          </w:tcPr>
          <w:p>
            <w:pPr>
              <w:spacing w:after="0"/>
              <w:rPr>
                <w:sz w:val="17"/>
                <w:szCs w:val="17"/>
                <w:color w:val="auto"/>
              </w:rPr>
            </w:pPr>
          </w:p>
        </w:tc>
      </w:tr>
      <w:tr>
        <w:trPr>
          <w:trHeight w:val="203"/>
        </w:trPr>
        <w:tc>
          <w:tcPr>
            <w:tcW w:w="882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380" w:type="dxa"/>
            <w:vAlign w:val="bottom"/>
          </w:tcPr>
          <w:p>
            <w:pPr>
              <w:spacing w:after="0"/>
              <w:rPr>
                <w:sz w:val="17"/>
                <w:szCs w:val="17"/>
                <w:color w:val="auto"/>
              </w:rPr>
            </w:pPr>
          </w:p>
        </w:tc>
        <w:tc>
          <w:tcPr>
            <w:tcW w:w="1980" w:type="dxa"/>
            <w:vAlign w:val="bottom"/>
          </w:tcPr>
          <w:p>
            <w:pPr>
              <w:jc w:val="right"/>
              <w:spacing w:after="0" w:line="202" w:lineRule="exact"/>
              <w:rPr>
                <w:sz w:val="20"/>
                <w:szCs w:val="20"/>
                <w:color w:val="auto"/>
              </w:rPr>
            </w:pPr>
            <w:r>
              <w:rPr>
                <w:rFonts w:ascii="Arial" w:cs="Arial" w:eastAsia="Arial" w:hAnsi="Arial"/>
                <w:sz w:val="18"/>
                <w:szCs w:val="18"/>
                <w:color w:val="auto"/>
              </w:rPr>
              <w:t>2,215</w:t>
            </w:r>
          </w:p>
        </w:tc>
        <w:tc>
          <w:tcPr>
            <w:tcW w:w="60" w:type="dxa"/>
            <w:vAlign w:val="bottom"/>
          </w:tcPr>
          <w:p>
            <w:pPr>
              <w:spacing w:after="0"/>
              <w:rPr>
                <w:sz w:val="17"/>
                <w:szCs w:val="17"/>
                <w:color w:val="auto"/>
              </w:rPr>
            </w:pPr>
          </w:p>
        </w:tc>
      </w:tr>
      <w:tr>
        <w:trPr>
          <w:trHeight w:val="203"/>
        </w:trPr>
        <w:tc>
          <w:tcPr>
            <w:tcW w:w="8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380" w:type="dxa"/>
            <w:vAlign w:val="bottom"/>
            <w:shd w:val="clear" w:color="auto" w:fill="CFF0FC"/>
          </w:tcPr>
          <w:p>
            <w:pPr>
              <w:spacing w:after="0"/>
              <w:rPr>
                <w:sz w:val="17"/>
                <w:szCs w:val="17"/>
                <w:color w:val="auto"/>
              </w:rPr>
            </w:pPr>
          </w:p>
        </w:tc>
        <w:tc>
          <w:tcPr>
            <w:tcW w:w="1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2,220</w:t>
            </w:r>
          </w:p>
        </w:tc>
        <w:tc>
          <w:tcPr>
            <w:tcW w:w="60" w:type="dxa"/>
            <w:vAlign w:val="bottom"/>
            <w:shd w:val="clear" w:color="auto" w:fill="CFF0FC"/>
          </w:tcPr>
          <w:p>
            <w:pPr>
              <w:spacing w:after="0"/>
              <w:rPr>
                <w:sz w:val="17"/>
                <w:szCs w:val="17"/>
                <w:color w:val="auto"/>
              </w:rPr>
            </w:pPr>
          </w:p>
        </w:tc>
      </w:tr>
      <w:tr>
        <w:trPr>
          <w:trHeight w:val="203"/>
        </w:trPr>
        <w:tc>
          <w:tcPr>
            <w:tcW w:w="8820" w:type="dxa"/>
            <w:vAlign w:val="bottom"/>
          </w:tcPr>
          <w:p>
            <w:pPr>
              <w:ind w:left="200"/>
              <w:spacing w:after="0" w:line="202" w:lineRule="exact"/>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4,571</w:t>
            </w:r>
          </w:p>
        </w:tc>
        <w:tc>
          <w:tcPr>
            <w:tcW w:w="60" w:type="dxa"/>
            <w:vAlign w:val="bottom"/>
          </w:tcPr>
          <w:p>
            <w:pPr>
              <w:spacing w:after="0"/>
              <w:rPr>
                <w:sz w:val="17"/>
                <w:szCs w:val="17"/>
                <w:color w:val="auto"/>
              </w:rPr>
            </w:pPr>
          </w:p>
        </w:tc>
      </w:tr>
      <w:tr>
        <w:trPr>
          <w:trHeight w:val="236"/>
        </w:trPr>
        <w:tc>
          <w:tcPr>
            <w:tcW w:w="88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future minimum lease payments</w:t>
            </w: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16,477</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Rent expense totaled $2.1 million and $1.3 million for the year ended December 31, 2021 and 2020,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 Loan</w:t>
      </w:r>
    </w:p>
    <w:p>
      <w:pPr>
        <w:spacing w:after="0" w:line="17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On March 27, 2020, the Coronavirus Aid, Relief, and Economic Security Act (the “CARES Act”) was enacted to, amongst other provisions, provide emergency assistance for individuals, families and businesses affected by the COVID-19 pandemic. The CARES Act includes a Paycheck Protection Program (“PPP”) administered through the Small Business Association (“SBA”). Under the PPP, beginning April 3, 2020, small businesses and other entities and individuals could apply for loans from existing SBA lenders and other approved regulated lenders that enroll in the program, subject to numerous limitations and eligibility criteria.</w:t>
      </w:r>
    </w:p>
    <w:p>
      <w:pPr>
        <w:spacing w:after="0" w:line="16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On May 7, 2020, the Company received gross proceeds in the amount of approximately $4.1 million under the PPP. The PPP, established as part of the CARES Act, provides for loans to qualifying businesses for amounts up to 2.5 times the average monthly payroll expenses of the qualifying business. On May 4, 2021, the Company fully repaid the PPP loan.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85"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Company evaluates the status of each legal matter, if any, and assesses potential financial exposure. If the potential loss from any legal proceedings or litigation is considered probable and the amount can be reasonably estimated, the Company accrues a liability for the estimated loss. Significant judgment is required to determine the probability of a loss and whether the amount of the loss is reasonably estimated. The outcome of any proceeding is not determinable in advance. As a result, the assessment of a potential liability and the amount of accruals recorded are based on the information available at the time.</w:t>
      </w:r>
    </w:p>
    <w:p>
      <w:pPr>
        <w:spacing w:after="0" w:line="14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Company is not currently involved in legal actions, nor is management aware of any potential claims or legal actions, for which the ultimate disposition could have a material effect on the Company’s financial position, results of operations or liquidity.</w:t>
      </w:r>
    </w:p>
    <w:p>
      <w:pPr>
        <w:spacing w:after="0" w:line="140" w:lineRule="exact"/>
        <w:rPr>
          <w:sz w:val="20"/>
          <w:szCs w:val="20"/>
          <w:color w:val="auto"/>
        </w:rPr>
      </w:pPr>
    </w:p>
    <w:p>
      <w:pPr>
        <w:ind w:left="520" w:hanging="512"/>
        <w:spacing w:after="0"/>
        <w:tabs>
          <w:tab w:leader="none" w:pos="5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Cytek Japan</w:t>
      </w:r>
    </w:p>
    <w:p>
      <w:pPr>
        <w:spacing w:after="0" w:line="175"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In May 2019, the Company jointly formed Cytek Japan with TOMY Digital Biology (“TOMY”). Cytek Japan was created for the purpose of expanding the Company’s presence in Japan. The Company and TOMY each purchased $46,000 of common stock of Cytek</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8" w:name="page99"/>
    <w:bookmarkEnd w:id="98"/>
    <w:p>
      <w:pPr>
        <w:jc w:val="both"/>
        <w:spacing w:after="0" w:line="248" w:lineRule="auto"/>
        <w:rPr>
          <w:sz w:val="20"/>
          <w:szCs w:val="20"/>
          <w:color w:val="auto"/>
        </w:rPr>
      </w:pPr>
      <w:r>
        <w:rPr>
          <w:rFonts w:ascii="Arial" w:cs="Arial" w:eastAsia="Arial" w:hAnsi="Arial"/>
          <w:sz w:val="18"/>
          <w:szCs w:val="18"/>
          <w:color w:val="auto"/>
        </w:rPr>
        <w:t>Japan. The Company previously accounted for its 50% interest in Cytek Japan as an equity method investment. The Company recorded $40,000 for its proportionate share of Cytek Japan’s earnings prior to its additional investment, which is included in other income (expense), net in the consolidated statements of operations and comprehensive income for the year ended December 31, 2021.</w:t>
      </w:r>
    </w:p>
    <w:p>
      <w:pPr>
        <w:spacing w:after="0" w:line="14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March 2021, the Company purchased an additional $688,000 of common stock of Cytek Japan and TOMY purchased an additional $229,000 of common stock of Cytek Japan. The Company’s interest in Cytek Japan increased from 50% to 73% giving the Company controlling interest. The Company consolidated Cytek Japan as of March 31, 2021 under the VOE model as Cytek Japan does not meet the definition of a VIE and as TOMY does not have substantive voting, participating or liquidation rights.</w:t>
      </w:r>
    </w:p>
    <w:p>
      <w:pPr>
        <w:spacing w:after="0" w:line="16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 recognized net assets of $1.1 million, consisting primarily of $1.0 million cash. The Company recorded noncontrolling interest of $315,000 on the consolidated financial statements as of March 31, 2021. The net income attributable to noncontrolling interest was $26,000 for the year ended December 31, 2021.</w:t>
      </w:r>
    </w:p>
    <w:p>
      <w:pPr>
        <w:spacing w:after="0" w:line="286" w:lineRule="exact"/>
        <w:rPr>
          <w:sz w:val="20"/>
          <w:szCs w:val="20"/>
          <w:color w:val="auto"/>
        </w:rPr>
      </w:pPr>
    </w:p>
    <w:p>
      <w:pPr>
        <w:ind w:left="520" w:hanging="512"/>
        <w:spacing w:after="0"/>
        <w:tabs>
          <w:tab w:leader="none" w:pos="5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08"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In February 2017, the Company entered into an agreement with a third-party manufacturing company whereby an executive officer of the Company was also a member of the third-party manufacturer’s board of directors. The executive officer of the Company resigned from the third-party manufacturer’s board of directors in February 2020. During the year ended December 31, 2020, the Company paid the third-party manufacturing company $306,000 for the purchase of inventory. The Company’s open balance was $41,000 as December 31, 2020, and is reflected in trade accounts payable and accrued expenses.</w:t>
      </w:r>
    </w:p>
    <w:p>
      <w:pPr>
        <w:spacing w:after="0" w:line="293" w:lineRule="exact"/>
        <w:rPr>
          <w:sz w:val="20"/>
          <w:szCs w:val="20"/>
          <w:color w:val="auto"/>
        </w:rPr>
      </w:pPr>
    </w:p>
    <w:p>
      <w:pPr>
        <w:ind w:left="520" w:hanging="512"/>
        <w:spacing w:after="0"/>
        <w:tabs>
          <w:tab w:leader="none" w:pos="5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Product warranty</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following table shows the activity in the product warranty accrual included in accrued expenses on the consolidated balance sheets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ind w:right="376"/>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376"/>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2020</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beginning of the period</w:t>
            </w: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rPr>
              <w:t>969</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rPr>
              <w:t>734</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Accrual for current year warranties</w:t>
            </w:r>
          </w:p>
        </w:tc>
        <w:tc>
          <w:tcPr>
            <w:tcW w:w="260" w:type="dxa"/>
            <w:vAlign w:val="bottom"/>
          </w:tcPr>
          <w:p>
            <w:pPr>
              <w:spacing w:after="0"/>
              <w:rPr>
                <w:sz w:val="17"/>
                <w:szCs w:val="17"/>
                <w:color w:val="auto"/>
              </w:rPr>
            </w:pPr>
          </w:p>
        </w:tc>
        <w:tc>
          <w:tcPr>
            <w:tcW w:w="14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3,304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1,506</w:t>
            </w: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Warranty cost incurred</w:t>
            </w:r>
          </w:p>
        </w:tc>
        <w:tc>
          <w:tcPr>
            <w:tcW w:w="2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(2,513 )</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(1,271 )</w:t>
            </w: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Balance, end of period</w:t>
            </w:r>
          </w:p>
        </w:tc>
        <w:tc>
          <w:tcPr>
            <w:tcW w:w="2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6"/>
              <w:spacing w:after="0" w:line="196" w:lineRule="exact"/>
              <w:rPr>
                <w:sz w:val="20"/>
                <w:szCs w:val="20"/>
                <w:color w:val="auto"/>
              </w:rPr>
            </w:pPr>
            <w:r>
              <w:rPr>
                <w:rFonts w:ascii="Arial" w:cs="Arial" w:eastAsia="Arial" w:hAnsi="Arial"/>
                <w:sz w:val="18"/>
                <w:szCs w:val="18"/>
                <w:color w:val="auto"/>
              </w:rPr>
              <w:t>1,760</w:t>
            </w:r>
          </w:p>
        </w:tc>
        <w:tc>
          <w:tcPr>
            <w:tcW w:w="42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6"/>
              <w:spacing w:after="0" w:line="196" w:lineRule="exact"/>
              <w:rPr>
                <w:sz w:val="20"/>
                <w:szCs w:val="20"/>
                <w:color w:val="auto"/>
              </w:rPr>
            </w:pPr>
            <w:r>
              <w:rPr>
                <w:rFonts w:ascii="Arial" w:cs="Arial" w:eastAsia="Arial" w:hAnsi="Arial"/>
                <w:sz w:val="18"/>
                <w:szCs w:val="18"/>
                <w:color w:val="auto"/>
              </w:rPr>
              <w:t>969</w:t>
            </w:r>
          </w:p>
        </w:tc>
      </w:tr>
      <w:tr>
        <w:trPr>
          <w:trHeight w:val="20"/>
        </w:trPr>
        <w:tc>
          <w:tcPr>
            <w:tcW w:w="7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-159385</wp:posOffset>
            </wp:positionV>
            <wp:extent cx="111125"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11125" cy="5715"/>
                    </a:xfrm>
                    <a:prstGeom prst="rect">
                      <a:avLst/>
                    </a:prstGeom>
                    <a:noFill/>
                  </pic:spPr>
                </pic:pic>
              </a:graphicData>
            </a:graphic>
          </wp:anchor>
        </w:drawing>
      </w:r>
    </w:p>
    <w:p>
      <w:pPr>
        <w:spacing w:after="0" w:line="367" w:lineRule="exact"/>
        <w:rPr>
          <w:sz w:val="20"/>
          <w:szCs w:val="20"/>
          <w:color w:val="auto"/>
        </w:rPr>
      </w:pPr>
    </w:p>
    <w:p>
      <w:pPr>
        <w:ind w:left="520" w:hanging="512"/>
        <w:spacing w:after="0"/>
        <w:tabs>
          <w:tab w:leader="none" w:pos="5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attributable to common stockholders per share</w:t>
      </w:r>
    </w:p>
    <w:p>
      <w:pPr>
        <w:spacing w:after="0" w:line="18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following table sets forth the computation of the Company’s basic and diluted net income attributable to common stockholders per share for the year ended December 31, 2021 and 2020 (in thousands except share and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w w:val="83"/>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560" w:type="dxa"/>
            <w:vAlign w:val="bottom"/>
            <w:shd w:val="clear" w:color="auto" w:fill="CFF0FC"/>
          </w:tcPr>
          <w:p>
            <w:pPr>
              <w:spacing w:after="0" w:line="196" w:lineRule="exact"/>
              <w:rPr>
                <w:sz w:val="20"/>
                <w:szCs w:val="20"/>
                <w:color w:val="auto"/>
              </w:rPr>
            </w:pPr>
            <w:r>
              <w:rPr>
                <w:rFonts w:ascii="Arial" w:cs="Arial" w:eastAsia="Arial" w:hAnsi="Arial"/>
                <w:sz w:val="18"/>
                <w:szCs w:val="18"/>
                <w:i w:val="1"/>
                <w:iCs w:val="1"/>
                <w:color w:val="auto"/>
              </w:rPr>
              <w:t>Numerator</w:t>
            </w: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7560" w:type="dxa"/>
            <w:vAlign w:val="bottom"/>
          </w:tcPr>
          <w:p>
            <w:pPr>
              <w:ind w:left="180"/>
              <w:spacing w:after="0" w:line="202" w:lineRule="exact"/>
              <w:rPr>
                <w:sz w:val="20"/>
                <w:szCs w:val="20"/>
                <w:color w:val="auto"/>
              </w:rPr>
            </w:pPr>
            <w:r>
              <w:rPr>
                <w:rFonts w:ascii="Arial" w:cs="Arial" w:eastAsia="Arial" w:hAnsi="Arial"/>
                <w:sz w:val="18"/>
                <w:szCs w:val="18"/>
                <w:color w:val="auto"/>
              </w:rPr>
              <w:t>Net Income</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3,027</w:t>
            </w:r>
          </w:p>
        </w:tc>
        <w:tc>
          <w:tcPr>
            <w:tcW w:w="8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19,411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75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Less: noncontrolling interests</w:t>
            </w: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(26 )</w:t>
            </w:r>
          </w:p>
        </w:tc>
        <w:tc>
          <w:tcPr>
            <w:tcW w:w="840" w:type="dxa"/>
            <w:vAlign w:val="bottom"/>
            <w:gridSpan w:val="2"/>
            <w:shd w:val="clear" w:color="auto" w:fill="CFF0FC"/>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7560" w:type="dxa"/>
            <w:vAlign w:val="bottom"/>
          </w:tcPr>
          <w:p>
            <w:pPr>
              <w:ind w:left="180"/>
              <w:spacing w:after="0" w:line="202" w:lineRule="exact"/>
              <w:rPr>
                <w:sz w:val="20"/>
                <w:szCs w:val="20"/>
                <w:color w:val="auto"/>
              </w:rPr>
            </w:pPr>
            <w:r>
              <w:rPr>
                <w:rFonts w:ascii="Arial" w:cs="Arial" w:eastAsia="Arial" w:hAnsi="Arial"/>
                <w:sz w:val="18"/>
                <w:szCs w:val="18"/>
                <w:color w:val="auto"/>
              </w:rPr>
              <w:t>Less: net income allocated to participating securities</w:t>
            </w:r>
          </w:p>
        </w:tc>
        <w:tc>
          <w:tcPr>
            <w:tcW w:w="3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(3,001 )</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(16,195 )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75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560" w:type="dxa"/>
            <w:vAlign w:val="bottom"/>
          </w:tcPr>
          <w:p>
            <w:pPr>
              <w:ind w:left="360"/>
              <w:spacing w:after="0" w:line="182" w:lineRule="exact"/>
              <w:rPr>
                <w:sz w:val="20"/>
                <w:szCs w:val="20"/>
                <w:color w:val="auto"/>
              </w:rPr>
            </w:pPr>
            <w:r>
              <w:rPr>
                <w:rFonts w:ascii="Arial" w:cs="Arial" w:eastAsia="Arial" w:hAnsi="Arial"/>
                <w:sz w:val="18"/>
                <w:szCs w:val="18"/>
                <w:color w:val="auto"/>
              </w:rPr>
              <w:t>Net income attributable to common stockholders, basic and diluted</w:t>
            </w:r>
          </w:p>
        </w:tc>
        <w:tc>
          <w:tcPr>
            <w:tcW w:w="380" w:type="dxa"/>
            <w:vAlign w:val="bottom"/>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
              <w:spacing w:after="0" w:line="18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560"/>
              <w:spacing w:after="0" w:line="18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line="182" w:lineRule="exact"/>
              <w:rPr>
                <w:sz w:val="20"/>
                <w:szCs w:val="20"/>
                <w:color w:val="auto"/>
              </w:rPr>
            </w:pPr>
            <w:r>
              <w:rPr>
                <w:rFonts w:ascii="Arial" w:cs="Arial" w:eastAsia="Arial" w:hAnsi="Arial"/>
                <w:sz w:val="18"/>
                <w:szCs w:val="18"/>
                <w:color w:val="auto"/>
              </w:rPr>
              <w:t>3,216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75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7560" w:type="dxa"/>
            <w:vAlign w:val="bottom"/>
          </w:tcPr>
          <w:p>
            <w:pPr>
              <w:spacing w:after="0" w:line="202" w:lineRule="exact"/>
              <w:rPr>
                <w:sz w:val="20"/>
                <w:szCs w:val="20"/>
                <w:color w:val="auto"/>
              </w:rPr>
            </w:pPr>
            <w:r>
              <w:rPr>
                <w:rFonts w:ascii="Arial" w:cs="Arial" w:eastAsia="Arial" w:hAnsi="Arial"/>
                <w:sz w:val="18"/>
                <w:szCs w:val="18"/>
                <w:i w:val="1"/>
                <w:iCs w:val="1"/>
                <w:color w:val="auto"/>
              </w:rPr>
              <w:t>Denominator</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75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Weighted-average common shares outstanding, attributable to common stockholders, basic</w:t>
            </w: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76,741,858</w:t>
            </w: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w w:val="99"/>
              </w:rPr>
              <w:t>29,126,792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7560" w:type="dxa"/>
            <w:vAlign w:val="bottom"/>
          </w:tcPr>
          <w:p>
            <w:pPr>
              <w:ind w:left="180"/>
              <w:spacing w:after="0" w:line="202" w:lineRule="exact"/>
              <w:rPr>
                <w:sz w:val="20"/>
                <w:szCs w:val="20"/>
                <w:color w:val="auto"/>
              </w:rPr>
            </w:pPr>
            <w:r>
              <w:rPr>
                <w:rFonts w:ascii="Arial" w:cs="Arial" w:eastAsia="Arial" w:hAnsi="Arial"/>
                <w:sz w:val="18"/>
                <w:szCs w:val="18"/>
                <w:color w:val="auto"/>
              </w:rPr>
              <w:t>Effect of employee stock plans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4,800,871</w:t>
            </w:r>
          </w:p>
        </w:tc>
        <w:tc>
          <w:tcPr>
            <w:tcW w:w="2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3,473,055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56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w w:val="99"/>
              </w:rPr>
              <w:t>Weighted-average common shares outstanding, attributable to common stockholders, diluted</w:t>
            </w: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81,542,729</w:t>
            </w:r>
          </w:p>
        </w:tc>
        <w:tc>
          <w:tcPr>
            <w:tcW w:w="20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w w:val="99"/>
              </w:rPr>
              <w:t>32,599,847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756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Net income per share attributable to common stockholders, basic</w:t>
            </w:r>
          </w:p>
        </w:tc>
        <w:tc>
          <w:tcPr>
            <w:tcW w:w="380" w:type="dxa"/>
            <w:vAlign w:val="bottom"/>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13"/>
              <w:spacing w:after="0" w:line="18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560"/>
              <w:spacing w:after="0" w:line="18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2"/>
              <w:spacing w:after="0" w:line="182" w:lineRule="exact"/>
              <w:rPr>
                <w:sz w:val="20"/>
                <w:szCs w:val="20"/>
                <w:color w:val="auto"/>
              </w:rPr>
            </w:pPr>
            <w:r>
              <w:rPr>
                <w:rFonts w:ascii="Arial" w:cs="Arial" w:eastAsia="Arial" w:hAnsi="Arial"/>
                <w:sz w:val="18"/>
                <w:szCs w:val="18"/>
                <w:color w:val="auto"/>
              </w:rPr>
              <w:t>0.11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5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7560" w:type="dxa"/>
            <w:vAlign w:val="bottom"/>
          </w:tcPr>
          <w:p>
            <w:pPr>
              <w:spacing w:after="0" w:line="182" w:lineRule="exact"/>
              <w:rPr>
                <w:sz w:val="20"/>
                <w:szCs w:val="20"/>
                <w:color w:val="auto"/>
              </w:rPr>
            </w:pPr>
            <w:r>
              <w:rPr>
                <w:rFonts w:ascii="Arial" w:cs="Arial" w:eastAsia="Arial" w:hAnsi="Arial"/>
                <w:sz w:val="18"/>
                <w:szCs w:val="18"/>
                <w:color w:val="auto"/>
              </w:rPr>
              <w:t>Net income per share attributable to common stockholders, diluted</w:t>
            </w:r>
          </w:p>
        </w:tc>
        <w:tc>
          <w:tcPr>
            <w:tcW w:w="380" w:type="dxa"/>
            <w:vAlign w:val="bottom"/>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
              <w:spacing w:after="0" w:line="18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560"/>
              <w:spacing w:after="0" w:line="18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line="182" w:lineRule="exact"/>
              <w:rPr>
                <w:sz w:val="20"/>
                <w:szCs w:val="20"/>
                <w:color w:val="auto"/>
              </w:rPr>
            </w:pPr>
            <w:r>
              <w:rPr>
                <w:rFonts w:ascii="Arial" w:cs="Arial" w:eastAsia="Arial" w:hAnsi="Arial"/>
                <w:sz w:val="18"/>
                <w:szCs w:val="18"/>
                <w:color w:val="auto"/>
              </w:rPr>
              <w:t>0.10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560" w:type="dxa"/>
            <w:vAlign w:val="bottom"/>
            <w:vMerge w:val="restart"/>
          </w:tcPr>
          <w:p>
            <w:pPr>
              <w:ind w:left="5460"/>
              <w:spacing w:after="0"/>
              <w:rPr>
                <w:sz w:val="20"/>
                <w:szCs w:val="20"/>
                <w:color w:val="auto"/>
              </w:rPr>
            </w:pPr>
            <w:r>
              <w:rPr>
                <w:rFonts w:ascii="Arial" w:cs="Arial" w:eastAsia="Arial" w:hAnsi="Arial"/>
                <w:sz w:val="18"/>
                <w:szCs w:val="18"/>
                <w:color w:val="auto"/>
              </w:rPr>
              <w:t>95</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80" w:type="dxa"/>
            <w:vAlign w:val="bottom"/>
          </w:tcPr>
          <w:p>
            <w:pPr>
              <w:spacing w:after="0"/>
              <w:rPr>
                <w:sz w:val="24"/>
                <w:szCs w:val="24"/>
                <w:color w:val="auto"/>
              </w:rPr>
            </w:pPr>
          </w:p>
        </w:tc>
        <w:tc>
          <w:tcPr>
            <w:tcW w:w="75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9A9A9A"/>
            </w:tcBorders>
          </w:tcPr>
          <w:p>
            <w:pPr>
              <w:spacing w:after="0"/>
              <w:rPr>
                <w:sz w:val="8"/>
                <w:szCs w:val="8"/>
                <w:color w:val="auto"/>
              </w:rPr>
            </w:pPr>
          </w:p>
        </w:tc>
        <w:tc>
          <w:tcPr>
            <w:tcW w:w="75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-1891030</wp:posOffset>
            </wp:positionV>
            <wp:extent cx="12001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-1076325</wp:posOffset>
            </wp:positionV>
            <wp:extent cx="120015"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-814070</wp:posOffset>
            </wp:positionV>
            <wp:extent cx="12001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-796290</wp:posOffset>
            </wp:positionV>
            <wp:extent cx="12001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9" w:name="page100"/>
    <w:bookmarkEnd w:id="99"/>
    <w:p>
      <w:pPr>
        <w:ind w:left="520" w:hanging="512"/>
        <w:spacing w:after="0"/>
        <w:tabs>
          <w:tab w:leader="none" w:pos="5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areas</w:t>
      </w:r>
    </w:p>
    <w:p>
      <w:pPr>
        <w:spacing w:after="0" w:line="18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Company sells its products worldwide and attributes revenue to the geography where the product is delivered. The geographical distribution of revenue for the year ended December 31, 2021 and 2020 was as follows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r>
      <w:tr>
        <w:trPr>
          <w:trHeight w:val="169"/>
        </w:trPr>
        <w:tc>
          <w:tcPr>
            <w:tcW w:w="75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w w:val="83"/>
              </w:rPr>
              <w:t>2020</w:t>
            </w:r>
          </w:p>
        </w:tc>
      </w:tr>
      <w:tr>
        <w:trPr>
          <w:trHeight w:val="196"/>
        </w:trPr>
        <w:tc>
          <w:tcPr>
            <w:tcW w:w="7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States</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72,724</w:t>
            </w: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55,477</w:t>
            </w:r>
          </w:p>
        </w:tc>
      </w:tr>
      <w:tr>
        <w:trPr>
          <w:trHeight w:val="203"/>
        </w:trPr>
        <w:tc>
          <w:tcPr>
            <w:tcW w:w="7580" w:type="dxa"/>
            <w:vAlign w:val="bottom"/>
          </w:tcPr>
          <w:p>
            <w:pPr>
              <w:ind w:left="20"/>
              <w:spacing w:after="0" w:line="202" w:lineRule="exact"/>
              <w:rPr>
                <w:sz w:val="20"/>
                <w:szCs w:val="20"/>
                <w:color w:val="auto"/>
              </w:rPr>
            </w:pPr>
            <w:r>
              <w:rPr>
                <w:rFonts w:ascii="Arial" w:cs="Arial" w:eastAsia="Arial" w:hAnsi="Arial"/>
                <w:sz w:val="18"/>
                <w:szCs w:val="18"/>
                <w:color w:val="auto"/>
              </w:rPr>
              <w:t>EMEA</w:t>
            </w:r>
          </w:p>
        </w:tc>
        <w:tc>
          <w:tcPr>
            <w:tcW w:w="3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36,967</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25,912</w:t>
            </w:r>
          </w:p>
        </w:tc>
      </w:tr>
      <w:tr>
        <w:trPr>
          <w:trHeight w:val="203"/>
        </w:trPr>
        <w:tc>
          <w:tcPr>
            <w:tcW w:w="7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APAC</w:t>
            </w: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16,078</w:t>
            </w: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10,740</w:t>
            </w:r>
          </w:p>
        </w:tc>
      </w:tr>
      <w:tr>
        <w:trPr>
          <w:trHeight w:val="203"/>
        </w:trPr>
        <w:tc>
          <w:tcPr>
            <w:tcW w:w="758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2,181</w:t>
            </w:r>
          </w:p>
        </w:tc>
        <w:tc>
          <w:tcPr>
            <w:tcW w:w="2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710</w:t>
            </w:r>
          </w:p>
        </w:tc>
      </w:tr>
      <w:tr>
        <w:trPr>
          <w:trHeight w:val="236"/>
        </w:trPr>
        <w:tc>
          <w:tcPr>
            <w:tcW w:w="75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 net</w:t>
            </w: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127,950</w:t>
            </w: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92,839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-25400</wp:posOffset>
            </wp:positionV>
            <wp:extent cx="12001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1200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EMEA includes Europe, the Middle East and Africa; APAC includes Asia and the Pacific countries; Other includes Canada and Latin America.</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year ended December 31, 2021 and 2020, the Company had no major customers.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December 31, 2021 and December 31, 2020, the Company’s long-lived assets by geographic area were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377"/>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377"/>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2020</w:t>
            </w:r>
          </w:p>
        </w:tc>
      </w:tr>
      <w:tr>
        <w:trPr>
          <w:trHeight w:val="196"/>
        </w:trPr>
        <w:tc>
          <w:tcPr>
            <w:tcW w:w="7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United States</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3,801</w:t>
            </w:r>
          </w:p>
        </w:tc>
        <w:tc>
          <w:tcPr>
            <w:tcW w:w="44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568</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APAC</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2,050</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1,572</w:t>
            </w: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5,851</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1200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12001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4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As of December 31, 2021 and December 31, 2020, substantially all of the Company’s long-lived assets were located in the United States and in Wuxi, China.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jc w:val="both"/>
        <w:ind w:left="20" w:firstLine="509"/>
        <w:spacing w:after="0" w:line="257"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have evaluated the effectiveness of our disclosure controls and procedures (as defined in Rules 13a-15(e) and 15d-15(e) of the Exchange Act) as of the end of the period covered by this Annual Report on Form 10-K.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as a result of the material weaknesses in our internal control, our disclosure controls and procedures were not effective as of December 31, 2021.</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w:t>
      </w:r>
    </w:p>
    <w:p>
      <w:pPr>
        <w:spacing w:after="0" w:line="185" w:lineRule="exact"/>
        <w:rPr>
          <w:sz w:val="20"/>
          <w:szCs w:val="20"/>
          <w:color w:val="auto"/>
        </w:rPr>
      </w:pPr>
    </w:p>
    <w:p>
      <w:pPr>
        <w:jc w:val="both"/>
        <w:ind w:left="20" w:right="140" w:firstLine="509"/>
        <w:spacing w:after="0" w:line="255" w:lineRule="auto"/>
        <w:rPr>
          <w:sz w:val="20"/>
          <w:szCs w:val="20"/>
          <w:color w:val="auto"/>
        </w:rPr>
      </w:pPr>
      <w:r>
        <w:rPr>
          <w:rFonts w:ascii="Arial" w:cs="Arial" w:eastAsia="Arial" w:hAnsi="Arial"/>
          <w:sz w:val="17"/>
          <w:szCs w:val="17"/>
          <w:color w:val="auto"/>
        </w:rPr>
        <w:t>Prior to the completion of our IPO in July 2021, we were a private company with limited accounting personnel to adequately execute our accounting processes to address our internal control over financial reporting. In connection with our financial statement close process for the years ended December 31, 2019 and 2020, we identified material weaknesses associated with our control environment and control activities components of the Committee of Sponsoring Organizations (“COSO”) framework related to (i) the lack of sufficient qualified personnel within our accounting and IT function and (ii) establishing policies and procedures to identify, select and apply U.S. GAAP in order to ensure that transactions were being appropriately recorded; and the design of appropriate control activities over information technology systems and financial and reporting processes necessary to ensure the accuracy of financial reporting and the preparation of financial statements.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Remediation efforts on previously reported material weaknesses</w:t>
      </w:r>
    </w:p>
    <w:p>
      <w:pPr>
        <w:spacing w:after="0" w:line="171" w:lineRule="exact"/>
        <w:rPr>
          <w:sz w:val="20"/>
          <w:szCs w:val="20"/>
          <w:color w:val="auto"/>
        </w:rPr>
      </w:pPr>
    </w:p>
    <w:p>
      <w:pPr>
        <w:jc w:val="both"/>
        <w:ind w:left="20" w:right="160" w:firstLine="509"/>
        <w:spacing w:after="0" w:line="248" w:lineRule="auto"/>
        <w:rPr>
          <w:sz w:val="20"/>
          <w:szCs w:val="20"/>
          <w:color w:val="auto"/>
        </w:rPr>
      </w:pPr>
      <w:r>
        <w:rPr>
          <w:rFonts w:ascii="Arial" w:cs="Arial" w:eastAsia="Arial" w:hAnsi="Arial"/>
          <w:sz w:val="18"/>
          <w:szCs w:val="18"/>
          <w:color w:val="auto"/>
        </w:rPr>
        <w:t>We are committed to remediating the control deficiencies that constituted the above material weaknesses by implementing changes to our internal control over financial reporting. During 2021 we executed and we continue to execute the following steps intended to remediate the material weaknesses described above and strengthen our internal control over financial reporting:</w:t>
      </w:r>
    </w:p>
    <w:p>
      <w:pPr>
        <w:spacing w:after="0" w:line="155" w:lineRule="exact"/>
        <w:rPr>
          <w:sz w:val="20"/>
          <w:szCs w:val="20"/>
          <w:color w:val="auto"/>
        </w:rPr>
      </w:pPr>
    </w:p>
    <w:p>
      <w:pPr>
        <w:ind w:left="1020" w:right="20" w:hanging="503"/>
        <w:spacing w:after="0" w:line="261"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engaged external consultants to assist us in designing, implementing, and monitoring an appropriate system of internal control, including Information Technology General Controls.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have added and will continue to add qualified personnel within our accounting and information technology function.</w:t>
      </w:r>
    </w:p>
    <w:p>
      <w:pPr>
        <w:spacing w:after="0" w:line="103" w:lineRule="exact"/>
        <w:rPr>
          <w:rFonts w:ascii="Arial" w:cs="Arial" w:eastAsia="Arial" w:hAnsi="Arial"/>
          <w:sz w:val="18"/>
          <w:szCs w:val="18"/>
          <w:color w:val="auto"/>
        </w:rPr>
      </w:pPr>
    </w:p>
    <w:p>
      <w:pPr>
        <w:jc w:val="both"/>
        <w:ind w:left="1020" w:hanging="503"/>
        <w:spacing w:after="0" w:line="243"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initiated formalizing our internal controls environment and performed a risk assessment and scoped key systems and business processes, including a risk assessment at the financial statement assertion level to ensure that the level of precision of relevant controls is adequate to address the identified risks. We will continue to revise and enhance the design of existing controls and implement new controls, update documentation and strengthen supervisory reviews by our management.</w:t>
      </w:r>
    </w:p>
    <w:p>
      <w:pPr>
        <w:spacing w:after="0" w:line="79"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strengthened, and will continue to strengthen, access and segregation of duties for Information Technology General Controls related to financial accounting and reporting systems including implementing monitoring controls as appropriate.</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implemented automated workflows, and enhanced oversight over the execution and review of manual journal entry controls, and will continue to provide training for such enhanced oversight and review.</w:t>
      </w:r>
    </w:p>
    <w:p>
      <w:pPr>
        <w:spacing w:after="0" w:line="6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We plan to continue to devote significant time and attention to remediate the above material weaknesses as soon as reasonably practicable. As we continue to evaluate our controls, we will make the changes described above as well as any others needed to enhance our control environment and remediate the material weaknesses. We believe these actions will be sufficient to remediate the identified material weaknesses and strengthen our internal control over financial reporting; however, there can be no guarantee that such remediation will be sufficient. We will continue to evaluate the effectiveness of our controls and will make any further changes management determines appropriate.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85" w:lineRule="exact"/>
        <w:rPr>
          <w:sz w:val="20"/>
          <w:szCs w:val="20"/>
          <w:color w:val="auto"/>
        </w:rPr>
      </w:pPr>
    </w:p>
    <w:p>
      <w:pPr>
        <w:jc w:val="both"/>
        <w:ind w:left="20" w:firstLine="509"/>
        <w:spacing w:after="0" w:line="291" w:lineRule="auto"/>
        <w:rPr>
          <w:sz w:val="20"/>
          <w:szCs w:val="20"/>
          <w:color w:val="auto"/>
        </w:rPr>
      </w:pPr>
      <w:r>
        <w:rPr>
          <w:rFonts w:ascii="Arial" w:cs="Arial" w:eastAsia="Arial" w:hAnsi="Arial"/>
          <w:sz w:val="17"/>
          <w:szCs w:val="17"/>
          <w:color w:val="auto"/>
        </w:rPr>
        <w:t>This Annual Report on Form 10-K does not include a report of management's assessment regarding internal control over financial reporting or an attestation report of our registered public accounting firm due to a transition period established by rules of the SEC for newly public companies.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jc w:val="both"/>
        <w:ind w:left="20" w:firstLine="509"/>
        <w:spacing w:after="0" w:line="248" w:lineRule="auto"/>
        <w:rPr>
          <w:sz w:val="20"/>
          <w:szCs w:val="20"/>
          <w:color w:val="auto"/>
        </w:rPr>
      </w:pPr>
      <w:r>
        <w:rPr>
          <w:rFonts w:ascii="Arial" w:cs="Arial" w:eastAsia="Arial" w:hAnsi="Arial"/>
          <w:sz w:val="18"/>
          <w:szCs w:val="18"/>
          <w:color w:val="auto"/>
        </w:rPr>
        <w:t>Other than the changes intended to remediate the material weaknesses noted above, there was no change in our internal control over financial reporting that occurred during the quarter ended December 31, 2021 that materially affected, or were reasonably likely to materially affect, our internal control over financial reporting.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 on the Effectiveness of Internal Control</w:t>
      </w:r>
    </w:p>
    <w:p>
      <w:pPr>
        <w:spacing w:after="0" w:line="185" w:lineRule="exact"/>
        <w:rPr>
          <w:sz w:val="20"/>
          <w:szCs w:val="20"/>
          <w:color w:val="auto"/>
        </w:rPr>
      </w:pPr>
    </w:p>
    <w:p>
      <w:pPr>
        <w:jc w:val="both"/>
        <w:ind w:left="20" w:firstLine="509"/>
        <w:spacing w:after="0" w:line="284"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w:t>
      </w:r>
    </w:p>
    <w:p>
      <w:pPr>
        <w:spacing w:after="0" w:line="138"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30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2022 Annual Meeting of Stockholders</w:t>
      </w:r>
    </w:p>
    <w:p>
      <w:pPr>
        <w:spacing w:after="0" w:line="189" w:lineRule="exact"/>
        <w:rPr>
          <w:sz w:val="20"/>
          <w:szCs w:val="20"/>
          <w:color w:val="auto"/>
        </w:rPr>
      </w:pPr>
    </w:p>
    <w:p>
      <w:pPr>
        <w:ind w:right="140" w:firstLine="509"/>
        <w:spacing w:after="0" w:line="271" w:lineRule="auto"/>
        <w:rPr>
          <w:sz w:val="20"/>
          <w:szCs w:val="20"/>
          <w:color w:val="auto"/>
        </w:rPr>
      </w:pPr>
      <w:r>
        <w:rPr>
          <w:rFonts w:ascii="Arial" w:cs="Arial" w:eastAsia="Arial" w:hAnsi="Arial"/>
          <w:sz w:val="16"/>
          <w:szCs w:val="16"/>
          <w:color w:val="auto"/>
        </w:rPr>
        <w:t>We currently plan to hold our 2022 Annual Meeting of Stockholders on June 1, 2022. Under our bylaws, for a stockholder to propose business (other than pursuant to and in compliance with Rule 14a-8 under the Exchange Act (“Rule 14a-8”)) or make a nomination before the annual meeting, the stockholder must deliver notice to our Corporate Secretary at our principal executive offices no later than the close of business on the 90th day nor earlier than the close of business on the 120th day prior to the first anniversary of the preceding year’s annual meeting of stockholders; provided that in the event that the date of the annual meeting is advanced more than 30 days prior to or delayed by more than 30 days after the anniversary of the preceding year’s annual meeting, notice by the stockholder to be timely must be so received no earlier than the close of business on the 120th day prior to such annual meeting and not later than the close of business on the later of the 90th day prior to such annual meeting or the 10th day following the day on which we first make a public announcement of the date of such annual meeting. Because we did not hold an annual meeting last year, we have determined that the date by which stockholders must deliver such notice for the purposes of the 2022 Annual Meeting of Stockholders is March 27, 2022.</w:t>
      </w:r>
    </w:p>
    <w:p>
      <w:pPr>
        <w:spacing w:after="0" w:line="128"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Pursuant to Rule 14a-8, for a stockholder to submit a proposal for inclusion in our proxy materials for the 2022 Annual Meeting of Stockholders, the stockholder must comply with the requirements set forth in Rule 14a-8 including with respect to the subject matter of such proposal and must deliver the proposal and all required documentation to us a reasonable time before we begin to print and send our proxy materials for the meeting. For the purposes of the 2022 Annual Meeting of Stockholders, we have determined that March 27, 2022 is a reasonable time before we plan to begin printing and mailing our proxy materials. The public announcement of an adjournment or postponement of the date of the 2022 Annual Meeting of Stockholders will not commence a new time period (or extend any time period) for giving such notice under our bylaws or submitting a proposal pursuant to Rule 14a-8.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26035" cy="1289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02" w:name="page103"/>
    <w:bookmarkEnd w:id="102"/>
    <w:p>
      <w:pPr>
        <w:jc w:val="center"/>
        <w:ind w:left="360"/>
        <w:spacing w:after="0"/>
        <w:rPr>
          <w:sz w:val="20"/>
          <w:szCs w:val="20"/>
          <w:color w:val="auto"/>
        </w:rPr>
      </w:pPr>
      <w:r>
        <w:rPr>
          <w:rFonts w:ascii="Arial" w:cs="Arial" w:eastAsia="Arial" w:hAnsi="Arial"/>
          <w:sz w:val="18"/>
          <w:szCs w:val="18"/>
          <w:b w:val="1"/>
          <w:bCs w:val="1"/>
          <w:color w:val="auto"/>
        </w:rPr>
        <w:t>PART III</w:t>
      </w:r>
    </w:p>
    <w:p>
      <w:pPr>
        <w:spacing w:after="0" w:line="320"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b w:val="1"/>
          <w:bCs w:val="1"/>
          <w:color w:val="auto"/>
        </w:rPr>
        <w:t>ITEM 10</w:t>
      </w:r>
      <w:r>
        <w:rPr>
          <w:rFonts w:ascii="Arial" w:cs="Arial" w:eastAsia="Arial" w:hAnsi="Arial"/>
          <w:sz w:val="14"/>
          <w:szCs w:val="14"/>
          <w:b w:val="1"/>
          <w:bCs w:val="1"/>
          <w:color w:val="auto"/>
        </w:rPr>
        <w:t>.</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324" w:lineRule="exact"/>
        <w:rPr>
          <w:sz w:val="20"/>
          <w:szCs w:val="20"/>
          <w:color w:val="auto"/>
        </w:rPr>
      </w:pPr>
    </w:p>
    <w:p>
      <w:pPr>
        <w:ind w:firstLine="57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the 2022 Annual Meeting of Stockholders, which will be filed with the SEC no later than 120 days after December 31, 2021.</w:t>
      </w:r>
    </w:p>
    <w:p>
      <w:pPr>
        <w:spacing w:after="0" w:line="200" w:lineRule="exact"/>
        <w:rPr>
          <w:sz w:val="20"/>
          <w:szCs w:val="20"/>
          <w:color w:val="auto"/>
        </w:rPr>
      </w:pPr>
    </w:p>
    <w:p>
      <w:pPr>
        <w:spacing w:after="0" w:line="263"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324" w:lineRule="exact"/>
        <w:rPr>
          <w:sz w:val="20"/>
          <w:szCs w:val="20"/>
          <w:color w:val="auto"/>
        </w:rPr>
      </w:pPr>
    </w:p>
    <w:p>
      <w:pPr>
        <w:ind w:firstLine="57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the 2022 Annual Meeting of Stockholders, which will be filed with the SEC no later than 120 days after December 31, 2021.</w:t>
      </w: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b w:val="1"/>
          <w:bCs w:val="1"/>
          <w:color w:val="auto"/>
        </w:rPr>
        <w:t>ITEM 12</w:t>
      </w:r>
      <w:r>
        <w:rPr>
          <w:rFonts w:ascii="Arial" w:cs="Arial" w:eastAsia="Arial" w:hAnsi="Arial"/>
          <w:sz w:val="14"/>
          <w:szCs w:val="14"/>
          <w:b w:val="1"/>
          <w:bCs w:val="1"/>
          <w:color w:val="auto"/>
        </w:rPr>
        <w:t>.</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324"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the 2022 Annual Meeting of Stockholders, which will be filed with the SEC no later than 120 days after December 31, 2021.</w:t>
      </w:r>
    </w:p>
    <w:p>
      <w:pPr>
        <w:spacing w:after="0" w:line="200" w:lineRule="exact"/>
        <w:rPr>
          <w:sz w:val="20"/>
          <w:szCs w:val="20"/>
          <w:color w:val="auto"/>
        </w:rPr>
      </w:pPr>
    </w:p>
    <w:p>
      <w:pPr>
        <w:spacing w:after="0" w:line="277"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b w:val="1"/>
          <w:bCs w:val="1"/>
          <w:color w:val="auto"/>
        </w:rPr>
        <w:t>ITEM 13</w:t>
      </w:r>
      <w:r>
        <w:rPr>
          <w:rFonts w:ascii="Arial" w:cs="Arial" w:eastAsia="Arial" w:hAnsi="Arial"/>
          <w:sz w:val="14"/>
          <w:szCs w:val="14"/>
          <w:b w:val="1"/>
          <w:bCs w:val="1"/>
          <w:color w:val="auto"/>
        </w:rPr>
        <w:t>.</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310"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the 2022 Annual Meeting of Stockholders, which will be filed with the SEC no later than 120 days after December 31, 2021.</w:t>
      </w: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310"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the 2022 Annual Meeting of Stockholders, which will be filed with the SEC no later than 120 days after December 31, 2021.</w:t>
      </w:r>
    </w:p>
    <w:p>
      <w:pPr>
        <w:spacing w:after="0" w:line="200" w:lineRule="exact"/>
        <w:rPr>
          <w:sz w:val="20"/>
          <w:szCs w:val="20"/>
          <w:color w:val="auto"/>
        </w:rPr>
      </w:pP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4" w:right="4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62" w:lineRule="exact"/>
        <w:rPr>
          <w:sz w:val="20"/>
          <w:szCs w:val="20"/>
          <w:color w:val="auto"/>
        </w:rPr>
      </w:pPr>
    </w:p>
    <w:p>
      <w:pPr>
        <w:ind w:left="260" w:hanging="252"/>
        <w:spacing w:after="0"/>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198" w:lineRule="exact"/>
        <w:rPr>
          <w:rFonts w:ascii="Arial" w:cs="Arial" w:eastAsia="Arial" w:hAnsi="Arial"/>
          <w:sz w:val="18"/>
          <w:szCs w:val="18"/>
          <w:color w:val="auto"/>
        </w:rPr>
      </w:pPr>
    </w:p>
    <w:p>
      <w:pPr>
        <w:ind w:left="660" w:hanging="247"/>
        <w:spacing w:after="0"/>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filed as part of this Annual Report on Form 10-K are included in Part II, Item 8 of this Annual Report on Form 10-K.</w:t>
      </w:r>
    </w:p>
    <w:p>
      <w:pPr>
        <w:spacing w:after="0" w:line="3" w:lineRule="exact"/>
        <w:rPr>
          <w:sz w:val="20"/>
          <w:szCs w:val="20"/>
          <w:color w:val="auto"/>
        </w:rPr>
      </w:pPr>
    </w:p>
    <w:p>
      <w:pPr>
        <w:ind w:left="20"/>
        <w:spacing w:after="0"/>
        <w:rPr>
          <w:rFonts w:ascii="Arial" w:cs="Arial" w:eastAsia="Arial" w:hAnsi="Arial"/>
          <w:sz w:val="18"/>
          <w:szCs w:val="18"/>
          <w:color w:val="0000FF"/>
        </w:rPr>
      </w:pPr>
      <w:hyperlink w:anchor="page73">
        <w:r>
          <w:rPr>
            <w:rFonts w:ascii="Arial" w:cs="Arial" w:eastAsia="Arial" w:hAnsi="Arial"/>
            <w:sz w:val="18"/>
            <w:szCs w:val="18"/>
            <w:u w:val="single" w:color="auto"/>
            <w:color w:val="0000FF"/>
          </w:rPr>
          <w:t>Report of Independent Registered Public Accounting Firm</w:t>
        </w:r>
        <w:r>
          <w:rPr>
            <w:rFonts w:ascii="Arial" w:cs="Arial" w:eastAsia="Arial" w:hAnsi="Arial"/>
            <w:sz w:val="18"/>
            <w:szCs w:val="18"/>
            <w:color w:val="0000FF"/>
          </w:rPr>
          <w:t xml:space="preserve">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No.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-8890</wp:posOffset>
            </wp:positionV>
            <wp:extent cx="267779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677795" cy="8255"/>
                    </a:xfrm>
                    <a:prstGeom prst="rect">
                      <a:avLst/>
                    </a:prstGeom>
                    <a:noFill/>
                  </pic:spPr>
                </pic:pic>
              </a:graphicData>
            </a:graphic>
          </wp:anchor>
        </w:drawing>
      </w:r>
    </w:p>
    <w:p>
      <w:pPr>
        <w:ind w:left="20"/>
        <w:spacing w:after="0" w:line="219" w:lineRule="auto"/>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Consolidated Balance Sheet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-8890</wp:posOffset>
            </wp:positionV>
            <wp:extent cx="12820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82065" cy="8255"/>
                    </a:xfrm>
                    <a:prstGeom prst="rect">
                      <a:avLst/>
                    </a:prstGeom>
                    <a:noFill/>
                  </pic:spPr>
                </pic:pic>
              </a:graphicData>
            </a:graphic>
          </wp:anchor>
        </w:drawing>
      </w:r>
    </w:p>
    <w:p>
      <w:pPr>
        <w:ind w:left="20"/>
        <w:spacing w:after="0" w:line="219" w:lineRule="auto"/>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Consolidated Statements of Operations and Comprehensive Income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-8890</wp:posOffset>
            </wp:positionV>
            <wp:extent cx="309689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096895" cy="8890"/>
                    </a:xfrm>
                    <a:prstGeom prst="rect">
                      <a:avLst/>
                    </a:prstGeom>
                    <a:noFill/>
                  </pic:spPr>
                </pic:pic>
              </a:graphicData>
            </a:graphic>
          </wp:anchor>
        </w:drawing>
      </w:r>
    </w:p>
    <w:p>
      <w:pPr>
        <w:ind w:left="20"/>
        <w:spacing w:after="0" w:line="219" w:lineRule="auto"/>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Consolidated Statements of Redeemable Convertible Preferred Stock and Stockholders' Equity (Deficit)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-8890</wp:posOffset>
            </wp:positionV>
            <wp:extent cx="475424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754245" cy="8255"/>
                    </a:xfrm>
                    <a:prstGeom prst="rect">
                      <a:avLst/>
                    </a:prstGeom>
                    <a:noFill/>
                  </pic:spPr>
                </pic:pic>
              </a:graphicData>
            </a:graphic>
          </wp:anchor>
        </w:drawing>
      </w:r>
    </w:p>
    <w:p>
      <w:pPr>
        <w:ind w:left="20"/>
        <w:spacing w:after="0" w:line="219" w:lineRule="auto"/>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Consolidated Statements of Cash Flows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-8890</wp:posOffset>
            </wp:positionV>
            <wp:extent cx="182181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821815" cy="8255"/>
                    </a:xfrm>
                    <a:prstGeom prst="rect">
                      <a:avLst/>
                    </a:prstGeom>
                    <a:noFill/>
                  </pic:spPr>
                </pic:pic>
              </a:graphicData>
            </a:graphic>
          </wp:anchor>
        </w:drawing>
      </w:r>
    </w:p>
    <w:p>
      <w:pPr>
        <w:ind w:left="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Notes to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192913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spacing w:after="0" w:line="2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 Financial Statement Schedules</w:t>
      </w:r>
    </w:p>
    <w:p>
      <w:pPr>
        <w:spacing w:after="0" w:line="198"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Financial statement schedules have been omitted in this Annual Report on Form 10-K because they are not applicable, not required under the instructions or the information requested is set forth in the financial statements or related notes thereto in Part II, Item 8 of this Annual Report on Form 10-K.</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 List of Exhibits required by Item 601 of Regulation S-K</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00" w:type="dxa"/>
            <w:vAlign w:val="bottom"/>
            <w:gridSpan w:val="23"/>
            <w:vMerge w:val="restart"/>
          </w:tcPr>
          <w:p>
            <w:pPr>
              <w:ind w:left="80"/>
              <w:spacing w:after="0"/>
              <w:rPr>
                <w:sz w:val="20"/>
                <w:szCs w:val="20"/>
                <w:color w:val="auto"/>
              </w:rPr>
            </w:pPr>
            <w:r>
              <w:rPr>
                <w:rFonts w:ascii="Arial" w:cs="Arial" w:eastAsia="Arial" w:hAnsi="Arial"/>
                <w:sz w:val="18"/>
                <w:szCs w:val="18"/>
                <w:b w:val="1"/>
                <w:bCs w:val="1"/>
                <w:color w:val="auto"/>
              </w:rPr>
              <w:t>Exhibit Title</w:t>
            </w:r>
          </w:p>
        </w:tc>
        <w:tc>
          <w:tcPr>
            <w:tcW w:w="11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1160" w:type="dxa"/>
            <w:vAlign w:val="bottom"/>
            <w:tcBorders>
              <w:bottom w:val="single" w:sz="8" w:color="auto"/>
            </w:tcBorders>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55"/>
        </w:trPr>
        <w:tc>
          <w:tcPr>
            <w:tcW w:w="8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00" w:type="dxa"/>
            <w:vAlign w:val="bottom"/>
            <w:gridSpan w:val="23"/>
            <w:vMerge w:val="continue"/>
          </w:tcPr>
          <w:p>
            <w:pPr>
              <w:spacing w:after="0"/>
              <w:rPr>
                <w:sz w:val="13"/>
                <w:szCs w:val="13"/>
                <w:color w:val="auto"/>
              </w:rPr>
            </w:pPr>
          </w:p>
        </w:tc>
        <w:tc>
          <w:tcPr>
            <w:tcW w:w="1160" w:type="dxa"/>
            <w:vAlign w:val="bottom"/>
          </w:tcPr>
          <w:p>
            <w:pPr>
              <w:jc w:val="center"/>
              <w:ind w:right="370"/>
              <w:spacing w:after="0" w:line="156" w:lineRule="exact"/>
              <w:rPr>
                <w:sz w:val="20"/>
                <w:szCs w:val="20"/>
                <w:color w:val="auto"/>
              </w:rPr>
            </w:pPr>
            <w:r>
              <w:rPr>
                <w:rFonts w:ascii="Arial" w:cs="Arial" w:eastAsia="Arial" w:hAnsi="Arial"/>
                <w:sz w:val="18"/>
                <w:szCs w:val="18"/>
                <w:b w:val="1"/>
                <w:bCs w:val="1"/>
                <w:color w:val="auto"/>
                <w:w w:val="93"/>
              </w:rPr>
              <w:t>Form</w:t>
            </w:r>
          </w:p>
        </w:tc>
        <w:tc>
          <w:tcPr>
            <w:tcW w:w="1200" w:type="dxa"/>
            <w:vAlign w:val="bottom"/>
            <w:gridSpan w:val="3"/>
          </w:tcPr>
          <w:p>
            <w:pPr>
              <w:jc w:val="center"/>
              <w:ind w:right="360"/>
              <w:spacing w:after="0" w:line="156" w:lineRule="exact"/>
              <w:rPr>
                <w:sz w:val="20"/>
                <w:szCs w:val="20"/>
                <w:color w:val="auto"/>
              </w:rPr>
            </w:pPr>
            <w:r>
              <w:rPr>
                <w:rFonts w:ascii="Arial" w:cs="Arial" w:eastAsia="Arial" w:hAnsi="Arial"/>
                <w:sz w:val="18"/>
                <w:szCs w:val="18"/>
                <w:b w:val="1"/>
                <w:bCs w:val="1"/>
                <w:color w:val="auto"/>
                <w:w w:val="92"/>
              </w:rPr>
              <w:t>File No.</w:t>
            </w:r>
          </w:p>
        </w:tc>
        <w:tc>
          <w:tcPr>
            <w:tcW w:w="1220" w:type="dxa"/>
            <w:vAlign w:val="bottom"/>
            <w:gridSpan w:val="4"/>
          </w:tcPr>
          <w:p>
            <w:pPr>
              <w:jc w:val="center"/>
              <w:spacing w:after="0" w:line="156" w:lineRule="exact"/>
              <w:rPr>
                <w:sz w:val="20"/>
                <w:szCs w:val="20"/>
                <w:color w:val="auto"/>
              </w:rPr>
            </w:pPr>
            <w:r>
              <w:rPr>
                <w:rFonts w:ascii="Arial" w:cs="Arial" w:eastAsia="Arial" w:hAnsi="Arial"/>
                <w:sz w:val="18"/>
                <w:szCs w:val="18"/>
                <w:b w:val="1"/>
                <w:bCs w:val="1"/>
                <w:color w:val="auto"/>
                <w:w w:val="93"/>
              </w:rPr>
              <w:t>Exhibit</w:t>
            </w:r>
          </w:p>
        </w:tc>
        <w:tc>
          <w:tcPr>
            <w:tcW w:w="1160" w:type="dxa"/>
            <w:vAlign w:val="bottom"/>
          </w:tcPr>
          <w:p>
            <w:pPr>
              <w:ind w:left="320"/>
              <w:spacing w:after="0" w:line="156" w:lineRule="exact"/>
              <w:rPr>
                <w:sz w:val="20"/>
                <w:szCs w:val="20"/>
                <w:color w:val="auto"/>
              </w:rPr>
            </w:pPr>
            <w:r>
              <w:rPr>
                <w:rFonts w:ascii="Arial" w:cs="Arial" w:eastAsia="Arial" w:hAnsi="Arial"/>
                <w:sz w:val="18"/>
                <w:szCs w:val="18"/>
                <w:b w:val="1"/>
                <w:bCs w:val="1"/>
                <w:color w:val="auto"/>
              </w:rPr>
              <w:t>Filing</w:t>
            </w: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Date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69"/>
        </w:trPr>
        <w:tc>
          <w:tcPr>
            <w:tcW w:w="820" w:type="dxa"/>
            <w:vAlign w:val="bottom"/>
          </w:tcPr>
          <w:p>
            <w:pPr>
              <w:jc w:val="center"/>
              <w:spacing w:after="0" w:line="169"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20" w:type="dxa"/>
            <w:vAlign w:val="bottom"/>
            <w:gridSpan w:val="28"/>
          </w:tcPr>
          <w:p>
            <w:pPr>
              <w:spacing w:after="0" w:line="169" w:lineRule="exact"/>
              <w:rPr>
                <w:rFonts w:ascii="Arial" w:cs="Arial" w:eastAsia="Arial" w:hAnsi="Arial"/>
                <w:sz w:val="18"/>
                <w:szCs w:val="18"/>
                <w:color w:val="0000FF"/>
              </w:rPr>
            </w:pPr>
            <w:hyperlink r:id="rId258">
              <w:r>
                <w:rPr>
                  <w:rFonts w:ascii="Arial" w:cs="Arial" w:eastAsia="Arial" w:hAnsi="Arial"/>
                  <w:sz w:val="18"/>
                  <w:szCs w:val="18"/>
                  <w:color w:val="0000FF"/>
                </w:rPr>
                <w:t>Amended and Restated Certificate of Incorporation</w:t>
              </w:r>
            </w:hyperlink>
          </w:p>
        </w:tc>
        <w:tc>
          <w:tcPr>
            <w:tcW w:w="100" w:type="dxa"/>
            <w:vAlign w:val="bottom"/>
          </w:tcPr>
          <w:p>
            <w:pPr>
              <w:spacing w:after="0"/>
              <w:rPr>
                <w:sz w:val="14"/>
                <w:szCs w:val="14"/>
                <w:color w:val="auto"/>
              </w:rPr>
            </w:pPr>
          </w:p>
        </w:tc>
        <w:tc>
          <w:tcPr>
            <w:tcW w:w="1160" w:type="dxa"/>
            <w:vAlign w:val="bottom"/>
          </w:tcPr>
          <w:p>
            <w:pPr>
              <w:jc w:val="center"/>
              <w:ind w:right="390"/>
              <w:spacing w:after="0" w:line="169" w:lineRule="exact"/>
              <w:rPr>
                <w:sz w:val="20"/>
                <w:szCs w:val="20"/>
                <w:color w:val="auto"/>
              </w:rPr>
            </w:pPr>
            <w:r>
              <w:rPr>
                <w:rFonts w:ascii="Arial" w:cs="Arial" w:eastAsia="Arial" w:hAnsi="Arial"/>
                <w:sz w:val="18"/>
                <w:szCs w:val="18"/>
                <w:color w:val="auto"/>
                <w:w w:val="99"/>
              </w:rPr>
              <w:t>8-K</w:t>
            </w:r>
          </w:p>
        </w:tc>
        <w:tc>
          <w:tcPr>
            <w:tcW w:w="860" w:type="dxa"/>
            <w:vAlign w:val="bottom"/>
            <w:gridSpan w:val="2"/>
          </w:tcPr>
          <w:p>
            <w:pPr>
              <w:jc w:val="center"/>
              <w:spacing w:after="0" w:line="169" w:lineRule="exact"/>
              <w:rPr>
                <w:rFonts w:ascii="Arial" w:cs="Arial" w:eastAsia="Arial" w:hAnsi="Arial"/>
                <w:sz w:val="18"/>
                <w:szCs w:val="18"/>
                <w:color w:val="0000FF"/>
                <w:w w:val="90"/>
              </w:rPr>
            </w:pPr>
            <w:hyperlink r:id="rId258">
              <w:r>
                <w:rPr>
                  <w:rFonts w:ascii="Arial" w:cs="Arial" w:eastAsia="Arial" w:hAnsi="Arial"/>
                  <w:sz w:val="18"/>
                  <w:szCs w:val="18"/>
                  <w:color w:val="0000FF"/>
                  <w:w w:val="90"/>
                </w:rPr>
                <w:t>001-40632</w:t>
              </w:r>
            </w:hyperlink>
          </w:p>
        </w:tc>
        <w:tc>
          <w:tcPr>
            <w:tcW w:w="340" w:type="dxa"/>
            <w:vAlign w:val="bottom"/>
          </w:tcPr>
          <w:p>
            <w:pPr>
              <w:spacing w:after="0"/>
              <w:rPr>
                <w:sz w:val="14"/>
                <w:szCs w:val="14"/>
                <w:color w:val="auto"/>
              </w:rPr>
            </w:pPr>
          </w:p>
        </w:tc>
        <w:tc>
          <w:tcPr>
            <w:tcW w:w="780" w:type="dxa"/>
            <w:vAlign w:val="bottom"/>
            <w:gridSpan w:val="2"/>
          </w:tcPr>
          <w:p>
            <w:pPr>
              <w:jc w:val="center"/>
              <w:ind w:left="410"/>
              <w:spacing w:after="0" w:line="169" w:lineRule="exact"/>
              <w:rPr>
                <w:rFonts w:ascii="Arial" w:cs="Arial" w:eastAsia="Arial" w:hAnsi="Arial"/>
                <w:sz w:val="18"/>
                <w:szCs w:val="18"/>
                <w:color w:val="0000FF"/>
                <w:w w:val="95"/>
              </w:rPr>
            </w:pPr>
            <w:hyperlink r:id="rId258">
              <w:r>
                <w:rPr>
                  <w:rFonts w:ascii="Arial" w:cs="Arial" w:eastAsia="Arial" w:hAnsi="Arial"/>
                  <w:sz w:val="18"/>
                  <w:szCs w:val="18"/>
                  <w:color w:val="0000FF"/>
                  <w:w w:val="95"/>
                </w:rPr>
                <w:t>3.</w:t>
              </w:r>
              <w:r>
                <w:rPr>
                  <w:rFonts w:ascii="Arial" w:cs="Arial" w:eastAsia="Arial" w:hAnsi="Arial"/>
                  <w:sz w:val="18"/>
                  <w:szCs w:val="18"/>
                  <w:u w:val="single" w:color="auto"/>
                  <w:color w:val="0000FF"/>
                  <w:w w:val="95"/>
                </w:rPr>
                <w:t>1</w:t>
              </w:r>
            </w:hyperlink>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ind w:left="340"/>
              <w:spacing w:after="0" w:line="169" w:lineRule="exact"/>
              <w:rPr>
                <w:sz w:val="20"/>
                <w:szCs w:val="20"/>
                <w:color w:val="auto"/>
              </w:rPr>
            </w:pPr>
            <w:r>
              <w:rPr>
                <w:rFonts w:ascii="Arial" w:cs="Arial" w:eastAsia="Arial" w:hAnsi="Arial"/>
                <w:sz w:val="18"/>
                <w:szCs w:val="18"/>
                <w:color w:val="auto"/>
                <w:w w:val="88"/>
              </w:rPr>
              <w:t>07/27/2021</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20" w:type="dxa"/>
            <w:vAlign w:val="bottom"/>
          </w:tcPr>
          <w:p>
            <w:pPr>
              <w:jc w:val="center"/>
              <w:spacing w:after="0" w:line="182" w:lineRule="exact"/>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8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259">
              <w:r>
                <w:rPr>
                  <w:rFonts w:ascii="Arial" w:cs="Arial" w:eastAsia="Arial" w:hAnsi="Arial"/>
                  <w:sz w:val="18"/>
                  <w:szCs w:val="18"/>
                  <w:color w:val="0000FF"/>
                </w:rPr>
                <w:t>Amended and Restated Bylaws</w:t>
              </w:r>
            </w:hyperlink>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11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9"/>
              </w:rPr>
              <w:t>8-K</w:t>
            </w:r>
          </w:p>
        </w:tc>
        <w:tc>
          <w:tcPr>
            <w:tcW w:w="860" w:type="dxa"/>
            <w:vAlign w:val="bottom"/>
            <w:tcBorders>
              <w:top w:val="single" w:sz="8" w:color="0000FF"/>
            </w:tcBorders>
            <w:gridSpan w:val="2"/>
          </w:tcPr>
          <w:p>
            <w:pPr>
              <w:jc w:val="center"/>
              <w:spacing w:after="0" w:line="182" w:lineRule="exact"/>
              <w:rPr>
                <w:rFonts w:ascii="Arial" w:cs="Arial" w:eastAsia="Arial" w:hAnsi="Arial"/>
                <w:sz w:val="18"/>
                <w:szCs w:val="18"/>
                <w:color w:val="0000FF"/>
                <w:w w:val="90"/>
              </w:rPr>
            </w:pPr>
            <w:hyperlink r:id="rId259">
              <w:r>
                <w:rPr>
                  <w:rFonts w:ascii="Arial" w:cs="Arial" w:eastAsia="Arial" w:hAnsi="Arial"/>
                  <w:sz w:val="18"/>
                  <w:szCs w:val="18"/>
                  <w:color w:val="0000FF"/>
                  <w:w w:val="90"/>
                </w:rPr>
                <w:t>001-40632</w:t>
              </w:r>
            </w:hyperlink>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Borders>
              <w:top w:val="single" w:sz="8" w:color="0000FF"/>
            </w:tcBorders>
          </w:tcPr>
          <w:p>
            <w:pPr>
              <w:jc w:val="center"/>
              <w:spacing w:after="0" w:line="182" w:lineRule="exact"/>
              <w:rPr>
                <w:rFonts w:ascii="Arial" w:cs="Arial" w:eastAsia="Arial" w:hAnsi="Arial"/>
                <w:sz w:val="18"/>
                <w:szCs w:val="18"/>
                <w:color w:val="0000FF"/>
                <w:w w:val="95"/>
              </w:rPr>
            </w:pPr>
            <w:hyperlink r:id="rId259">
              <w:r>
                <w:rPr>
                  <w:rFonts w:ascii="Arial" w:cs="Arial" w:eastAsia="Arial" w:hAnsi="Arial"/>
                  <w:sz w:val="18"/>
                  <w:szCs w:val="18"/>
                  <w:color w:val="0000FF"/>
                  <w:w w:val="95"/>
                </w:rPr>
                <w:t>3.</w:t>
              </w:r>
              <w:r>
                <w:rPr>
                  <w:rFonts w:ascii="Arial" w:cs="Arial" w:eastAsia="Arial" w:hAnsi="Arial"/>
                  <w:sz w:val="18"/>
                  <w:szCs w:val="18"/>
                  <w:u w:val="single" w:color="auto"/>
                  <w:color w:val="0000FF"/>
                  <w:w w:val="95"/>
                </w:rPr>
                <w:t>2</w:t>
              </w:r>
            </w:hyperlink>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ind w:left="340"/>
              <w:spacing w:after="0" w:line="182" w:lineRule="exact"/>
              <w:rPr>
                <w:sz w:val="20"/>
                <w:szCs w:val="20"/>
                <w:color w:val="auto"/>
              </w:rPr>
            </w:pPr>
            <w:r>
              <w:rPr>
                <w:rFonts w:ascii="Arial" w:cs="Arial" w:eastAsia="Arial" w:hAnsi="Arial"/>
                <w:sz w:val="18"/>
                <w:szCs w:val="18"/>
                <w:color w:val="auto"/>
                <w:w w:val="88"/>
              </w:rPr>
              <w:t>07/27/2021</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20" w:type="dxa"/>
            <w:vAlign w:val="bottom"/>
          </w:tcPr>
          <w:p>
            <w:pPr>
              <w:jc w:val="center"/>
              <w:spacing w:after="0" w:line="195" w:lineRule="exact"/>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Borders>
              <w:top w:val="single" w:sz="8" w:color="0000FF"/>
            </w:tcBorders>
            <w:gridSpan w:val="8"/>
          </w:tcPr>
          <w:p>
            <w:pPr>
              <w:spacing w:after="0" w:line="195" w:lineRule="exact"/>
              <w:rPr>
                <w:sz w:val="20"/>
                <w:szCs w:val="20"/>
                <w:color w:val="auto"/>
              </w:rPr>
            </w:pPr>
            <w:r>
              <w:rPr>
                <w:rFonts w:ascii="Arial" w:cs="Arial" w:eastAsia="Arial" w:hAnsi="Arial"/>
                <w:sz w:val="18"/>
                <w:szCs w:val="18"/>
                <w:color w:val="auto"/>
                <w:w w:val="92"/>
              </w:rPr>
              <w:t>Reference is made to Exhibits</w:t>
            </w:r>
          </w:p>
        </w:tc>
        <w:tc>
          <w:tcPr>
            <w:tcW w:w="20" w:type="dxa"/>
            <w:vAlign w:val="bottom"/>
            <w:tcBorders>
              <w:top w:val="single" w:sz="8" w:color="0000EE"/>
            </w:tcBorders>
          </w:tcPr>
          <w:p>
            <w:pPr>
              <w:spacing w:after="0"/>
              <w:rPr>
                <w:sz w:val="16"/>
                <w:szCs w:val="16"/>
                <w:color w:val="auto"/>
              </w:rPr>
            </w:pPr>
          </w:p>
        </w:tc>
        <w:tc>
          <w:tcPr>
            <w:tcW w:w="2260" w:type="dxa"/>
            <w:vAlign w:val="bottom"/>
            <w:gridSpan w:val="20"/>
          </w:tcPr>
          <w:p>
            <w:pPr>
              <w:spacing w:after="0" w:line="195" w:lineRule="exact"/>
              <w:rPr>
                <w:sz w:val="20"/>
                <w:szCs w:val="20"/>
                <w:color w:val="auto"/>
              </w:rPr>
            </w:pPr>
            <w:r>
              <w:rPr>
                <w:rFonts w:ascii="Arial" w:cs="Arial" w:eastAsia="Arial" w:hAnsi="Arial"/>
                <w:sz w:val="18"/>
                <w:szCs w:val="18"/>
                <w:color w:val="auto"/>
              </w:rPr>
              <w:t>3.1 and 3.2.</w:t>
            </w:r>
          </w:p>
        </w:tc>
        <w:tc>
          <w:tcPr>
            <w:tcW w:w="1160" w:type="dxa"/>
            <w:vAlign w:val="bottom"/>
          </w:tcPr>
          <w:p>
            <w:pPr>
              <w:spacing w:after="0"/>
              <w:rPr>
                <w:sz w:val="16"/>
                <w:szCs w:val="16"/>
                <w:color w:val="auto"/>
              </w:rPr>
            </w:pPr>
          </w:p>
        </w:tc>
        <w:tc>
          <w:tcPr>
            <w:tcW w:w="8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0" w:type="dxa"/>
            <w:vAlign w:val="bottom"/>
          </w:tcPr>
          <w:p>
            <w:pPr>
              <w:jc w:val="center"/>
              <w:spacing w:after="0" w:line="190" w:lineRule="exact"/>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20" w:type="dxa"/>
            <w:vAlign w:val="bottom"/>
            <w:gridSpan w:val="29"/>
          </w:tcPr>
          <w:p>
            <w:pPr>
              <w:spacing w:after="0" w:line="190" w:lineRule="exact"/>
              <w:rPr>
                <w:rFonts w:ascii="Arial" w:cs="Arial" w:eastAsia="Arial" w:hAnsi="Arial"/>
                <w:sz w:val="18"/>
                <w:szCs w:val="18"/>
                <w:color w:val="0000FF"/>
                <w:w w:val="94"/>
              </w:rPr>
            </w:pPr>
            <w:hyperlink r:id="rId260">
              <w:r>
                <w:rPr>
                  <w:rFonts w:ascii="Arial" w:cs="Arial" w:eastAsia="Arial" w:hAnsi="Arial"/>
                  <w:sz w:val="18"/>
                  <w:szCs w:val="18"/>
                  <w:color w:val="0000FF"/>
                  <w:w w:val="94"/>
                </w:rPr>
                <w:t>Form of common stock certificate of Cytek Biosciences, Inc.</w:t>
              </w:r>
            </w:hyperlink>
          </w:p>
        </w:tc>
        <w:tc>
          <w:tcPr>
            <w:tcW w:w="1160" w:type="dxa"/>
            <w:vAlign w:val="bottom"/>
          </w:tcPr>
          <w:p>
            <w:pPr>
              <w:jc w:val="center"/>
              <w:ind w:right="370"/>
              <w:spacing w:after="0" w:line="190" w:lineRule="exact"/>
              <w:rPr>
                <w:sz w:val="20"/>
                <w:szCs w:val="20"/>
                <w:color w:val="auto"/>
              </w:rPr>
            </w:pPr>
            <w:r>
              <w:rPr>
                <w:rFonts w:ascii="Arial" w:cs="Arial" w:eastAsia="Arial" w:hAnsi="Arial"/>
                <w:sz w:val="18"/>
                <w:szCs w:val="18"/>
                <w:color w:val="auto"/>
                <w:w w:val="93"/>
              </w:rPr>
              <w:t>S-1/A</w:t>
            </w:r>
          </w:p>
        </w:tc>
        <w:tc>
          <w:tcPr>
            <w:tcW w:w="1200" w:type="dxa"/>
            <w:vAlign w:val="bottom"/>
            <w:gridSpan w:val="3"/>
          </w:tcPr>
          <w:p>
            <w:pPr>
              <w:jc w:val="center"/>
              <w:ind w:right="340"/>
              <w:spacing w:after="0" w:line="190" w:lineRule="exact"/>
              <w:rPr>
                <w:rFonts w:ascii="Arial" w:cs="Arial" w:eastAsia="Arial" w:hAnsi="Arial"/>
                <w:sz w:val="18"/>
                <w:szCs w:val="18"/>
                <w:color w:val="0000FF"/>
                <w:w w:val="89"/>
              </w:rPr>
            </w:pPr>
            <w:hyperlink r:id="rId260">
              <w:r>
                <w:rPr>
                  <w:rFonts w:ascii="Arial" w:cs="Arial" w:eastAsia="Arial" w:hAnsi="Arial"/>
                  <w:sz w:val="18"/>
                  <w:szCs w:val="18"/>
                  <w:color w:val="0000FF"/>
                  <w:w w:val="89"/>
                </w:rPr>
                <w:t>333-257663</w:t>
              </w:r>
            </w:hyperlink>
          </w:p>
        </w:tc>
        <w:tc>
          <w:tcPr>
            <w:tcW w:w="780" w:type="dxa"/>
            <w:vAlign w:val="bottom"/>
            <w:gridSpan w:val="2"/>
          </w:tcPr>
          <w:p>
            <w:pPr>
              <w:jc w:val="center"/>
              <w:ind w:left="410"/>
              <w:spacing w:after="0" w:line="190" w:lineRule="exact"/>
              <w:rPr>
                <w:rFonts w:ascii="Arial" w:cs="Arial" w:eastAsia="Arial" w:hAnsi="Arial"/>
                <w:sz w:val="18"/>
                <w:szCs w:val="18"/>
                <w:color w:val="0000FF"/>
                <w:w w:val="95"/>
              </w:rPr>
            </w:pPr>
            <w:hyperlink r:id="rId260">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w:t>
              </w:r>
            </w:hyperlink>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ind w:left="340"/>
              <w:spacing w:after="0" w:line="190" w:lineRule="exact"/>
              <w:rPr>
                <w:sz w:val="20"/>
                <w:szCs w:val="20"/>
                <w:color w:val="auto"/>
              </w:rPr>
            </w:pPr>
            <w:r>
              <w:rPr>
                <w:rFonts w:ascii="Arial" w:cs="Arial" w:eastAsia="Arial" w:hAnsi="Arial"/>
                <w:sz w:val="18"/>
                <w:szCs w:val="18"/>
                <w:color w:val="auto"/>
                <w:w w:val="88"/>
              </w:rPr>
              <w:t>07/19/2021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20" w:type="dxa"/>
            <w:vAlign w:val="bottom"/>
          </w:tcPr>
          <w:p>
            <w:pPr>
              <w:jc w:val="center"/>
              <w:spacing w:after="0" w:line="182" w:lineRule="exact"/>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8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w:anchor="page109">
              <w:r>
                <w:rPr>
                  <w:rFonts w:ascii="Arial" w:cs="Arial" w:eastAsia="Arial" w:hAnsi="Arial"/>
                  <w:sz w:val="18"/>
                  <w:szCs w:val="18"/>
                  <w:color w:val="0000FF"/>
                </w:rPr>
                <w:t>Description of Securities.</w:t>
              </w:r>
            </w:hyperlink>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82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2"/>
              </w:rPr>
              <w:t>10.1+</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60" w:type="dxa"/>
            <w:vAlign w:val="bottom"/>
            <w:vMerge w:val="restart"/>
          </w:tcPr>
          <w:p>
            <w:pPr>
              <w:jc w:val="center"/>
              <w:ind w:right="370"/>
              <w:spacing w:after="0" w:line="202" w:lineRule="exact"/>
              <w:rPr>
                <w:sz w:val="20"/>
                <w:szCs w:val="20"/>
                <w:color w:val="auto"/>
              </w:rPr>
            </w:pPr>
            <w:r>
              <w:rPr>
                <w:rFonts w:ascii="Arial" w:cs="Arial" w:eastAsia="Arial" w:hAnsi="Arial"/>
                <w:sz w:val="18"/>
                <w:szCs w:val="18"/>
                <w:color w:val="auto"/>
                <w:w w:val="94"/>
              </w:rPr>
              <w:t>10-Q</w:t>
            </w:r>
          </w:p>
        </w:tc>
        <w:tc>
          <w:tcPr>
            <w:tcW w:w="860" w:type="dxa"/>
            <w:vAlign w:val="bottom"/>
            <w:gridSpan w:val="2"/>
            <w:vMerge w:val="restart"/>
          </w:tcPr>
          <w:p>
            <w:pPr>
              <w:jc w:val="center"/>
              <w:spacing w:after="0" w:line="202" w:lineRule="exact"/>
              <w:rPr>
                <w:rFonts w:ascii="Arial" w:cs="Arial" w:eastAsia="Arial" w:hAnsi="Arial"/>
                <w:sz w:val="18"/>
                <w:szCs w:val="18"/>
                <w:color w:val="0000FF"/>
                <w:w w:val="90"/>
              </w:rPr>
            </w:pPr>
            <w:hyperlink r:id="rId261">
              <w:r>
                <w:rPr>
                  <w:rFonts w:ascii="Arial" w:cs="Arial" w:eastAsia="Arial" w:hAnsi="Arial"/>
                  <w:sz w:val="18"/>
                  <w:szCs w:val="18"/>
                  <w:color w:val="0000FF"/>
                  <w:w w:val="90"/>
                </w:rPr>
                <w:t>001-40632</w:t>
              </w:r>
            </w:hyperlink>
          </w:p>
        </w:tc>
        <w:tc>
          <w:tcPr>
            <w:tcW w:w="340" w:type="dxa"/>
            <w:vAlign w:val="bottom"/>
          </w:tcPr>
          <w:p>
            <w:pPr>
              <w:spacing w:after="0" w:line="20" w:lineRule="exact"/>
              <w:rPr>
                <w:sz w:val="1"/>
                <w:szCs w:val="1"/>
                <w:color w:val="auto"/>
              </w:rPr>
            </w:pPr>
          </w:p>
        </w:tc>
        <w:tc>
          <w:tcPr>
            <w:tcW w:w="1220" w:type="dxa"/>
            <w:vAlign w:val="bottom"/>
            <w:gridSpan w:val="4"/>
            <w:vMerge w:val="restart"/>
          </w:tcPr>
          <w:p>
            <w:pPr>
              <w:jc w:val="center"/>
              <w:spacing w:after="0" w:line="202" w:lineRule="exact"/>
              <w:rPr>
                <w:rFonts w:ascii="Arial" w:cs="Arial" w:eastAsia="Arial" w:hAnsi="Arial"/>
                <w:sz w:val="18"/>
                <w:szCs w:val="18"/>
                <w:color w:val="0000FF"/>
                <w:w w:val="91"/>
              </w:rPr>
            </w:pPr>
            <w:hyperlink r:id="rId261">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1160" w:type="dxa"/>
            <w:vAlign w:val="bottom"/>
            <w:vMerge w:val="restart"/>
          </w:tcPr>
          <w:p>
            <w:pPr>
              <w:ind w:left="340"/>
              <w:spacing w:after="0" w:line="202" w:lineRule="exact"/>
              <w:rPr>
                <w:sz w:val="20"/>
                <w:szCs w:val="20"/>
                <w:color w:val="auto"/>
              </w:rPr>
            </w:pPr>
            <w:r>
              <w:rPr>
                <w:rFonts w:ascii="Arial" w:cs="Arial" w:eastAsia="Arial" w:hAnsi="Arial"/>
                <w:sz w:val="18"/>
                <w:szCs w:val="18"/>
                <w:color w:val="auto"/>
                <w:w w:val="88"/>
              </w:rPr>
              <w:t>11/12/2021</w:t>
            </w: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20" w:type="dxa"/>
            <w:vAlign w:val="bottom"/>
            <w:gridSpan w:val="29"/>
          </w:tcPr>
          <w:p>
            <w:pPr>
              <w:spacing w:after="0" w:line="182" w:lineRule="exact"/>
              <w:rPr>
                <w:rFonts w:ascii="Arial" w:cs="Arial" w:eastAsia="Arial" w:hAnsi="Arial"/>
                <w:sz w:val="18"/>
                <w:szCs w:val="18"/>
                <w:color w:val="0000FF"/>
                <w:w w:val="93"/>
              </w:rPr>
            </w:pPr>
            <w:hyperlink r:id="rId261">
              <w:r>
                <w:rPr>
                  <w:rFonts w:ascii="Arial" w:cs="Arial" w:eastAsia="Arial" w:hAnsi="Arial"/>
                  <w:sz w:val="18"/>
                  <w:szCs w:val="18"/>
                  <w:color w:val="0000FF"/>
                  <w:w w:val="93"/>
                </w:rPr>
                <w:t>Supply Agreement between the Registrant and Cytek (Wuxi)</w:t>
              </w:r>
            </w:hyperlink>
          </w:p>
        </w:tc>
        <w:tc>
          <w:tcPr>
            <w:tcW w:w="116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2"/>
              </w:rPr>
            </w:pPr>
            <w:hyperlink r:id="rId261">
              <w:r>
                <w:rPr>
                  <w:rFonts w:ascii="Arial" w:cs="Arial" w:eastAsia="Arial" w:hAnsi="Arial"/>
                  <w:sz w:val="18"/>
                  <w:szCs w:val="18"/>
                  <w:color w:val="0000FF"/>
                  <w:w w:val="92"/>
                </w:rPr>
                <w:t>Biosciences Co., Ltd, a China subsidiary of Cytek</w:t>
              </w:r>
            </w:hyperlink>
          </w:p>
        </w:tc>
        <w:tc>
          <w:tcPr>
            <w:tcW w:w="760" w:type="dxa"/>
            <w:vAlign w:val="bottom"/>
            <w:tcBorders>
              <w:top w:val="single" w:sz="8" w:color="0000FF"/>
            </w:tcBorders>
            <w:gridSpan w:val="13"/>
          </w:tcPr>
          <w:p>
            <w:pPr>
              <w:spacing w:after="0"/>
              <w:rPr>
                <w:sz w:val="13"/>
                <w:szCs w:val="13"/>
                <w:color w:val="auto"/>
              </w:rPr>
            </w:pPr>
          </w:p>
        </w:tc>
        <w:tc>
          <w:tcPr>
            <w:tcW w:w="12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gridSpan w:val="29"/>
          </w:tcPr>
          <w:p>
            <w:pPr>
              <w:spacing w:after="0" w:line="156" w:lineRule="exact"/>
              <w:rPr>
                <w:rFonts w:ascii="Arial" w:cs="Arial" w:eastAsia="Arial" w:hAnsi="Arial"/>
                <w:sz w:val="18"/>
                <w:szCs w:val="18"/>
                <w:color w:val="0000FF"/>
                <w:w w:val="96"/>
              </w:rPr>
            </w:pPr>
            <w:hyperlink r:id="rId261">
              <w:r>
                <w:rPr>
                  <w:rFonts w:ascii="Arial" w:cs="Arial" w:eastAsia="Arial" w:hAnsi="Arial"/>
                  <w:sz w:val="18"/>
                  <w:szCs w:val="18"/>
                  <w:color w:val="0000FF"/>
                  <w:w w:val="96"/>
                </w:rPr>
                <w:t>Biosciences, Inc., and Coherent NA, Inc. dated August 25,</w:t>
              </w:r>
            </w:hyperlink>
          </w:p>
        </w:tc>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1"/>
              </w:rPr>
              <w:t>10.2</w:t>
            </w:r>
          </w:p>
        </w:tc>
        <w:tc>
          <w:tcPr>
            <w:tcW w:w="140" w:type="dxa"/>
            <w:vAlign w:val="bottom"/>
            <w:gridSpan w:val="2"/>
          </w:tcPr>
          <w:p>
            <w:pPr>
              <w:spacing w:after="0"/>
              <w:rPr>
                <w:sz w:val="13"/>
                <w:szCs w:val="13"/>
                <w:color w:val="auto"/>
              </w:rPr>
            </w:pPr>
          </w:p>
        </w:tc>
        <w:tc>
          <w:tcPr>
            <w:tcW w:w="400" w:type="dxa"/>
            <w:vAlign w:val="bottom"/>
            <w:tcBorders>
              <w:top w:val="single" w:sz="8" w:color="0000FF"/>
            </w:tcBorders>
          </w:tcPr>
          <w:p>
            <w:pPr>
              <w:spacing w:after="0" w:line="156" w:lineRule="exact"/>
              <w:rPr>
                <w:rFonts w:ascii="Arial" w:cs="Arial" w:eastAsia="Arial" w:hAnsi="Arial"/>
                <w:sz w:val="18"/>
                <w:szCs w:val="18"/>
                <w:color w:val="0000FF"/>
                <w:w w:val="79"/>
              </w:rPr>
            </w:pPr>
            <w:hyperlink r:id="rId261">
              <w:r>
                <w:rPr>
                  <w:rFonts w:ascii="Arial" w:cs="Arial" w:eastAsia="Arial" w:hAnsi="Arial"/>
                  <w:sz w:val="18"/>
                  <w:szCs w:val="18"/>
                  <w:color w:val="0000FF"/>
                  <w:w w:val="79"/>
                </w:rPr>
                <w:t>2021.</w:t>
              </w:r>
            </w:hyperlink>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vMerge w:val="restart"/>
          </w:tcPr>
          <w:p>
            <w:pPr>
              <w:jc w:val="center"/>
              <w:ind w:right="370"/>
              <w:spacing w:after="0"/>
              <w:rPr>
                <w:sz w:val="20"/>
                <w:szCs w:val="20"/>
                <w:color w:val="auto"/>
              </w:rPr>
            </w:pPr>
            <w:r>
              <w:rPr>
                <w:rFonts w:ascii="Arial" w:cs="Arial" w:eastAsia="Arial" w:hAnsi="Arial"/>
                <w:sz w:val="18"/>
                <w:szCs w:val="18"/>
                <w:color w:val="auto"/>
                <w:w w:val="94"/>
              </w:rPr>
              <w:t>10-Q</w:t>
            </w:r>
          </w:p>
        </w:tc>
        <w:tc>
          <w:tcPr>
            <w:tcW w:w="860" w:type="dxa"/>
            <w:vAlign w:val="bottom"/>
            <w:gridSpan w:val="2"/>
            <w:vMerge w:val="restart"/>
          </w:tcPr>
          <w:p>
            <w:pPr>
              <w:jc w:val="center"/>
              <w:spacing w:after="0"/>
              <w:rPr>
                <w:rFonts w:ascii="Arial" w:cs="Arial" w:eastAsia="Arial" w:hAnsi="Arial"/>
                <w:sz w:val="18"/>
                <w:szCs w:val="18"/>
                <w:color w:val="0000FF"/>
                <w:w w:val="90"/>
              </w:rPr>
            </w:pPr>
            <w:hyperlink r:id="rId262">
              <w:r>
                <w:rPr>
                  <w:rFonts w:ascii="Arial" w:cs="Arial" w:eastAsia="Arial" w:hAnsi="Arial"/>
                  <w:sz w:val="18"/>
                  <w:szCs w:val="18"/>
                  <w:color w:val="0000FF"/>
                  <w:w w:val="90"/>
                </w:rPr>
                <w:t>001-40632</w:t>
              </w:r>
            </w:hyperlink>
          </w:p>
        </w:tc>
        <w:tc>
          <w:tcPr>
            <w:tcW w:w="340" w:type="dxa"/>
            <w:vAlign w:val="bottom"/>
          </w:tcPr>
          <w:p>
            <w:pPr>
              <w:spacing w:after="0"/>
              <w:rPr>
                <w:sz w:val="13"/>
                <w:szCs w:val="13"/>
                <w:color w:val="auto"/>
              </w:rPr>
            </w:pPr>
          </w:p>
        </w:tc>
        <w:tc>
          <w:tcPr>
            <w:tcW w:w="1220" w:type="dxa"/>
            <w:vAlign w:val="bottom"/>
            <w:gridSpan w:val="4"/>
            <w:vMerge w:val="restart"/>
          </w:tcPr>
          <w:p>
            <w:pPr>
              <w:jc w:val="center"/>
              <w:spacing w:after="0"/>
              <w:rPr>
                <w:rFonts w:ascii="Arial" w:cs="Arial" w:eastAsia="Arial" w:hAnsi="Arial"/>
                <w:sz w:val="18"/>
                <w:szCs w:val="18"/>
                <w:color w:val="0000FF"/>
                <w:w w:val="91"/>
              </w:rPr>
            </w:pPr>
            <w:hyperlink r:id="rId26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hyperlink>
          </w:p>
        </w:tc>
        <w:tc>
          <w:tcPr>
            <w:tcW w:w="1160" w:type="dxa"/>
            <w:vAlign w:val="bottom"/>
            <w:vMerge w:val="restart"/>
          </w:tcPr>
          <w:p>
            <w:pPr>
              <w:ind w:left="340"/>
              <w:spacing w:after="0"/>
              <w:rPr>
                <w:sz w:val="20"/>
                <w:szCs w:val="20"/>
                <w:color w:val="auto"/>
              </w:rPr>
            </w:pPr>
            <w:r>
              <w:rPr>
                <w:rFonts w:ascii="Arial" w:cs="Arial" w:eastAsia="Arial" w:hAnsi="Arial"/>
                <w:sz w:val="18"/>
                <w:szCs w:val="18"/>
                <w:color w:val="auto"/>
                <w:w w:val="88"/>
              </w:rPr>
              <w:t>11/12/2021</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120" w:type="dxa"/>
            <w:vAlign w:val="bottom"/>
            <w:gridSpan w:val="28"/>
            <w:vMerge w:val="restart"/>
          </w:tcPr>
          <w:p>
            <w:pPr>
              <w:ind w:left="100"/>
              <w:spacing w:after="0" w:line="202" w:lineRule="exact"/>
              <w:rPr>
                <w:rFonts w:ascii="Arial" w:cs="Arial" w:eastAsia="Arial" w:hAnsi="Arial"/>
                <w:sz w:val="18"/>
                <w:szCs w:val="18"/>
                <w:color w:val="0000FF"/>
                <w:w w:val="96"/>
              </w:rPr>
            </w:pPr>
            <w:hyperlink r:id="rId262">
              <w:r>
                <w:rPr>
                  <w:rFonts w:ascii="Arial" w:cs="Arial" w:eastAsia="Arial" w:hAnsi="Arial"/>
                  <w:sz w:val="18"/>
                  <w:szCs w:val="18"/>
                  <w:color w:val="0000FF"/>
                  <w:w w:val="96"/>
                </w:rPr>
                <w:t>of Restricted Stock Unit Grant Notice and Restricted</w:t>
              </w:r>
            </w:hyperlink>
          </w:p>
        </w:tc>
        <w:tc>
          <w:tcPr>
            <w:tcW w:w="1160" w:type="dxa"/>
            <w:vAlign w:val="bottom"/>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gridSpan w:val="4"/>
            <w:vMerge w:val="continue"/>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line="182" w:lineRule="exact"/>
              <w:rPr>
                <w:rFonts w:ascii="Arial" w:cs="Arial" w:eastAsia="Arial" w:hAnsi="Arial"/>
                <w:sz w:val="18"/>
                <w:szCs w:val="18"/>
                <w:color w:val="0000FF"/>
                <w:w w:val="70"/>
              </w:rPr>
            </w:pPr>
            <w:hyperlink r:id="rId262">
              <w:r>
                <w:rPr>
                  <w:rFonts w:ascii="Arial" w:cs="Arial" w:eastAsia="Arial" w:hAnsi="Arial"/>
                  <w:sz w:val="18"/>
                  <w:szCs w:val="18"/>
                  <w:color w:val="0000FF"/>
                  <w:w w:val="70"/>
                </w:rPr>
                <w:t>Forms</w:t>
              </w:r>
            </w:hyperlink>
          </w:p>
        </w:tc>
        <w:tc>
          <w:tcPr>
            <w:tcW w:w="4120" w:type="dxa"/>
            <w:vAlign w:val="bottom"/>
            <w:gridSpan w:val="28"/>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62">
              <w:r>
                <w:rPr>
                  <w:rFonts w:ascii="Arial" w:cs="Arial" w:eastAsia="Arial" w:hAnsi="Arial"/>
                  <w:sz w:val="18"/>
                  <w:szCs w:val="18"/>
                  <w:color w:val="0000FF"/>
                </w:rPr>
                <w:t>Stock Unit Award Agreement under the 2021 Equity</w:t>
              </w:r>
            </w:hyperlink>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62">
              <w:r>
                <w:rPr>
                  <w:rFonts w:ascii="Arial" w:cs="Arial" w:eastAsia="Arial" w:hAnsi="Arial"/>
                  <w:sz w:val="18"/>
                  <w:szCs w:val="18"/>
                  <w:color w:val="0000FF"/>
                </w:rPr>
                <w:t>Incentive Plan</w:t>
              </w:r>
            </w:hyperlink>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1160" w:type="dxa"/>
            <w:vAlign w:val="bottom"/>
            <w:vMerge w:val="restart"/>
          </w:tcPr>
          <w:p>
            <w:pPr>
              <w:jc w:val="center"/>
              <w:ind w:right="370"/>
              <w:spacing w:after="0"/>
              <w:rPr>
                <w:sz w:val="20"/>
                <w:szCs w:val="20"/>
                <w:color w:val="auto"/>
              </w:rPr>
            </w:pPr>
            <w:r>
              <w:rPr>
                <w:rFonts w:ascii="Arial" w:cs="Arial" w:eastAsia="Arial" w:hAnsi="Arial"/>
                <w:sz w:val="18"/>
                <w:szCs w:val="18"/>
                <w:color w:val="auto"/>
                <w:w w:val="92"/>
              </w:rPr>
              <w:t>S-1</w:t>
            </w:r>
          </w:p>
        </w:tc>
        <w:tc>
          <w:tcPr>
            <w:tcW w:w="1200" w:type="dxa"/>
            <w:vAlign w:val="bottom"/>
            <w:gridSpan w:val="3"/>
            <w:vMerge w:val="restart"/>
          </w:tcPr>
          <w:p>
            <w:pPr>
              <w:jc w:val="center"/>
              <w:ind w:right="340"/>
              <w:spacing w:after="0"/>
              <w:rPr>
                <w:rFonts w:ascii="Arial" w:cs="Arial" w:eastAsia="Arial" w:hAnsi="Arial"/>
                <w:sz w:val="18"/>
                <w:szCs w:val="18"/>
                <w:color w:val="0000FF"/>
                <w:w w:val="89"/>
              </w:rPr>
            </w:pPr>
            <w:hyperlink r:id="rId263">
              <w:r>
                <w:rPr>
                  <w:rFonts w:ascii="Arial" w:cs="Arial" w:eastAsia="Arial" w:hAnsi="Arial"/>
                  <w:sz w:val="18"/>
                  <w:szCs w:val="18"/>
                  <w:color w:val="0000FF"/>
                  <w:w w:val="89"/>
                </w:rPr>
                <w:t>333-257663</w:t>
              </w:r>
            </w:hyperlink>
          </w:p>
        </w:tc>
        <w:tc>
          <w:tcPr>
            <w:tcW w:w="1220" w:type="dxa"/>
            <w:vAlign w:val="bottom"/>
            <w:gridSpan w:val="4"/>
            <w:vMerge w:val="restart"/>
          </w:tcPr>
          <w:p>
            <w:pPr>
              <w:jc w:val="center"/>
              <w:spacing w:after="0"/>
              <w:rPr>
                <w:rFonts w:ascii="Arial" w:cs="Arial" w:eastAsia="Arial" w:hAnsi="Arial"/>
                <w:sz w:val="18"/>
                <w:szCs w:val="18"/>
                <w:color w:val="0000FF"/>
                <w:w w:val="91"/>
              </w:rPr>
            </w:pPr>
            <w:hyperlink r:id="rId263">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1160" w:type="dxa"/>
            <w:vAlign w:val="bottom"/>
            <w:vMerge w:val="restart"/>
          </w:tcPr>
          <w:p>
            <w:pPr>
              <w:ind w:left="340"/>
              <w:spacing w:after="0"/>
              <w:rPr>
                <w:sz w:val="20"/>
                <w:szCs w:val="20"/>
                <w:color w:val="auto"/>
              </w:rPr>
            </w:pPr>
            <w:r>
              <w:rPr>
                <w:rFonts w:ascii="Arial" w:cs="Arial" w:eastAsia="Arial" w:hAnsi="Arial"/>
                <w:sz w:val="18"/>
                <w:szCs w:val="18"/>
                <w:color w:val="auto"/>
                <w:w w:val="88"/>
              </w:rPr>
              <w:t>07/02/2021</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Borders>
              <w:top w:val="single" w:sz="8" w:color="0000FF"/>
            </w:tcBorders>
            <w:gridSpan w:val="4"/>
          </w:tcPr>
          <w:p>
            <w:pPr>
              <w:spacing w:after="0" w:line="182" w:lineRule="exact"/>
              <w:rPr>
                <w:rFonts w:ascii="Arial" w:cs="Arial" w:eastAsia="Arial" w:hAnsi="Arial"/>
                <w:sz w:val="18"/>
                <w:szCs w:val="18"/>
                <w:color w:val="0000FF"/>
                <w:w w:val="89"/>
              </w:rPr>
            </w:pPr>
            <w:hyperlink r:id="rId263">
              <w:r>
                <w:rPr>
                  <w:rFonts w:ascii="Arial" w:cs="Arial" w:eastAsia="Arial" w:hAnsi="Arial"/>
                  <w:sz w:val="18"/>
                  <w:szCs w:val="18"/>
                  <w:color w:val="0000FF"/>
                  <w:w w:val="89"/>
                </w:rPr>
                <w:t>Amended and</w:t>
              </w:r>
            </w:hyperlink>
          </w:p>
        </w:tc>
        <w:tc>
          <w:tcPr>
            <w:tcW w:w="3500" w:type="dxa"/>
            <w:vAlign w:val="bottom"/>
            <w:gridSpan w:val="25"/>
          </w:tcPr>
          <w:p>
            <w:pPr>
              <w:ind w:left="20"/>
              <w:spacing w:after="0" w:line="182" w:lineRule="exact"/>
              <w:rPr>
                <w:rFonts w:ascii="Arial" w:cs="Arial" w:eastAsia="Arial" w:hAnsi="Arial"/>
                <w:sz w:val="18"/>
                <w:szCs w:val="18"/>
                <w:color w:val="0000FF"/>
                <w:w w:val="94"/>
              </w:rPr>
            </w:pPr>
            <w:hyperlink r:id="rId263">
              <w:r>
                <w:rPr>
                  <w:rFonts w:ascii="Arial" w:cs="Arial" w:eastAsia="Arial" w:hAnsi="Arial"/>
                  <w:sz w:val="18"/>
                  <w:szCs w:val="18"/>
                  <w:color w:val="0000FF"/>
                  <w:w w:val="94"/>
                </w:rPr>
                <w:t>Restated Investors’ Rights Agreement, by and</w:t>
              </w:r>
            </w:hyperlink>
          </w:p>
        </w:tc>
        <w:tc>
          <w:tcPr>
            <w:tcW w:w="1160" w:type="dxa"/>
            <w:vAlign w:val="bottom"/>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263">
              <w:r>
                <w:rPr>
                  <w:rFonts w:ascii="Arial" w:cs="Arial" w:eastAsia="Arial" w:hAnsi="Arial"/>
                  <w:sz w:val="18"/>
                  <w:szCs w:val="18"/>
                  <w:color w:val="0000FF"/>
                </w:rPr>
                <w:t>among Cytek Biosciences, Inc. and certain of its</w:t>
              </w:r>
            </w:hyperlink>
          </w:p>
        </w:tc>
        <w:tc>
          <w:tcPr>
            <w:tcW w:w="12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263">
              <w:r>
                <w:rPr>
                  <w:rFonts w:ascii="Arial" w:cs="Arial" w:eastAsia="Arial" w:hAnsi="Arial"/>
                  <w:sz w:val="18"/>
                  <w:szCs w:val="18"/>
                  <w:color w:val="0000FF"/>
                </w:rPr>
                <w:t>stockholders, dated October 23, 2020.</w:t>
              </w:r>
            </w:hyperlink>
          </w:p>
        </w:tc>
        <w:tc>
          <w:tcPr>
            <w:tcW w:w="240" w:type="dxa"/>
            <w:vAlign w:val="bottom"/>
            <w:gridSpan w:val="3"/>
          </w:tcPr>
          <w:p>
            <w:pPr>
              <w:spacing w:after="0"/>
              <w:rPr>
                <w:sz w:val="13"/>
                <w:szCs w:val="13"/>
                <w:color w:val="auto"/>
              </w:rPr>
            </w:pPr>
          </w:p>
        </w:tc>
        <w:tc>
          <w:tcPr>
            <w:tcW w:w="2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1160" w:type="dxa"/>
            <w:vAlign w:val="bottom"/>
            <w:vMerge w:val="restart"/>
          </w:tcPr>
          <w:p>
            <w:pPr>
              <w:jc w:val="center"/>
              <w:ind w:right="370"/>
              <w:spacing w:after="0"/>
              <w:rPr>
                <w:sz w:val="20"/>
                <w:szCs w:val="20"/>
                <w:color w:val="auto"/>
              </w:rPr>
            </w:pPr>
            <w:r>
              <w:rPr>
                <w:rFonts w:ascii="Arial" w:cs="Arial" w:eastAsia="Arial" w:hAnsi="Arial"/>
                <w:sz w:val="18"/>
                <w:szCs w:val="18"/>
                <w:color w:val="auto"/>
                <w:w w:val="92"/>
              </w:rPr>
              <w:t>S-1</w:t>
            </w:r>
          </w:p>
        </w:tc>
        <w:tc>
          <w:tcPr>
            <w:tcW w:w="1200" w:type="dxa"/>
            <w:vAlign w:val="bottom"/>
            <w:gridSpan w:val="3"/>
            <w:vMerge w:val="restart"/>
          </w:tcPr>
          <w:p>
            <w:pPr>
              <w:jc w:val="center"/>
              <w:ind w:right="340"/>
              <w:spacing w:after="0"/>
              <w:rPr>
                <w:rFonts w:ascii="Arial" w:cs="Arial" w:eastAsia="Arial" w:hAnsi="Arial"/>
                <w:sz w:val="18"/>
                <w:szCs w:val="18"/>
                <w:color w:val="0000FF"/>
                <w:w w:val="89"/>
              </w:rPr>
            </w:pPr>
            <w:hyperlink r:id="rId264">
              <w:r>
                <w:rPr>
                  <w:rFonts w:ascii="Arial" w:cs="Arial" w:eastAsia="Arial" w:hAnsi="Arial"/>
                  <w:sz w:val="18"/>
                  <w:szCs w:val="18"/>
                  <w:color w:val="0000FF"/>
                  <w:w w:val="89"/>
                </w:rPr>
                <w:t>333-257663</w:t>
              </w:r>
            </w:hyperlink>
          </w:p>
        </w:tc>
        <w:tc>
          <w:tcPr>
            <w:tcW w:w="1220" w:type="dxa"/>
            <w:vAlign w:val="bottom"/>
            <w:gridSpan w:val="4"/>
            <w:vMerge w:val="restart"/>
          </w:tcPr>
          <w:p>
            <w:pPr>
              <w:jc w:val="center"/>
              <w:spacing w:after="0"/>
              <w:rPr>
                <w:rFonts w:ascii="Arial" w:cs="Arial" w:eastAsia="Arial" w:hAnsi="Arial"/>
                <w:sz w:val="18"/>
                <w:szCs w:val="18"/>
                <w:color w:val="0000FF"/>
                <w:w w:val="91"/>
              </w:rPr>
            </w:pPr>
            <w:hyperlink r:id="rId264">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hyperlink>
          </w:p>
        </w:tc>
        <w:tc>
          <w:tcPr>
            <w:tcW w:w="1160" w:type="dxa"/>
            <w:vAlign w:val="bottom"/>
            <w:vMerge w:val="restart"/>
          </w:tcPr>
          <w:p>
            <w:pPr>
              <w:ind w:left="340"/>
              <w:spacing w:after="0"/>
              <w:rPr>
                <w:sz w:val="20"/>
                <w:szCs w:val="20"/>
                <w:color w:val="auto"/>
              </w:rPr>
            </w:pPr>
            <w:r>
              <w:rPr>
                <w:rFonts w:ascii="Arial" w:cs="Arial" w:eastAsia="Arial" w:hAnsi="Arial"/>
                <w:sz w:val="18"/>
                <w:szCs w:val="18"/>
                <w:color w:val="auto"/>
                <w:w w:val="88"/>
              </w:rPr>
              <w:t>07/02/2021</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20" w:type="dxa"/>
            <w:vAlign w:val="bottom"/>
            <w:tcBorders>
              <w:top w:val="single" w:sz="8" w:color="0000FF"/>
            </w:tcBorders>
            <w:gridSpan w:val="10"/>
          </w:tcPr>
          <w:p>
            <w:pPr>
              <w:spacing w:after="0" w:line="182" w:lineRule="exact"/>
              <w:rPr>
                <w:rFonts w:ascii="Arial" w:cs="Arial" w:eastAsia="Arial" w:hAnsi="Arial"/>
                <w:sz w:val="18"/>
                <w:szCs w:val="18"/>
                <w:color w:val="0000FF"/>
                <w:w w:val="94"/>
              </w:rPr>
            </w:pPr>
            <w:hyperlink r:id="rId264">
              <w:r>
                <w:rPr>
                  <w:rFonts w:ascii="Arial" w:cs="Arial" w:eastAsia="Arial" w:hAnsi="Arial"/>
                  <w:sz w:val="18"/>
                  <w:szCs w:val="18"/>
                  <w:color w:val="0000FF"/>
                  <w:w w:val="94"/>
                </w:rPr>
                <w:t>Cytek Biosciences, Inc. 2015 Equity</w:t>
              </w:r>
            </w:hyperlink>
          </w:p>
        </w:tc>
        <w:tc>
          <w:tcPr>
            <w:tcW w:w="20" w:type="dxa"/>
            <w:vAlign w:val="bottom"/>
            <w:tcBorders>
              <w:top w:val="single" w:sz="8" w:color="0000EE"/>
            </w:tcBorders>
          </w:tcPr>
          <w:p>
            <w:pPr>
              <w:spacing w:after="0"/>
              <w:rPr>
                <w:sz w:val="15"/>
                <w:szCs w:val="15"/>
                <w:color w:val="auto"/>
              </w:rPr>
            </w:pPr>
          </w:p>
        </w:tc>
        <w:tc>
          <w:tcPr>
            <w:tcW w:w="1240" w:type="dxa"/>
            <w:vAlign w:val="bottom"/>
            <w:gridSpan w:val="7"/>
          </w:tcPr>
          <w:p>
            <w:pPr>
              <w:spacing w:after="0" w:line="182" w:lineRule="exact"/>
              <w:rPr>
                <w:rFonts w:ascii="Arial" w:cs="Arial" w:eastAsia="Arial" w:hAnsi="Arial"/>
                <w:sz w:val="18"/>
                <w:szCs w:val="18"/>
                <w:color w:val="0000FF"/>
                <w:w w:val="85"/>
              </w:rPr>
            </w:pPr>
            <w:hyperlink r:id="rId264">
              <w:r>
                <w:rPr>
                  <w:rFonts w:ascii="Arial" w:cs="Arial" w:eastAsia="Arial" w:hAnsi="Arial"/>
                  <w:sz w:val="18"/>
                  <w:szCs w:val="18"/>
                  <w:color w:val="0000FF"/>
                  <w:w w:val="85"/>
                </w:rPr>
                <w:t>Incentive Plan, as</w:t>
              </w:r>
            </w:hyperlink>
          </w:p>
        </w:tc>
        <w:tc>
          <w:tcPr>
            <w:tcW w:w="540" w:type="dxa"/>
            <w:vAlign w:val="bottom"/>
            <w:gridSpan w:val="11"/>
          </w:tcPr>
          <w:p>
            <w:pPr>
              <w:spacing w:after="0"/>
              <w:rPr>
                <w:sz w:val="15"/>
                <w:szCs w:val="15"/>
                <w:color w:val="auto"/>
              </w:rPr>
            </w:pPr>
          </w:p>
        </w:tc>
        <w:tc>
          <w:tcPr>
            <w:tcW w:w="1160" w:type="dxa"/>
            <w:vAlign w:val="bottom"/>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8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160" w:type="dxa"/>
            <w:vAlign w:val="bottom"/>
            <w:gridSpan w:val="4"/>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gridSpan w:val="18"/>
          </w:tcPr>
          <w:p>
            <w:pPr>
              <w:spacing w:after="0" w:line="156" w:lineRule="exact"/>
              <w:rPr>
                <w:rFonts w:ascii="Arial" w:cs="Arial" w:eastAsia="Arial" w:hAnsi="Arial"/>
                <w:sz w:val="18"/>
                <w:szCs w:val="18"/>
                <w:color w:val="0000FF"/>
              </w:rPr>
            </w:pPr>
            <w:hyperlink r:id="rId264">
              <w:r>
                <w:rPr>
                  <w:rFonts w:ascii="Arial" w:cs="Arial" w:eastAsia="Arial" w:hAnsi="Arial"/>
                  <w:sz w:val="18"/>
                  <w:szCs w:val="18"/>
                  <w:color w:val="0000FF"/>
                </w:rPr>
                <w:t>amended.</w:t>
              </w:r>
            </w:hyperlink>
          </w:p>
        </w:tc>
        <w:tc>
          <w:tcPr>
            <w:tcW w:w="1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60" w:type="dxa"/>
            <w:vAlign w:val="bottom"/>
            <w:gridSpan w:val="2"/>
            <w:vMerge w:val="continue"/>
          </w:tcPr>
          <w:p>
            <w:pPr>
              <w:spacing w:after="0"/>
              <w:rPr>
                <w:sz w:val="13"/>
                <w:szCs w:val="13"/>
                <w:color w:val="auto"/>
              </w:rPr>
            </w:pPr>
          </w:p>
        </w:tc>
        <w:tc>
          <w:tcPr>
            <w:tcW w:w="160" w:type="dxa"/>
            <w:vAlign w:val="bottom"/>
            <w:gridSpan w:val="4"/>
            <w:vMerge w:val="continue"/>
          </w:tcPr>
          <w:p>
            <w:pPr>
              <w:spacing w:after="0"/>
              <w:rPr>
                <w:sz w:val="13"/>
                <w:szCs w:val="13"/>
                <w:color w:val="auto"/>
              </w:rPr>
            </w:pPr>
          </w:p>
        </w:tc>
        <w:tc>
          <w:tcPr>
            <w:tcW w:w="1160" w:type="dxa"/>
            <w:vAlign w:val="bottom"/>
            <w:vMerge w:val="restart"/>
          </w:tcPr>
          <w:p>
            <w:pPr>
              <w:jc w:val="center"/>
              <w:ind w:right="370"/>
              <w:spacing w:after="0"/>
              <w:rPr>
                <w:sz w:val="20"/>
                <w:szCs w:val="20"/>
                <w:color w:val="auto"/>
              </w:rPr>
            </w:pPr>
            <w:r>
              <w:rPr>
                <w:rFonts w:ascii="Arial" w:cs="Arial" w:eastAsia="Arial" w:hAnsi="Arial"/>
                <w:sz w:val="18"/>
                <w:szCs w:val="18"/>
                <w:color w:val="auto"/>
                <w:w w:val="92"/>
              </w:rPr>
              <w:t>S-1</w:t>
            </w:r>
          </w:p>
        </w:tc>
        <w:tc>
          <w:tcPr>
            <w:tcW w:w="1200" w:type="dxa"/>
            <w:vAlign w:val="bottom"/>
            <w:gridSpan w:val="3"/>
            <w:vMerge w:val="restart"/>
          </w:tcPr>
          <w:p>
            <w:pPr>
              <w:jc w:val="center"/>
              <w:ind w:right="340"/>
              <w:spacing w:after="0"/>
              <w:rPr>
                <w:rFonts w:ascii="Arial" w:cs="Arial" w:eastAsia="Arial" w:hAnsi="Arial"/>
                <w:sz w:val="18"/>
                <w:szCs w:val="18"/>
                <w:color w:val="0000FF"/>
                <w:w w:val="89"/>
              </w:rPr>
            </w:pPr>
            <w:hyperlink r:id="rId265">
              <w:r>
                <w:rPr>
                  <w:rFonts w:ascii="Arial" w:cs="Arial" w:eastAsia="Arial" w:hAnsi="Arial"/>
                  <w:sz w:val="18"/>
                  <w:szCs w:val="18"/>
                  <w:color w:val="0000FF"/>
                  <w:w w:val="89"/>
                </w:rPr>
                <w:t>333-257663</w:t>
              </w:r>
            </w:hyperlink>
          </w:p>
        </w:tc>
        <w:tc>
          <w:tcPr>
            <w:tcW w:w="1220" w:type="dxa"/>
            <w:vAlign w:val="bottom"/>
            <w:gridSpan w:val="4"/>
            <w:vMerge w:val="restart"/>
          </w:tcPr>
          <w:p>
            <w:pPr>
              <w:jc w:val="center"/>
              <w:spacing w:after="0"/>
              <w:rPr>
                <w:rFonts w:ascii="Arial" w:cs="Arial" w:eastAsia="Arial" w:hAnsi="Arial"/>
                <w:sz w:val="18"/>
                <w:szCs w:val="18"/>
                <w:color w:val="0000FF"/>
                <w:w w:val="91"/>
              </w:rPr>
            </w:pPr>
            <w:hyperlink r:id="rId26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w:t>
              </w:r>
            </w:hyperlink>
          </w:p>
        </w:tc>
        <w:tc>
          <w:tcPr>
            <w:tcW w:w="1160" w:type="dxa"/>
            <w:vAlign w:val="bottom"/>
            <w:vMerge w:val="restart"/>
          </w:tcPr>
          <w:p>
            <w:pPr>
              <w:ind w:left="340"/>
              <w:spacing w:after="0"/>
              <w:rPr>
                <w:sz w:val="20"/>
                <w:szCs w:val="20"/>
                <w:color w:val="auto"/>
              </w:rPr>
            </w:pPr>
            <w:r>
              <w:rPr>
                <w:rFonts w:ascii="Arial" w:cs="Arial" w:eastAsia="Arial" w:hAnsi="Arial"/>
                <w:sz w:val="18"/>
                <w:szCs w:val="18"/>
                <w:color w:val="auto"/>
                <w:w w:val="88"/>
              </w:rPr>
              <w:t>07/02/2021</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Borders>
              <w:top w:val="single" w:sz="8" w:color="0000FF"/>
            </w:tcBorders>
            <w:gridSpan w:val="3"/>
          </w:tcPr>
          <w:p>
            <w:pPr>
              <w:spacing w:after="0" w:line="182" w:lineRule="exact"/>
              <w:rPr>
                <w:rFonts w:ascii="Arial" w:cs="Arial" w:eastAsia="Arial" w:hAnsi="Arial"/>
                <w:sz w:val="18"/>
                <w:szCs w:val="18"/>
                <w:color w:val="0000FF"/>
                <w:w w:val="92"/>
              </w:rPr>
            </w:pPr>
            <w:hyperlink r:id="rId265">
              <w:r>
                <w:rPr>
                  <w:rFonts w:ascii="Arial" w:cs="Arial" w:eastAsia="Arial" w:hAnsi="Arial"/>
                  <w:sz w:val="18"/>
                  <w:szCs w:val="18"/>
                  <w:color w:val="0000FF"/>
                  <w:w w:val="92"/>
                </w:rPr>
                <w:t>Forms of</w:t>
              </w:r>
            </w:hyperlink>
          </w:p>
        </w:tc>
        <w:tc>
          <w:tcPr>
            <w:tcW w:w="3840" w:type="dxa"/>
            <w:vAlign w:val="bottom"/>
            <w:gridSpan w:val="26"/>
          </w:tcPr>
          <w:p>
            <w:pPr>
              <w:ind w:left="20"/>
              <w:spacing w:after="0" w:line="182" w:lineRule="exact"/>
              <w:rPr>
                <w:rFonts w:ascii="Arial" w:cs="Arial" w:eastAsia="Arial" w:hAnsi="Arial"/>
                <w:sz w:val="18"/>
                <w:szCs w:val="18"/>
                <w:color w:val="0000FF"/>
                <w:w w:val="98"/>
              </w:rPr>
            </w:pPr>
            <w:hyperlink r:id="rId265">
              <w:r>
                <w:rPr>
                  <w:rFonts w:ascii="Arial" w:cs="Arial" w:eastAsia="Arial" w:hAnsi="Arial"/>
                  <w:sz w:val="18"/>
                  <w:szCs w:val="18"/>
                  <w:color w:val="0000FF"/>
                  <w:w w:val="98"/>
                </w:rPr>
                <w:t>Option Agreement, Notice of Stock Option Grant</w:t>
              </w:r>
            </w:hyperlink>
          </w:p>
        </w:tc>
        <w:tc>
          <w:tcPr>
            <w:tcW w:w="1160" w:type="dxa"/>
            <w:vAlign w:val="bottom"/>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tcBorders>
            <w:gridSpan w:val="23"/>
          </w:tcPr>
          <w:p>
            <w:pPr>
              <w:spacing w:after="0" w:line="156" w:lineRule="exact"/>
              <w:rPr>
                <w:rFonts w:ascii="Arial" w:cs="Arial" w:eastAsia="Arial" w:hAnsi="Arial"/>
                <w:sz w:val="18"/>
                <w:szCs w:val="18"/>
                <w:color w:val="0000FF"/>
                <w:w w:val="95"/>
              </w:rPr>
            </w:pPr>
            <w:hyperlink r:id="rId265">
              <w:r>
                <w:rPr>
                  <w:rFonts w:ascii="Arial" w:cs="Arial" w:eastAsia="Arial" w:hAnsi="Arial"/>
                  <w:sz w:val="18"/>
                  <w:szCs w:val="18"/>
                  <w:color w:val="0000FF"/>
                  <w:w w:val="95"/>
                </w:rPr>
                <w:t>and Exercise Notice under Cytek Biosciences, Inc. 2015</w:t>
              </w:r>
            </w:hyperlink>
          </w:p>
        </w:tc>
        <w:tc>
          <w:tcPr>
            <w:tcW w:w="6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265">
              <w:r>
                <w:rPr>
                  <w:rFonts w:ascii="Arial" w:cs="Arial" w:eastAsia="Arial" w:hAnsi="Arial"/>
                  <w:sz w:val="18"/>
                  <w:szCs w:val="18"/>
                  <w:color w:val="0000FF"/>
                  <w:w w:val="91"/>
                </w:rPr>
                <w:t>Equity Incentive Plan.</w:t>
              </w:r>
            </w:hyperlink>
          </w:p>
        </w:tc>
        <w:tc>
          <w:tcPr>
            <w:tcW w:w="20" w:type="dxa"/>
            <w:vAlign w:val="bottom"/>
            <w:tcBorders>
              <w:top w:val="single" w:sz="8" w:color="0000FF"/>
              <w:bottom w:val="single" w:sz="8" w:color="0000EE"/>
            </w:tcBorders>
          </w:tcPr>
          <w:p>
            <w:pPr>
              <w:spacing w:after="0"/>
              <w:rPr>
                <w:sz w:val="13"/>
                <w:szCs w:val="13"/>
                <w:color w:val="auto"/>
              </w:rPr>
            </w:pPr>
          </w:p>
        </w:tc>
        <w:tc>
          <w:tcPr>
            <w:tcW w:w="248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4"/>
          </w:tcPr>
          <w:p>
            <w:pPr>
              <w:spacing w:after="0"/>
              <w:rPr>
                <w:sz w:val="13"/>
                <w:szCs w:val="13"/>
                <w:color w:val="auto"/>
              </w:rPr>
            </w:pPr>
          </w:p>
        </w:tc>
        <w:tc>
          <w:tcPr>
            <w:tcW w:w="160" w:type="dxa"/>
            <w:vAlign w:val="bottom"/>
            <w:gridSpan w:val="4"/>
          </w:tcPr>
          <w:p>
            <w:pPr>
              <w:spacing w:after="0"/>
              <w:rPr>
                <w:sz w:val="13"/>
                <w:szCs w:val="13"/>
                <w:color w:val="auto"/>
              </w:rPr>
            </w:pPr>
          </w:p>
        </w:tc>
        <w:tc>
          <w:tcPr>
            <w:tcW w:w="1160" w:type="dxa"/>
            <w:vAlign w:val="bottom"/>
            <w:vMerge w:val="restart"/>
          </w:tcPr>
          <w:p>
            <w:pPr>
              <w:jc w:val="center"/>
              <w:ind w:right="370"/>
              <w:spacing w:after="0"/>
              <w:rPr>
                <w:sz w:val="20"/>
                <w:szCs w:val="20"/>
                <w:color w:val="auto"/>
              </w:rPr>
            </w:pPr>
            <w:r>
              <w:rPr>
                <w:rFonts w:ascii="Arial" w:cs="Arial" w:eastAsia="Arial" w:hAnsi="Arial"/>
                <w:sz w:val="18"/>
                <w:szCs w:val="18"/>
                <w:color w:val="auto"/>
                <w:w w:val="93"/>
              </w:rPr>
              <w:t>S-1/A</w:t>
            </w:r>
          </w:p>
        </w:tc>
        <w:tc>
          <w:tcPr>
            <w:tcW w:w="1200" w:type="dxa"/>
            <w:vAlign w:val="bottom"/>
            <w:gridSpan w:val="3"/>
            <w:vMerge w:val="restart"/>
          </w:tcPr>
          <w:p>
            <w:pPr>
              <w:jc w:val="center"/>
              <w:ind w:right="340"/>
              <w:spacing w:after="0"/>
              <w:rPr>
                <w:rFonts w:ascii="Arial" w:cs="Arial" w:eastAsia="Arial" w:hAnsi="Arial"/>
                <w:sz w:val="18"/>
                <w:szCs w:val="18"/>
                <w:color w:val="0000FF"/>
                <w:w w:val="89"/>
              </w:rPr>
            </w:pPr>
            <w:hyperlink r:id="rId266">
              <w:r>
                <w:rPr>
                  <w:rFonts w:ascii="Arial" w:cs="Arial" w:eastAsia="Arial" w:hAnsi="Arial"/>
                  <w:sz w:val="18"/>
                  <w:szCs w:val="18"/>
                  <w:color w:val="0000FF"/>
                  <w:w w:val="89"/>
                </w:rPr>
                <w:t>333-257663</w:t>
              </w:r>
            </w:hyperlink>
          </w:p>
        </w:tc>
        <w:tc>
          <w:tcPr>
            <w:tcW w:w="1220" w:type="dxa"/>
            <w:vAlign w:val="bottom"/>
            <w:gridSpan w:val="4"/>
            <w:vMerge w:val="restart"/>
          </w:tcPr>
          <w:p>
            <w:pPr>
              <w:jc w:val="center"/>
              <w:spacing w:after="0"/>
              <w:rPr>
                <w:rFonts w:ascii="Arial" w:cs="Arial" w:eastAsia="Arial" w:hAnsi="Arial"/>
                <w:sz w:val="18"/>
                <w:szCs w:val="18"/>
                <w:color w:val="0000FF"/>
                <w:w w:val="91"/>
              </w:rPr>
            </w:pPr>
            <w:hyperlink r:id="rId26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4</w:t>
              </w:r>
            </w:hyperlink>
          </w:p>
        </w:tc>
        <w:tc>
          <w:tcPr>
            <w:tcW w:w="1160" w:type="dxa"/>
            <w:vAlign w:val="bottom"/>
            <w:vMerge w:val="restart"/>
          </w:tcPr>
          <w:p>
            <w:pPr>
              <w:ind w:left="280"/>
              <w:spacing w:after="0"/>
              <w:rPr>
                <w:sz w:val="20"/>
                <w:szCs w:val="20"/>
                <w:color w:val="auto"/>
              </w:rPr>
            </w:pPr>
            <w:r>
              <w:rPr>
                <w:rFonts w:ascii="Arial" w:cs="Arial" w:eastAsia="Arial" w:hAnsi="Arial"/>
                <w:sz w:val="18"/>
                <w:szCs w:val="18"/>
                <w:color w:val="auto"/>
                <w:w w:val="95"/>
              </w:rPr>
              <w:t>07/19/2021</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20" w:type="dxa"/>
            <w:vAlign w:val="bottom"/>
            <w:gridSpan w:val="29"/>
          </w:tcPr>
          <w:p>
            <w:pPr>
              <w:spacing w:after="0" w:line="182" w:lineRule="exact"/>
              <w:rPr>
                <w:rFonts w:ascii="Arial" w:cs="Arial" w:eastAsia="Arial" w:hAnsi="Arial"/>
                <w:sz w:val="18"/>
                <w:szCs w:val="18"/>
                <w:color w:val="0000FF"/>
              </w:rPr>
            </w:pPr>
            <w:hyperlink r:id="rId266">
              <w:r>
                <w:rPr>
                  <w:rFonts w:ascii="Arial" w:cs="Arial" w:eastAsia="Arial" w:hAnsi="Arial"/>
                  <w:sz w:val="18"/>
                  <w:szCs w:val="18"/>
                  <w:color w:val="0000FF"/>
                </w:rPr>
                <w:t>Cytek Biosciences, Inc. 2021 Equity Incentive Plan.</w:t>
              </w:r>
            </w:hyperlink>
          </w:p>
        </w:tc>
        <w:tc>
          <w:tcPr>
            <w:tcW w:w="1160" w:type="dxa"/>
            <w:vAlign w:val="bottom"/>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1"/>
              </w:rPr>
              <w:t>10.7</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340" w:type="dxa"/>
            <w:vAlign w:val="bottom"/>
            <w:gridSpan w:val="10"/>
            <w:shd w:val="clear" w:color="auto" w:fill="0000FF"/>
          </w:tcPr>
          <w:p>
            <w:pPr>
              <w:spacing w:after="0" w:line="20" w:lineRule="exact"/>
              <w:rPr>
                <w:sz w:val="1"/>
                <w:szCs w:val="1"/>
                <w:color w:val="auto"/>
              </w:rPr>
            </w:pPr>
          </w:p>
        </w:tc>
        <w:tc>
          <w:tcPr>
            <w:tcW w:w="840" w:type="dxa"/>
            <w:vAlign w:val="bottom"/>
            <w:tcBorders>
              <w:right w:val="single" w:sz="8" w:color="0000EE"/>
            </w:tcBorders>
            <w:gridSpan w:val="4"/>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160" w:type="dxa"/>
            <w:vAlign w:val="bottom"/>
            <w:vMerge w:val="restart"/>
          </w:tcPr>
          <w:p>
            <w:pPr>
              <w:jc w:val="center"/>
              <w:ind w:right="370"/>
              <w:spacing w:after="0" w:line="202" w:lineRule="exact"/>
              <w:rPr>
                <w:sz w:val="20"/>
                <w:szCs w:val="20"/>
                <w:color w:val="auto"/>
              </w:rPr>
            </w:pPr>
            <w:r>
              <w:rPr>
                <w:rFonts w:ascii="Arial" w:cs="Arial" w:eastAsia="Arial" w:hAnsi="Arial"/>
                <w:sz w:val="18"/>
                <w:szCs w:val="18"/>
                <w:color w:val="auto"/>
                <w:w w:val="93"/>
              </w:rPr>
              <w:t>S-1/A</w:t>
            </w:r>
          </w:p>
        </w:tc>
        <w:tc>
          <w:tcPr>
            <w:tcW w:w="8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160" w:type="dxa"/>
            <w:vAlign w:val="bottom"/>
            <w:vMerge w:val="restart"/>
          </w:tcPr>
          <w:p>
            <w:pPr>
              <w:ind w:left="340"/>
              <w:spacing w:after="0" w:line="202" w:lineRule="exact"/>
              <w:rPr>
                <w:sz w:val="20"/>
                <w:szCs w:val="20"/>
                <w:color w:val="auto"/>
              </w:rPr>
            </w:pPr>
            <w:r>
              <w:rPr>
                <w:rFonts w:ascii="Arial" w:cs="Arial" w:eastAsia="Arial" w:hAnsi="Arial"/>
                <w:sz w:val="18"/>
                <w:szCs w:val="18"/>
                <w:color w:val="auto"/>
                <w:w w:val="88"/>
              </w:rPr>
              <w:t>07/19/2021</w:t>
            </w: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20" w:type="dxa"/>
            <w:vAlign w:val="bottom"/>
            <w:tcBorders>
              <w:bottom w:val="single" w:sz="8" w:color="0000FF"/>
            </w:tcBorders>
            <w:gridSpan w:val="21"/>
          </w:tcPr>
          <w:p>
            <w:pPr>
              <w:spacing w:after="0" w:line="182" w:lineRule="exact"/>
              <w:rPr>
                <w:rFonts w:ascii="Arial" w:cs="Arial" w:eastAsia="Arial" w:hAnsi="Arial"/>
                <w:sz w:val="18"/>
                <w:szCs w:val="18"/>
                <w:color w:val="0000FF"/>
                <w:w w:val="92"/>
              </w:rPr>
            </w:pPr>
            <w:hyperlink r:id="rId267">
              <w:r>
                <w:rPr>
                  <w:rFonts w:ascii="Arial" w:cs="Arial" w:eastAsia="Arial" w:hAnsi="Arial"/>
                  <w:sz w:val="18"/>
                  <w:szCs w:val="18"/>
                  <w:color w:val="0000FF"/>
                  <w:w w:val="92"/>
                </w:rPr>
                <w:t>Forms of Option Agreement and Notice of Stock Option</w:t>
              </w:r>
            </w:hyperlink>
          </w:p>
        </w:tc>
        <w:tc>
          <w:tcPr>
            <w:tcW w:w="400" w:type="dxa"/>
            <w:vAlign w:val="bottom"/>
            <w:gridSpan w:val="8"/>
          </w:tcPr>
          <w:p>
            <w:pPr>
              <w:spacing w:after="0"/>
              <w:rPr>
                <w:sz w:val="15"/>
                <w:szCs w:val="15"/>
                <w:color w:val="auto"/>
              </w:rPr>
            </w:pPr>
          </w:p>
        </w:tc>
        <w:tc>
          <w:tcPr>
            <w:tcW w:w="1160" w:type="dxa"/>
            <w:vAlign w:val="bottom"/>
            <w:vMerge w:val="continue"/>
          </w:tcPr>
          <w:p>
            <w:pPr>
              <w:spacing w:after="0"/>
              <w:rPr>
                <w:sz w:val="15"/>
                <w:szCs w:val="15"/>
                <w:color w:val="auto"/>
              </w:rPr>
            </w:pPr>
          </w:p>
        </w:tc>
        <w:tc>
          <w:tcPr>
            <w:tcW w:w="860" w:type="dxa"/>
            <w:vAlign w:val="bottom"/>
            <w:tcBorders>
              <w:bottom w:val="single" w:sz="8" w:color="0000FF"/>
            </w:tcBorders>
            <w:gridSpan w:val="2"/>
          </w:tcPr>
          <w:p>
            <w:pPr>
              <w:jc w:val="center"/>
              <w:spacing w:after="0" w:line="182" w:lineRule="exact"/>
              <w:rPr>
                <w:rFonts w:ascii="Arial" w:cs="Arial" w:eastAsia="Arial" w:hAnsi="Arial"/>
                <w:sz w:val="18"/>
                <w:szCs w:val="18"/>
                <w:color w:val="0000FF"/>
                <w:w w:val="89"/>
              </w:rPr>
            </w:pPr>
            <w:hyperlink r:id="rId267">
              <w:r>
                <w:rPr>
                  <w:rFonts w:ascii="Arial" w:cs="Arial" w:eastAsia="Arial" w:hAnsi="Arial"/>
                  <w:sz w:val="18"/>
                  <w:szCs w:val="18"/>
                  <w:color w:val="0000FF"/>
                  <w:w w:val="89"/>
                </w:rPr>
                <w:t>333-257663</w:t>
              </w:r>
            </w:hyperlink>
          </w:p>
        </w:tc>
        <w:tc>
          <w:tcPr>
            <w:tcW w:w="3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320" w:type="dxa"/>
            <w:vAlign w:val="bottom"/>
            <w:tcBorders>
              <w:bottom w:val="single" w:sz="8" w:color="0000FF"/>
            </w:tcBorders>
            <w:gridSpan w:val="2"/>
          </w:tcPr>
          <w:p>
            <w:pPr>
              <w:jc w:val="center"/>
              <w:spacing w:after="0" w:line="182" w:lineRule="exact"/>
              <w:rPr>
                <w:rFonts w:ascii="Arial" w:cs="Arial" w:eastAsia="Arial" w:hAnsi="Arial"/>
                <w:sz w:val="18"/>
                <w:szCs w:val="18"/>
                <w:color w:val="0000FF"/>
                <w:w w:val="91"/>
              </w:rPr>
            </w:pPr>
            <w:hyperlink r:id="rId267">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5</w:t>
              </w:r>
            </w:hyperlink>
          </w:p>
        </w:tc>
        <w:tc>
          <w:tcPr>
            <w:tcW w:w="42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gridSpan w:val="21"/>
          </w:tcPr>
          <w:p>
            <w:pPr>
              <w:spacing w:after="0" w:line="156" w:lineRule="exact"/>
              <w:rPr>
                <w:rFonts w:ascii="Arial" w:cs="Arial" w:eastAsia="Arial" w:hAnsi="Arial"/>
                <w:sz w:val="18"/>
                <w:szCs w:val="18"/>
                <w:color w:val="0000FF"/>
              </w:rPr>
            </w:pPr>
            <w:hyperlink r:id="rId267">
              <w:r>
                <w:rPr>
                  <w:rFonts w:ascii="Arial" w:cs="Arial" w:eastAsia="Arial" w:hAnsi="Arial"/>
                  <w:sz w:val="18"/>
                  <w:szCs w:val="18"/>
                  <w:color w:val="0000FF"/>
                </w:rPr>
                <w:t>Grant under 2021 Equity Incentive Plan.</w:t>
              </w:r>
            </w:hyperlink>
          </w:p>
        </w:tc>
        <w:tc>
          <w:tcPr>
            <w:tcW w:w="240" w:type="dxa"/>
            <w:vAlign w:val="bottom"/>
            <w:gridSpan w:val="4"/>
          </w:tcPr>
          <w:p>
            <w:pPr>
              <w:spacing w:after="0"/>
              <w:rPr>
                <w:sz w:val="13"/>
                <w:szCs w:val="13"/>
                <w:color w:val="auto"/>
              </w:rPr>
            </w:pPr>
          </w:p>
        </w:tc>
        <w:tc>
          <w:tcPr>
            <w:tcW w:w="160" w:type="dxa"/>
            <w:vAlign w:val="bottom"/>
            <w:gridSpan w:val="4"/>
          </w:tcPr>
          <w:p>
            <w:pPr>
              <w:spacing w:after="0"/>
              <w:rPr>
                <w:sz w:val="13"/>
                <w:szCs w:val="13"/>
                <w:color w:val="auto"/>
              </w:rPr>
            </w:pPr>
          </w:p>
        </w:tc>
        <w:tc>
          <w:tcPr>
            <w:tcW w:w="1160" w:type="dxa"/>
            <w:vAlign w:val="bottom"/>
            <w:vMerge w:val="restart"/>
          </w:tcPr>
          <w:p>
            <w:pPr>
              <w:jc w:val="center"/>
              <w:ind w:right="370"/>
              <w:spacing w:after="0"/>
              <w:rPr>
                <w:sz w:val="20"/>
                <w:szCs w:val="20"/>
                <w:color w:val="auto"/>
              </w:rPr>
            </w:pPr>
            <w:r>
              <w:rPr>
                <w:rFonts w:ascii="Arial" w:cs="Arial" w:eastAsia="Arial" w:hAnsi="Arial"/>
                <w:sz w:val="18"/>
                <w:szCs w:val="18"/>
                <w:color w:val="auto"/>
                <w:w w:val="93"/>
              </w:rPr>
              <w:t>S-1/A</w:t>
            </w:r>
          </w:p>
        </w:tc>
        <w:tc>
          <w:tcPr>
            <w:tcW w:w="1200" w:type="dxa"/>
            <w:vAlign w:val="bottom"/>
            <w:gridSpan w:val="3"/>
            <w:vMerge w:val="restart"/>
          </w:tcPr>
          <w:p>
            <w:pPr>
              <w:jc w:val="center"/>
              <w:ind w:right="340"/>
              <w:spacing w:after="0"/>
              <w:rPr>
                <w:rFonts w:ascii="Arial" w:cs="Arial" w:eastAsia="Arial" w:hAnsi="Arial"/>
                <w:sz w:val="18"/>
                <w:szCs w:val="18"/>
                <w:color w:val="0000FF"/>
                <w:w w:val="89"/>
              </w:rPr>
            </w:pPr>
            <w:hyperlink r:id="rId268">
              <w:r>
                <w:rPr>
                  <w:rFonts w:ascii="Arial" w:cs="Arial" w:eastAsia="Arial" w:hAnsi="Arial"/>
                  <w:sz w:val="18"/>
                  <w:szCs w:val="18"/>
                  <w:color w:val="0000FF"/>
                  <w:w w:val="89"/>
                </w:rPr>
                <w:t>333-257663</w:t>
              </w:r>
            </w:hyperlink>
          </w:p>
        </w:tc>
        <w:tc>
          <w:tcPr>
            <w:tcW w:w="800" w:type="dxa"/>
            <w:vAlign w:val="bottom"/>
            <w:gridSpan w:val="3"/>
            <w:vMerge w:val="restart"/>
          </w:tcPr>
          <w:p>
            <w:pPr>
              <w:jc w:val="center"/>
              <w:spacing w:after="0"/>
              <w:rPr>
                <w:rFonts w:ascii="Arial" w:cs="Arial" w:eastAsia="Arial" w:hAnsi="Arial"/>
                <w:sz w:val="18"/>
                <w:szCs w:val="18"/>
                <w:color w:val="0000FF"/>
              </w:rPr>
            </w:pPr>
            <w:hyperlink r:id="rId268">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420" w:type="dxa"/>
            <w:vAlign w:val="bottom"/>
          </w:tcPr>
          <w:p>
            <w:pPr>
              <w:spacing w:after="0"/>
              <w:rPr>
                <w:sz w:val="13"/>
                <w:szCs w:val="13"/>
                <w:color w:val="auto"/>
              </w:rPr>
            </w:pPr>
          </w:p>
        </w:tc>
        <w:tc>
          <w:tcPr>
            <w:tcW w:w="1160" w:type="dxa"/>
            <w:vAlign w:val="bottom"/>
            <w:vMerge w:val="restart"/>
          </w:tcPr>
          <w:p>
            <w:pPr>
              <w:ind w:left="280"/>
              <w:spacing w:after="0"/>
              <w:rPr>
                <w:sz w:val="20"/>
                <w:szCs w:val="20"/>
                <w:color w:val="auto"/>
              </w:rPr>
            </w:pPr>
            <w:r>
              <w:rPr>
                <w:rFonts w:ascii="Arial" w:cs="Arial" w:eastAsia="Arial" w:hAnsi="Arial"/>
                <w:sz w:val="18"/>
                <w:szCs w:val="18"/>
                <w:color w:val="auto"/>
                <w:w w:val="95"/>
              </w:rPr>
              <w:t>07/19/2021</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20" w:type="dxa"/>
            <w:vAlign w:val="bottom"/>
            <w:tcBorders>
              <w:top w:val="single" w:sz="8" w:color="0000FF"/>
            </w:tcBorders>
            <w:gridSpan w:val="12"/>
          </w:tcPr>
          <w:p>
            <w:pPr>
              <w:spacing w:after="0" w:line="182" w:lineRule="exact"/>
              <w:rPr>
                <w:rFonts w:ascii="Arial" w:cs="Arial" w:eastAsia="Arial" w:hAnsi="Arial"/>
                <w:sz w:val="18"/>
                <w:szCs w:val="18"/>
                <w:color w:val="0000FF"/>
                <w:w w:val="91"/>
              </w:rPr>
            </w:pPr>
            <w:hyperlink r:id="rId268">
              <w:r>
                <w:rPr>
                  <w:rFonts w:ascii="Arial" w:cs="Arial" w:eastAsia="Arial" w:hAnsi="Arial"/>
                  <w:sz w:val="18"/>
                  <w:szCs w:val="18"/>
                  <w:color w:val="0000FF"/>
                  <w:w w:val="91"/>
                </w:rPr>
                <w:t>Cytek Biosciences, Inc. 2021 Employee</w:t>
              </w:r>
            </w:hyperlink>
          </w:p>
        </w:tc>
        <w:tc>
          <w:tcPr>
            <w:tcW w:w="1160" w:type="dxa"/>
            <w:vAlign w:val="bottom"/>
            <w:gridSpan w:val="7"/>
          </w:tcPr>
          <w:p>
            <w:pPr>
              <w:spacing w:after="0" w:line="182" w:lineRule="exact"/>
              <w:rPr>
                <w:rFonts w:ascii="Arial" w:cs="Arial" w:eastAsia="Arial" w:hAnsi="Arial"/>
                <w:sz w:val="18"/>
                <w:szCs w:val="18"/>
                <w:color w:val="0000FF"/>
                <w:w w:val="88"/>
              </w:rPr>
            </w:pPr>
            <w:hyperlink r:id="rId268">
              <w:r>
                <w:rPr>
                  <w:rFonts w:ascii="Arial" w:cs="Arial" w:eastAsia="Arial" w:hAnsi="Arial"/>
                  <w:sz w:val="18"/>
                  <w:szCs w:val="18"/>
                  <w:color w:val="0000FF"/>
                  <w:w w:val="88"/>
                </w:rPr>
                <w:t>Stock Purchase</w:t>
              </w:r>
            </w:hyperlink>
          </w:p>
        </w:tc>
        <w:tc>
          <w:tcPr>
            <w:tcW w:w="440" w:type="dxa"/>
            <w:vAlign w:val="bottom"/>
            <w:gridSpan w:val="10"/>
          </w:tcPr>
          <w:p>
            <w:pPr>
              <w:spacing w:after="0"/>
              <w:rPr>
                <w:sz w:val="15"/>
                <w:szCs w:val="15"/>
                <w:color w:val="auto"/>
              </w:rPr>
            </w:pPr>
          </w:p>
        </w:tc>
        <w:tc>
          <w:tcPr>
            <w:tcW w:w="1160" w:type="dxa"/>
            <w:vAlign w:val="bottom"/>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500" w:type="dxa"/>
            <w:vAlign w:val="bottom"/>
            <w:tcBorders>
              <w:right w:val="single" w:sz="8" w:color="0000FF"/>
            </w:tcBorders>
            <w:gridSpan w:val="17"/>
            <w:shd w:val="clear" w:color="auto" w:fill="0000FF"/>
          </w:tcPr>
          <w:p>
            <w:pPr>
              <w:spacing w:after="0" w:line="20" w:lineRule="exact"/>
              <w:rPr>
                <w:sz w:val="1"/>
                <w:szCs w:val="1"/>
                <w:color w:val="auto"/>
              </w:rPr>
            </w:pPr>
          </w:p>
        </w:tc>
        <w:tc>
          <w:tcPr>
            <w:tcW w:w="280" w:type="dxa"/>
            <w:vAlign w:val="bottom"/>
            <w:gridSpan w:val="6"/>
            <w:vMerge w:val="restart"/>
          </w:tcPr>
          <w:p>
            <w:pPr>
              <w:spacing w:after="0" w:line="20" w:lineRule="exact"/>
              <w:rPr>
                <w:sz w:val="1"/>
                <w:szCs w:val="1"/>
                <w:color w:val="auto"/>
              </w:rPr>
            </w:pPr>
          </w:p>
        </w:tc>
        <w:tc>
          <w:tcPr>
            <w:tcW w:w="160" w:type="dxa"/>
            <w:vAlign w:val="bottom"/>
            <w:gridSpan w:val="4"/>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bottom w:val="single" w:sz="8" w:color="0000FF"/>
            </w:tcBorders>
          </w:tcPr>
          <w:p>
            <w:pPr>
              <w:spacing w:after="0" w:line="156" w:lineRule="exact"/>
              <w:rPr>
                <w:rFonts w:ascii="Arial" w:cs="Arial" w:eastAsia="Arial" w:hAnsi="Arial"/>
                <w:sz w:val="18"/>
                <w:szCs w:val="18"/>
                <w:color w:val="0000FF"/>
                <w:w w:val="87"/>
              </w:rPr>
            </w:pPr>
            <w:hyperlink r:id="rId268">
              <w:r>
                <w:rPr>
                  <w:rFonts w:ascii="Arial" w:cs="Arial" w:eastAsia="Arial" w:hAnsi="Arial"/>
                  <w:sz w:val="18"/>
                  <w:szCs w:val="18"/>
                  <w:color w:val="0000FF"/>
                  <w:w w:val="87"/>
                </w:rPr>
                <w:t>Plan.</w:t>
              </w:r>
            </w:hyperlink>
          </w:p>
        </w:tc>
        <w:tc>
          <w:tcPr>
            <w:tcW w:w="3680" w:type="dxa"/>
            <w:vAlign w:val="bottom"/>
            <w:gridSpan w:val="18"/>
          </w:tcPr>
          <w:p>
            <w:pPr>
              <w:spacing w:after="0"/>
              <w:rPr>
                <w:sz w:val="13"/>
                <w:szCs w:val="13"/>
                <w:color w:val="auto"/>
              </w:rPr>
            </w:pPr>
          </w:p>
        </w:tc>
        <w:tc>
          <w:tcPr>
            <w:tcW w:w="280" w:type="dxa"/>
            <w:vAlign w:val="bottom"/>
            <w:gridSpan w:val="6"/>
            <w:vMerge w:val="continue"/>
          </w:tcPr>
          <w:p>
            <w:pPr>
              <w:spacing w:after="0"/>
              <w:rPr>
                <w:sz w:val="13"/>
                <w:szCs w:val="13"/>
                <w:color w:val="auto"/>
              </w:rPr>
            </w:pPr>
          </w:p>
        </w:tc>
        <w:tc>
          <w:tcPr>
            <w:tcW w:w="160" w:type="dxa"/>
            <w:vAlign w:val="bottom"/>
            <w:gridSpan w:val="4"/>
            <w:vMerge w:val="continue"/>
          </w:tcPr>
          <w:p>
            <w:pPr>
              <w:spacing w:after="0"/>
              <w:rPr>
                <w:sz w:val="13"/>
                <w:szCs w:val="13"/>
                <w:color w:val="auto"/>
              </w:rPr>
            </w:pPr>
          </w:p>
        </w:tc>
        <w:tc>
          <w:tcPr>
            <w:tcW w:w="1160" w:type="dxa"/>
            <w:vAlign w:val="bottom"/>
            <w:vMerge w:val="restart"/>
          </w:tcPr>
          <w:p>
            <w:pPr>
              <w:jc w:val="center"/>
              <w:ind w:right="370"/>
              <w:spacing w:after="0"/>
              <w:rPr>
                <w:sz w:val="20"/>
                <w:szCs w:val="20"/>
                <w:color w:val="auto"/>
              </w:rPr>
            </w:pPr>
            <w:r>
              <w:rPr>
                <w:rFonts w:ascii="Arial" w:cs="Arial" w:eastAsia="Arial" w:hAnsi="Arial"/>
                <w:sz w:val="18"/>
                <w:szCs w:val="18"/>
                <w:color w:val="auto"/>
                <w:w w:val="93"/>
              </w:rPr>
              <w:t>S-1/A</w:t>
            </w:r>
          </w:p>
        </w:tc>
        <w:tc>
          <w:tcPr>
            <w:tcW w:w="1200" w:type="dxa"/>
            <w:vAlign w:val="bottom"/>
            <w:gridSpan w:val="3"/>
            <w:vMerge w:val="restart"/>
          </w:tcPr>
          <w:p>
            <w:pPr>
              <w:jc w:val="center"/>
              <w:ind w:right="340"/>
              <w:spacing w:after="0"/>
              <w:rPr>
                <w:rFonts w:ascii="Arial" w:cs="Arial" w:eastAsia="Arial" w:hAnsi="Arial"/>
                <w:sz w:val="18"/>
                <w:szCs w:val="18"/>
                <w:color w:val="0000FF"/>
                <w:w w:val="89"/>
              </w:rPr>
            </w:pPr>
            <w:hyperlink r:id="rId269">
              <w:r>
                <w:rPr>
                  <w:rFonts w:ascii="Arial" w:cs="Arial" w:eastAsia="Arial" w:hAnsi="Arial"/>
                  <w:sz w:val="18"/>
                  <w:szCs w:val="18"/>
                  <w:color w:val="0000FF"/>
                  <w:w w:val="89"/>
                </w:rPr>
                <w:t>333-257663</w:t>
              </w:r>
            </w:hyperlink>
          </w:p>
        </w:tc>
        <w:tc>
          <w:tcPr>
            <w:tcW w:w="1220" w:type="dxa"/>
            <w:vAlign w:val="bottom"/>
            <w:gridSpan w:val="4"/>
            <w:vMerge w:val="restart"/>
          </w:tcPr>
          <w:p>
            <w:pPr>
              <w:jc w:val="center"/>
              <w:spacing w:after="0"/>
              <w:rPr>
                <w:rFonts w:ascii="Arial" w:cs="Arial" w:eastAsia="Arial" w:hAnsi="Arial"/>
                <w:sz w:val="18"/>
                <w:szCs w:val="18"/>
                <w:color w:val="0000FF"/>
                <w:w w:val="91"/>
              </w:rPr>
            </w:pPr>
            <w:hyperlink r:id="rId269">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7</w:t>
              </w:r>
            </w:hyperlink>
          </w:p>
        </w:tc>
        <w:tc>
          <w:tcPr>
            <w:tcW w:w="1160" w:type="dxa"/>
            <w:vAlign w:val="bottom"/>
            <w:vMerge w:val="restart"/>
          </w:tcPr>
          <w:p>
            <w:pPr>
              <w:ind w:left="340"/>
              <w:spacing w:after="0"/>
              <w:rPr>
                <w:sz w:val="20"/>
                <w:szCs w:val="20"/>
                <w:color w:val="auto"/>
              </w:rPr>
            </w:pPr>
            <w:r>
              <w:rPr>
                <w:rFonts w:ascii="Arial" w:cs="Arial" w:eastAsia="Arial" w:hAnsi="Arial"/>
                <w:sz w:val="18"/>
                <w:szCs w:val="18"/>
                <w:color w:val="auto"/>
                <w:w w:val="88"/>
              </w:rPr>
              <w:t>07/19/2021</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line="182" w:lineRule="exact"/>
              <w:rPr>
                <w:rFonts w:ascii="Arial" w:cs="Arial" w:eastAsia="Arial" w:hAnsi="Arial"/>
                <w:sz w:val="18"/>
                <w:szCs w:val="18"/>
                <w:color w:val="0000FF"/>
                <w:w w:val="85"/>
              </w:rPr>
            </w:pPr>
            <w:hyperlink r:id="rId269">
              <w:r>
                <w:rPr>
                  <w:rFonts w:ascii="Arial" w:cs="Arial" w:eastAsia="Arial" w:hAnsi="Arial"/>
                  <w:sz w:val="18"/>
                  <w:szCs w:val="18"/>
                  <w:color w:val="0000FF"/>
                  <w:w w:val="85"/>
                </w:rPr>
                <w:t>Form</w:t>
              </w:r>
            </w:hyperlink>
          </w:p>
        </w:tc>
        <w:tc>
          <w:tcPr>
            <w:tcW w:w="4120" w:type="dxa"/>
            <w:vAlign w:val="bottom"/>
            <w:gridSpan w:val="28"/>
          </w:tcPr>
          <w:p>
            <w:pPr>
              <w:ind w:left="20"/>
              <w:spacing w:after="0" w:line="182" w:lineRule="exact"/>
              <w:rPr>
                <w:rFonts w:ascii="Arial" w:cs="Arial" w:eastAsia="Arial" w:hAnsi="Arial"/>
                <w:sz w:val="18"/>
                <w:szCs w:val="18"/>
                <w:color w:val="0000FF"/>
                <w:w w:val="96"/>
              </w:rPr>
            </w:pPr>
            <w:hyperlink r:id="rId269">
              <w:r>
                <w:rPr>
                  <w:rFonts w:ascii="Arial" w:cs="Arial" w:eastAsia="Arial" w:hAnsi="Arial"/>
                  <w:sz w:val="18"/>
                  <w:szCs w:val="18"/>
                  <w:color w:val="0000FF"/>
                  <w:w w:val="96"/>
                </w:rPr>
                <w:t>of Indemnification Agreement, by and between Cytek</w:t>
              </w:r>
            </w:hyperlink>
          </w:p>
        </w:tc>
        <w:tc>
          <w:tcPr>
            <w:tcW w:w="1160" w:type="dxa"/>
            <w:vAlign w:val="bottom"/>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25"/>
          </w:tcPr>
          <w:p>
            <w:pPr>
              <w:spacing w:after="0" w:line="156" w:lineRule="exact"/>
              <w:rPr>
                <w:rFonts w:ascii="Arial" w:cs="Arial" w:eastAsia="Arial" w:hAnsi="Arial"/>
                <w:sz w:val="18"/>
                <w:szCs w:val="18"/>
                <w:color w:val="0000FF"/>
                <w:w w:val="97"/>
              </w:rPr>
            </w:pPr>
            <w:hyperlink r:id="rId269">
              <w:r>
                <w:rPr>
                  <w:rFonts w:ascii="Arial" w:cs="Arial" w:eastAsia="Arial" w:hAnsi="Arial"/>
                  <w:sz w:val="18"/>
                  <w:szCs w:val="18"/>
                  <w:color w:val="0000FF"/>
                  <w:w w:val="97"/>
                </w:rPr>
                <w:t>Biosciences, Inc. and each of its directors and executive</w:t>
              </w:r>
            </w:hyperlink>
          </w:p>
        </w:tc>
        <w:tc>
          <w:tcPr>
            <w:tcW w:w="16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269">
              <w:r>
                <w:rPr>
                  <w:rFonts w:ascii="Arial" w:cs="Arial" w:eastAsia="Arial" w:hAnsi="Arial"/>
                  <w:sz w:val="18"/>
                  <w:szCs w:val="18"/>
                  <w:color w:val="0000FF"/>
                </w:rPr>
                <w:t>officers.</w:t>
              </w:r>
            </w:hyperlink>
          </w:p>
        </w:tc>
        <w:tc>
          <w:tcPr>
            <w:tcW w:w="440" w:type="dxa"/>
            <w:vAlign w:val="bottom"/>
            <w:gridSpan w:val="10"/>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74"/>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790"/>
              <w:spacing w:after="0"/>
              <w:rPr>
                <w:sz w:val="20"/>
                <w:szCs w:val="20"/>
                <w:color w:val="auto"/>
              </w:rPr>
            </w:pPr>
            <w:r>
              <w:rPr>
                <w:rFonts w:ascii="Arial" w:cs="Arial" w:eastAsia="Arial" w:hAnsi="Arial"/>
                <w:sz w:val="18"/>
                <w:szCs w:val="18"/>
                <w:color w:val="auto"/>
                <w:w w:val="86"/>
              </w:rPr>
              <w:t>100</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88"/>
              </w:rPr>
              <w:t>10.10</w:t>
            </w:r>
          </w:p>
        </w:tc>
        <w:tc>
          <w:tcPr>
            <w:tcW w:w="4400" w:type="dxa"/>
            <w:vAlign w:val="bottom"/>
            <w:gridSpan w:val="34"/>
          </w:tcPr>
          <w:p>
            <w:pPr>
              <w:spacing w:after="0"/>
              <w:rPr>
                <w:rFonts w:ascii="Arial" w:cs="Arial" w:eastAsia="Arial" w:hAnsi="Arial"/>
                <w:sz w:val="18"/>
                <w:szCs w:val="18"/>
                <w:color w:val="0000FF"/>
                <w:w w:val="97"/>
              </w:rPr>
            </w:pPr>
            <w:hyperlink r:id="rId272">
              <w:r>
                <w:rPr>
                  <w:rFonts w:ascii="Arial" w:cs="Arial" w:eastAsia="Arial" w:hAnsi="Arial"/>
                  <w:sz w:val="18"/>
                  <w:szCs w:val="18"/>
                  <w:color w:val="0000FF"/>
                  <w:w w:val="97"/>
                </w:rPr>
                <w:t>Offer letter, by and between Cytek Biosciences, Inc. and</w:t>
              </w:r>
            </w:hyperlink>
          </w:p>
        </w:tc>
        <w:tc>
          <w:tcPr>
            <w:tcW w:w="0" w:type="dxa"/>
            <w:vAlign w:val="bottom"/>
          </w:tcPr>
          <w:p>
            <w:pPr>
              <w:spacing w:after="0"/>
              <w:rPr>
                <w:sz w:val="1"/>
                <w:szCs w:val="1"/>
                <w:color w:val="auto"/>
              </w:rPr>
            </w:pPr>
          </w:p>
        </w:tc>
      </w:tr>
      <w:tr>
        <w:trPr>
          <w:trHeight w:val="156"/>
        </w:trPr>
        <w:tc>
          <w:tcPr>
            <w:tcW w:w="880" w:type="dxa"/>
            <w:vAlign w:val="bottom"/>
            <w:vMerge w:val="restart"/>
          </w:tcPr>
          <w:p>
            <w:pPr>
              <w:jc w:val="center"/>
              <w:ind w:right="110"/>
              <w:spacing w:after="0"/>
              <w:rPr>
                <w:sz w:val="20"/>
                <w:szCs w:val="20"/>
                <w:color w:val="auto"/>
              </w:rPr>
            </w:pPr>
            <w:r>
              <w:rPr>
                <w:rFonts w:ascii="Arial" w:cs="Arial" w:eastAsia="Arial" w:hAnsi="Arial"/>
                <w:sz w:val="18"/>
                <w:szCs w:val="18"/>
                <w:color w:val="auto"/>
                <w:w w:val="88"/>
              </w:rPr>
              <w:t>10.11</w:t>
            </w:r>
          </w:p>
        </w:tc>
        <w:tc>
          <w:tcPr>
            <w:tcW w:w="41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72">
              <w:r>
                <w:rPr>
                  <w:rFonts w:ascii="Arial" w:cs="Arial" w:eastAsia="Arial" w:hAnsi="Arial"/>
                  <w:sz w:val="18"/>
                  <w:szCs w:val="18"/>
                  <w:color w:val="0000FF"/>
                </w:rPr>
                <w:t>Patrik Jeanmonod, dated October 5, 2018.</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80" w:type="dxa"/>
            <w:vAlign w:val="bottom"/>
            <w:vMerge w:val="continue"/>
          </w:tcPr>
          <w:p>
            <w:pPr>
              <w:spacing w:after="0"/>
              <w:rPr>
                <w:sz w:val="15"/>
                <w:szCs w:val="15"/>
                <w:color w:val="auto"/>
              </w:rPr>
            </w:pPr>
          </w:p>
        </w:tc>
        <w:tc>
          <w:tcPr>
            <w:tcW w:w="4400" w:type="dxa"/>
            <w:vAlign w:val="bottom"/>
            <w:gridSpan w:val="34"/>
          </w:tcPr>
          <w:p>
            <w:pPr>
              <w:spacing w:after="0" w:line="182" w:lineRule="exact"/>
              <w:rPr>
                <w:rFonts w:ascii="Arial" w:cs="Arial" w:eastAsia="Arial" w:hAnsi="Arial"/>
                <w:sz w:val="18"/>
                <w:szCs w:val="18"/>
                <w:color w:val="0000FF"/>
                <w:w w:val="92"/>
              </w:rPr>
            </w:pPr>
            <w:hyperlink r:id="rId273">
              <w:r>
                <w:rPr>
                  <w:rFonts w:ascii="Arial" w:cs="Arial" w:eastAsia="Arial" w:hAnsi="Arial"/>
                  <w:sz w:val="18"/>
                  <w:szCs w:val="18"/>
                  <w:color w:val="0000FF"/>
                  <w:w w:val="92"/>
                </w:rPr>
                <w:t>Cytek Biosciences, Inc. Amended and Restated Severance</w:t>
              </w:r>
            </w:hyperlink>
          </w:p>
        </w:tc>
        <w:tc>
          <w:tcPr>
            <w:tcW w:w="0" w:type="dxa"/>
            <w:vAlign w:val="bottom"/>
          </w:tcPr>
          <w:p>
            <w:pPr>
              <w:spacing w:after="0"/>
              <w:rPr>
                <w:sz w:val="1"/>
                <w:szCs w:val="1"/>
                <w:color w:val="auto"/>
              </w:rPr>
            </w:pPr>
          </w:p>
        </w:tc>
      </w:tr>
      <w:tr>
        <w:trPr>
          <w:trHeight w:val="156"/>
        </w:trPr>
        <w:tc>
          <w:tcPr>
            <w:tcW w:w="880" w:type="dxa"/>
            <w:vAlign w:val="bottom"/>
            <w:vMerge w:val="restart"/>
          </w:tcPr>
          <w:p>
            <w:pPr>
              <w:jc w:val="center"/>
              <w:ind w:right="130"/>
              <w:spacing w:after="0"/>
              <w:rPr>
                <w:sz w:val="20"/>
                <w:szCs w:val="20"/>
                <w:color w:val="auto"/>
              </w:rPr>
            </w:pPr>
            <w:r>
              <w:rPr>
                <w:rFonts w:ascii="Arial" w:cs="Arial" w:eastAsia="Arial" w:hAnsi="Arial"/>
                <w:sz w:val="18"/>
                <w:szCs w:val="18"/>
                <w:color w:val="auto"/>
                <w:w w:val="89"/>
              </w:rPr>
              <w:t>10.12+</w:t>
            </w:r>
          </w:p>
        </w:tc>
        <w:tc>
          <w:tcPr>
            <w:tcW w:w="9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273">
              <w:r>
                <w:rPr>
                  <w:rFonts w:ascii="Arial" w:cs="Arial" w:eastAsia="Arial" w:hAnsi="Arial"/>
                  <w:sz w:val="18"/>
                  <w:szCs w:val="18"/>
                  <w:color w:val="0000FF"/>
                  <w:w w:val="90"/>
                </w:rPr>
                <w:t>Benefit Plan.</w:t>
              </w:r>
            </w:hyperlink>
          </w:p>
        </w:tc>
        <w:tc>
          <w:tcPr>
            <w:tcW w:w="20" w:type="dxa"/>
            <w:vAlign w:val="bottom"/>
            <w:tcBorders>
              <w:top w:val="single" w:sz="8" w:color="0000FF"/>
              <w:bottom w:val="single" w:sz="8" w:color="0000EE"/>
            </w:tcBorders>
          </w:tcPr>
          <w:p>
            <w:pPr>
              <w:spacing w:after="0"/>
              <w:rPr>
                <w:sz w:val="13"/>
                <w:szCs w:val="13"/>
                <w:color w:val="auto"/>
              </w:rPr>
            </w:pPr>
          </w:p>
        </w:tc>
        <w:tc>
          <w:tcPr>
            <w:tcW w:w="328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80" w:type="dxa"/>
            <w:vAlign w:val="bottom"/>
            <w:vMerge w:val="continue"/>
          </w:tcPr>
          <w:p>
            <w:pPr>
              <w:spacing w:after="0"/>
              <w:rPr>
                <w:sz w:val="15"/>
                <w:szCs w:val="15"/>
                <w:color w:val="auto"/>
              </w:rPr>
            </w:pPr>
          </w:p>
        </w:tc>
        <w:tc>
          <w:tcPr>
            <w:tcW w:w="960" w:type="dxa"/>
            <w:vAlign w:val="bottom"/>
            <w:gridSpan w:val="4"/>
          </w:tcPr>
          <w:p>
            <w:pPr>
              <w:spacing w:after="0" w:line="182" w:lineRule="exact"/>
              <w:rPr>
                <w:rFonts w:ascii="Arial" w:cs="Arial" w:eastAsia="Arial" w:hAnsi="Arial"/>
                <w:sz w:val="18"/>
                <w:szCs w:val="18"/>
                <w:color w:val="0000FF"/>
              </w:rPr>
            </w:pPr>
            <w:hyperlink r:id="rId274">
              <w:r>
                <w:rPr>
                  <w:rFonts w:ascii="Arial" w:cs="Arial" w:eastAsia="Arial" w:hAnsi="Arial"/>
                  <w:sz w:val="18"/>
                  <w:szCs w:val="18"/>
                  <w:color w:val="0000FF"/>
                </w:rPr>
                <w:t>Supply and</w:t>
              </w:r>
            </w:hyperlink>
          </w:p>
        </w:tc>
        <w:tc>
          <w:tcPr>
            <w:tcW w:w="3440" w:type="dxa"/>
            <w:vAlign w:val="bottom"/>
            <w:gridSpan w:val="30"/>
          </w:tcPr>
          <w:p>
            <w:pPr>
              <w:spacing w:after="0" w:line="182" w:lineRule="exact"/>
              <w:rPr>
                <w:rFonts w:ascii="Arial" w:cs="Arial" w:eastAsia="Arial" w:hAnsi="Arial"/>
                <w:sz w:val="18"/>
                <w:szCs w:val="18"/>
                <w:color w:val="0000FF"/>
                <w:w w:val="94"/>
              </w:rPr>
            </w:pPr>
            <w:hyperlink r:id="rId274">
              <w:r>
                <w:rPr>
                  <w:rFonts w:ascii="Arial" w:cs="Arial" w:eastAsia="Arial" w:hAnsi="Arial"/>
                  <w:sz w:val="18"/>
                  <w:szCs w:val="18"/>
                  <w:color w:val="0000FF"/>
                  <w:w w:val="94"/>
                </w:rPr>
                <w:t>License Agreement, by and between Biotium,</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w w:val="89"/>
              </w:rPr>
            </w:pPr>
            <w:hyperlink r:id="rId274">
              <w:r>
                <w:rPr>
                  <w:rFonts w:ascii="Arial" w:cs="Arial" w:eastAsia="Arial" w:hAnsi="Arial"/>
                  <w:sz w:val="18"/>
                  <w:szCs w:val="18"/>
                  <w:color w:val="0000FF"/>
                  <w:w w:val="89"/>
                </w:rPr>
                <w:t>Inc. and Cytek Biosciences, Inc., dated as of September 1,</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80" w:type="dxa"/>
            <w:vAlign w:val="bottom"/>
            <w:vMerge w:val="restart"/>
          </w:tcPr>
          <w:p>
            <w:pPr>
              <w:jc w:val="center"/>
              <w:ind w:right="130"/>
              <w:spacing w:after="0"/>
              <w:rPr>
                <w:sz w:val="20"/>
                <w:szCs w:val="20"/>
                <w:color w:val="auto"/>
              </w:rPr>
            </w:pPr>
            <w:r>
              <w:rPr>
                <w:rFonts w:ascii="Arial" w:cs="Arial" w:eastAsia="Arial" w:hAnsi="Arial"/>
                <w:sz w:val="18"/>
                <w:szCs w:val="18"/>
                <w:color w:val="auto"/>
                <w:w w:val="89"/>
              </w:rPr>
              <w:t>10.13+</w:t>
            </w:r>
          </w:p>
        </w:tc>
        <w:tc>
          <w:tcPr>
            <w:tcW w:w="400" w:type="dxa"/>
            <w:vAlign w:val="bottom"/>
            <w:tcBorders>
              <w:bottom w:val="single" w:sz="8" w:color="0000FF"/>
            </w:tcBorders>
          </w:tcPr>
          <w:p>
            <w:pPr>
              <w:spacing w:after="0" w:line="156" w:lineRule="exact"/>
              <w:rPr>
                <w:rFonts w:ascii="Arial" w:cs="Arial" w:eastAsia="Arial" w:hAnsi="Arial"/>
                <w:sz w:val="18"/>
                <w:szCs w:val="18"/>
                <w:color w:val="0000FF"/>
                <w:w w:val="84"/>
              </w:rPr>
            </w:pPr>
            <w:hyperlink r:id="rId274">
              <w:r>
                <w:rPr>
                  <w:rFonts w:ascii="Arial" w:cs="Arial" w:eastAsia="Arial" w:hAnsi="Arial"/>
                  <w:sz w:val="18"/>
                  <w:szCs w:val="18"/>
                  <w:color w:val="0000FF"/>
                  <w:w w:val="84"/>
                </w:rPr>
                <w:t>2020.</w:t>
              </w:r>
            </w:hyperlink>
          </w:p>
        </w:tc>
        <w:tc>
          <w:tcPr>
            <w:tcW w:w="20" w:type="dxa"/>
            <w:vAlign w:val="bottom"/>
            <w:tcBorders>
              <w:bottom w:val="single" w:sz="8" w:color="0000EE"/>
            </w:tcBorders>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80" w:type="dxa"/>
            <w:vAlign w:val="bottom"/>
            <w:vMerge w:val="continue"/>
          </w:tcPr>
          <w:p>
            <w:pPr>
              <w:spacing w:after="0"/>
              <w:rPr>
                <w:sz w:val="15"/>
                <w:szCs w:val="15"/>
                <w:color w:val="auto"/>
              </w:rPr>
            </w:pPr>
          </w:p>
        </w:tc>
        <w:tc>
          <w:tcPr>
            <w:tcW w:w="4400" w:type="dxa"/>
            <w:vAlign w:val="bottom"/>
            <w:tcBorders>
              <w:bottom w:val="single" w:sz="8" w:color="0000FF"/>
            </w:tcBorders>
            <w:gridSpan w:val="34"/>
          </w:tcPr>
          <w:p>
            <w:pPr>
              <w:spacing w:after="0" w:line="182" w:lineRule="exact"/>
              <w:rPr>
                <w:rFonts w:ascii="Arial" w:cs="Arial" w:eastAsia="Arial" w:hAnsi="Arial"/>
                <w:sz w:val="18"/>
                <w:szCs w:val="18"/>
                <w:color w:val="0000FF"/>
                <w:w w:val="89"/>
              </w:rPr>
            </w:pPr>
            <w:hyperlink r:id="rId275">
              <w:r>
                <w:rPr>
                  <w:rFonts w:ascii="Arial" w:cs="Arial" w:eastAsia="Arial" w:hAnsi="Arial"/>
                  <w:sz w:val="18"/>
                  <w:szCs w:val="18"/>
                  <w:color w:val="0000FF"/>
                  <w:w w:val="89"/>
                </w:rPr>
                <w:t>Settlement, License, and Equity Issuance Agreement, by and</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4400" w:type="dxa"/>
            <w:vAlign w:val="bottom"/>
            <w:gridSpan w:val="34"/>
          </w:tcPr>
          <w:p>
            <w:pPr>
              <w:spacing w:after="0" w:line="156" w:lineRule="exact"/>
              <w:rPr>
                <w:rFonts w:ascii="Arial" w:cs="Arial" w:eastAsia="Arial" w:hAnsi="Arial"/>
                <w:sz w:val="18"/>
                <w:szCs w:val="18"/>
                <w:color w:val="0000FF"/>
              </w:rPr>
            </w:pPr>
            <w:hyperlink r:id="rId275">
              <w:r>
                <w:rPr>
                  <w:rFonts w:ascii="Arial" w:cs="Arial" w:eastAsia="Arial" w:hAnsi="Arial"/>
                  <w:sz w:val="18"/>
                  <w:szCs w:val="18"/>
                  <w:color w:val="0000FF"/>
                </w:rPr>
                <w:t>between Becton, Dickinson and Company and Cytek</w:t>
              </w:r>
            </w:hyperlink>
          </w:p>
        </w:tc>
        <w:tc>
          <w:tcPr>
            <w:tcW w:w="0" w:type="dxa"/>
            <w:vAlign w:val="bottom"/>
          </w:tcPr>
          <w:p>
            <w:pPr>
              <w:spacing w:after="0"/>
              <w:rPr>
                <w:sz w:val="1"/>
                <w:szCs w:val="1"/>
                <w:color w:val="auto"/>
              </w:rPr>
            </w:pPr>
          </w:p>
        </w:tc>
      </w:tr>
      <w:tr>
        <w:trPr>
          <w:trHeight w:val="155"/>
        </w:trPr>
        <w:tc>
          <w:tcPr>
            <w:tcW w:w="880" w:type="dxa"/>
            <w:vAlign w:val="bottom"/>
            <w:vMerge w:val="restart"/>
          </w:tcPr>
          <w:p>
            <w:pPr>
              <w:jc w:val="center"/>
              <w:ind w:right="110"/>
              <w:spacing w:after="0"/>
              <w:rPr>
                <w:sz w:val="20"/>
                <w:szCs w:val="20"/>
                <w:color w:val="auto"/>
              </w:rPr>
            </w:pPr>
            <w:r>
              <w:rPr>
                <w:rFonts w:ascii="Arial" w:cs="Arial" w:eastAsia="Arial" w:hAnsi="Arial"/>
                <w:sz w:val="18"/>
                <w:szCs w:val="18"/>
                <w:color w:val="auto"/>
                <w:w w:val="88"/>
              </w:rPr>
              <w:t>10.14</w:t>
            </w:r>
          </w:p>
        </w:tc>
        <w:tc>
          <w:tcPr>
            <w:tcW w:w="29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89"/>
              </w:rPr>
            </w:pPr>
            <w:hyperlink r:id="rId275">
              <w:r>
                <w:rPr>
                  <w:rFonts w:ascii="Arial" w:cs="Arial" w:eastAsia="Arial" w:hAnsi="Arial"/>
                  <w:sz w:val="18"/>
                  <w:szCs w:val="18"/>
                  <w:color w:val="0000FF"/>
                  <w:w w:val="89"/>
                </w:rPr>
                <w:t>Biosciences, Inc., dated October 5, 2020.</w:t>
              </w:r>
            </w:hyperlink>
          </w:p>
        </w:tc>
        <w:tc>
          <w:tcPr>
            <w:tcW w:w="80" w:type="dxa"/>
            <w:vAlign w:val="bottom"/>
            <w:tcBorders>
              <w:top w:val="single" w:sz="8" w:color="0000FF"/>
              <w:bottom w:val="single" w:sz="8" w:color="0000EE"/>
            </w:tcBorders>
          </w:tcPr>
          <w:p>
            <w:pPr>
              <w:spacing w:after="0"/>
              <w:rPr>
                <w:sz w:val="13"/>
                <w:szCs w:val="13"/>
                <w:color w:val="auto"/>
              </w:rPr>
            </w:pPr>
          </w:p>
        </w:tc>
        <w:tc>
          <w:tcPr>
            <w:tcW w:w="8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80" w:type="dxa"/>
            <w:vAlign w:val="bottom"/>
            <w:vMerge w:val="continue"/>
          </w:tcPr>
          <w:p>
            <w:pPr>
              <w:spacing w:after="0"/>
              <w:rPr>
                <w:sz w:val="15"/>
                <w:szCs w:val="15"/>
                <w:color w:val="auto"/>
              </w:rPr>
            </w:pPr>
          </w:p>
        </w:tc>
        <w:tc>
          <w:tcPr>
            <w:tcW w:w="3040" w:type="dxa"/>
            <w:vAlign w:val="bottom"/>
            <w:gridSpan w:val="12"/>
          </w:tcPr>
          <w:p>
            <w:pPr>
              <w:spacing w:after="0" w:line="182" w:lineRule="exact"/>
              <w:rPr>
                <w:rFonts w:ascii="Arial" w:cs="Arial" w:eastAsia="Arial" w:hAnsi="Arial"/>
                <w:sz w:val="18"/>
                <w:szCs w:val="18"/>
                <w:color w:val="0000FF"/>
                <w:w w:val="93"/>
              </w:rPr>
            </w:pPr>
            <w:hyperlink r:id="rId276">
              <w:r>
                <w:rPr>
                  <w:rFonts w:ascii="Arial" w:cs="Arial" w:eastAsia="Arial" w:hAnsi="Arial"/>
                  <w:sz w:val="18"/>
                  <w:szCs w:val="18"/>
                  <w:color w:val="0000FF"/>
                  <w:w w:val="93"/>
                </w:rPr>
                <w:t>Lease, by and between Crest Properties</w:t>
              </w:r>
            </w:hyperlink>
          </w:p>
        </w:tc>
        <w:tc>
          <w:tcPr>
            <w:tcW w:w="1360" w:type="dxa"/>
            <w:vAlign w:val="bottom"/>
            <w:gridSpan w:val="22"/>
          </w:tcPr>
          <w:p>
            <w:pPr>
              <w:spacing w:after="0" w:line="182" w:lineRule="exact"/>
              <w:rPr>
                <w:rFonts w:ascii="Arial" w:cs="Arial" w:eastAsia="Arial" w:hAnsi="Arial"/>
                <w:sz w:val="18"/>
                <w:szCs w:val="18"/>
                <w:color w:val="0000FF"/>
              </w:rPr>
            </w:pPr>
            <w:hyperlink r:id="rId276">
              <w:r>
                <w:rPr>
                  <w:rFonts w:ascii="Arial" w:cs="Arial" w:eastAsia="Arial" w:hAnsi="Arial"/>
                  <w:sz w:val="18"/>
                  <w:szCs w:val="18"/>
                  <w:color w:val="0000FF"/>
                </w:rPr>
                <w:t>LLC and Cytek</w:t>
              </w:r>
            </w:hyperlink>
          </w:p>
        </w:tc>
        <w:tc>
          <w:tcPr>
            <w:tcW w:w="0" w:type="dxa"/>
            <w:vAlign w:val="bottom"/>
          </w:tcPr>
          <w:p>
            <w:pPr>
              <w:spacing w:after="0"/>
              <w:rPr>
                <w:sz w:val="1"/>
                <w:szCs w:val="1"/>
                <w:color w:val="auto"/>
              </w:rPr>
            </w:pPr>
          </w:p>
        </w:tc>
      </w:tr>
      <w:tr>
        <w:trPr>
          <w:trHeight w:val="156"/>
        </w:trPr>
        <w:tc>
          <w:tcPr>
            <w:tcW w:w="880" w:type="dxa"/>
            <w:vAlign w:val="bottom"/>
            <w:vMerge w:val="restart"/>
          </w:tcPr>
          <w:p>
            <w:pPr>
              <w:jc w:val="center"/>
              <w:ind w:right="110"/>
              <w:spacing w:after="0"/>
              <w:rPr>
                <w:sz w:val="20"/>
                <w:szCs w:val="20"/>
                <w:color w:val="auto"/>
              </w:rPr>
            </w:pPr>
            <w:r>
              <w:rPr>
                <w:rFonts w:ascii="Arial" w:cs="Arial" w:eastAsia="Arial" w:hAnsi="Arial"/>
                <w:sz w:val="18"/>
                <w:szCs w:val="18"/>
                <w:color w:val="auto"/>
                <w:w w:val="88"/>
              </w:rPr>
              <w:t>10.15</w:t>
            </w:r>
          </w:p>
        </w:tc>
        <w:tc>
          <w:tcPr>
            <w:tcW w:w="316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89"/>
              </w:rPr>
            </w:pPr>
            <w:hyperlink r:id="rId276">
              <w:r>
                <w:rPr>
                  <w:rFonts w:ascii="Arial" w:cs="Arial" w:eastAsia="Arial" w:hAnsi="Arial"/>
                  <w:sz w:val="18"/>
                  <w:szCs w:val="18"/>
                  <w:color w:val="0000FF"/>
                  <w:w w:val="89"/>
                </w:rPr>
                <w:t>Biosciences, Inc., dated as of July 24, 2015.</w:t>
              </w:r>
            </w:hyperlink>
          </w:p>
        </w:tc>
        <w:tc>
          <w:tcPr>
            <w:tcW w:w="20" w:type="dxa"/>
            <w:vAlign w:val="bottom"/>
            <w:tcBorders>
              <w:top w:val="single" w:sz="8" w:color="0000FF"/>
              <w:bottom w:val="single" w:sz="8" w:color="0000EE"/>
            </w:tcBorders>
          </w:tcPr>
          <w:p>
            <w:pPr>
              <w:spacing w:after="0"/>
              <w:rPr>
                <w:sz w:val="13"/>
                <w:szCs w:val="13"/>
                <w:color w:val="auto"/>
              </w:rPr>
            </w:pPr>
          </w:p>
        </w:tc>
        <w:tc>
          <w:tcPr>
            <w:tcW w:w="880" w:type="dxa"/>
            <w:vAlign w:val="bottom"/>
            <w:tcBorders>
              <w:top w:val="single" w:sz="8" w:color="0000FF"/>
            </w:tcBorders>
            <w:gridSpan w:val="9"/>
          </w:tcPr>
          <w:p>
            <w:pPr>
              <w:spacing w:after="0"/>
              <w:rPr>
                <w:sz w:val="13"/>
                <w:szCs w:val="13"/>
                <w:color w:val="auto"/>
              </w:rPr>
            </w:pPr>
          </w:p>
        </w:tc>
        <w:tc>
          <w:tcPr>
            <w:tcW w:w="2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80" w:type="dxa"/>
            <w:vAlign w:val="bottom"/>
            <w:vMerge w:val="continue"/>
          </w:tcPr>
          <w:p>
            <w:pPr>
              <w:spacing w:after="0"/>
              <w:rPr>
                <w:sz w:val="15"/>
                <w:szCs w:val="15"/>
                <w:color w:val="auto"/>
              </w:rPr>
            </w:pPr>
          </w:p>
        </w:tc>
        <w:tc>
          <w:tcPr>
            <w:tcW w:w="3180" w:type="dxa"/>
            <w:vAlign w:val="bottom"/>
            <w:tcBorders>
              <w:bottom w:val="single" w:sz="8" w:color="0000FF"/>
            </w:tcBorders>
            <w:gridSpan w:val="14"/>
          </w:tcPr>
          <w:p>
            <w:pPr>
              <w:spacing w:after="0" w:line="182" w:lineRule="exact"/>
              <w:rPr>
                <w:rFonts w:ascii="Arial" w:cs="Arial" w:eastAsia="Arial" w:hAnsi="Arial"/>
                <w:sz w:val="18"/>
                <w:szCs w:val="18"/>
                <w:color w:val="0000FF"/>
                <w:w w:val="90"/>
              </w:rPr>
            </w:pPr>
            <w:hyperlink r:id="rId277">
              <w:r>
                <w:rPr>
                  <w:rFonts w:ascii="Arial" w:cs="Arial" w:eastAsia="Arial" w:hAnsi="Arial"/>
                  <w:sz w:val="18"/>
                  <w:szCs w:val="18"/>
                  <w:color w:val="0000FF"/>
                  <w:w w:val="90"/>
                </w:rPr>
                <w:t>Lease, by and between SNH Medical Office</w:t>
              </w:r>
            </w:hyperlink>
          </w:p>
        </w:tc>
        <w:tc>
          <w:tcPr>
            <w:tcW w:w="1220" w:type="dxa"/>
            <w:vAlign w:val="bottom"/>
            <w:tcBorders>
              <w:bottom w:val="single" w:sz="8" w:color="0000FF"/>
            </w:tcBorders>
            <w:gridSpan w:val="20"/>
          </w:tcPr>
          <w:p>
            <w:pPr>
              <w:ind w:left="40"/>
              <w:spacing w:after="0" w:line="182" w:lineRule="exact"/>
              <w:rPr>
                <w:rFonts w:ascii="Arial" w:cs="Arial" w:eastAsia="Arial" w:hAnsi="Arial"/>
                <w:sz w:val="18"/>
                <w:szCs w:val="18"/>
                <w:color w:val="0000FF"/>
                <w:w w:val="90"/>
              </w:rPr>
            </w:pPr>
            <w:hyperlink r:id="rId277">
              <w:r>
                <w:rPr>
                  <w:rFonts w:ascii="Arial" w:cs="Arial" w:eastAsia="Arial" w:hAnsi="Arial"/>
                  <w:sz w:val="18"/>
                  <w:szCs w:val="18"/>
                  <w:color w:val="0000FF"/>
                  <w:w w:val="90"/>
                </w:rPr>
                <w:t>Properties Trust</w:t>
              </w:r>
            </w:hyperlink>
          </w:p>
        </w:tc>
        <w:tc>
          <w:tcPr>
            <w:tcW w:w="0" w:type="dxa"/>
            <w:vAlign w:val="bottom"/>
          </w:tcPr>
          <w:p>
            <w:pPr>
              <w:spacing w:after="0"/>
              <w:rPr>
                <w:sz w:val="1"/>
                <w:szCs w:val="1"/>
                <w:color w:val="auto"/>
              </w:rPr>
            </w:pPr>
          </w:p>
        </w:tc>
      </w:tr>
      <w:tr>
        <w:trPr>
          <w:trHeight w:val="155"/>
        </w:trPr>
        <w:tc>
          <w:tcPr>
            <w:tcW w:w="880" w:type="dxa"/>
            <w:vAlign w:val="bottom"/>
            <w:vMerge w:val="restart"/>
          </w:tcPr>
          <w:p>
            <w:pPr>
              <w:jc w:val="center"/>
              <w:ind w:right="110"/>
              <w:spacing w:after="0"/>
              <w:rPr>
                <w:sz w:val="20"/>
                <w:szCs w:val="20"/>
                <w:color w:val="auto"/>
              </w:rPr>
            </w:pPr>
            <w:r>
              <w:rPr>
                <w:rFonts w:ascii="Arial" w:cs="Arial" w:eastAsia="Arial" w:hAnsi="Arial"/>
                <w:sz w:val="18"/>
                <w:szCs w:val="18"/>
                <w:color w:val="auto"/>
                <w:w w:val="91"/>
              </w:rPr>
              <w:t>21.1</w:t>
            </w:r>
          </w:p>
        </w:tc>
        <w:tc>
          <w:tcPr>
            <w:tcW w:w="4400" w:type="dxa"/>
            <w:vAlign w:val="bottom"/>
            <w:gridSpan w:val="34"/>
          </w:tcPr>
          <w:p>
            <w:pPr>
              <w:spacing w:after="0" w:line="156" w:lineRule="exact"/>
              <w:rPr>
                <w:rFonts w:ascii="Arial" w:cs="Arial" w:eastAsia="Arial" w:hAnsi="Arial"/>
                <w:sz w:val="18"/>
                <w:szCs w:val="18"/>
                <w:color w:val="0000FF"/>
                <w:w w:val="98"/>
              </w:rPr>
            </w:pPr>
            <w:hyperlink r:id="rId277">
              <w:r>
                <w:rPr>
                  <w:rFonts w:ascii="Arial" w:cs="Arial" w:eastAsia="Arial" w:hAnsi="Arial"/>
                  <w:sz w:val="18"/>
                  <w:szCs w:val="18"/>
                  <w:color w:val="0000FF"/>
                  <w:w w:val="98"/>
                </w:rPr>
                <w:t>and Cytek Biosciences, Inc., dated November 20, 2020.</w:t>
              </w:r>
            </w:hyperlink>
          </w:p>
        </w:tc>
        <w:tc>
          <w:tcPr>
            <w:tcW w:w="0" w:type="dxa"/>
            <w:vAlign w:val="bottom"/>
          </w:tcPr>
          <w:p>
            <w:pPr>
              <w:spacing w:after="0"/>
              <w:rPr>
                <w:sz w:val="1"/>
                <w:szCs w:val="1"/>
                <w:color w:val="auto"/>
              </w:rPr>
            </w:pPr>
          </w:p>
        </w:tc>
      </w:tr>
      <w:tr>
        <w:trPr>
          <w:trHeight w:val="183"/>
        </w:trPr>
        <w:tc>
          <w:tcPr>
            <w:tcW w:w="880" w:type="dxa"/>
            <w:vAlign w:val="bottom"/>
            <w:vMerge w:val="continue"/>
          </w:tcPr>
          <w:p>
            <w:pPr>
              <w:spacing w:after="0"/>
              <w:rPr>
                <w:sz w:val="15"/>
                <w:szCs w:val="15"/>
                <w:color w:val="auto"/>
              </w:rPr>
            </w:pPr>
          </w:p>
        </w:tc>
        <w:tc>
          <w:tcPr>
            <w:tcW w:w="264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0"/>
              </w:rPr>
            </w:pPr>
            <w:hyperlink w:anchor="page113">
              <w:r>
                <w:rPr>
                  <w:rFonts w:ascii="Arial" w:cs="Arial" w:eastAsia="Arial" w:hAnsi="Arial"/>
                  <w:sz w:val="18"/>
                  <w:szCs w:val="18"/>
                  <w:color w:val="0000FF"/>
                  <w:w w:val="90"/>
                </w:rPr>
                <w:t>List of Subsidiaries of the Registrant</w:t>
              </w:r>
            </w:hyperlink>
          </w:p>
        </w:tc>
        <w:tc>
          <w:tcPr>
            <w:tcW w:w="20" w:type="dxa"/>
            <w:vAlign w:val="bottom"/>
            <w:tcBorders>
              <w:top w:val="single" w:sz="8" w:color="0000FF"/>
              <w:bottom w:val="single" w:sz="8" w:color="0000EE"/>
            </w:tcBorders>
          </w:tcPr>
          <w:p>
            <w:pPr>
              <w:spacing w:after="0"/>
              <w:rPr>
                <w:sz w:val="15"/>
                <w:szCs w:val="15"/>
                <w:color w:val="auto"/>
              </w:rPr>
            </w:pPr>
          </w:p>
        </w:tc>
        <w:tc>
          <w:tcPr>
            <w:tcW w:w="1340" w:type="dxa"/>
            <w:vAlign w:val="bottom"/>
            <w:tcBorders>
              <w:top w:val="single" w:sz="8" w:color="0000FF"/>
            </w:tcBorders>
            <w:gridSpan w:val="11"/>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Pr>
          <w:p>
            <w:pPr>
              <w:jc w:val="right"/>
              <w:ind w:right="330"/>
              <w:spacing w:after="0" w:line="182" w:lineRule="exact"/>
              <w:rPr>
                <w:sz w:val="20"/>
                <w:szCs w:val="20"/>
                <w:color w:val="auto"/>
              </w:rPr>
            </w:pPr>
            <w:r>
              <w:rPr>
                <w:rFonts w:ascii="Arial" w:cs="Arial" w:eastAsia="Arial" w:hAnsi="Arial"/>
                <w:sz w:val="18"/>
                <w:szCs w:val="18"/>
                <w:color w:val="auto"/>
              </w:rPr>
              <w:t>23.1</w:t>
            </w:r>
          </w:p>
        </w:tc>
        <w:tc>
          <w:tcPr>
            <w:tcW w:w="2660" w:type="dxa"/>
            <w:vAlign w:val="bottom"/>
            <w:gridSpan w:val="10"/>
          </w:tcPr>
          <w:p>
            <w:pPr>
              <w:spacing w:after="0" w:line="182" w:lineRule="exact"/>
              <w:rPr>
                <w:rFonts w:ascii="Arial" w:cs="Arial" w:eastAsia="Arial" w:hAnsi="Arial"/>
                <w:sz w:val="18"/>
                <w:szCs w:val="18"/>
                <w:color w:val="0000FF"/>
                <w:w w:val="95"/>
              </w:rPr>
            </w:pPr>
            <w:hyperlink w:anchor="page114">
              <w:r>
                <w:rPr>
                  <w:rFonts w:ascii="Arial" w:cs="Arial" w:eastAsia="Arial" w:hAnsi="Arial"/>
                  <w:sz w:val="18"/>
                  <w:szCs w:val="18"/>
                  <w:color w:val="0000FF"/>
                  <w:w w:val="95"/>
                </w:rPr>
                <w:t>Consent of Deloitte &amp; Touche LLP,</w:t>
              </w:r>
            </w:hyperlink>
          </w:p>
        </w:tc>
        <w:tc>
          <w:tcPr>
            <w:tcW w:w="1740" w:type="dxa"/>
            <w:vAlign w:val="bottom"/>
            <w:gridSpan w:val="24"/>
          </w:tcPr>
          <w:p>
            <w:pPr>
              <w:jc w:val="center"/>
              <w:ind w:right="180"/>
              <w:spacing w:after="0" w:line="182" w:lineRule="exact"/>
              <w:rPr>
                <w:rFonts w:ascii="Arial" w:cs="Arial" w:eastAsia="Arial" w:hAnsi="Arial"/>
                <w:sz w:val="18"/>
                <w:szCs w:val="18"/>
                <w:color w:val="0000FF"/>
                <w:w w:val="84"/>
              </w:rPr>
            </w:pPr>
            <w:hyperlink w:anchor="page114">
              <w:r>
                <w:rPr>
                  <w:rFonts w:ascii="Arial" w:cs="Arial" w:eastAsia="Arial" w:hAnsi="Arial"/>
                  <w:sz w:val="18"/>
                  <w:szCs w:val="18"/>
                  <w:color w:val="0000FF"/>
                  <w:w w:val="84"/>
                </w:rPr>
                <w:t>independent registered</w:t>
              </w:r>
            </w:hyperlink>
          </w:p>
        </w:tc>
        <w:tc>
          <w:tcPr>
            <w:tcW w:w="0" w:type="dxa"/>
            <w:vAlign w:val="bottom"/>
          </w:tcPr>
          <w:p>
            <w:pPr>
              <w:spacing w:after="0"/>
              <w:rPr>
                <w:sz w:val="1"/>
                <w:szCs w:val="1"/>
                <w:color w:val="auto"/>
              </w:rPr>
            </w:pPr>
          </w:p>
        </w:tc>
      </w:tr>
      <w:tr>
        <w:trPr>
          <w:trHeight w:val="156"/>
        </w:trPr>
        <w:tc>
          <w:tcPr>
            <w:tcW w:w="880" w:type="dxa"/>
            <w:vAlign w:val="bottom"/>
            <w:vMerge w:val="restart"/>
          </w:tcPr>
          <w:p>
            <w:pPr>
              <w:jc w:val="center"/>
              <w:ind w:right="110"/>
              <w:spacing w:after="0"/>
              <w:rPr>
                <w:sz w:val="20"/>
                <w:szCs w:val="20"/>
                <w:color w:val="auto"/>
              </w:rPr>
            </w:pPr>
            <w:r>
              <w:rPr>
                <w:rFonts w:ascii="Arial" w:cs="Arial" w:eastAsia="Arial" w:hAnsi="Arial"/>
                <w:sz w:val="18"/>
                <w:szCs w:val="18"/>
                <w:color w:val="auto"/>
                <w:w w:val="91"/>
              </w:rPr>
              <w:t>24.1</w:t>
            </w:r>
          </w:p>
        </w:tc>
        <w:tc>
          <w:tcPr>
            <w:tcW w:w="1720" w:type="dxa"/>
            <w:vAlign w:val="bottom"/>
            <w:tcBorders>
              <w:top w:val="single" w:sz="8" w:color="0000FF"/>
              <w:bottom w:val="single" w:sz="8" w:color="0000EE"/>
            </w:tcBorders>
            <w:gridSpan w:val="6"/>
          </w:tcPr>
          <w:p>
            <w:pPr>
              <w:spacing w:after="0" w:line="156" w:lineRule="exact"/>
              <w:rPr>
                <w:rFonts w:ascii="Arial" w:cs="Arial" w:eastAsia="Arial" w:hAnsi="Arial"/>
                <w:sz w:val="18"/>
                <w:szCs w:val="18"/>
                <w:color w:val="0000FF"/>
                <w:w w:val="94"/>
              </w:rPr>
            </w:pPr>
            <w:hyperlink w:anchor="page114">
              <w:r>
                <w:rPr>
                  <w:rFonts w:ascii="Arial" w:cs="Arial" w:eastAsia="Arial" w:hAnsi="Arial"/>
                  <w:sz w:val="18"/>
                  <w:szCs w:val="18"/>
                  <w:color w:val="0000FF"/>
                  <w:w w:val="94"/>
                </w:rPr>
                <w:t>public accounting firm.</w:t>
              </w:r>
            </w:hyperlink>
          </w:p>
        </w:tc>
        <w:tc>
          <w:tcPr>
            <w:tcW w:w="2560" w:type="dxa"/>
            <w:vAlign w:val="bottom"/>
            <w:tcBorders>
              <w:top w:val="single" w:sz="8" w:color="0000FF"/>
            </w:tcBorders>
            <w:gridSpan w:val="2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80" w:type="dxa"/>
            <w:vAlign w:val="bottom"/>
            <w:vMerge w:val="continue"/>
          </w:tcPr>
          <w:p>
            <w:pPr>
              <w:spacing w:after="0"/>
              <w:rPr>
                <w:sz w:val="15"/>
                <w:szCs w:val="15"/>
                <w:color w:val="auto"/>
              </w:rPr>
            </w:pPr>
          </w:p>
        </w:tc>
        <w:tc>
          <w:tcPr>
            <w:tcW w:w="3780" w:type="dxa"/>
            <w:vAlign w:val="bottom"/>
            <w:tcBorders>
              <w:bottom w:val="single" w:sz="8" w:color="0000FF"/>
            </w:tcBorders>
            <w:gridSpan w:val="16"/>
          </w:tcPr>
          <w:p>
            <w:pPr>
              <w:spacing w:after="0" w:line="182" w:lineRule="exact"/>
              <w:rPr>
                <w:rFonts w:ascii="Arial" w:cs="Arial" w:eastAsia="Arial" w:hAnsi="Arial"/>
                <w:sz w:val="18"/>
                <w:szCs w:val="18"/>
                <w:color w:val="0000FF"/>
                <w:w w:val="91"/>
              </w:rPr>
            </w:pPr>
            <w:hyperlink w:anchor="page108">
              <w:r>
                <w:rPr>
                  <w:rFonts w:ascii="Arial" w:cs="Arial" w:eastAsia="Arial" w:hAnsi="Arial"/>
                  <w:sz w:val="18"/>
                  <w:szCs w:val="18"/>
                  <w:color w:val="0000FF"/>
                  <w:w w:val="91"/>
                </w:rPr>
                <w:t>Power of Attorney (incorporated by reference to the</w:t>
              </w:r>
            </w:hyperlink>
          </w:p>
        </w:tc>
        <w:tc>
          <w:tcPr>
            <w:tcW w:w="62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80" w:type="dxa"/>
            <w:vAlign w:val="bottom"/>
            <w:vMerge w:val="restart"/>
          </w:tcPr>
          <w:p>
            <w:pPr>
              <w:jc w:val="center"/>
              <w:ind w:right="110"/>
              <w:spacing w:after="0"/>
              <w:rPr>
                <w:sz w:val="20"/>
                <w:szCs w:val="20"/>
                <w:color w:val="auto"/>
              </w:rPr>
            </w:pPr>
            <w:r>
              <w:rPr>
                <w:rFonts w:ascii="Arial" w:cs="Arial" w:eastAsia="Arial" w:hAnsi="Arial"/>
                <w:sz w:val="18"/>
                <w:szCs w:val="18"/>
                <w:color w:val="auto"/>
                <w:w w:val="91"/>
              </w:rPr>
              <w:t>31.1</w:t>
            </w:r>
          </w:p>
        </w:tc>
        <w:tc>
          <w:tcPr>
            <w:tcW w:w="4400" w:type="dxa"/>
            <w:vAlign w:val="bottom"/>
            <w:gridSpan w:val="34"/>
          </w:tcPr>
          <w:p>
            <w:pPr>
              <w:spacing w:after="0" w:line="156" w:lineRule="exact"/>
              <w:rPr>
                <w:rFonts w:ascii="Arial" w:cs="Arial" w:eastAsia="Arial" w:hAnsi="Arial"/>
                <w:sz w:val="18"/>
                <w:szCs w:val="18"/>
                <w:color w:val="0000FF"/>
              </w:rPr>
            </w:pPr>
            <w:hyperlink w:anchor="page108">
              <w:r>
                <w:rPr>
                  <w:rFonts w:ascii="Arial" w:cs="Arial" w:eastAsia="Arial" w:hAnsi="Arial"/>
                  <w:sz w:val="18"/>
                  <w:szCs w:val="18"/>
                  <w:color w:val="0000FF"/>
                </w:rPr>
                <w:t>signatures page of this Annual Report on Form 10-K)</w:t>
              </w:r>
            </w:hyperlink>
          </w:p>
        </w:tc>
        <w:tc>
          <w:tcPr>
            <w:tcW w:w="0" w:type="dxa"/>
            <w:vAlign w:val="bottom"/>
          </w:tcPr>
          <w:p>
            <w:pPr>
              <w:spacing w:after="0"/>
              <w:rPr>
                <w:sz w:val="1"/>
                <w:szCs w:val="1"/>
                <w:color w:val="auto"/>
              </w:rPr>
            </w:pPr>
          </w:p>
        </w:tc>
      </w:tr>
      <w:tr>
        <w:trPr>
          <w:trHeight w:val="183"/>
        </w:trPr>
        <w:tc>
          <w:tcPr>
            <w:tcW w:w="880" w:type="dxa"/>
            <w:vAlign w:val="bottom"/>
            <w:vMerge w:val="continue"/>
          </w:tcPr>
          <w:p>
            <w:pPr>
              <w:spacing w:after="0"/>
              <w:rPr>
                <w:sz w:val="15"/>
                <w:szCs w:val="15"/>
                <w:color w:val="auto"/>
              </w:rPr>
            </w:pPr>
          </w:p>
        </w:tc>
        <w:tc>
          <w:tcPr>
            <w:tcW w:w="3880" w:type="dxa"/>
            <w:vAlign w:val="bottom"/>
            <w:tcBorders>
              <w:top w:val="single" w:sz="8" w:color="0000FF"/>
            </w:tcBorders>
            <w:gridSpan w:val="18"/>
          </w:tcPr>
          <w:p>
            <w:pPr>
              <w:spacing w:after="0" w:line="182" w:lineRule="exact"/>
              <w:rPr>
                <w:rFonts w:ascii="Arial" w:cs="Arial" w:eastAsia="Arial" w:hAnsi="Arial"/>
                <w:sz w:val="18"/>
                <w:szCs w:val="18"/>
                <w:color w:val="0000FF"/>
                <w:w w:val="96"/>
              </w:rPr>
            </w:pPr>
            <w:hyperlink w:anchor="page115">
              <w:r>
                <w:rPr>
                  <w:rFonts w:ascii="Arial" w:cs="Arial" w:eastAsia="Arial" w:hAnsi="Arial"/>
                  <w:sz w:val="18"/>
                  <w:szCs w:val="18"/>
                  <w:color w:val="0000FF"/>
                  <w:w w:val="96"/>
                </w:rPr>
                <w:t>Certification of Principal Executive Officer required</w:t>
              </w:r>
            </w:hyperlink>
          </w:p>
        </w:tc>
        <w:tc>
          <w:tcPr>
            <w:tcW w:w="520" w:type="dxa"/>
            <w:vAlign w:val="bottom"/>
            <w:gridSpan w:val="16"/>
          </w:tcPr>
          <w:p>
            <w:pPr>
              <w:spacing w:after="0" w:line="182" w:lineRule="exact"/>
              <w:rPr>
                <w:rFonts w:ascii="Arial" w:cs="Arial" w:eastAsia="Arial" w:hAnsi="Arial"/>
                <w:sz w:val="18"/>
                <w:szCs w:val="18"/>
                <w:color w:val="0000FF"/>
              </w:rPr>
            </w:pPr>
            <w:hyperlink w:anchor="page115">
              <w:r>
                <w:rPr>
                  <w:rFonts w:ascii="Arial" w:cs="Arial" w:eastAsia="Arial" w:hAnsi="Arial"/>
                  <w:sz w:val="18"/>
                  <w:szCs w:val="18"/>
                  <w:color w:val="0000FF"/>
                </w:rPr>
                <w:t>by</w:t>
              </w:r>
            </w:hyperlink>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89"/>
              </w:rPr>
            </w:pPr>
            <w:hyperlink w:anchor="page115">
              <w:r>
                <w:rPr>
                  <w:rFonts w:ascii="Arial" w:cs="Arial" w:eastAsia="Arial" w:hAnsi="Arial"/>
                  <w:sz w:val="18"/>
                  <w:szCs w:val="18"/>
                  <w:color w:val="0000FF"/>
                  <w:w w:val="89"/>
                </w:rPr>
                <w:t>Rules 13a-14(a) and 15d-14(a) under the Securities</w:t>
              </w:r>
            </w:hyperlink>
          </w:p>
        </w:tc>
        <w:tc>
          <w:tcPr>
            <w:tcW w:w="320" w:type="dxa"/>
            <w:vAlign w:val="bottom"/>
            <w:tcBorders>
              <w:top w:val="single" w:sz="8" w:color="0000FF"/>
            </w:tcBorders>
            <w:gridSpan w:val="7"/>
          </w:tcPr>
          <w:p>
            <w:pPr>
              <w:spacing w:after="0"/>
              <w:rPr>
                <w:sz w:val="13"/>
                <w:szCs w:val="13"/>
                <w:color w:val="auto"/>
              </w:rPr>
            </w:pPr>
          </w:p>
        </w:tc>
        <w:tc>
          <w:tcPr>
            <w:tcW w:w="220" w:type="dxa"/>
            <w:vAlign w:val="bottom"/>
            <w:gridSpan w:val="6"/>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4400" w:type="dxa"/>
            <w:vAlign w:val="bottom"/>
            <w:gridSpan w:val="34"/>
          </w:tcPr>
          <w:p>
            <w:pPr>
              <w:spacing w:after="0" w:line="156" w:lineRule="exact"/>
              <w:rPr>
                <w:rFonts w:ascii="Arial" w:cs="Arial" w:eastAsia="Arial" w:hAnsi="Arial"/>
                <w:sz w:val="18"/>
                <w:szCs w:val="18"/>
                <w:color w:val="0000FF"/>
                <w:w w:val="93"/>
              </w:rPr>
            </w:pPr>
            <w:hyperlink w:anchor="page115">
              <w:r>
                <w:rPr>
                  <w:rFonts w:ascii="Arial" w:cs="Arial" w:eastAsia="Arial" w:hAnsi="Arial"/>
                  <w:sz w:val="18"/>
                  <w:szCs w:val="18"/>
                  <w:color w:val="0000FF"/>
                  <w:w w:val="93"/>
                </w:rPr>
                <w:t>Exchange Act of 1934, as adopted pursuant to Section 302</w:t>
              </w:r>
            </w:hyperlink>
          </w:p>
        </w:tc>
        <w:tc>
          <w:tcPr>
            <w:tcW w:w="0" w:type="dxa"/>
            <w:vAlign w:val="bottom"/>
          </w:tcPr>
          <w:p>
            <w:pPr>
              <w:spacing w:after="0"/>
              <w:rPr>
                <w:sz w:val="1"/>
                <w:szCs w:val="1"/>
                <w:color w:val="auto"/>
              </w:rPr>
            </w:pPr>
          </w:p>
        </w:tc>
      </w:tr>
      <w:tr>
        <w:trPr>
          <w:trHeight w:val="155"/>
        </w:trPr>
        <w:tc>
          <w:tcPr>
            <w:tcW w:w="880" w:type="dxa"/>
            <w:vAlign w:val="bottom"/>
            <w:vMerge w:val="restart"/>
          </w:tcPr>
          <w:p>
            <w:pPr>
              <w:jc w:val="center"/>
              <w:ind w:right="110"/>
              <w:spacing w:after="0"/>
              <w:rPr>
                <w:sz w:val="20"/>
                <w:szCs w:val="20"/>
                <w:color w:val="auto"/>
              </w:rPr>
            </w:pPr>
            <w:r>
              <w:rPr>
                <w:rFonts w:ascii="Arial" w:cs="Arial" w:eastAsia="Arial" w:hAnsi="Arial"/>
                <w:sz w:val="18"/>
                <w:szCs w:val="18"/>
                <w:color w:val="auto"/>
                <w:w w:val="91"/>
              </w:rPr>
              <w:t>31.2</w:t>
            </w:r>
          </w:p>
        </w:tc>
        <w:tc>
          <w:tcPr>
            <w:tcW w:w="426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w:anchor="page115">
              <w:r>
                <w:rPr>
                  <w:rFonts w:ascii="Arial" w:cs="Arial" w:eastAsia="Arial" w:hAnsi="Arial"/>
                  <w:sz w:val="18"/>
                  <w:szCs w:val="18"/>
                  <w:color w:val="0000FF"/>
                </w:rPr>
                <w:t>of the Sarbanes-Oxley Act of 2002.</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80" w:type="dxa"/>
            <w:vAlign w:val="bottom"/>
            <w:vMerge w:val="continue"/>
          </w:tcPr>
          <w:p>
            <w:pPr>
              <w:spacing w:after="0"/>
              <w:rPr>
                <w:sz w:val="15"/>
                <w:szCs w:val="15"/>
                <w:color w:val="auto"/>
              </w:rPr>
            </w:pPr>
          </w:p>
        </w:tc>
        <w:tc>
          <w:tcPr>
            <w:tcW w:w="2560" w:type="dxa"/>
            <w:vAlign w:val="bottom"/>
            <w:tcBorders>
              <w:top w:val="single" w:sz="8" w:color="0000FF"/>
            </w:tcBorders>
            <w:gridSpan w:val="8"/>
          </w:tcPr>
          <w:p>
            <w:pPr>
              <w:spacing w:after="0" w:line="182" w:lineRule="exact"/>
              <w:rPr>
                <w:rFonts w:ascii="Arial" w:cs="Arial" w:eastAsia="Arial" w:hAnsi="Arial"/>
                <w:sz w:val="18"/>
                <w:szCs w:val="18"/>
                <w:color w:val="0000FF"/>
                <w:w w:val="95"/>
              </w:rPr>
            </w:pPr>
            <w:hyperlink w:anchor="page116">
              <w:r>
                <w:rPr>
                  <w:rFonts w:ascii="Arial" w:cs="Arial" w:eastAsia="Arial" w:hAnsi="Arial"/>
                  <w:sz w:val="18"/>
                  <w:szCs w:val="18"/>
                  <w:color w:val="0000FF"/>
                  <w:w w:val="95"/>
                </w:rPr>
                <w:t>Certification of Principal Financial</w:t>
              </w:r>
            </w:hyperlink>
          </w:p>
        </w:tc>
        <w:tc>
          <w:tcPr>
            <w:tcW w:w="1840" w:type="dxa"/>
            <w:vAlign w:val="bottom"/>
            <w:gridSpan w:val="26"/>
          </w:tcPr>
          <w:p>
            <w:pPr>
              <w:jc w:val="center"/>
              <w:ind w:right="80"/>
              <w:spacing w:after="0" w:line="182" w:lineRule="exact"/>
              <w:rPr>
                <w:rFonts w:ascii="Arial" w:cs="Arial" w:eastAsia="Arial" w:hAnsi="Arial"/>
                <w:sz w:val="18"/>
                <w:szCs w:val="18"/>
                <w:color w:val="0000FF"/>
                <w:w w:val="92"/>
              </w:rPr>
            </w:pPr>
            <w:hyperlink w:anchor="page116">
              <w:r>
                <w:rPr>
                  <w:rFonts w:ascii="Arial" w:cs="Arial" w:eastAsia="Arial" w:hAnsi="Arial"/>
                  <w:sz w:val="18"/>
                  <w:szCs w:val="18"/>
                  <w:color w:val="0000FF"/>
                  <w:w w:val="92"/>
                </w:rPr>
                <w:t>Officer required by Rule</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4340" w:type="dxa"/>
            <w:vAlign w:val="bottom"/>
            <w:tcBorders>
              <w:top w:val="single" w:sz="8" w:color="0000FF"/>
              <w:bottom w:val="single" w:sz="8" w:color="0000FF"/>
            </w:tcBorders>
            <w:gridSpan w:val="31"/>
          </w:tcPr>
          <w:p>
            <w:pPr>
              <w:spacing w:after="0" w:line="156" w:lineRule="exact"/>
              <w:rPr>
                <w:rFonts w:ascii="Arial" w:cs="Arial" w:eastAsia="Arial" w:hAnsi="Arial"/>
                <w:sz w:val="18"/>
                <w:szCs w:val="18"/>
                <w:color w:val="0000FF"/>
                <w:w w:val="91"/>
              </w:rPr>
            </w:pPr>
            <w:hyperlink w:anchor="page116">
              <w:r>
                <w:rPr>
                  <w:rFonts w:ascii="Arial" w:cs="Arial" w:eastAsia="Arial" w:hAnsi="Arial"/>
                  <w:sz w:val="18"/>
                  <w:szCs w:val="18"/>
                  <w:color w:val="0000FF"/>
                  <w:w w:val="91"/>
                </w:rPr>
                <w:t>13a-14(a) or Rule 15d-14(a) of the Securities Exchange Act</w:t>
              </w:r>
            </w:hyperlink>
          </w:p>
        </w:tc>
        <w:tc>
          <w:tcPr>
            <w:tcW w:w="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4400" w:type="dxa"/>
            <w:vAlign w:val="bottom"/>
            <w:gridSpan w:val="34"/>
          </w:tcPr>
          <w:p>
            <w:pPr>
              <w:spacing w:after="0" w:line="156" w:lineRule="exact"/>
              <w:rPr>
                <w:rFonts w:ascii="Arial" w:cs="Arial" w:eastAsia="Arial" w:hAnsi="Arial"/>
                <w:sz w:val="18"/>
                <w:szCs w:val="18"/>
                <w:color w:val="0000FF"/>
                <w:w w:val="88"/>
              </w:rPr>
            </w:pPr>
            <w:hyperlink w:anchor="page116">
              <w:r>
                <w:rPr>
                  <w:rFonts w:ascii="Arial" w:cs="Arial" w:eastAsia="Arial" w:hAnsi="Arial"/>
                  <w:sz w:val="18"/>
                  <w:szCs w:val="18"/>
                  <w:color w:val="0000FF"/>
                  <w:w w:val="88"/>
                </w:rPr>
                <w:t>of 1934, as adopted pursuant to Section 302 of the Sarbanes-</w:t>
              </w:r>
            </w:hyperlink>
          </w:p>
        </w:tc>
        <w:tc>
          <w:tcPr>
            <w:tcW w:w="0" w:type="dxa"/>
            <w:vAlign w:val="bottom"/>
          </w:tcPr>
          <w:p>
            <w:pPr>
              <w:spacing w:after="0"/>
              <w:rPr>
                <w:sz w:val="1"/>
                <w:szCs w:val="1"/>
                <w:color w:val="auto"/>
              </w:rPr>
            </w:pPr>
          </w:p>
        </w:tc>
      </w:tr>
      <w:tr>
        <w:trPr>
          <w:trHeight w:val="156"/>
        </w:trPr>
        <w:tc>
          <w:tcPr>
            <w:tcW w:w="880" w:type="dxa"/>
            <w:vAlign w:val="bottom"/>
            <w:vMerge w:val="restart"/>
          </w:tcPr>
          <w:p>
            <w:pPr>
              <w:jc w:val="center"/>
              <w:ind w:right="110"/>
              <w:spacing w:after="0"/>
              <w:rPr>
                <w:sz w:val="20"/>
                <w:szCs w:val="20"/>
                <w:color w:val="auto"/>
              </w:rPr>
            </w:pPr>
            <w:r>
              <w:rPr>
                <w:rFonts w:ascii="Arial" w:cs="Arial" w:eastAsia="Arial" w:hAnsi="Arial"/>
                <w:sz w:val="18"/>
                <w:szCs w:val="18"/>
                <w:color w:val="auto"/>
                <w:w w:val="95"/>
              </w:rPr>
              <w:t>32.1*</w:t>
            </w:r>
          </w:p>
        </w:tc>
        <w:tc>
          <w:tcPr>
            <w:tcW w:w="436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w:anchor="page116">
              <w:r>
                <w:rPr>
                  <w:rFonts w:ascii="Arial" w:cs="Arial" w:eastAsia="Arial" w:hAnsi="Arial"/>
                  <w:sz w:val="18"/>
                  <w:szCs w:val="18"/>
                  <w:color w:val="0000FF"/>
                </w:rPr>
                <w:t>Oxley Act of 2002.</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400" w:type="dxa"/>
            <w:vAlign w:val="bottom"/>
            <w:tcBorders>
              <w:right w:val="single" w:sz="8" w:color="0000EE"/>
            </w:tcBorders>
            <w:gridSpan w:val="5"/>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8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vMerge w:val="continue"/>
          </w:tcPr>
          <w:p>
            <w:pPr>
              <w:spacing w:after="0"/>
              <w:rPr>
                <w:sz w:val="15"/>
                <w:szCs w:val="15"/>
                <w:color w:val="auto"/>
              </w:rPr>
            </w:pPr>
          </w:p>
        </w:tc>
        <w:tc>
          <w:tcPr>
            <w:tcW w:w="3980" w:type="dxa"/>
            <w:vAlign w:val="bottom"/>
            <w:tcBorders>
              <w:bottom w:val="single" w:sz="8" w:color="0000FF"/>
            </w:tcBorders>
            <w:gridSpan w:val="20"/>
          </w:tcPr>
          <w:p>
            <w:pPr>
              <w:spacing w:after="0" w:line="182" w:lineRule="exact"/>
              <w:rPr>
                <w:rFonts w:ascii="Arial" w:cs="Arial" w:eastAsia="Arial" w:hAnsi="Arial"/>
                <w:sz w:val="18"/>
                <w:szCs w:val="18"/>
                <w:color w:val="0000FF"/>
                <w:w w:val="93"/>
              </w:rPr>
            </w:pPr>
            <w:hyperlink w:anchor="page117">
              <w:r>
                <w:rPr>
                  <w:rFonts w:ascii="Arial" w:cs="Arial" w:eastAsia="Arial" w:hAnsi="Arial"/>
                  <w:sz w:val="18"/>
                  <w:szCs w:val="18"/>
                  <w:color w:val="0000FF"/>
                  <w:w w:val="93"/>
                </w:rPr>
                <w:t>Certification of Chief Executive Officer pursuant to 18</w:t>
              </w:r>
            </w:hyperlink>
          </w:p>
        </w:tc>
        <w:tc>
          <w:tcPr>
            <w:tcW w:w="42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4400" w:type="dxa"/>
            <w:vAlign w:val="bottom"/>
            <w:gridSpan w:val="34"/>
          </w:tcPr>
          <w:p>
            <w:pPr>
              <w:spacing w:after="0" w:line="156" w:lineRule="exact"/>
              <w:rPr>
                <w:rFonts w:ascii="Arial" w:cs="Arial" w:eastAsia="Arial" w:hAnsi="Arial"/>
                <w:sz w:val="18"/>
                <w:szCs w:val="18"/>
                <w:color w:val="0000FF"/>
                <w:w w:val="91"/>
              </w:rPr>
            </w:pPr>
            <w:hyperlink w:anchor="page117">
              <w:r>
                <w:rPr>
                  <w:rFonts w:ascii="Arial" w:cs="Arial" w:eastAsia="Arial" w:hAnsi="Arial"/>
                  <w:sz w:val="18"/>
                  <w:szCs w:val="18"/>
                  <w:color w:val="0000FF"/>
                  <w:w w:val="91"/>
                </w:rPr>
                <w:t>U.S.C. Section 1350, as adopted pursuant to Section 906 of</w:t>
              </w:r>
            </w:hyperlink>
          </w:p>
        </w:tc>
        <w:tc>
          <w:tcPr>
            <w:tcW w:w="0" w:type="dxa"/>
            <w:vAlign w:val="bottom"/>
          </w:tcPr>
          <w:p>
            <w:pPr>
              <w:spacing w:after="0"/>
              <w:rPr>
                <w:sz w:val="1"/>
                <w:szCs w:val="1"/>
                <w:color w:val="auto"/>
              </w:rPr>
            </w:pPr>
          </w:p>
        </w:tc>
      </w:tr>
      <w:tr>
        <w:trPr>
          <w:trHeight w:val="155"/>
        </w:trPr>
        <w:tc>
          <w:tcPr>
            <w:tcW w:w="880" w:type="dxa"/>
            <w:vAlign w:val="bottom"/>
            <w:vMerge w:val="restart"/>
          </w:tcPr>
          <w:p>
            <w:pPr>
              <w:jc w:val="center"/>
              <w:ind w:right="110"/>
              <w:spacing w:after="0"/>
              <w:rPr>
                <w:sz w:val="20"/>
                <w:szCs w:val="20"/>
                <w:color w:val="auto"/>
              </w:rPr>
            </w:pPr>
            <w:r>
              <w:rPr>
                <w:rFonts w:ascii="Arial" w:cs="Arial" w:eastAsia="Arial" w:hAnsi="Arial"/>
                <w:sz w:val="18"/>
                <w:szCs w:val="18"/>
                <w:color w:val="auto"/>
                <w:w w:val="95"/>
              </w:rPr>
              <w:t>32.2*</w:t>
            </w:r>
          </w:p>
        </w:tc>
        <w:tc>
          <w:tcPr>
            <w:tcW w:w="432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w:anchor="page117">
              <w:r>
                <w:rPr>
                  <w:rFonts w:ascii="Arial" w:cs="Arial" w:eastAsia="Arial" w:hAnsi="Arial"/>
                  <w:sz w:val="18"/>
                  <w:szCs w:val="18"/>
                  <w:color w:val="0000FF"/>
                </w:rPr>
                <w:t>the Sarbanes-Oxley Act of 2002.*</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2460" w:type="dxa"/>
            <w:vAlign w:val="bottom"/>
            <w:tcBorders>
              <w:right w:val="single" w:sz="8" w:color="0000EE"/>
            </w:tcBorders>
            <w:gridSpan w:val="7"/>
            <w:shd w:val="clear" w:color="auto" w:fill="0000FF"/>
          </w:tcPr>
          <w:p>
            <w:pPr>
              <w:spacing w:after="0" w:line="20" w:lineRule="exact"/>
              <w:rPr>
                <w:sz w:val="1"/>
                <w:szCs w:val="1"/>
                <w:color w:val="auto"/>
              </w:rPr>
            </w:pPr>
          </w:p>
        </w:tc>
        <w:tc>
          <w:tcPr>
            <w:tcW w:w="1480" w:type="dxa"/>
            <w:vAlign w:val="bottom"/>
            <w:gridSpan w:val="12"/>
          </w:tcPr>
          <w:p>
            <w:pPr>
              <w:spacing w:after="0" w:line="20" w:lineRule="exact"/>
              <w:rPr>
                <w:sz w:val="1"/>
                <w:szCs w:val="1"/>
                <w:color w:val="auto"/>
              </w:rPr>
            </w:pPr>
          </w:p>
        </w:tc>
        <w:tc>
          <w:tcPr>
            <w:tcW w:w="46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vMerge w:val="continue"/>
          </w:tcPr>
          <w:p>
            <w:pPr>
              <w:spacing w:after="0"/>
              <w:rPr>
                <w:sz w:val="15"/>
                <w:szCs w:val="15"/>
                <w:color w:val="auto"/>
              </w:rPr>
            </w:pPr>
          </w:p>
        </w:tc>
        <w:tc>
          <w:tcPr>
            <w:tcW w:w="3940" w:type="dxa"/>
            <w:vAlign w:val="bottom"/>
            <w:tcBorders>
              <w:bottom w:val="single" w:sz="8" w:color="0000FF"/>
            </w:tcBorders>
            <w:gridSpan w:val="19"/>
          </w:tcPr>
          <w:p>
            <w:pPr>
              <w:spacing w:after="0" w:line="182" w:lineRule="exact"/>
              <w:rPr>
                <w:rFonts w:ascii="Arial" w:cs="Arial" w:eastAsia="Arial" w:hAnsi="Arial"/>
                <w:sz w:val="18"/>
                <w:szCs w:val="18"/>
                <w:color w:val="0000FF"/>
                <w:w w:val="93"/>
              </w:rPr>
            </w:pPr>
            <w:hyperlink w:anchor="page118">
              <w:r>
                <w:rPr>
                  <w:rFonts w:ascii="Arial" w:cs="Arial" w:eastAsia="Arial" w:hAnsi="Arial"/>
                  <w:sz w:val="18"/>
                  <w:szCs w:val="18"/>
                  <w:color w:val="0000FF"/>
                  <w:w w:val="93"/>
                </w:rPr>
                <w:t>Certification of Chief Financial Officer pursuant to 18</w:t>
              </w:r>
            </w:hyperlink>
          </w:p>
        </w:tc>
        <w:tc>
          <w:tcPr>
            <w:tcW w:w="46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4400" w:type="dxa"/>
            <w:vAlign w:val="bottom"/>
            <w:gridSpan w:val="34"/>
          </w:tcPr>
          <w:p>
            <w:pPr>
              <w:spacing w:after="0" w:line="156" w:lineRule="exact"/>
              <w:rPr>
                <w:rFonts w:ascii="Arial" w:cs="Arial" w:eastAsia="Arial" w:hAnsi="Arial"/>
                <w:sz w:val="18"/>
                <w:szCs w:val="18"/>
                <w:color w:val="0000FF"/>
                <w:w w:val="91"/>
              </w:rPr>
            </w:pPr>
            <w:hyperlink w:anchor="page118">
              <w:r>
                <w:rPr>
                  <w:rFonts w:ascii="Arial" w:cs="Arial" w:eastAsia="Arial" w:hAnsi="Arial"/>
                  <w:sz w:val="18"/>
                  <w:szCs w:val="18"/>
                  <w:color w:val="0000FF"/>
                  <w:w w:val="91"/>
                </w:rPr>
                <w:t>U.S.C. Section 1350, as adopted pursuant to Section 906 of</w:t>
              </w:r>
            </w:hyperlink>
          </w:p>
        </w:tc>
        <w:tc>
          <w:tcPr>
            <w:tcW w:w="0" w:type="dxa"/>
            <w:vAlign w:val="bottom"/>
          </w:tcPr>
          <w:p>
            <w:pPr>
              <w:spacing w:after="0"/>
              <w:rPr>
                <w:sz w:val="1"/>
                <w:szCs w:val="1"/>
                <w:color w:val="auto"/>
              </w:rPr>
            </w:pPr>
          </w:p>
        </w:tc>
      </w:tr>
      <w:tr>
        <w:trPr>
          <w:trHeight w:val="155"/>
        </w:trPr>
        <w:tc>
          <w:tcPr>
            <w:tcW w:w="880" w:type="dxa"/>
            <w:vAlign w:val="bottom"/>
            <w:vMerge w:val="restart"/>
          </w:tcPr>
          <w:p>
            <w:pPr>
              <w:jc w:val="center"/>
              <w:ind w:right="110"/>
              <w:spacing w:after="0"/>
              <w:rPr>
                <w:sz w:val="20"/>
                <w:szCs w:val="20"/>
                <w:color w:val="auto"/>
              </w:rPr>
            </w:pPr>
            <w:r>
              <w:rPr>
                <w:rFonts w:ascii="Arial" w:cs="Arial" w:eastAsia="Arial" w:hAnsi="Arial"/>
                <w:sz w:val="18"/>
                <w:szCs w:val="18"/>
                <w:color w:val="auto"/>
                <w:w w:val="92"/>
              </w:rPr>
              <w:t>101.INS</w:t>
            </w:r>
          </w:p>
        </w:tc>
        <w:tc>
          <w:tcPr>
            <w:tcW w:w="432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w:anchor="page118">
              <w:r>
                <w:rPr>
                  <w:rFonts w:ascii="Arial" w:cs="Arial" w:eastAsia="Arial" w:hAnsi="Arial"/>
                  <w:sz w:val="18"/>
                  <w:szCs w:val="18"/>
                  <w:color w:val="0000FF"/>
                </w:rPr>
                <w:t>the Sarbanes-Oxley Act of 2002.*</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2460" w:type="dxa"/>
            <w:vAlign w:val="bottom"/>
            <w:tcBorders>
              <w:right w:val="single" w:sz="8" w:color="0000EE"/>
            </w:tcBorders>
            <w:gridSpan w:val="7"/>
            <w:shd w:val="clear" w:color="auto" w:fill="0000FF"/>
          </w:tcPr>
          <w:p>
            <w:pPr>
              <w:spacing w:after="0" w:line="20" w:lineRule="exact"/>
              <w:rPr>
                <w:sz w:val="1"/>
                <w:szCs w:val="1"/>
                <w:color w:val="auto"/>
              </w:rPr>
            </w:pPr>
          </w:p>
        </w:tc>
        <w:tc>
          <w:tcPr>
            <w:tcW w:w="1940" w:type="dxa"/>
            <w:vAlign w:val="bottom"/>
            <w:gridSpan w:val="2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80" w:type="dxa"/>
            <w:vAlign w:val="bottom"/>
            <w:vMerge w:val="continue"/>
          </w:tcPr>
          <w:p>
            <w:pPr>
              <w:spacing w:after="0"/>
              <w:rPr>
                <w:sz w:val="14"/>
                <w:szCs w:val="14"/>
                <w:color w:val="auto"/>
              </w:rPr>
            </w:pPr>
          </w:p>
        </w:tc>
        <w:tc>
          <w:tcPr>
            <w:tcW w:w="4400" w:type="dxa"/>
            <w:vAlign w:val="bottom"/>
            <w:gridSpan w:val="34"/>
          </w:tcPr>
          <w:p>
            <w:pPr>
              <w:spacing w:after="0" w:line="169" w:lineRule="exact"/>
              <w:rPr>
                <w:sz w:val="20"/>
                <w:szCs w:val="20"/>
                <w:color w:val="auto"/>
              </w:rPr>
            </w:pPr>
            <w:r>
              <w:rPr>
                <w:rFonts w:ascii="Arial" w:cs="Arial" w:eastAsia="Arial" w:hAnsi="Arial"/>
                <w:sz w:val="18"/>
                <w:szCs w:val="18"/>
                <w:color w:val="auto"/>
                <w:w w:val="95"/>
              </w:rPr>
              <w:t>Inline XBRL Instance Document – the instance document</w:t>
            </w: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4400" w:type="dxa"/>
            <w:vAlign w:val="bottom"/>
            <w:gridSpan w:val="34"/>
          </w:tcPr>
          <w:p>
            <w:pPr>
              <w:spacing w:after="0" w:line="176" w:lineRule="exact"/>
              <w:rPr>
                <w:sz w:val="20"/>
                <w:szCs w:val="20"/>
                <w:color w:val="auto"/>
              </w:rPr>
            </w:pPr>
            <w:r>
              <w:rPr>
                <w:rFonts w:ascii="Arial" w:cs="Arial" w:eastAsia="Arial" w:hAnsi="Arial"/>
                <w:sz w:val="18"/>
                <w:szCs w:val="18"/>
                <w:color w:val="auto"/>
                <w:w w:val="93"/>
              </w:rPr>
              <w:t>does not appear in the Interactive Data File because XBRL</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400" w:type="dxa"/>
            <w:vAlign w:val="bottom"/>
            <w:gridSpan w:val="34"/>
          </w:tcPr>
          <w:p>
            <w:pPr>
              <w:spacing w:after="0"/>
              <w:rPr>
                <w:sz w:val="20"/>
                <w:szCs w:val="20"/>
                <w:color w:val="auto"/>
              </w:rPr>
            </w:pPr>
            <w:r>
              <w:rPr>
                <w:rFonts w:ascii="Arial" w:cs="Arial" w:eastAsia="Arial" w:hAnsi="Arial"/>
                <w:sz w:val="18"/>
                <w:szCs w:val="18"/>
                <w:color w:val="auto"/>
              </w:rPr>
              <w:t>tags are embedded within the Inline XBRL document.</w:t>
            </w:r>
          </w:p>
        </w:tc>
        <w:tc>
          <w:tcPr>
            <w:tcW w:w="0" w:type="dxa"/>
            <w:vAlign w:val="bottom"/>
          </w:tcPr>
          <w:p>
            <w:pPr>
              <w:spacing w:after="0"/>
              <w:rPr>
                <w:sz w:val="1"/>
                <w:szCs w:val="1"/>
                <w:color w:val="auto"/>
              </w:rPr>
            </w:pPr>
          </w:p>
        </w:tc>
      </w:tr>
      <w:tr>
        <w:trPr>
          <w:trHeight w:val="404"/>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0"/>
              </w:rPr>
              <w:t>101.SCH</w:t>
            </w:r>
          </w:p>
        </w:tc>
        <w:tc>
          <w:tcPr>
            <w:tcW w:w="4400" w:type="dxa"/>
            <w:vAlign w:val="bottom"/>
            <w:gridSpan w:val="34"/>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51"/>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7"/>
              </w:rPr>
              <w:t>101.CAL</w:t>
            </w:r>
          </w:p>
        </w:tc>
        <w:tc>
          <w:tcPr>
            <w:tcW w:w="4400" w:type="dxa"/>
            <w:vAlign w:val="bottom"/>
            <w:gridSpan w:val="34"/>
          </w:tcPr>
          <w:p>
            <w:pPr>
              <w:spacing w:after="0"/>
              <w:rPr>
                <w:sz w:val="20"/>
                <w:szCs w:val="20"/>
                <w:color w:val="auto"/>
              </w:rPr>
            </w:pPr>
            <w:r>
              <w:rPr>
                <w:rFonts w:ascii="Arial" w:cs="Arial" w:eastAsia="Arial" w:hAnsi="Arial"/>
                <w:sz w:val="18"/>
                <w:szCs w:val="18"/>
                <w:color w:val="auto"/>
                <w:w w:val="99"/>
              </w:rPr>
              <w:t>Inline XBRL Taxonomy Extension Calculation Linkbase</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400" w:type="dxa"/>
            <w:vAlign w:val="bottom"/>
            <w:gridSpan w:val="34"/>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350"/>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2"/>
              </w:rPr>
              <w:t>101.DEF</w:t>
            </w:r>
          </w:p>
        </w:tc>
        <w:tc>
          <w:tcPr>
            <w:tcW w:w="4400" w:type="dxa"/>
            <w:vAlign w:val="bottom"/>
            <w:gridSpan w:val="34"/>
          </w:tcPr>
          <w:p>
            <w:pPr>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400" w:type="dxa"/>
            <w:vAlign w:val="bottom"/>
            <w:gridSpan w:val="34"/>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323"/>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8"/>
              </w:rPr>
              <w:t>101.LAB</w:t>
            </w:r>
          </w:p>
        </w:tc>
        <w:tc>
          <w:tcPr>
            <w:tcW w:w="4400" w:type="dxa"/>
            <w:vAlign w:val="bottom"/>
            <w:gridSpan w:val="34"/>
          </w:tcPr>
          <w:p>
            <w:pPr>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400" w:type="dxa"/>
            <w:vAlign w:val="bottom"/>
            <w:gridSpan w:val="34"/>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350"/>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88"/>
              </w:rPr>
              <w:t>101.PRE</w:t>
            </w:r>
          </w:p>
        </w:tc>
        <w:tc>
          <w:tcPr>
            <w:tcW w:w="4400" w:type="dxa"/>
            <w:vAlign w:val="bottom"/>
            <w:gridSpan w:val="34"/>
          </w:tcPr>
          <w:p>
            <w:pPr>
              <w:spacing w:after="0"/>
              <w:rPr>
                <w:sz w:val="20"/>
                <w:szCs w:val="20"/>
                <w:color w:val="auto"/>
              </w:rPr>
            </w:pPr>
            <w:r>
              <w:rPr>
                <w:rFonts w:ascii="Arial" w:cs="Arial" w:eastAsia="Arial" w:hAnsi="Arial"/>
                <w:sz w:val="18"/>
                <w:szCs w:val="18"/>
                <w:color w:val="auto"/>
                <w:w w:val="97"/>
              </w:rPr>
              <w:t>Inline XBRL Taxonomy Extension Presentation Linkbase</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400" w:type="dxa"/>
            <w:vAlign w:val="bottom"/>
            <w:gridSpan w:val="34"/>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880" w:right="60" w:hanging="682"/>
        <w:spacing w:after="0" w:line="235"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Exhibits 101).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jc w:val="center"/>
              <w:ind w:right="510"/>
              <w:spacing w:after="0"/>
              <w:rPr>
                <w:sz w:val="20"/>
                <w:szCs w:val="20"/>
                <w:color w:val="auto"/>
              </w:rPr>
            </w:pPr>
            <w:r>
              <w:rPr>
                <w:rFonts w:ascii="Arial" w:cs="Arial" w:eastAsia="Arial" w:hAnsi="Arial"/>
                <w:sz w:val="18"/>
                <w:szCs w:val="18"/>
                <w:color w:val="auto"/>
                <w:w w:val="92"/>
              </w:rPr>
              <w:t>S-1</w:t>
            </w:r>
          </w:p>
        </w:tc>
        <w:tc>
          <w:tcPr>
            <w:tcW w:w="880" w:type="dxa"/>
            <w:vAlign w:val="bottom"/>
            <w:tcBorders>
              <w:bottom w:val="single" w:sz="8" w:color="0000FF"/>
            </w:tcBorders>
          </w:tcPr>
          <w:p>
            <w:pPr>
              <w:jc w:val="right"/>
              <w:spacing w:after="0"/>
              <w:rPr>
                <w:rFonts w:ascii="Arial" w:cs="Arial" w:eastAsia="Arial" w:hAnsi="Arial"/>
                <w:sz w:val="18"/>
                <w:szCs w:val="18"/>
                <w:color w:val="0000FF"/>
                <w:w w:val="87"/>
              </w:rPr>
            </w:pPr>
            <w:hyperlink r:id="rId272">
              <w:r>
                <w:rPr>
                  <w:rFonts w:ascii="Arial" w:cs="Arial" w:eastAsia="Arial" w:hAnsi="Arial"/>
                  <w:sz w:val="18"/>
                  <w:szCs w:val="18"/>
                  <w:color w:val="0000FF"/>
                  <w:w w:val="87"/>
                </w:rPr>
                <w:t>333-257663</w:t>
              </w:r>
            </w:hyperlink>
          </w:p>
        </w:tc>
        <w:tc>
          <w:tcPr>
            <w:tcW w:w="800" w:type="dxa"/>
            <w:vAlign w:val="bottom"/>
          </w:tcPr>
          <w:p>
            <w:pPr>
              <w:spacing w:after="0"/>
              <w:rPr>
                <w:sz w:val="17"/>
                <w:szCs w:val="17"/>
                <w:color w:val="auto"/>
              </w:rPr>
            </w:pPr>
          </w:p>
        </w:tc>
        <w:tc>
          <w:tcPr>
            <w:tcW w:w="360" w:type="dxa"/>
            <w:vAlign w:val="bottom"/>
            <w:tcBorders>
              <w:bottom w:val="single" w:sz="8" w:color="0000FF"/>
            </w:tcBorders>
          </w:tcPr>
          <w:p>
            <w:pPr>
              <w:jc w:val="center"/>
              <w:spacing w:after="0"/>
              <w:rPr>
                <w:rFonts w:ascii="Arial" w:cs="Arial" w:eastAsia="Arial" w:hAnsi="Arial"/>
                <w:sz w:val="18"/>
                <w:szCs w:val="18"/>
                <w:color w:val="0000FF"/>
                <w:w w:val="91"/>
              </w:rPr>
            </w:pPr>
            <w:hyperlink r:id="rId27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9</w:t>
              </w:r>
            </w:hyperlink>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07/02/2021</w:t>
            </w:r>
          </w:p>
        </w:tc>
      </w:tr>
      <w:tr>
        <w:trPr>
          <w:trHeight w:val="358"/>
        </w:trPr>
        <w:tc>
          <w:tcPr>
            <w:tcW w:w="1020" w:type="dxa"/>
            <w:vAlign w:val="bottom"/>
          </w:tcPr>
          <w:p>
            <w:pPr>
              <w:jc w:val="center"/>
              <w:ind w:right="510"/>
              <w:spacing w:after="0"/>
              <w:rPr>
                <w:sz w:val="20"/>
                <w:szCs w:val="20"/>
                <w:color w:val="auto"/>
              </w:rPr>
            </w:pPr>
            <w:r>
              <w:rPr>
                <w:rFonts w:ascii="Arial" w:cs="Arial" w:eastAsia="Arial" w:hAnsi="Arial"/>
                <w:sz w:val="18"/>
                <w:szCs w:val="18"/>
                <w:color w:val="auto"/>
                <w:w w:val="93"/>
              </w:rPr>
              <w:t>S-1/A</w:t>
            </w:r>
          </w:p>
        </w:tc>
        <w:tc>
          <w:tcPr>
            <w:tcW w:w="880" w:type="dxa"/>
            <w:vAlign w:val="bottom"/>
            <w:tcBorders>
              <w:bottom w:val="single" w:sz="8" w:color="0000FF"/>
            </w:tcBorders>
          </w:tcPr>
          <w:p>
            <w:pPr>
              <w:jc w:val="right"/>
              <w:spacing w:after="0"/>
              <w:rPr>
                <w:rFonts w:ascii="Arial" w:cs="Arial" w:eastAsia="Arial" w:hAnsi="Arial"/>
                <w:sz w:val="18"/>
                <w:szCs w:val="18"/>
                <w:color w:val="0000FF"/>
                <w:w w:val="87"/>
              </w:rPr>
            </w:pPr>
            <w:hyperlink r:id="rId273">
              <w:r>
                <w:rPr>
                  <w:rFonts w:ascii="Arial" w:cs="Arial" w:eastAsia="Arial" w:hAnsi="Arial"/>
                  <w:sz w:val="18"/>
                  <w:szCs w:val="18"/>
                  <w:color w:val="0000FF"/>
                  <w:w w:val="87"/>
                </w:rPr>
                <w:t>333-257663</w:t>
              </w:r>
            </w:hyperlink>
          </w:p>
        </w:tc>
        <w:tc>
          <w:tcPr>
            <w:tcW w:w="800" w:type="dxa"/>
            <w:vAlign w:val="bottom"/>
          </w:tcPr>
          <w:p>
            <w:pPr>
              <w:spacing w:after="0"/>
              <w:rPr>
                <w:sz w:val="24"/>
                <w:szCs w:val="24"/>
                <w:color w:val="auto"/>
              </w:rPr>
            </w:pPr>
          </w:p>
        </w:tc>
        <w:tc>
          <w:tcPr>
            <w:tcW w:w="360" w:type="dxa"/>
            <w:vAlign w:val="bottom"/>
            <w:tcBorders>
              <w:bottom w:val="single" w:sz="8" w:color="0000FF"/>
            </w:tcBorders>
          </w:tcPr>
          <w:p>
            <w:pPr>
              <w:jc w:val="center"/>
              <w:spacing w:after="0"/>
              <w:rPr>
                <w:rFonts w:ascii="Arial" w:cs="Arial" w:eastAsia="Arial" w:hAnsi="Arial"/>
                <w:sz w:val="18"/>
                <w:szCs w:val="18"/>
                <w:color w:val="0000FF"/>
                <w:w w:val="91"/>
              </w:rPr>
            </w:pPr>
            <w:hyperlink r:id="rId273">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9</w:t>
              </w:r>
            </w:hyperlink>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07/19/2021</w:t>
            </w:r>
          </w:p>
        </w:tc>
      </w:tr>
      <w:tr>
        <w:trPr>
          <w:trHeight w:val="358"/>
        </w:trPr>
        <w:tc>
          <w:tcPr>
            <w:tcW w:w="1020" w:type="dxa"/>
            <w:vAlign w:val="bottom"/>
          </w:tcPr>
          <w:p>
            <w:pPr>
              <w:jc w:val="center"/>
              <w:ind w:right="510"/>
              <w:spacing w:after="0"/>
              <w:rPr>
                <w:sz w:val="20"/>
                <w:szCs w:val="20"/>
                <w:color w:val="auto"/>
              </w:rPr>
            </w:pPr>
            <w:r>
              <w:rPr>
                <w:rFonts w:ascii="Arial" w:cs="Arial" w:eastAsia="Arial" w:hAnsi="Arial"/>
                <w:sz w:val="18"/>
                <w:szCs w:val="18"/>
                <w:color w:val="auto"/>
                <w:w w:val="92"/>
              </w:rPr>
              <w:t>S-1</w:t>
            </w:r>
          </w:p>
        </w:tc>
        <w:tc>
          <w:tcPr>
            <w:tcW w:w="880" w:type="dxa"/>
            <w:vAlign w:val="bottom"/>
            <w:tcBorders>
              <w:bottom w:val="single" w:sz="8" w:color="0000FF"/>
            </w:tcBorders>
          </w:tcPr>
          <w:p>
            <w:pPr>
              <w:jc w:val="right"/>
              <w:spacing w:after="0"/>
              <w:rPr>
                <w:rFonts w:ascii="Arial" w:cs="Arial" w:eastAsia="Arial" w:hAnsi="Arial"/>
                <w:sz w:val="18"/>
                <w:szCs w:val="18"/>
                <w:color w:val="0000FF"/>
                <w:w w:val="87"/>
              </w:rPr>
            </w:pPr>
            <w:hyperlink r:id="rId274">
              <w:r>
                <w:rPr>
                  <w:rFonts w:ascii="Arial" w:cs="Arial" w:eastAsia="Arial" w:hAnsi="Arial"/>
                  <w:sz w:val="18"/>
                  <w:szCs w:val="18"/>
                  <w:color w:val="0000FF"/>
                  <w:w w:val="87"/>
                </w:rPr>
                <w:t>333-257663</w:t>
              </w:r>
            </w:hyperlink>
          </w:p>
        </w:tc>
        <w:tc>
          <w:tcPr>
            <w:tcW w:w="800" w:type="dxa"/>
            <w:vAlign w:val="bottom"/>
          </w:tcPr>
          <w:p>
            <w:pPr>
              <w:spacing w:after="0"/>
              <w:rPr>
                <w:sz w:val="24"/>
                <w:szCs w:val="24"/>
                <w:color w:val="auto"/>
              </w:rPr>
            </w:pPr>
          </w:p>
        </w:tc>
        <w:tc>
          <w:tcPr>
            <w:tcW w:w="360" w:type="dxa"/>
            <w:vAlign w:val="bottom"/>
            <w:tcBorders>
              <w:bottom w:val="single" w:sz="8" w:color="0000FF"/>
            </w:tcBorders>
          </w:tcPr>
          <w:p>
            <w:pPr>
              <w:jc w:val="center"/>
              <w:spacing w:after="0"/>
              <w:rPr>
                <w:rFonts w:ascii="Arial" w:cs="Arial" w:eastAsia="Arial" w:hAnsi="Arial"/>
                <w:sz w:val="18"/>
                <w:szCs w:val="18"/>
                <w:color w:val="0000FF"/>
                <w:w w:val="79"/>
              </w:rPr>
            </w:pPr>
            <w:hyperlink r:id="rId274">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11</w:t>
              </w:r>
            </w:hyperlink>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07/02/2021</w:t>
            </w:r>
          </w:p>
        </w:tc>
      </w:tr>
      <w:tr>
        <w:trPr>
          <w:trHeight w:val="533"/>
        </w:trPr>
        <w:tc>
          <w:tcPr>
            <w:tcW w:w="1020" w:type="dxa"/>
            <w:vAlign w:val="bottom"/>
          </w:tcPr>
          <w:p>
            <w:pPr>
              <w:jc w:val="center"/>
              <w:ind w:right="510"/>
              <w:spacing w:after="0"/>
              <w:rPr>
                <w:sz w:val="20"/>
                <w:szCs w:val="20"/>
                <w:color w:val="auto"/>
              </w:rPr>
            </w:pPr>
            <w:r>
              <w:rPr>
                <w:rFonts w:ascii="Arial" w:cs="Arial" w:eastAsia="Arial" w:hAnsi="Arial"/>
                <w:sz w:val="18"/>
                <w:szCs w:val="18"/>
                <w:color w:val="auto"/>
                <w:w w:val="92"/>
              </w:rPr>
              <w:t>S-1</w:t>
            </w:r>
          </w:p>
        </w:tc>
        <w:tc>
          <w:tcPr>
            <w:tcW w:w="880" w:type="dxa"/>
            <w:vAlign w:val="bottom"/>
          </w:tcPr>
          <w:p>
            <w:pPr>
              <w:jc w:val="right"/>
              <w:spacing w:after="0"/>
              <w:rPr>
                <w:rFonts w:ascii="Arial" w:cs="Arial" w:eastAsia="Arial" w:hAnsi="Arial"/>
                <w:sz w:val="18"/>
                <w:szCs w:val="18"/>
                <w:color w:val="0000FF"/>
                <w:w w:val="87"/>
              </w:rPr>
            </w:pPr>
            <w:hyperlink r:id="rId275">
              <w:r>
                <w:rPr>
                  <w:rFonts w:ascii="Arial" w:cs="Arial" w:eastAsia="Arial" w:hAnsi="Arial"/>
                  <w:sz w:val="18"/>
                  <w:szCs w:val="18"/>
                  <w:color w:val="0000FF"/>
                  <w:w w:val="87"/>
                </w:rPr>
                <w:t>333-257663</w:t>
              </w:r>
            </w:hyperlink>
          </w:p>
        </w:tc>
        <w:tc>
          <w:tcPr>
            <w:tcW w:w="1520" w:type="dxa"/>
            <w:vAlign w:val="bottom"/>
            <w:gridSpan w:val="3"/>
          </w:tcPr>
          <w:p>
            <w:pPr>
              <w:jc w:val="center"/>
              <w:ind w:left="310"/>
              <w:spacing w:after="0"/>
              <w:rPr>
                <w:rFonts w:ascii="Arial" w:cs="Arial" w:eastAsia="Arial" w:hAnsi="Arial"/>
                <w:sz w:val="18"/>
                <w:szCs w:val="18"/>
                <w:color w:val="0000FF"/>
                <w:w w:val="88"/>
              </w:rPr>
            </w:pPr>
            <w:hyperlink r:id="rId27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12</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07/02/2021</w:t>
            </w:r>
          </w:p>
        </w:tc>
      </w:tr>
      <w:tr>
        <w:trPr>
          <w:trHeight w:val="20"/>
        </w:trPr>
        <w:tc>
          <w:tcPr>
            <w:tcW w:w="1020" w:type="dxa"/>
            <w:vAlign w:val="bottom"/>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533"/>
        </w:trPr>
        <w:tc>
          <w:tcPr>
            <w:tcW w:w="1020" w:type="dxa"/>
            <w:vAlign w:val="bottom"/>
          </w:tcPr>
          <w:p>
            <w:pPr>
              <w:jc w:val="center"/>
              <w:ind w:right="510"/>
              <w:spacing w:after="0"/>
              <w:rPr>
                <w:sz w:val="20"/>
                <w:szCs w:val="20"/>
                <w:color w:val="auto"/>
              </w:rPr>
            </w:pPr>
            <w:r>
              <w:rPr>
                <w:rFonts w:ascii="Arial" w:cs="Arial" w:eastAsia="Arial" w:hAnsi="Arial"/>
                <w:sz w:val="18"/>
                <w:szCs w:val="18"/>
                <w:color w:val="auto"/>
                <w:w w:val="92"/>
              </w:rPr>
              <w:t>S-1</w:t>
            </w:r>
          </w:p>
        </w:tc>
        <w:tc>
          <w:tcPr>
            <w:tcW w:w="880" w:type="dxa"/>
            <w:vAlign w:val="bottom"/>
          </w:tcPr>
          <w:p>
            <w:pPr>
              <w:jc w:val="right"/>
              <w:spacing w:after="0"/>
              <w:rPr>
                <w:rFonts w:ascii="Arial" w:cs="Arial" w:eastAsia="Arial" w:hAnsi="Arial"/>
                <w:sz w:val="18"/>
                <w:szCs w:val="18"/>
                <w:color w:val="0000FF"/>
                <w:w w:val="87"/>
              </w:rPr>
            </w:pPr>
            <w:hyperlink r:id="rId276">
              <w:r>
                <w:rPr>
                  <w:rFonts w:ascii="Arial" w:cs="Arial" w:eastAsia="Arial" w:hAnsi="Arial"/>
                  <w:sz w:val="18"/>
                  <w:szCs w:val="18"/>
                  <w:color w:val="0000FF"/>
                  <w:w w:val="87"/>
                </w:rPr>
                <w:t>333-257663</w:t>
              </w:r>
            </w:hyperlink>
          </w:p>
        </w:tc>
        <w:tc>
          <w:tcPr>
            <w:tcW w:w="1520" w:type="dxa"/>
            <w:vAlign w:val="bottom"/>
            <w:gridSpan w:val="3"/>
          </w:tcPr>
          <w:p>
            <w:pPr>
              <w:jc w:val="center"/>
              <w:ind w:left="310"/>
              <w:spacing w:after="0"/>
              <w:rPr>
                <w:rFonts w:ascii="Arial" w:cs="Arial" w:eastAsia="Arial" w:hAnsi="Arial"/>
                <w:sz w:val="18"/>
                <w:szCs w:val="18"/>
                <w:color w:val="0000FF"/>
                <w:w w:val="88"/>
              </w:rPr>
            </w:pPr>
            <w:hyperlink r:id="rId27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13</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07/02/2021</w:t>
            </w:r>
          </w:p>
        </w:tc>
      </w:tr>
      <w:tr>
        <w:trPr>
          <w:trHeight w:val="20"/>
        </w:trPr>
        <w:tc>
          <w:tcPr>
            <w:tcW w:w="1020" w:type="dxa"/>
            <w:vAlign w:val="bottom"/>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58"/>
        </w:trPr>
        <w:tc>
          <w:tcPr>
            <w:tcW w:w="1020" w:type="dxa"/>
            <w:vAlign w:val="bottom"/>
          </w:tcPr>
          <w:p>
            <w:pPr>
              <w:jc w:val="center"/>
              <w:ind w:right="510"/>
              <w:spacing w:after="0"/>
              <w:rPr>
                <w:sz w:val="20"/>
                <w:szCs w:val="20"/>
                <w:color w:val="auto"/>
              </w:rPr>
            </w:pPr>
            <w:r>
              <w:rPr>
                <w:rFonts w:ascii="Arial" w:cs="Arial" w:eastAsia="Arial" w:hAnsi="Arial"/>
                <w:sz w:val="18"/>
                <w:szCs w:val="18"/>
                <w:color w:val="auto"/>
                <w:w w:val="92"/>
              </w:rPr>
              <w:t>S-1</w:t>
            </w:r>
          </w:p>
        </w:tc>
        <w:tc>
          <w:tcPr>
            <w:tcW w:w="880" w:type="dxa"/>
            <w:vAlign w:val="bottom"/>
          </w:tcPr>
          <w:p>
            <w:pPr>
              <w:jc w:val="right"/>
              <w:spacing w:after="0"/>
              <w:rPr>
                <w:rFonts w:ascii="Arial" w:cs="Arial" w:eastAsia="Arial" w:hAnsi="Arial"/>
                <w:sz w:val="18"/>
                <w:szCs w:val="18"/>
                <w:color w:val="0000FF"/>
                <w:w w:val="87"/>
              </w:rPr>
            </w:pPr>
            <w:hyperlink r:id="rId277">
              <w:r>
                <w:rPr>
                  <w:rFonts w:ascii="Arial" w:cs="Arial" w:eastAsia="Arial" w:hAnsi="Arial"/>
                  <w:sz w:val="18"/>
                  <w:szCs w:val="18"/>
                  <w:color w:val="0000FF"/>
                  <w:w w:val="87"/>
                </w:rPr>
                <w:t>333-257663</w:t>
              </w:r>
            </w:hyperlink>
          </w:p>
        </w:tc>
        <w:tc>
          <w:tcPr>
            <w:tcW w:w="1520" w:type="dxa"/>
            <w:vAlign w:val="bottom"/>
            <w:gridSpan w:val="3"/>
          </w:tcPr>
          <w:p>
            <w:pPr>
              <w:jc w:val="center"/>
              <w:ind w:left="310"/>
              <w:spacing w:after="0"/>
              <w:rPr>
                <w:rFonts w:ascii="Arial" w:cs="Arial" w:eastAsia="Arial" w:hAnsi="Arial"/>
                <w:sz w:val="18"/>
                <w:szCs w:val="18"/>
                <w:color w:val="0000FF"/>
                <w:w w:val="88"/>
              </w:rPr>
            </w:pPr>
            <w:hyperlink r:id="rId27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14</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07/02/2021</w:t>
            </w:r>
          </w:p>
        </w:tc>
      </w:tr>
      <w:tr>
        <w:trPr>
          <w:trHeight w:val="20"/>
        </w:trPr>
        <w:tc>
          <w:tcPr>
            <w:tcW w:w="1020" w:type="dxa"/>
            <w:vAlign w:val="bottom"/>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7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X</w:t>
      </w:r>
    </w:p>
    <w:p>
      <w:pPr>
        <w:spacing w:after="0" w:line="1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X</w:t>
      </w:r>
    </w:p>
    <w:p>
      <w:pPr>
        <w:spacing w:after="0" w:line="15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X</w:t>
      </w:r>
    </w:p>
    <w:p>
      <w:pPr>
        <w:spacing w:after="0" w:line="17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2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2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X</w:t>
      </w:r>
    </w:p>
    <w:p>
      <w:pPr>
        <w:spacing w:after="0" w:line="34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X</w:t>
      </w:r>
    </w:p>
    <w:p>
      <w:pPr>
        <w:spacing w:after="0" w:line="34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X</w:t>
      </w:r>
    </w:p>
    <w:p>
      <w:pPr>
        <w:spacing w:after="0" w:line="19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X</w:t>
      </w:r>
    </w:p>
    <w:p>
      <w:pPr>
        <w:spacing w:after="0" w:line="374"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X</w:t>
      </w:r>
    </w:p>
    <w:p>
      <w:pPr>
        <w:spacing w:after="0" w:line="34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X</w:t>
      </w:r>
    </w:p>
    <w:p>
      <w:pPr>
        <w:spacing w:after="0" w:line="374"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X</w:t>
      </w:r>
    </w:p>
    <w:p>
      <w:pPr>
        <w:spacing w:after="0" w:line="374"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X</w:t>
      </w:r>
    </w:p>
    <w:p>
      <w:pPr>
        <w:spacing w:after="0" w:line="398" w:lineRule="exact"/>
        <w:rPr>
          <w:sz w:val="20"/>
          <w:szCs w:val="20"/>
          <w:color w:val="auto"/>
        </w:rPr>
      </w:pPr>
    </w:p>
    <w:p>
      <w:pPr>
        <w:sectPr>
          <w:pgSz w:w="11900" w:h="16838" w:orient="portrait"/>
          <w:cols w:equalWidth="0" w:num="2">
            <w:col w:w="5280" w:space="260"/>
            <w:col w:w="5180"/>
          </w:cols>
          <w:pgMar w:left="400" w:top="311" w:right="779" w:bottom="1440" w:gutter="0" w:footer="0" w:header="0"/>
        </w:sectPr>
      </w:pPr>
    </w:p>
    <w:p>
      <w:pPr>
        <w:spacing w:after="0" w:line="124"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76835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400" w:top="311" w:right="77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color w:val="auto"/>
        </w:rPr>
        <w:t>______________________________________</w:t>
      </w:r>
    </w:p>
    <w:p>
      <w:pPr>
        <w:spacing w:after="0" w:line="12" w:lineRule="exact"/>
        <w:rPr>
          <w:sz w:val="20"/>
          <w:szCs w:val="20"/>
          <w:color w:val="auto"/>
        </w:rPr>
      </w:pPr>
    </w:p>
    <w:p>
      <w:pPr>
        <w:ind w:firstLine="8"/>
        <w:spacing w:after="0" w:line="243" w:lineRule="auto"/>
        <w:tabs>
          <w:tab w:leader="none" w:pos="146" w:val="left"/>
        </w:tabs>
        <w:numPr>
          <w:ilvl w:val="0"/>
          <w:numId w:val="58"/>
        </w:numPr>
        <w:rPr>
          <w:rFonts w:ascii="Arial" w:cs="Arial" w:eastAsia="Arial" w:hAnsi="Arial"/>
          <w:sz w:val="18"/>
          <w:szCs w:val="18"/>
          <w:color w:val="auto"/>
        </w:rPr>
      </w:pPr>
      <w:r>
        <w:rPr>
          <w:rFonts w:ascii="Arial" w:cs="Arial" w:eastAsia="Arial" w:hAnsi="Arial"/>
          <w:sz w:val="18"/>
          <w:szCs w:val="18"/>
          <w:color w:val="auto"/>
        </w:rPr>
        <w:t>Pursuant to Item 601(b)(10) of Regulation S-K, portions of this exhibit have been omitted as the Registrant has determined that the omitted information is both not material and is the type that the Registrant treats as private and confidential.</w:t>
      </w:r>
    </w:p>
    <w:p>
      <w:pPr>
        <w:spacing w:after="0" w:line="172" w:lineRule="exact"/>
        <w:rPr>
          <w:sz w:val="20"/>
          <w:szCs w:val="20"/>
          <w:color w:val="auto"/>
        </w:rPr>
      </w:pPr>
    </w:p>
    <w:p>
      <w:pPr>
        <w:jc w:val="both"/>
        <w:ind w:firstLine="8"/>
        <w:spacing w:after="0" w:line="243" w:lineRule="auto"/>
        <w:tabs>
          <w:tab w:leader="none" w:pos="149"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contemplated by SEC Release No. 33-8212, these exhibits are furnished with this Annual Report on Form 10-K and are not deemed filed with the SEC and are not incorporated by reference in any filing of Cytek Biosciences, Inc. under the Securities Act of 1933, as amended, or the Securities Exchange Act of 1934, as amended, whether made before or after the date hereof and irrespective of any general incorporation language contained in such filings.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Not provided.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3"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Cytek Biosciences, Inc.</w:t>
      </w:r>
    </w:p>
    <w:p>
      <w:pPr>
        <w:spacing w:after="0" w:line="202" w:lineRule="exact"/>
        <w:rPr>
          <w:sz w:val="20"/>
          <w:szCs w:val="20"/>
          <w:color w:val="auto"/>
        </w:rPr>
      </w:pPr>
    </w:p>
    <w:p>
      <w:pPr>
        <w:ind w:left="20"/>
        <w:spacing w:after="0"/>
        <w:tabs>
          <w:tab w:leader="none" w:pos="5340" w:val="left"/>
          <w:tab w:leader="none" w:pos="7840" w:val="left"/>
        </w:tabs>
        <w:rPr>
          <w:sz w:val="20"/>
          <w:szCs w:val="20"/>
          <w:color w:val="auto"/>
        </w:rPr>
      </w:pPr>
      <w:r>
        <w:rPr>
          <w:rFonts w:ascii="Arial" w:cs="Arial" w:eastAsia="Arial" w:hAnsi="Arial"/>
          <w:sz w:val="18"/>
          <w:szCs w:val="18"/>
          <w:color w:val="auto"/>
        </w:rPr>
        <w:t>Date: March 17,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Wenbin 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-1905</wp:posOffset>
            </wp:positionV>
            <wp:extent cx="35318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ind w:left="7720"/>
        <w:spacing w:after="0"/>
        <w:rPr>
          <w:sz w:val="20"/>
          <w:szCs w:val="20"/>
          <w:color w:val="auto"/>
        </w:rPr>
      </w:pPr>
      <w:r>
        <w:rPr>
          <w:rFonts w:ascii="Arial" w:cs="Arial" w:eastAsia="Arial" w:hAnsi="Arial"/>
          <w:sz w:val="18"/>
          <w:szCs w:val="18"/>
          <w:color w:val="auto"/>
        </w:rPr>
        <w:t>Wenbin Jiang, Ph.D.</w:t>
      </w:r>
    </w:p>
    <w:p>
      <w:pPr>
        <w:ind w:left="7080"/>
        <w:spacing w:after="0" w:line="203" w:lineRule="auto"/>
        <w:rPr>
          <w:sz w:val="20"/>
          <w:szCs w:val="20"/>
          <w:color w:val="auto"/>
        </w:rPr>
      </w:pPr>
      <w:r>
        <w:rPr>
          <w:rFonts w:ascii="Arial" w:cs="Arial" w:eastAsia="Arial" w:hAnsi="Arial"/>
          <w:sz w:val="18"/>
          <w:szCs w:val="18"/>
          <w:color w:val="auto"/>
        </w:rPr>
        <w:t>President and Chief Executive Officer</w:t>
      </w:r>
    </w:p>
    <w:p>
      <w:pPr>
        <w:ind w:left="74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87" w:lineRule="exact"/>
        <w:rPr>
          <w:sz w:val="20"/>
          <w:szCs w:val="20"/>
          <w:color w:val="auto"/>
        </w:rPr>
      </w:pPr>
    </w:p>
    <w:p>
      <w:pPr>
        <w:ind w:left="20"/>
        <w:spacing w:after="0"/>
        <w:tabs>
          <w:tab w:leader="none" w:pos="5340" w:val="left"/>
          <w:tab w:leader="none" w:pos="7680" w:val="left"/>
        </w:tabs>
        <w:rPr>
          <w:sz w:val="20"/>
          <w:szCs w:val="20"/>
          <w:color w:val="auto"/>
        </w:rPr>
      </w:pPr>
      <w:r>
        <w:rPr>
          <w:rFonts w:ascii="Arial" w:cs="Arial" w:eastAsia="Arial" w:hAnsi="Arial"/>
          <w:sz w:val="18"/>
          <w:szCs w:val="18"/>
          <w:color w:val="auto"/>
        </w:rPr>
        <w:t>Date: March 17,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Patrik Jeanmonod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-1905</wp:posOffset>
            </wp:positionV>
            <wp:extent cx="35318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ind w:left="7820"/>
        <w:spacing w:after="0"/>
        <w:rPr>
          <w:sz w:val="20"/>
          <w:szCs w:val="20"/>
          <w:color w:val="auto"/>
        </w:rPr>
      </w:pPr>
      <w:r>
        <w:rPr>
          <w:rFonts w:ascii="Arial" w:cs="Arial" w:eastAsia="Arial" w:hAnsi="Arial"/>
          <w:sz w:val="18"/>
          <w:szCs w:val="18"/>
          <w:color w:val="auto"/>
        </w:rPr>
        <w:t>Patrik Jeanmonod</w:t>
      </w:r>
    </w:p>
    <w:p>
      <w:pPr>
        <w:ind w:left="7620"/>
        <w:spacing w:after="0" w:line="203" w:lineRule="auto"/>
        <w:rPr>
          <w:sz w:val="20"/>
          <w:szCs w:val="20"/>
          <w:color w:val="auto"/>
        </w:rPr>
      </w:pPr>
      <w:r>
        <w:rPr>
          <w:rFonts w:ascii="Arial" w:cs="Arial" w:eastAsia="Arial" w:hAnsi="Arial"/>
          <w:sz w:val="18"/>
          <w:szCs w:val="18"/>
          <w:color w:val="auto"/>
        </w:rPr>
        <w:t>Chief Financial Officer</w:t>
      </w:r>
    </w:p>
    <w:p>
      <w:pPr>
        <w:ind w:left="68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89"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Wenbin Jiang, Patrik Jeanmonod and Valerie Barnett, and each or any one of them, his or her true and lawful attorney-in-fact and agent, with full power of substitution and resubstitution, for him or her and in his or her name, place and stead, in any and all capacities, to sign any and all amendments to this report, and to file the same, with all exhibits thereto, and other documents in connection therewith, with the Securities and Exchange Commission, granting unto said attorneys-in-facts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substitutes, may lawfully do or cause to be done by virtue hereof.</w:t>
      </w:r>
    </w:p>
    <w:p>
      <w:pPr>
        <w:spacing w:after="0" w:line="25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4"/>
                <w:szCs w:val="14"/>
                <w:color w:val="auto"/>
              </w:rPr>
            </w:pPr>
          </w:p>
        </w:tc>
        <w:tc>
          <w:tcPr>
            <w:tcW w:w="492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4"/>
                <w:szCs w:val="14"/>
                <w:color w:val="auto"/>
              </w:rPr>
            </w:pPr>
          </w:p>
        </w:tc>
        <w:tc>
          <w:tcPr>
            <w:tcW w:w="240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77"/>
        </w:trPr>
        <w:tc>
          <w:tcPr>
            <w:tcW w:w="3680" w:type="dxa"/>
            <w:vAlign w:val="bottom"/>
          </w:tcPr>
          <w:p>
            <w:pPr>
              <w:jc w:val="center"/>
              <w:spacing w:after="0"/>
              <w:rPr>
                <w:sz w:val="20"/>
                <w:szCs w:val="20"/>
                <w:color w:val="auto"/>
              </w:rPr>
            </w:pPr>
            <w:r>
              <w:rPr>
                <w:rFonts w:ascii="Arial" w:cs="Arial" w:eastAsia="Arial" w:hAnsi="Arial"/>
                <w:sz w:val="18"/>
                <w:szCs w:val="18"/>
                <w:color w:val="auto"/>
                <w:w w:val="90"/>
              </w:rPr>
              <w:t>/s/ Wenbin Jiang</w:t>
            </w:r>
          </w:p>
        </w:tc>
        <w:tc>
          <w:tcPr>
            <w:tcW w:w="12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120" w:type="dxa"/>
            <w:vAlign w:val="bottom"/>
          </w:tcPr>
          <w:p>
            <w:pPr>
              <w:spacing w:after="0"/>
              <w:rPr>
                <w:sz w:val="24"/>
                <w:szCs w:val="24"/>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March 17, 2022</w:t>
            </w:r>
          </w:p>
        </w:tc>
        <w:tc>
          <w:tcPr>
            <w:tcW w:w="0" w:type="dxa"/>
            <w:vAlign w:val="bottom"/>
          </w:tcPr>
          <w:p>
            <w:pPr>
              <w:spacing w:after="0"/>
              <w:rPr>
                <w:sz w:val="1"/>
                <w:szCs w:val="1"/>
                <w:color w:val="auto"/>
              </w:rPr>
            </w:pPr>
          </w:p>
        </w:tc>
      </w:tr>
      <w:tr>
        <w:trPr>
          <w:trHeight w:val="148"/>
        </w:trPr>
        <w:tc>
          <w:tcPr>
            <w:tcW w:w="3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92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(Principal Executive Officer)</w:t>
            </w:r>
          </w:p>
        </w:tc>
        <w:tc>
          <w:tcPr>
            <w:tcW w:w="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80" w:type="dxa"/>
            <w:vAlign w:val="bottom"/>
          </w:tcPr>
          <w:p>
            <w:pPr>
              <w:jc w:val="center"/>
              <w:spacing w:after="0"/>
              <w:rPr>
                <w:sz w:val="20"/>
                <w:szCs w:val="20"/>
                <w:color w:val="auto"/>
              </w:rPr>
            </w:pPr>
            <w:r>
              <w:rPr>
                <w:rFonts w:ascii="Arial" w:cs="Arial" w:eastAsia="Arial" w:hAnsi="Arial"/>
                <w:sz w:val="14"/>
                <w:szCs w:val="14"/>
                <w:color w:val="auto"/>
                <w:w w:val="92"/>
              </w:rPr>
              <w:t>Wenbin Jiang, Ph.D.</w:t>
            </w:r>
          </w:p>
        </w:tc>
        <w:tc>
          <w:tcPr>
            <w:tcW w:w="120" w:type="dxa"/>
            <w:vAlign w:val="bottom"/>
          </w:tcPr>
          <w:p>
            <w:pPr>
              <w:spacing w:after="0"/>
              <w:rPr>
                <w:sz w:val="15"/>
                <w:szCs w:val="15"/>
                <w:color w:val="auto"/>
              </w:rPr>
            </w:pPr>
          </w:p>
        </w:tc>
        <w:tc>
          <w:tcPr>
            <w:tcW w:w="4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680" w:type="dxa"/>
            <w:vAlign w:val="bottom"/>
          </w:tcPr>
          <w:p>
            <w:pPr>
              <w:jc w:val="center"/>
              <w:spacing w:after="0"/>
              <w:rPr>
                <w:sz w:val="20"/>
                <w:szCs w:val="20"/>
                <w:color w:val="auto"/>
              </w:rPr>
            </w:pPr>
            <w:r>
              <w:rPr>
                <w:rFonts w:ascii="Arial" w:cs="Arial" w:eastAsia="Arial" w:hAnsi="Arial"/>
                <w:sz w:val="18"/>
                <w:szCs w:val="18"/>
                <w:color w:val="auto"/>
                <w:w w:val="89"/>
              </w:rPr>
              <w:t>/s/ Patrik Jeanmonod</w:t>
            </w:r>
          </w:p>
        </w:tc>
        <w:tc>
          <w:tcPr>
            <w:tcW w:w="12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12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March 17, 2022</w:t>
            </w:r>
          </w:p>
        </w:tc>
        <w:tc>
          <w:tcPr>
            <w:tcW w:w="0" w:type="dxa"/>
            <w:vAlign w:val="bottom"/>
          </w:tcPr>
          <w:p>
            <w:pPr>
              <w:spacing w:after="0"/>
              <w:rPr>
                <w:sz w:val="1"/>
                <w:szCs w:val="1"/>
                <w:color w:val="auto"/>
              </w:rPr>
            </w:pPr>
          </w:p>
        </w:tc>
      </w:tr>
      <w:tr>
        <w:trPr>
          <w:trHeight w:val="148"/>
        </w:trPr>
        <w:tc>
          <w:tcPr>
            <w:tcW w:w="3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92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(Principal Financial and Accounting Officer)</w:t>
            </w:r>
          </w:p>
        </w:tc>
        <w:tc>
          <w:tcPr>
            <w:tcW w:w="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80" w:type="dxa"/>
            <w:vAlign w:val="bottom"/>
          </w:tcPr>
          <w:p>
            <w:pPr>
              <w:jc w:val="center"/>
              <w:spacing w:after="0"/>
              <w:rPr>
                <w:sz w:val="20"/>
                <w:szCs w:val="20"/>
                <w:color w:val="auto"/>
              </w:rPr>
            </w:pPr>
            <w:r>
              <w:rPr>
                <w:rFonts w:ascii="Arial" w:cs="Arial" w:eastAsia="Arial" w:hAnsi="Arial"/>
                <w:sz w:val="14"/>
                <w:szCs w:val="14"/>
                <w:color w:val="auto"/>
                <w:w w:val="92"/>
              </w:rPr>
              <w:t>Patrik Jeanmonod</w:t>
            </w:r>
          </w:p>
        </w:tc>
        <w:tc>
          <w:tcPr>
            <w:tcW w:w="120" w:type="dxa"/>
            <w:vAlign w:val="bottom"/>
          </w:tcPr>
          <w:p>
            <w:pPr>
              <w:spacing w:after="0"/>
              <w:rPr>
                <w:sz w:val="15"/>
                <w:szCs w:val="15"/>
                <w:color w:val="auto"/>
              </w:rPr>
            </w:pPr>
          </w:p>
        </w:tc>
        <w:tc>
          <w:tcPr>
            <w:tcW w:w="4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680" w:type="dxa"/>
            <w:vAlign w:val="bottom"/>
          </w:tcPr>
          <w:p>
            <w:pPr>
              <w:jc w:val="center"/>
              <w:spacing w:after="0"/>
              <w:rPr>
                <w:sz w:val="20"/>
                <w:szCs w:val="20"/>
                <w:color w:val="auto"/>
              </w:rPr>
            </w:pPr>
            <w:r>
              <w:rPr>
                <w:rFonts w:ascii="Arial" w:cs="Arial" w:eastAsia="Arial" w:hAnsi="Arial"/>
                <w:sz w:val="18"/>
                <w:szCs w:val="18"/>
                <w:color w:val="auto"/>
                <w:w w:val="93"/>
              </w:rPr>
              <w:t>/s/ Ming Yan</w:t>
            </w:r>
          </w:p>
        </w:tc>
        <w:tc>
          <w:tcPr>
            <w:tcW w:w="12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Chief Technology Officer and Director</w:t>
            </w:r>
          </w:p>
        </w:tc>
        <w:tc>
          <w:tcPr>
            <w:tcW w:w="12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March 17, 2022</w:t>
            </w:r>
          </w:p>
        </w:tc>
        <w:tc>
          <w:tcPr>
            <w:tcW w:w="0" w:type="dxa"/>
            <w:vAlign w:val="bottom"/>
          </w:tcPr>
          <w:p>
            <w:pPr>
              <w:spacing w:after="0"/>
              <w:rPr>
                <w:sz w:val="1"/>
                <w:szCs w:val="1"/>
                <w:color w:val="auto"/>
              </w:rPr>
            </w:pPr>
          </w:p>
        </w:tc>
      </w:tr>
      <w:tr>
        <w:trPr>
          <w:trHeight w:val="148"/>
        </w:trPr>
        <w:tc>
          <w:tcPr>
            <w:tcW w:w="3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80" w:type="dxa"/>
            <w:vAlign w:val="bottom"/>
          </w:tcPr>
          <w:p>
            <w:pPr>
              <w:jc w:val="center"/>
              <w:spacing w:after="0"/>
              <w:rPr>
                <w:sz w:val="20"/>
                <w:szCs w:val="20"/>
                <w:color w:val="auto"/>
              </w:rPr>
            </w:pPr>
            <w:r>
              <w:rPr>
                <w:rFonts w:ascii="Arial" w:cs="Arial" w:eastAsia="Arial" w:hAnsi="Arial"/>
                <w:sz w:val="14"/>
                <w:szCs w:val="14"/>
                <w:color w:val="auto"/>
                <w:w w:val="96"/>
              </w:rPr>
              <w:t>Ming Yan, Ph.D.</w:t>
            </w:r>
          </w:p>
        </w:tc>
        <w:tc>
          <w:tcPr>
            <w:tcW w:w="1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680" w:type="dxa"/>
            <w:vAlign w:val="bottom"/>
          </w:tcPr>
          <w:p>
            <w:pPr>
              <w:jc w:val="center"/>
              <w:spacing w:after="0"/>
              <w:rPr>
                <w:sz w:val="20"/>
                <w:szCs w:val="20"/>
                <w:color w:val="auto"/>
              </w:rPr>
            </w:pPr>
            <w:r>
              <w:rPr>
                <w:rFonts w:ascii="Arial" w:cs="Arial" w:eastAsia="Arial" w:hAnsi="Arial"/>
                <w:sz w:val="18"/>
                <w:szCs w:val="18"/>
                <w:color w:val="auto"/>
                <w:w w:val="91"/>
              </w:rPr>
              <w:t>/s/ Jack Ball</w:t>
            </w:r>
          </w:p>
        </w:tc>
        <w:tc>
          <w:tcPr>
            <w:tcW w:w="12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March 17, 2022</w:t>
            </w:r>
          </w:p>
        </w:tc>
        <w:tc>
          <w:tcPr>
            <w:tcW w:w="0" w:type="dxa"/>
            <w:vAlign w:val="bottom"/>
          </w:tcPr>
          <w:p>
            <w:pPr>
              <w:spacing w:after="0"/>
              <w:rPr>
                <w:sz w:val="1"/>
                <w:szCs w:val="1"/>
                <w:color w:val="auto"/>
              </w:rPr>
            </w:pPr>
          </w:p>
        </w:tc>
      </w:tr>
      <w:tr>
        <w:trPr>
          <w:trHeight w:val="148"/>
        </w:trPr>
        <w:tc>
          <w:tcPr>
            <w:tcW w:w="3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80" w:type="dxa"/>
            <w:vAlign w:val="bottom"/>
          </w:tcPr>
          <w:p>
            <w:pPr>
              <w:jc w:val="center"/>
              <w:spacing w:after="0"/>
              <w:rPr>
                <w:sz w:val="20"/>
                <w:szCs w:val="20"/>
                <w:color w:val="auto"/>
              </w:rPr>
            </w:pPr>
            <w:r>
              <w:rPr>
                <w:rFonts w:ascii="Arial" w:cs="Arial" w:eastAsia="Arial" w:hAnsi="Arial"/>
                <w:sz w:val="14"/>
                <w:szCs w:val="14"/>
                <w:color w:val="auto"/>
                <w:w w:val="96"/>
              </w:rPr>
              <w:t>Jack Ball</w:t>
            </w:r>
          </w:p>
        </w:tc>
        <w:tc>
          <w:tcPr>
            <w:tcW w:w="1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680" w:type="dxa"/>
            <w:vAlign w:val="bottom"/>
          </w:tcPr>
          <w:p>
            <w:pPr>
              <w:jc w:val="center"/>
              <w:spacing w:after="0"/>
              <w:rPr>
                <w:sz w:val="20"/>
                <w:szCs w:val="20"/>
                <w:color w:val="auto"/>
              </w:rPr>
            </w:pPr>
            <w:r>
              <w:rPr>
                <w:rFonts w:ascii="Arial" w:cs="Arial" w:eastAsia="Arial" w:hAnsi="Arial"/>
                <w:sz w:val="18"/>
                <w:szCs w:val="18"/>
                <w:color w:val="auto"/>
                <w:w w:val="87"/>
              </w:rPr>
              <w:t>/s/ Tess Cameron</w:t>
            </w:r>
          </w:p>
        </w:tc>
        <w:tc>
          <w:tcPr>
            <w:tcW w:w="12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March 17, 2022</w:t>
            </w:r>
          </w:p>
        </w:tc>
        <w:tc>
          <w:tcPr>
            <w:tcW w:w="0" w:type="dxa"/>
            <w:vAlign w:val="bottom"/>
          </w:tcPr>
          <w:p>
            <w:pPr>
              <w:spacing w:after="0"/>
              <w:rPr>
                <w:sz w:val="1"/>
                <w:szCs w:val="1"/>
                <w:color w:val="auto"/>
              </w:rPr>
            </w:pPr>
          </w:p>
        </w:tc>
      </w:tr>
      <w:tr>
        <w:trPr>
          <w:trHeight w:val="148"/>
        </w:trPr>
        <w:tc>
          <w:tcPr>
            <w:tcW w:w="3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80" w:type="dxa"/>
            <w:vAlign w:val="bottom"/>
          </w:tcPr>
          <w:p>
            <w:pPr>
              <w:jc w:val="center"/>
              <w:spacing w:after="0"/>
              <w:rPr>
                <w:sz w:val="20"/>
                <w:szCs w:val="20"/>
                <w:color w:val="auto"/>
              </w:rPr>
            </w:pPr>
            <w:r>
              <w:rPr>
                <w:rFonts w:ascii="Arial" w:cs="Arial" w:eastAsia="Arial" w:hAnsi="Arial"/>
                <w:sz w:val="14"/>
                <w:szCs w:val="14"/>
                <w:color w:val="auto"/>
                <w:w w:val="89"/>
              </w:rPr>
              <w:t>Tess Cameron</w:t>
            </w:r>
          </w:p>
        </w:tc>
        <w:tc>
          <w:tcPr>
            <w:tcW w:w="1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680" w:type="dxa"/>
            <w:vAlign w:val="bottom"/>
          </w:tcPr>
          <w:p>
            <w:pPr>
              <w:jc w:val="center"/>
              <w:spacing w:after="0"/>
              <w:rPr>
                <w:sz w:val="20"/>
                <w:szCs w:val="20"/>
                <w:color w:val="auto"/>
              </w:rPr>
            </w:pPr>
            <w:r>
              <w:rPr>
                <w:rFonts w:ascii="Arial" w:cs="Arial" w:eastAsia="Arial" w:hAnsi="Arial"/>
                <w:sz w:val="18"/>
                <w:szCs w:val="18"/>
                <w:color w:val="auto"/>
                <w:w w:val="88"/>
              </w:rPr>
              <w:t>/s/ Feng Deng</w:t>
            </w:r>
          </w:p>
        </w:tc>
        <w:tc>
          <w:tcPr>
            <w:tcW w:w="12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March 17, 2022</w:t>
            </w:r>
          </w:p>
        </w:tc>
        <w:tc>
          <w:tcPr>
            <w:tcW w:w="0" w:type="dxa"/>
            <w:vAlign w:val="bottom"/>
          </w:tcPr>
          <w:p>
            <w:pPr>
              <w:spacing w:after="0"/>
              <w:rPr>
                <w:sz w:val="1"/>
                <w:szCs w:val="1"/>
                <w:color w:val="auto"/>
              </w:rPr>
            </w:pPr>
          </w:p>
        </w:tc>
      </w:tr>
      <w:tr>
        <w:trPr>
          <w:trHeight w:val="148"/>
        </w:trPr>
        <w:tc>
          <w:tcPr>
            <w:tcW w:w="3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80" w:type="dxa"/>
            <w:vAlign w:val="bottom"/>
          </w:tcPr>
          <w:p>
            <w:pPr>
              <w:jc w:val="center"/>
              <w:ind w:right="20"/>
              <w:spacing w:after="0"/>
              <w:rPr>
                <w:sz w:val="20"/>
                <w:szCs w:val="20"/>
                <w:color w:val="auto"/>
              </w:rPr>
            </w:pPr>
            <w:r>
              <w:rPr>
                <w:rFonts w:ascii="Arial" w:cs="Arial" w:eastAsia="Arial" w:hAnsi="Arial"/>
                <w:sz w:val="14"/>
                <w:szCs w:val="14"/>
                <w:color w:val="auto"/>
                <w:w w:val="89"/>
              </w:rPr>
              <w:t>Feng Deng</w:t>
            </w:r>
          </w:p>
        </w:tc>
        <w:tc>
          <w:tcPr>
            <w:tcW w:w="1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680" w:type="dxa"/>
            <w:vAlign w:val="bottom"/>
          </w:tcPr>
          <w:p>
            <w:pPr>
              <w:jc w:val="center"/>
              <w:spacing w:after="0"/>
              <w:rPr>
                <w:sz w:val="20"/>
                <w:szCs w:val="20"/>
                <w:color w:val="auto"/>
              </w:rPr>
            </w:pPr>
            <w:r>
              <w:rPr>
                <w:rFonts w:ascii="Arial" w:cs="Arial" w:eastAsia="Arial" w:hAnsi="Arial"/>
                <w:sz w:val="18"/>
                <w:szCs w:val="18"/>
                <w:color w:val="auto"/>
                <w:w w:val="92"/>
              </w:rPr>
              <w:t>/s/ Gisele Dion</w:t>
            </w:r>
          </w:p>
        </w:tc>
        <w:tc>
          <w:tcPr>
            <w:tcW w:w="12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March 17, 2022</w:t>
            </w:r>
          </w:p>
        </w:tc>
        <w:tc>
          <w:tcPr>
            <w:tcW w:w="0" w:type="dxa"/>
            <w:vAlign w:val="bottom"/>
          </w:tcPr>
          <w:p>
            <w:pPr>
              <w:spacing w:after="0"/>
              <w:rPr>
                <w:sz w:val="1"/>
                <w:szCs w:val="1"/>
                <w:color w:val="auto"/>
              </w:rPr>
            </w:pPr>
          </w:p>
        </w:tc>
      </w:tr>
      <w:tr>
        <w:trPr>
          <w:trHeight w:val="148"/>
        </w:trPr>
        <w:tc>
          <w:tcPr>
            <w:tcW w:w="3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80" w:type="dxa"/>
            <w:vAlign w:val="bottom"/>
          </w:tcPr>
          <w:p>
            <w:pPr>
              <w:jc w:val="center"/>
              <w:spacing w:after="0"/>
              <w:rPr>
                <w:sz w:val="20"/>
                <w:szCs w:val="20"/>
                <w:color w:val="auto"/>
              </w:rPr>
            </w:pPr>
            <w:r>
              <w:rPr>
                <w:rFonts w:ascii="Arial" w:cs="Arial" w:eastAsia="Arial" w:hAnsi="Arial"/>
                <w:sz w:val="14"/>
                <w:szCs w:val="14"/>
                <w:color w:val="auto"/>
                <w:w w:val="96"/>
              </w:rPr>
              <w:t>Gisele Dion</w:t>
            </w:r>
          </w:p>
        </w:tc>
        <w:tc>
          <w:tcPr>
            <w:tcW w:w="1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680" w:type="dxa"/>
            <w:vAlign w:val="bottom"/>
          </w:tcPr>
          <w:p>
            <w:pPr>
              <w:jc w:val="center"/>
              <w:spacing w:after="0"/>
              <w:rPr>
                <w:sz w:val="20"/>
                <w:szCs w:val="20"/>
                <w:color w:val="auto"/>
              </w:rPr>
            </w:pPr>
            <w:r>
              <w:rPr>
                <w:rFonts w:ascii="Arial" w:cs="Arial" w:eastAsia="Arial" w:hAnsi="Arial"/>
                <w:sz w:val="18"/>
                <w:szCs w:val="18"/>
                <w:color w:val="auto"/>
                <w:w w:val="90"/>
              </w:rPr>
              <w:t>/s/ Vera Imper</w:t>
            </w:r>
          </w:p>
        </w:tc>
        <w:tc>
          <w:tcPr>
            <w:tcW w:w="12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March 17, 2022</w:t>
            </w:r>
          </w:p>
        </w:tc>
        <w:tc>
          <w:tcPr>
            <w:tcW w:w="0" w:type="dxa"/>
            <w:vAlign w:val="bottom"/>
          </w:tcPr>
          <w:p>
            <w:pPr>
              <w:spacing w:after="0"/>
              <w:rPr>
                <w:sz w:val="1"/>
                <w:szCs w:val="1"/>
                <w:color w:val="auto"/>
              </w:rPr>
            </w:pPr>
          </w:p>
        </w:tc>
      </w:tr>
      <w:tr>
        <w:trPr>
          <w:trHeight w:val="148"/>
        </w:trPr>
        <w:tc>
          <w:tcPr>
            <w:tcW w:w="3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80" w:type="dxa"/>
            <w:vAlign w:val="bottom"/>
          </w:tcPr>
          <w:p>
            <w:pPr>
              <w:jc w:val="center"/>
              <w:spacing w:after="0"/>
              <w:rPr>
                <w:sz w:val="20"/>
                <w:szCs w:val="20"/>
                <w:color w:val="auto"/>
              </w:rPr>
            </w:pPr>
            <w:r>
              <w:rPr>
                <w:rFonts w:ascii="Arial" w:cs="Arial" w:eastAsia="Arial" w:hAnsi="Arial"/>
                <w:sz w:val="14"/>
                <w:szCs w:val="14"/>
                <w:color w:val="auto"/>
                <w:w w:val="92"/>
              </w:rPr>
              <w:t>Vera Imper, Ph.D.</w:t>
            </w:r>
          </w:p>
        </w:tc>
        <w:tc>
          <w:tcPr>
            <w:tcW w:w="1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4.3</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THE REGISTRANT’S SECURITIES</w:t>
      </w:r>
    </w:p>
    <w:p>
      <w:pPr>
        <w:jc w:val="center"/>
        <w:ind w:right="40"/>
        <w:spacing w:after="0" w:line="234" w:lineRule="auto"/>
        <w:rPr>
          <w:sz w:val="20"/>
          <w:szCs w:val="20"/>
          <w:color w:val="auto"/>
        </w:rPr>
      </w:pPr>
      <w:r>
        <w:rPr>
          <w:rFonts w:ascii="Arial" w:cs="Arial" w:eastAsia="Arial" w:hAnsi="Arial"/>
          <w:sz w:val="18"/>
          <w:szCs w:val="18"/>
          <w:b w:val="1"/>
          <w:bCs w:val="1"/>
          <w:color w:val="auto"/>
        </w:rPr>
        <w:t>REGISTERED PURSUANT TO SECTION 12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196" w:lineRule="exact"/>
        <w:rPr>
          <w:sz w:val="20"/>
          <w:szCs w:val="20"/>
          <w:color w:val="auto"/>
        </w:rPr>
      </w:pPr>
    </w:p>
    <w:p>
      <w:pPr>
        <w:ind w:right="360"/>
        <w:spacing w:after="0" w:line="276" w:lineRule="auto"/>
        <w:rPr>
          <w:sz w:val="20"/>
          <w:szCs w:val="20"/>
          <w:color w:val="auto"/>
        </w:rPr>
      </w:pPr>
      <w:r>
        <w:rPr>
          <w:rFonts w:ascii="Arial" w:cs="Arial" w:eastAsia="Arial" w:hAnsi="Arial"/>
          <w:sz w:val="16"/>
          <w:szCs w:val="16"/>
          <w:color w:val="auto"/>
        </w:rPr>
        <w:t>The following is a description of the common stock, $0.001 par value per share (“common stock”) of Cytek Biosciences, Inc. (the “Company,” “we,” “our,” or “us”), which is the only security of the Company registered pursuant to Section 12 of the Securities Exchange Act of 1934, as amended (the “Exchange Act”). The following summary description is based on the provisions of our Amended and Restated Certificate of Incorporation (the “Certificate of Incorporation”), our Amended and Restated Bylaws (the “Bylaws”), and the applicable provisions of the Delaware General Corporation Law (the “DGCL”). This information may not be complete in all respects and is qualified entirely by reference to the provisions of our Certificate of Incorporation and our Bylaws, which are filed as exhibits to our Annual Report on Form 10-K of which this exhibit is a part.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Our Certificate of Incorporation authorizes us to issue up to 1,000,000,000 shares of common stock, $0.001 par value per share, and 10,000,000 shares of preferred stock, par value $0.001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04" w:lineRule="exact"/>
        <w:rPr>
          <w:sz w:val="20"/>
          <w:szCs w:val="20"/>
          <w:color w:val="auto"/>
        </w:rPr>
      </w:pPr>
    </w:p>
    <w:p>
      <w:pPr>
        <w:jc w:val="both"/>
        <w:ind w:right="220" w:firstLine="509"/>
        <w:spacing w:after="0" w:line="270" w:lineRule="auto"/>
        <w:rPr>
          <w:sz w:val="20"/>
          <w:szCs w:val="20"/>
          <w:color w:val="auto"/>
        </w:rPr>
      </w:pPr>
      <w:r>
        <w:rPr>
          <w:rFonts w:ascii="Arial" w:cs="Arial" w:eastAsia="Arial" w:hAnsi="Arial"/>
          <w:sz w:val="17"/>
          <w:szCs w:val="17"/>
          <w:color w:val="auto"/>
        </w:rPr>
        <w:t>Each holder of common stock is entitled to one vote for each share on all matters submitted to a vote of the stockholders, including the election of directors. Under our Certificate of Incorporation, our stockholders do not have cumulative voting rights. Because of this, the holders of a majority of the shares of common stock entitled to vote in any election of directors can elect all of the directors standing for election.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104" w:lineRule="exact"/>
        <w:rPr>
          <w:sz w:val="20"/>
          <w:szCs w:val="20"/>
          <w:color w:val="auto"/>
        </w:rPr>
      </w:pPr>
    </w:p>
    <w:p>
      <w:pPr>
        <w:ind w:right="400" w:firstLine="509"/>
        <w:spacing w:after="0" w:line="248" w:lineRule="auto"/>
        <w:rPr>
          <w:sz w:val="20"/>
          <w:szCs w:val="20"/>
          <w:color w:val="auto"/>
        </w:rPr>
      </w:pPr>
      <w:r>
        <w:rPr>
          <w:rFonts w:ascii="Arial" w:cs="Arial" w:eastAsia="Arial" w:hAnsi="Arial"/>
          <w:sz w:val="18"/>
          <w:szCs w:val="18"/>
          <w:color w:val="auto"/>
        </w:rPr>
        <w:t>Subject to preferences that may apply to any then-outstanding preferred stock, the holders of common stock are entitled to receive ratably those dividends, if any, as may be declared from time to time by the board of directors out of legally available funds. We do not anticipate paying any cash dividends in the foreseeable future.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04"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or Similar Rights</w:t>
      </w:r>
    </w:p>
    <w:p>
      <w:pPr>
        <w:spacing w:after="0" w:line="104" w:lineRule="exact"/>
        <w:rPr>
          <w:sz w:val="20"/>
          <w:szCs w:val="20"/>
          <w:color w:val="auto"/>
        </w:rPr>
      </w:pPr>
    </w:p>
    <w:p>
      <w:pPr>
        <w:jc w:val="both"/>
        <w:ind w:right="140" w:firstLine="509"/>
        <w:spacing w:after="0" w:line="248" w:lineRule="auto"/>
        <w:rPr>
          <w:sz w:val="20"/>
          <w:szCs w:val="20"/>
          <w:color w:val="auto"/>
        </w:rPr>
      </w:pPr>
      <w:r>
        <w:rPr>
          <w:rFonts w:ascii="Arial" w:cs="Arial" w:eastAsia="Arial" w:hAnsi="Arial"/>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08"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Under our Certificate of Incorporation, our board of directors may, without further action by our stockholders, fix the rights, preferences, privileges and restrictions of any or all of the 10,000,000 shares of preferred stock authorized in one or more series and authorize their issuance. These rights, preferences, privileges and restrictions could include dividend rights, conversion rights, voting rights, terms of redemption, liquidation preferences and the number of shares constituting any series or the designation of such series, any or all of which may be greater than the rights of common stock. Any issuance of preferred stock could adversely affect the voting power of holders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9" w:name="page110"/>
    <w:bookmarkEnd w:id="109"/>
    <w:p>
      <w:pPr>
        <w:ind w:right="80"/>
        <w:spacing w:after="0" w:line="264" w:lineRule="auto"/>
        <w:rPr>
          <w:sz w:val="20"/>
          <w:szCs w:val="20"/>
          <w:color w:val="auto"/>
        </w:rPr>
      </w:pPr>
      <w:r>
        <w:rPr>
          <w:rFonts w:ascii="Arial" w:cs="Arial" w:eastAsia="Arial" w:hAnsi="Arial"/>
          <w:sz w:val="17"/>
          <w:szCs w:val="17"/>
          <w:color w:val="auto"/>
        </w:rPr>
        <w:t>common stock and the likelihood that such holders would receive dividend payments and payments on liquidation. In addition, the issuance of preferred stock could have the effect of delaying, deterring or preventing a change of control or other corporate action. As of December 31, 2021, we have no shares of preferred stock issued and outstanding. We have no present plans to issue any shares of preferred stock. For a complete description of the terms and provisions of the Company’s preferred stock refer to our Certificate of Incorporation and our Bylaws</w:t>
      </w:r>
      <w:r>
        <w:rPr>
          <w:rFonts w:ascii="Arial" w:cs="Arial" w:eastAsia="Arial" w:hAnsi="Arial"/>
          <w:sz w:val="18"/>
          <w:szCs w:val="18"/>
          <w:color w:val="auto"/>
        </w:rPr>
        <w: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0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We are subject to Section 203 of DGCL, which generally prohibits a publicly held Delaware corporation from engaging in any business combination with any interested stockholder for a period of three years after the date that such stockholder became an interested stockholder, with the following exceptions:</w:t>
      </w:r>
    </w:p>
    <w:p>
      <w:pPr>
        <w:spacing w:after="0" w:line="168" w:lineRule="exact"/>
        <w:rPr>
          <w:sz w:val="20"/>
          <w:szCs w:val="20"/>
          <w:color w:val="auto"/>
        </w:rPr>
      </w:pPr>
    </w:p>
    <w:p>
      <w:pPr>
        <w:ind w:left="1040" w:right="340" w:hanging="560"/>
        <w:spacing w:after="0" w:line="235"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75" w:lineRule="exact"/>
        <w:rPr>
          <w:rFonts w:ascii="Arial" w:cs="Arial" w:eastAsia="Arial" w:hAnsi="Arial"/>
          <w:sz w:val="18"/>
          <w:szCs w:val="18"/>
          <w:color w:val="auto"/>
        </w:rPr>
      </w:pPr>
    </w:p>
    <w:p>
      <w:pPr>
        <w:ind w:left="1040" w:right="180" w:hanging="560"/>
        <w:spacing w:after="0" w:line="235"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w:t>
      </w:r>
    </w:p>
    <w:p>
      <w:pPr>
        <w:spacing w:after="0" w:line="175" w:lineRule="exact"/>
        <w:rPr>
          <w:rFonts w:ascii="Arial" w:cs="Arial" w:eastAsia="Arial" w:hAnsi="Arial"/>
          <w:sz w:val="18"/>
          <w:szCs w:val="18"/>
          <w:color w:val="auto"/>
        </w:rPr>
      </w:pPr>
    </w:p>
    <w:p>
      <w:pPr>
        <w:ind w:left="1040" w:right="180" w:hanging="560"/>
        <w:spacing w:after="0" w:line="219"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outstanding at the time the transaction began, excluding for purposes 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176" w:lineRule="exact"/>
        <w:rPr>
          <w:rFonts w:ascii="Arial" w:cs="Arial" w:eastAsia="Arial" w:hAnsi="Arial"/>
          <w:sz w:val="18"/>
          <w:szCs w:val="18"/>
          <w:color w:val="auto"/>
        </w:rPr>
      </w:pPr>
    </w:p>
    <w:p>
      <w:pPr>
        <w:ind w:left="1040" w:right="100" w:hanging="560"/>
        <w:spacing w:after="0" w:line="224"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66-2/3% of the outstanding voting stock that is not owned by the interested stockholder.</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198" w:lineRule="exact"/>
        <w:rPr>
          <w:sz w:val="20"/>
          <w:szCs w:val="20"/>
          <w:color w:val="auto"/>
        </w:rPr>
      </w:pPr>
    </w:p>
    <w:p>
      <w:pPr>
        <w:ind w:left="1040" w:hanging="560"/>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385" w:lineRule="exact"/>
        <w:rPr>
          <w:rFonts w:ascii="Arial" w:cs="Arial" w:eastAsia="Arial" w:hAnsi="Arial"/>
          <w:sz w:val="17"/>
          <w:szCs w:val="17"/>
          <w:color w:val="auto"/>
        </w:rPr>
      </w:pPr>
    </w:p>
    <w:p>
      <w:pPr>
        <w:ind w:left="1040" w:right="160" w:hanging="560"/>
        <w:spacing w:after="0" w:line="235"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75" w:lineRule="exact"/>
        <w:rPr>
          <w:rFonts w:ascii="Arial" w:cs="Arial" w:eastAsia="Arial" w:hAnsi="Arial"/>
          <w:sz w:val="18"/>
          <w:szCs w:val="18"/>
          <w:color w:val="auto"/>
        </w:rPr>
      </w:pPr>
    </w:p>
    <w:p>
      <w:pPr>
        <w:ind w:left="1040" w:right="340" w:hanging="560"/>
        <w:spacing w:after="0" w:line="235"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75" w:lineRule="exact"/>
        <w:rPr>
          <w:rFonts w:ascii="Arial" w:cs="Arial" w:eastAsia="Arial" w:hAnsi="Arial"/>
          <w:sz w:val="18"/>
          <w:szCs w:val="18"/>
          <w:color w:val="auto"/>
        </w:rPr>
      </w:pPr>
    </w:p>
    <w:p>
      <w:pPr>
        <w:ind w:left="1040" w:right="220" w:hanging="560"/>
        <w:spacing w:after="0" w:line="235"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89"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8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Among other things, our Certificate of Incorporation and our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10" w:name="page111"/>
    <w:bookmarkEnd w:id="110"/>
    <w:p>
      <w:pPr>
        <w:ind w:left="1040" w:right="400" w:hanging="560"/>
        <w:spacing w:after="0" w:line="235"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permit our board of directors to issue up to 10,000,000 shares of preferred stock, with any rights, preferences and privileges as they may designate, including the right to approve an acquisition or other change of control;</w:t>
      </w:r>
    </w:p>
    <w:p>
      <w:pPr>
        <w:spacing w:after="0" w:line="175" w:lineRule="exact"/>
        <w:rPr>
          <w:rFonts w:ascii="Arial" w:cs="Arial" w:eastAsia="Arial" w:hAnsi="Arial"/>
          <w:sz w:val="18"/>
          <w:szCs w:val="18"/>
          <w:color w:val="auto"/>
        </w:rPr>
      </w:pPr>
    </w:p>
    <w:p>
      <w:pPr>
        <w:ind w:left="1040" w:hanging="560"/>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our board of directors;</w:t>
      </w:r>
    </w:p>
    <w:p>
      <w:pPr>
        <w:spacing w:after="0" w:line="373" w:lineRule="exact"/>
        <w:rPr>
          <w:rFonts w:ascii="Arial" w:cs="Arial" w:eastAsia="Arial" w:hAnsi="Arial"/>
          <w:sz w:val="18"/>
          <w:szCs w:val="18"/>
          <w:color w:val="auto"/>
        </w:rPr>
      </w:pPr>
    </w:p>
    <w:p>
      <w:pPr>
        <w:ind w:left="1040" w:hanging="560"/>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provide that our board of directors is classified into three classes of directors;</w:t>
      </w:r>
    </w:p>
    <w:p>
      <w:pPr>
        <w:spacing w:after="0" w:line="373" w:lineRule="exact"/>
        <w:rPr>
          <w:rFonts w:ascii="Arial" w:cs="Arial" w:eastAsia="Arial" w:hAnsi="Arial"/>
          <w:sz w:val="18"/>
          <w:szCs w:val="18"/>
          <w:color w:val="auto"/>
        </w:rPr>
      </w:pPr>
    </w:p>
    <w:p>
      <w:pPr>
        <w:ind w:left="1040" w:right="120" w:hanging="560"/>
        <w:spacing w:after="0" w:line="224"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provide that, subject to the rights of any series of preferred stock to elect directors, directors may only be removed for cause, which removal may be effected, subject to any limitation imposed by law, by the holders of at least 66 2/3% of the voting power of all of our then-outstanding shares of the capital stock entitled to vote generally at an election of directors;</w:t>
      </w:r>
    </w:p>
    <w:p>
      <w:pPr>
        <w:spacing w:after="0" w:line="176" w:lineRule="exact"/>
        <w:rPr>
          <w:rFonts w:ascii="Arial" w:cs="Arial" w:eastAsia="Arial" w:hAnsi="Arial"/>
          <w:sz w:val="18"/>
          <w:szCs w:val="18"/>
          <w:color w:val="auto"/>
        </w:rPr>
      </w:pPr>
    </w:p>
    <w:p>
      <w:pPr>
        <w:ind w:left="1040" w:right="240" w:hanging="560"/>
        <w:spacing w:after="0" w:line="224"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unless the board of directors determines by resolution that any such vacancies or newly created directorships shall be filled by the stockholders and except as otherwise required by law, be filled by the affirmative vote of a majority of directors then in office, even if less than a quorum;</w:t>
      </w:r>
    </w:p>
    <w:p>
      <w:pPr>
        <w:spacing w:after="0" w:line="176" w:lineRule="exact"/>
        <w:rPr>
          <w:rFonts w:ascii="Arial" w:cs="Arial" w:eastAsia="Arial" w:hAnsi="Arial"/>
          <w:sz w:val="18"/>
          <w:szCs w:val="18"/>
          <w:color w:val="auto"/>
        </w:rPr>
      </w:pPr>
    </w:p>
    <w:p>
      <w:pPr>
        <w:ind w:left="1040" w:right="100" w:hanging="560"/>
        <w:spacing w:after="0" w:line="235"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 or electronic transmission;</w:t>
      </w:r>
    </w:p>
    <w:p>
      <w:pPr>
        <w:spacing w:after="0" w:line="175" w:lineRule="exact"/>
        <w:rPr>
          <w:rFonts w:ascii="Arial" w:cs="Arial" w:eastAsia="Arial" w:hAnsi="Arial"/>
          <w:sz w:val="18"/>
          <w:szCs w:val="18"/>
          <w:color w:val="auto"/>
        </w:rPr>
      </w:pPr>
    </w:p>
    <w:p>
      <w:pPr>
        <w:ind w:left="1040" w:right="100" w:hanging="560"/>
        <w:spacing w:after="0" w:line="224"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76" w:lineRule="exact"/>
        <w:rPr>
          <w:rFonts w:ascii="Arial" w:cs="Arial" w:eastAsia="Arial" w:hAnsi="Arial"/>
          <w:sz w:val="18"/>
          <w:szCs w:val="18"/>
          <w:color w:val="auto"/>
        </w:rPr>
      </w:pPr>
    </w:p>
    <w:p>
      <w:pPr>
        <w:ind w:left="1040" w:right="100" w:hanging="560"/>
        <w:spacing w:after="0" w:line="258" w:lineRule="auto"/>
        <w:tabs>
          <w:tab w:leader="none" w:pos="10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provide that special meetings of our stockholders may be called only by the chairperson of our board of directors, our chief executive officer or by our board of directors pursuant to a resolution adopted by a majority of the total number of authorized directors; and</w:t>
      </w:r>
    </w:p>
    <w:p>
      <w:pPr>
        <w:spacing w:after="0" w:line="160" w:lineRule="exact"/>
        <w:rPr>
          <w:rFonts w:ascii="Arial" w:cs="Arial" w:eastAsia="Arial" w:hAnsi="Arial"/>
          <w:sz w:val="17"/>
          <w:szCs w:val="17"/>
          <w:color w:val="auto"/>
        </w:rPr>
      </w:pPr>
    </w:p>
    <w:p>
      <w:pPr>
        <w:ind w:left="1040" w:right="240" w:hanging="560"/>
        <w:spacing w:after="0" w:line="235"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89"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The amendment of any of these provisions requires approval by the holders of at least 66 2/3% of the voting power of all of our then-outstanding capital stock entitled to vote generally in the election of directors, voting together as a single class.</w:t>
      </w:r>
    </w:p>
    <w:p>
      <w:pPr>
        <w:spacing w:after="0" w:line="171" w:lineRule="exact"/>
        <w:rPr>
          <w:sz w:val="20"/>
          <w:szCs w:val="20"/>
          <w:color w:val="auto"/>
        </w:rPr>
      </w:pPr>
    </w:p>
    <w:p>
      <w:pPr>
        <w:ind w:right="240" w:firstLine="509"/>
        <w:spacing w:after="0" w:line="241" w:lineRule="auto"/>
        <w:rPr>
          <w:sz w:val="20"/>
          <w:szCs w:val="20"/>
          <w:color w:val="auto"/>
        </w:rPr>
      </w:pPr>
      <w:r>
        <w:rPr>
          <w:rFonts w:ascii="Arial" w:cs="Arial" w:eastAsia="Arial" w:hAnsi="Arial"/>
          <w:sz w:val="18"/>
          <w:szCs w:val="18"/>
          <w:color w:val="auto"/>
        </w:rPr>
        <w:t>The combination of these provisions makes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08" w:lineRule="exact"/>
        <w:rPr>
          <w:sz w:val="20"/>
          <w:szCs w:val="20"/>
          <w:color w:val="auto"/>
        </w:rPr>
      </w:pPr>
    </w:p>
    <w:p>
      <w:pPr>
        <w:ind w:right="180" w:firstLine="509"/>
        <w:spacing w:after="0" w:line="274" w:lineRule="auto"/>
        <w:rPr>
          <w:sz w:val="20"/>
          <w:szCs w:val="20"/>
          <w:color w:val="auto"/>
        </w:rPr>
      </w:pPr>
      <w:r>
        <w:rPr>
          <w:rFonts w:ascii="Arial" w:cs="Arial" w:eastAsia="Arial" w:hAnsi="Arial"/>
          <w:sz w:val="16"/>
          <w:szCs w:val="16"/>
          <w:color w:val="auto"/>
        </w:rPr>
        <w:t>Our Certificate of Incorporation and our Bylaws provide that the Court of Chancery of the State of Delaware will be the sole and exclusive forum for the following types of actions or proceedings under Delaware statutory or common law: (i) any derivative action or proceeding brought on our behalf;</w:t>
      </w:r>
    </w:p>
    <w:p>
      <w:pPr>
        <w:spacing w:after="0" w:line="1" w:lineRule="exact"/>
        <w:rPr>
          <w:sz w:val="20"/>
          <w:szCs w:val="20"/>
          <w:color w:val="auto"/>
        </w:rPr>
      </w:pPr>
    </w:p>
    <w:p>
      <w:pPr>
        <w:ind w:right="140" w:firstLine="8"/>
        <w:spacing w:after="0" w:line="243" w:lineRule="auto"/>
        <w:tabs>
          <w:tab w:leader="none" w:pos="26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action or proceeding asserting a claim of breach of a fiduciary duty owed by any of our current or former directors, officers, or other employees to us or our stockholders; (iii) any action or proceeding asserting a claim against us or any of our current or former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1" w:name="page112"/>
    <w:bookmarkEnd w:id="111"/>
    <w:p>
      <w:pPr>
        <w:spacing w:after="0" w:line="269" w:lineRule="auto"/>
        <w:rPr>
          <w:sz w:val="20"/>
          <w:szCs w:val="20"/>
          <w:color w:val="auto"/>
        </w:rPr>
      </w:pPr>
      <w:r>
        <w:rPr>
          <w:rFonts w:ascii="Arial" w:cs="Arial" w:eastAsia="Arial" w:hAnsi="Arial"/>
          <w:sz w:val="16"/>
          <w:szCs w:val="16"/>
          <w:color w:val="auto"/>
        </w:rPr>
        <w:t>directors, officers, or other employees, arising out of or pursuant to any provision of the Delaware General Corporation Law, our Certificate of Incorporation or our Bylaws; (iv) any action or proceeding to interpret, apply, enforce, or determine the validity of our Certificate of Incorporation or our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These provisions would not apply to suits brought to enforce a duty or liability created by the Exchange Act. Furthermore, 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and our Bylaws further provide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and our Bylaws.</w:t>
      </w:r>
    </w:p>
    <w:p>
      <w:pPr>
        <w:spacing w:after="0" w:line="16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Certificate of Incorporation or our Bylaws to be inapplicable or unenforceable in an action, we may incur further significant additional costs associated with resolving such action in other jurisdictions, all of which could seriously harm our business.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Opportunity Doctrine</w:t>
      </w:r>
    </w:p>
    <w:p>
      <w:pPr>
        <w:spacing w:after="0" w:line="10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DGCL permits corporations to adopt provisions renouncing any interest or expectancy in certain opportunities that are presented to the corporation or its officers, directors or stockholders. Our Certificate of Incorporation, to the extent permitted by the DGCL, renounces any expectancy that we have in, or right to be offered an opportunity to participate in, specified business opportunities that are from time to time presented to a member of our board of directors who is not our employee, or any partner, member, director, stockholder, employee or agent of such member, other than who is an employee of the Company. Notwithstanding the foregoing, our Certificate of Incorporation does not renounce our interest in any business opportunity that is expressly offered to a director solely in their capacity as a director.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common stock is listed on the Nasdaq Global Select Market under the symbol “CTKB.”</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16"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agent’s address is 6201 15th Avenue, Brooklyn, NY 11219 and the telephone number is (800) 937-5449.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430530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36" w:right="4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21.1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Cytek Biosciences, Inc.</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Jurisdiction</w:t>
            </w:r>
          </w:p>
        </w:tc>
        <w:tc>
          <w:tcPr>
            <w:tcW w:w="20" w:type="dxa"/>
            <w:vAlign w:val="bottom"/>
          </w:tcPr>
          <w:p>
            <w:pPr>
              <w:spacing w:after="0"/>
              <w:rPr>
                <w:sz w:val="14"/>
                <w:szCs w:val="14"/>
                <w:color w:val="auto"/>
              </w:rPr>
            </w:pPr>
          </w:p>
        </w:tc>
      </w:tr>
      <w:tr>
        <w:trPr>
          <w:trHeight w:val="358"/>
        </w:trPr>
        <w:tc>
          <w:tcPr>
            <w:tcW w:w="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Cytek (Shanghai) BioSciences Co., Ltd.</w:t>
            </w:r>
          </w:p>
        </w:tc>
        <w:tc>
          <w:tcPr>
            <w:tcW w:w="12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Cytek (Wuxi) BioSciences Co. Ltd.</w:t>
            </w:r>
          </w:p>
        </w:tc>
        <w:tc>
          <w:tcPr>
            <w:tcW w:w="12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Cytek (Shanghai) Software Development Technology Co., Ltd.</w:t>
            </w:r>
          </w:p>
        </w:tc>
        <w:tc>
          <w:tcPr>
            <w:tcW w:w="12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Cytek Biosciences B.V.</w:t>
            </w:r>
          </w:p>
        </w:tc>
        <w:tc>
          <w:tcPr>
            <w:tcW w:w="12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Cytek Japan Corporation</w:t>
            </w:r>
          </w:p>
        </w:tc>
        <w:tc>
          <w:tcPr>
            <w:tcW w:w="12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24"/>
                <w:szCs w:val="24"/>
                <w:color w:val="auto"/>
              </w:rPr>
            </w:pPr>
          </w:p>
        </w:tc>
      </w:tr>
      <w:tr>
        <w:trPr>
          <w:trHeight w:val="520"/>
        </w:trPr>
        <w:tc>
          <w:tcPr>
            <w:tcW w:w="2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23.1</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2"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color w:val="auto"/>
        </w:rPr>
        <w:t>We consent to the incorporation by reference in Registration Statement No. 333-258153 on Form S-8 of our report dated March 17, 2022, relating to the financial statements of Cytek Biosciences, Inc. appearing in this Annual Report on Form 10-K for the year ended December 31, 2021.</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31.1</w:t>
      </w:r>
    </w:p>
    <w:p>
      <w:pPr>
        <w:spacing w:after="0" w:line="1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ind w:left="2080"/>
        <w:spacing w:after="0" w:line="234"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ind w:left="2000"/>
        <w:spacing w:after="0" w:line="235" w:lineRule="auto"/>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5" w:lineRule="auto"/>
        <w:rPr>
          <w:sz w:val="20"/>
          <w:szCs w:val="20"/>
          <w:color w:val="auto"/>
        </w:rPr>
      </w:pPr>
      <w:r>
        <w:rPr>
          <w:rFonts w:ascii="Arial" w:cs="Arial" w:eastAsia="Arial" w:hAnsi="Arial"/>
          <w:sz w:val="18"/>
          <w:szCs w:val="18"/>
          <w:color w:val="auto"/>
        </w:rPr>
        <w:t>I, Wenbin Jiang, Ph.D., certify that:</w:t>
      </w:r>
    </w:p>
    <w:p>
      <w:pPr>
        <w:ind w:left="180" w:hanging="172"/>
        <w:spacing w:after="0" w:line="235" w:lineRule="auto"/>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Cytek Biosciences, Inc.;</w:t>
      </w:r>
    </w:p>
    <w:p>
      <w:pPr>
        <w:ind w:right="260" w:firstLine="8"/>
        <w:spacing w:after="0" w:line="264" w:lineRule="auto"/>
        <w:tabs>
          <w:tab w:leader="none" w:pos="1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40" w:firstLine="8"/>
        <w:spacing w:after="0" w:line="248" w:lineRule="auto"/>
        <w:tabs>
          <w:tab w:leader="none" w:pos="1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right="20" w:firstLine="8"/>
        <w:spacing w:after="0" w:line="243" w:lineRule="auto"/>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7" w:lineRule="exact"/>
        <w:rPr>
          <w:rFonts w:ascii="Arial" w:cs="Arial" w:eastAsia="Arial" w:hAnsi="Arial"/>
          <w:sz w:val="18"/>
          <w:szCs w:val="18"/>
          <w:color w:val="auto"/>
        </w:rPr>
      </w:pPr>
    </w:p>
    <w:p>
      <w:pPr>
        <w:ind w:left="760" w:right="280" w:hanging="378"/>
        <w:spacing w:after="0" w:line="248" w:lineRule="auto"/>
        <w:tabs>
          <w:tab w:leader="none" w:pos="7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760" w:right="760" w:hanging="378"/>
        <w:spacing w:after="0" w:line="324" w:lineRule="auto"/>
        <w:tabs>
          <w:tab w:leader="none" w:pos="7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760" w:right="280" w:hanging="378"/>
        <w:spacing w:after="0"/>
        <w:tabs>
          <w:tab w:leader="none" w:pos="7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8"/>
          <w:szCs w:val="18"/>
          <w:color w:val="auto"/>
        </w:rPr>
      </w:pPr>
    </w:p>
    <w:p>
      <w:pPr>
        <w:ind w:right="480" w:firstLine="8"/>
        <w:spacing w:after="0" w:line="271" w:lineRule="auto"/>
        <w:tabs>
          <w:tab w:leader="none" w:pos="1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7"/>
          <w:szCs w:val="17"/>
          <w:color w:val="auto"/>
        </w:rPr>
      </w:pPr>
    </w:p>
    <w:p>
      <w:pPr>
        <w:ind w:left="760" w:right="180" w:hanging="378"/>
        <w:spacing w:after="0" w:line="261" w:lineRule="auto"/>
        <w:tabs>
          <w:tab w:leader="none" w:pos="7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60" w:right="140" w:hanging="378"/>
        <w:spacing w:after="0" w:line="261" w:lineRule="auto"/>
        <w:tabs>
          <w:tab w:leader="none" w:pos="7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20"/>
                <w:szCs w:val="20"/>
                <w:color w:val="auto"/>
              </w:rPr>
            </w:pPr>
            <w:r>
              <w:rPr>
                <w:rFonts w:ascii="Arial" w:cs="Arial" w:eastAsia="Arial" w:hAnsi="Arial"/>
                <w:sz w:val="18"/>
                <w:szCs w:val="18"/>
                <w:color w:val="auto"/>
              </w:rPr>
              <w:t>Date: March 17, 2022</w:t>
            </w:r>
          </w:p>
        </w:tc>
        <w:tc>
          <w:tcPr>
            <w:tcW w:w="8300" w:type="dxa"/>
            <w:vAlign w:val="bottom"/>
            <w:gridSpan w:val="3"/>
          </w:tcPr>
          <w:p>
            <w:pPr>
              <w:ind w:left="1340"/>
              <w:spacing w:after="0"/>
              <w:rPr>
                <w:sz w:val="20"/>
                <w:szCs w:val="20"/>
                <w:color w:val="auto"/>
              </w:rPr>
            </w:pPr>
            <w:r>
              <w:rPr>
                <w:rFonts w:ascii="Arial" w:cs="Arial" w:eastAsia="Arial" w:hAnsi="Arial"/>
                <w:sz w:val="18"/>
                <w:szCs w:val="18"/>
                <w:color w:val="auto"/>
              </w:rPr>
              <w:t>By: /s/ Wenbin Jiang, Ph.D.</w:t>
            </w:r>
          </w:p>
        </w:tc>
      </w:tr>
      <w:tr>
        <w:trPr>
          <w:trHeight w:val="20"/>
        </w:trPr>
        <w:tc>
          <w:tcPr>
            <w:tcW w:w="2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5"/>
        </w:trPr>
        <w:tc>
          <w:tcPr>
            <w:tcW w:w="29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640" w:type="dxa"/>
            <w:vAlign w:val="bottom"/>
            <w:gridSpan w:val="2"/>
          </w:tcPr>
          <w:p>
            <w:pPr>
              <w:ind w:left="420"/>
              <w:spacing w:after="0" w:line="195" w:lineRule="exact"/>
              <w:rPr>
                <w:sz w:val="20"/>
                <w:szCs w:val="20"/>
                <w:color w:val="auto"/>
              </w:rPr>
            </w:pPr>
            <w:r>
              <w:rPr>
                <w:rFonts w:ascii="Arial" w:cs="Arial" w:eastAsia="Arial" w:hAnsi="Arial"/>
                <w:sz w:val="18"/>
                <w:szCs w:val="18"/>
                <w:color w:val="auto"/>
              </w:rPr>
              <w:t>Wenbin Jiang, Ph.D.</w:t>
            </w:r>
          </w:p>
        </w:tc>
      </w:tr>
      <w:tr>
        <w:trPr>
          <w:trHeight w:val="203"/>
        </w:trPr>
        <w:tc>
          <w:tcPr>
            <w:tcW w:w="2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64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President and Chief Executive Officer</w:t>
            </w:r>
          </w:p>
        </w:tc>
      </w:tr>
      <w:tr>
        <w:trPr>
          <w:trHeight w:val="230"/>
        </w:trPr>
        <w:tc>
          <w:tcPr>
            <w:tcW w:w="29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640" w:type="dxa"/>
            <w:vAlign w:val="bottom"/>
            <w:gridSpan w:val="2"/>
          </w:tcPr>
          <w:p>
            <w:pPr>
              <w:ind w:left="420"/>
              <w:spacing w:after="0"/>
              <w:rPr>
                <w:sz w:val="20"/>
                <w:szCs w:val="20"/>
                <w:color w:val="auto"/>
              </w:rPr>
            </w:pPr>
            <w:r>
              <w:rPr>
                <w:rFonts w:ascii="Arial" w:cs="Arial" w:eastAsia="Arial" w:hAnsi="Arial"/>
                <w:sz w:val="18"/>
                <w:szCs w:val="18"/>
                <w:color w:val="auto"/>
              </w:rPr>
              <w:t>(Principal Executive Officer)</w:t>
            </w:r>
          </w:p>
        </w:tc>
      </w:tr>
      <w:tr>
        <w:trPr>
          <w:trHeight w:val="304"/>
        </w:trPr>
        <w:tc>
          <w:tcPr>
            <w:tcW w:w="29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31.2</w:t>
      </w:r>
    </w:p>
    <w:p>
      <w:pPr>
        <w:spacing w:after="0" w:line="1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ind w:left="2080"/>
        <w:spacing w:after="0" w:line="234"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ind w:left="2000"/>
        <w:spacing w:after="0" w:line="235" w:lineRule="auto"/>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5" w:lineRule="auto"/>
        <w:rPr>
          <w:sz w:val="20"/>
          <w:szCs w:val="20"/>
          <w:color w:val="auto"/>
        </w:rPr>
      </w:pPr>
      <w:r>
        <w:rPr>
          <w:rFonts w:ascii="Arial" w:cs="Arial" w:eastAsia="Arial" w:hAnsi="Arial"/>
          <w:sz w:val="18"/>
          <w:szCs w:val="18"/>
          <w:color w:val="auto"/>
        </w:rPr>
        <w:t>I, Patrik Jeanmonod, certify that:</w:t>
      </w:r>
    </w:p>
    <w:p>
      <w:pPr>
        <w:ind w:left="180" w:hanging="172"/>
        <w:spacing w:after="0" w:line="235" w:lineRule="auto"/>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Cytek Biosciences, Inc.;</w:t>
      </w:r>
    </w:p>
    <w:p>
      <w:pPr>
        <w:ind w:right="260" w:firstLine="8"/>
        <w:spacing w:after="0" w:line="264" w:lineRule="auto"/>
        <w:tabs>
          <w:tab w:leader="none" w:pos="1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40" w:firstLine="8"/>
        <w:spacing w:after="0" w:line="248" w:lineRule="auto"/>
        <w:tabs>
          <w:tab w:leader="none" w:pos="1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right="20" w:firstLine="8"/>
        <w:spacing w:after="0" w:line="243" w:lineRule="auto"/>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7"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8"/>
          <w:szCs w:val="18"/>
          <w:color w:val="auto"/>
        </w:rPr>
      </w:pPr>
    </w:p>
    <w:p>
      <w:pPr>
        <w:ind w:right="480" w:firstLine="8"/>
        <w:spacing w:after="0" w:line="271" w:lineRule="auto"/>
        <w:tabs>
          <w:tab w:leader="none" w:pos="1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Pr>
          <w:p>
            <w:pPr>
              <w:spacing w:after="0"/>
              <w:rPr>
                <w:sz w:val="20"/>
                <w:szCs w:val="20"/>
                <w:color w:val="auto"/>
              </w:rPr>
            </w:pPr>
            <w:r>
              <w:rPr>
                <w:rFonts w:ascii="Arial" w:cs="Arial" w:eastAsia="Arial" w:hAnsi="Arial"/>
                <w:sz w:val="18"/>
                <w:szCs w:val="18"/>
                <w:color w:val="auto"/>
              </w:rPr>
              <w:t>Date: March 17, 2022</w:t>
            </w:r>
          </w:p>
        </w:tc>
        <w:tc>
          <w:tcPr>
            <w:tcW w:w="1960" w:type="dxa"/>
            <w:vAlign w:val="bottom"/>
          </w:tcPr>
          <w:p>
            <w:pPr>
              <w:ind w:left="1500"/>
              <w:spacing w:after="0"/>
              <w:rPr>
                <w:sz w:val="20"/>
                <w:szCs w:val="20"/>
                <w:color w:val="auto"/>
              </w:rPr>
            </w:pPr>
            <w:r>
              <w:rPr>
                <w:rFonts w:ascii="Arial" w:cs="Arial" w:eastAsia="Arial" w:hAnsi="Arial"/>
                <w:sz w:val="18"/>
                <w:szCs w:val="18"/>
                <w:color w:val="auto"/>
              </w:rPr>
              <w:t>By:</w:t>
            </w:r>
          </w:p>
        </w:tc>
        <w:tc>
          <w:tcPr>
            <w:tcW w:w="6180" w:type="dxa"/>
            <w:vAlign w:val="bottom"/>
            <w:gridSpan w:val="3"/>
          </w:tcPr>
          <w:p>
            <w:pPr>
              <w:ind w:left="200"/>
              <w:spacing w:after="0"/>
              <w:rPr>
                <w:sz w:val="20"/>
                <w:szCs w:val="20"/>
                <w:color w:val="auto"/>
              </w:rPr>
            </w:pPr>
            <w:r>
              <w:rPr>
                <w:rFonts w:ascii="Arial" w:cs="Arial" w:eastAsia="Arial" w:hAnsi="Arial"/>
                <w:sz w:val="18"/>
                <w:szCs w:val="18"/>
                <w:color w:val="auto"/>
              </w:rPr>
              <w:t>/s/ Patrik Jeanmonod</w:t>
            </w:r>
          </w:p>
        </w:tc>
      </w:tr>
      <w:tr>
        <w:trPr>
          <w:trHeight w:val="195"/>
        </w:trPr>
        <w:tc>
          <w:tcPr>
            <w:tcW w:w="3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Patrik Jeanmonod</w:t>
            </w:r>
          </w:p>
        </w:tc>
        <w:tc>
          <w:tcPr>
            <w:tcW w:w="4460" w:type="dxa"/>
            <w:vAlign w:val="bottom"/>
          </w:tcPr>
          <w:p>
            <w:pPr>
              <w:spacing w:after="0"/>
              <w:rPr>
                <w:sz w:val="16"/>
                <w:szCs w:val="16"/>
                <w:color w:val="auto"/>
              </w:rPr>
            </w:pPr>
          </w:p>
        </w:tc>
      </w:tr>
      <w:tr>
        <w:trPr>
          <w:trHeight w:val="203"/>
        </w:trPr>
        <w:tc>
          <w:tcPr>
            <w:tcW w:w="3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Chief Financial Officer</w:t>
            </w:r>
          </w:p>
        </w:tc>
      </w:tr>
      <w:tr>
        <w:trPr>
          <w:trHeight w:val="230"/>
        </w:trPr>
        <w:tc>
          <w:tcPr>
            <w:tcW w:w="3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w:t>
            </w:r>
          </w:p>
        </w:tc>
      </w:tr>
      <w:tr>
        <w:trPr>
          <w:trHeight w:val="506"/>
        </w:trPr>
        <w:tc>
          <w:tcPr>
            <w:tcW w:w="31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32.1</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jc w:val="both"/>
        <w:ind w:firstLine="898"/>
        <w:spacing w:after="0" w:line="243" w:lineRule="auto"/>
        <w:rPr>
          <w:sz w:val="20"/>
          <w:szCs w:val="20"/>
          <w:color w:val="auto"/>
        </w:rPr>
      </w:pPr>
      <w:r>
        <w:rPr>
          <w:rFonts w:ascii="Arial" w:cs="Arial" w:eastAsia="Arial" w:hAnsi="Arial"/>
          <w:sz w:val="18"/>
          <w:szCs w:val="18"/>
          <w:color w:val="auto"/>
        </w:rPr>
        <w:t>In connection with the Annual Report on Form 10-K of Cytek Biosciences, Inc. (the “Company”) for the period ended December 31, 2021 as filed with the Securities and Exchange Commission on the date hereof (the “Report”), the undersigned, Wenbin Jiang, Ph.D., President and Chief Executive Officer of the Company, hereby certifies, pursuant to requirements set forth in Rule 13a-14(b) of the Securities Exchange Act of 1934, as amended (the “Exchange Act”), and 18 U.S.C. Section 1350, that to his knowledge:</w:t>
      </w:r>
    </w:p>
    <w:p>
      <w:pPr>
        <w:spacing w:after="0" w:line="80" w:lineRule="exact"/>
        <w:rPr>
          <w:sz w:val="20"/>
          <w:szCs w:val="20"/>
          <w:color w:val="auto"/>
        </w:rPr>
      </w:pPr>
    </w:p>
    <w:p>
      <w:pPr>
        <w:ind w:left="1020" w:hanging="503"/>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ind w:left="20"/>
              <w:spacing w:after="0"/>
              <w:rPr>
                <w:sz w:val="20"/>
                <w:szCs w:val="20"/>
                <w:color w:val="auto"/>
              </w:rPr>
            </w:pPr>
            <w:r>
              <w:rPr>
                <w:rFonts w:ascii="Arial" w:cs="Arial" w:eastAsia="Arial" w:hAnsi="Arial"/>
                <w:sz w:val="18"/>
                <w:szCs w:val="18"/>
                <w:color w:val="auto"/>
              </w:rPr>
              <w:t>Date: March 17, 2022</w:t>
            </w:r>
          </w:p>
        </w:tc>
        <w:tc>
          <w:tcPr>
            <w:tcW w:w="1860" w:type="dxa"/>
            <w:vAlign w:val="bottom"/>
          </w:tcPr>
          <w:p>
            <w:pPr>
              <w:ind w:left="1220"/>
              <w:spacing w:after="0"/>
              <w:rPr>
                <w:sz w:val="20"/>
                <w:szCs w:val="20"/>
                <w:color w:val="auto"/>
              </w:rPr>
            </w:pPr>
            <w:r>
              <w:rPr>
                <w:rFonts w:ascii="Arial" w:cs="Arial" w:eastAsia="Arial" w:hAnsi="Arial"/>
                <w:sz w:val="18"/>
                <w:szCs w:val="18"/>
                <w:color w:val="auto"/>
              </w:rPr>
              <w:t>By:</w:t>
            </w:r>
          </w:p>
        </w:tc>
        <w:tc>
          <w:tcPr>
            <w:tcW w:w="6540" w:type="dxa"/>
            <w:vAlign w:val="bottom"/>
            <w:gridSpan w:val="2"/>
          </w:tcPr>
          <w:p>
            <w:pPr>
              <w:spacing w:after="0"/>
              <w:rPr>
                <w:sz w:val="20"/>
                <w:szCs w:val="20"/>
                <w:color w:val="auto"/>
              </w:rPr>
            </w:pPr>
            <w:r>
              <w:rPr>
                <w:rFonts w:ascii="Arial" w:cs="Arial" w:eastAsia="Arial" w:hAnsi="Arial"/>
                <w:sz w:val="18"/>
                <w:szCs w:val="18"/>
                <w:color w:val="auto"/>
              </w:rPr>
              <w:t>/s/ Wenbin Jiang, Ph.D.</w:t>
            </w:r>
          </w:p>
        </w:tc>
      </w:tr>
      <w:tr>
        <w:trPr>
          <w:trHeight w:val="195"/>
        </w:trPr>
        <w:tc>
          <w:tcPr>
            <w:tcW w:w="28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700" w:type="dxa"/>
            <w:vAlign w:val="bottom"/>
            <w:tcBorders>
              <w:top w:val="single" w:sz="8" w:color="auto"/>
            </w:tcBorders>
          </w:tcPr>
          <w:p>
            <w:pPr>
              <w:ind w:left="320"/>
              <w:spacing w:after="0" w:line="195" w:lineRule="exact"/>
              <w:rPr>
                <w:sz w:val="20"/>
                <w:szCs w:val="20"/>
                <w:color w:val="auto"/>
              </w:rPr>
            </w:pPr>
            <w:r>
              <w:rPr>
                <w:rFonts w:ascii="Arial" w:cs="Arial" w:eastAsia="Arial" w:hAnsi="Arial"/>
                <w:sz w:val="18"/>
                <w:szCs w:val="18"/>
                <w:color w:val="auto"/>
                <w:w w:val="82"/>
              </w:rPr>
              <w:t>Wenbin Jiang, Ph.D.</w:t>
            </w:r>
          </w:p>
        </w:tc>
        <w:tc>
          <w:tcPr>
            <w:tcW w:w="4840" w:type="dxa"/>
            <w:vAlign w:val="bottom"/>
          </w:tcPr>
          <w:p>
            <w:pPr>
              <w:spacing w:after="0"/>
              <w:rPr>
                <w:sz w:val="16"/>
                <w:szCs w:val="16"/>
                <w:color w:val="auto"/>
              </w:rPr>
            </w:pPr>
          </w:p>
        </w:tc>
      </w:tr>
      <w:tr>
        <w:trPr>
          <w:trHeight w:val="203"/>
        </w:trPr>
        <w:tc>
          <w:tcPr>
            <w:tcW w:w="2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54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President and Chief Executive Officer</w:t>
            </w:r>
          </w:p>
        </w:tc>
      </w:tr>
      <w:tr>
        <w:trPr>
          <w:trHeight w:val="230"/>
        </w:trPr>
        <w:tc>
          <w:tcPr>
            <w:tcW w:w="28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540" w:type="dxa"/>
            <w:vAlign w:val="bottom"/>
            <w:gridSpan w:val="2"/>
          </w:tcPr>
          <w:p>
            <w:pPr>
              <w:ind w:left="320"/>
              <w:spacing w:after="0"/>
              <w:rPr>
                <w:sz w:val="20"/>
                <w:szCs w:val="20"/>
                <w:color w:val="auto"/>
              </w:rPr>
            </w:pPr>
            <w:r>
              <w:rPr>
                <w:rFonts w:ascii="Arial" w:cs="Arial" w:eastAsia="Arial" w:hAnsi="Arial"/>
                <w:sz w:val="18"/>
                <w:szCs w:val="18"/>
                <w:color w:val="auto"/>
              </w:rPr>
              <w:t>(Principal Executive Officer)</w:t>
            </w:r>
          </w:p>
        </w:tc>
      </w:tr>
      <w:tr>
        <w:trPr>
          <w:trHeight w:val="506"/>
        </w:trPr>
        <w:tc>
          <w:tcPr>
            <w:tcW w:w="28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ind w:right="40" w:firstLine="898"/>
        <w:spacing w:after="0" w:line="243" w:lineRule="auto"/>
        <w:rPr>
          <w:sz w:val="20"/>
          <w:szCs w:val="20"/>
          <w:color w:val="auto"/>
        </w:rPr>
      </w:pPr>
      <w:r>
        <w:rPr>
          <w:rFonts w:ascii="Arial" w:cs="Arial" w:eastAsia="Arial" w:hAnsi="Arial"/>
          <w:sz w:val="18"/>
          <w:szCs w:val="18"/>
          <w:color w:val="auto"/>
        </w:rPr>
        <w:t>In connection with the Annual Report on Form 10-K of Cytek Biosciences, Inc. (the “Company”) for the period ended December 31, 2021 as filed with the Securities and Exchange Commission on the date hereof (the “Report”), the undersigned, Patrik Jeanmonod, Chief Financial Officer of the Company, hereby certifies, pursuant to requirements set forth in Rule 13a-14(b) of the Securities Exchange Act of 1934, as amended (the “Exchange Act”), and 18 U.S.C. Section 1350, that to his knowledge:</w:t>
      </w:r>
    </w:p>
    <w:p>
      <w:pPr>
        <w:spacing w:after="0" w:line="80" w:lineRule="exact"/>
        <w:rPr>
          <w:sz w:val="20"/>
          <w:szCs w:val="20"/>
          <w:color w:val="auto"/>
        </w:rPr>
      </w:pPr>
    </w:p>
    <w:p>
      <w:pPr>
        <w:ind w:left="1020" w:hanging="503"/>
        <w:spacing w:after="0"/>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03"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ind w:left="540"/>
              <w:spacing w:after="0"/>
              <w:rPr>
                <w:sz w:val="20"/>
                <w:szCs w:val="20"/>
                <w:color w:val="auto"/>
              </w:rPr>
            </w:pPr>
            <w:r>
              <w:rPr>
                <w:rFonts w:ascii="Arial" w:cs="Arial" w:eastAsia="Arial" w:hAnsi="Arial"/>
                <w:sz w:val="18"/>
                <w:szCs w:val="18"/>
                <w:color w:val="auto"/>
              </w:rPr>
              <w:t>Date:</w:t>
            </w:r>
          </w:p>
        </w:tc>
        <w:tc>
          <w:tcPr>
            <w:tcW w:w="2040" w:type="dxa"/>
            <w:vAlign w:val="bottom"/>
          </w:tcPr>
          <w:p>
            <w:pPr>
              <w:ind w:left="160"/>
              <w:spacing w:after="0"/>
              <w:rPr>
                <w:sz w:val="20"/>
                <w:szCs w:val="20"/>
                <w:color w:val="auto"/>
              </w:rPr>
            </w:pPr>
            <w:r>
              <w:rPr>
                <w:rFonts w:ascii="Arial" w:cs="Arial" w:eastAsia="Arial" w:hAnsi="Arial"/>
                <w:sz w:val="18"/>
                <w:szCs w:val="18"/>
                <w:color w:val="auto"/>
              </w:rPr>
              <w:t>March 17, 2022</w:t>
            </w:r>
          </w:p>
        </w:tc>
        <w:tc>
          <w:tcPr>
            <w:tcW w:w="1160" w:type="dxa"/>
            <w:vAlign w:val="bottom"/>
          </w:tcPr>
          <w:p>
            <w:pPr>
              <w:ind w:left="740"/>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17"/>
                <w:szCs w:val="17"/>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/s/ Patrik Jeanmonod</w:t>
            </w:r>
          </w:p>
        </w:tc>
      </w:tr>
      <w:tr>
        <w:trPr>
          <w:trHeight w:val="195"/>
        </w:trPr>
        <w:tc>
          <w:tcPr>
            <w:tcW w:w="10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Patrik Jeanmonod</w:t>
            </w:r>
          </w:p>
        </w:tc>
        <w:tc>
          <w:tcPr>
            <w:tcW w:w="5240" w:type="dxa"/>
            <w:vAlign w:val="bottom"/>
          </w:tcPr>
          <w:p>
            <w:pPr>
              <w:spacing w:after="0"/>
              <w:rPr>
                <w:sz w:val="16"/>
                <w:szCs w:val="16"/>
                <w:color w:val="auto"/>
              </w:rPr>
            </w:pPr>
          </w:p>
        </w:tc>
      </w:tr>
      <w:tr>
        <w:trPr>
          <w:trHeight w:val="203"/>
        </w:trPr>
        <w:tc>
          <w:tcPr>
            <w:tcW w:w="10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96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Chief Financial Officer</w:t>
            </w:r>
          </w:p>
        </w:tc>
      </w:tr>
      <w:tr>
        <w:trPr>
          <w:trHeight w:val="230"/>
        </w:trPr>
        <w:tc>
          <w:tcPr>
            <w:tcW w:w="10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rPr>
              <w:t>(Principal Financial Officer)</w:t>
            </w:r>
          </w:p>
        </w:tc>
      </w:tr>
      <w:tr>
        <w:trPr>
          <w:trHeight w:val="506"/>
        </w:trPr>
        <w:tc>
          <w:tcPr>
            <w:tcW w:w="10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8" w:name="page119"/>
    <w:bookmarkEnd w:id="1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1)"/>
      <w:numFmt w:val="decimal"/>
      <w:start w:val="877"/>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1)"/>
      <w:numFmt w:val="lowerRoman"/>
      <w:start w:val="3"/>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1."/>
      <w:numFmt w:val="decimal"/>
      <w:start w:val="1"/>
    </w:lvl>
  </w:abstractNum>
  <w:abstractNum w:abstractNumId="35">
    <w:nsid w:val="79A1DEAA"/>
    <w:multiLevelType w:val="hybridMultilevel"/>
    <w:lvl w:ilvl="0">
      <w:lvlJc w:val="left"/>
      <w:lvlText w:val="%1."/>
      <w:numFmt w:val="decimal"/>
      <w:start w:val="2"/>
    </w:lvl>
  </w:abstractNum>
  <w:abstractNum w:abstractNumId="36">
    <w:nsid w:val="75C6C33A"/>
    <w:multiLevelType w:val="hybridMultilevel"/>
    <w:lvl w:ilvl="0">
      <w:lvlJc w:val="left"/>
      <w:lvlText w:val="%1."/>
      <w:numFmt w:val="decimal"/>
      <w:start w:val="3"/>
    </w:lvl>
  </w:abstractNum>
  <w:abstractNum w:abstractNumId="37">
    <w:nsid w:val="12E685FB"/>
    <w:multiLevelType w:val="hybridMultilevel"/>
    <w:lvl w:ilvl="0">
      <w:lvlJc w:val="left"/>
      <w:lvlText w:val="%1."/>
      <w:numFmt w:val="decimal"/>
      <w:start w:val="4"/>
    </w:lvl>
  </w:abstractNum>
  <w:abstractNum w:abstractNumId="38">
    <w:nsid w:val="70C6A529"/>
    <w:multiLevelType w:val="hybridMultilevel"/>
    <w:lvl w:ilvl="0">
      <w:lvlJc w:val="left"/>
      <w:lvlText w:val="%1."/>
      <w:numFmt w:val="decimal"/>
      <w:start w:val="6"/>
    </w:lvl>
  </w:abstractNum>
  <w:abstractNum w:abstractNumId="39">
    <w:nsid w:val="520EEDD1"/>
    <w:multiLevelType w:val="hybridMultilevel"/>
    <w:lvl w:ilvl="0">
      <w:lvlJc w:val="left"/>
      <w:lvlText w:val="%1."/>
      <w:numFmt w:val="decimal"/>
      <w:start w:val="7"/>
    </w:lvl>
  </w:abstractNum>
  <w:abstractNum w:abstractNumId="40">
    <w:nsid w:val="374A3FE6"/>
    <w:multiLevelType w:val="hybridMultilevel"/>
    <w:lvl w:ilvl="0">
      <w:lvlJc w:val="left"/>
      <w:lvlText w:val="%1."/>
      <w:numFmt w:val="decimal"/>
      <w:start w:val="8"/>
    </w:lvl>
  </w:abstractNum>
  <w:abstractNum w:abstractNumId="41">
    <w:nsid w:val="4F4EF005"/>
    <w:multiLevelType w:val="hybridMultilevel"/>
    <w:lvl w:ilvl="0">
      <w:lvlJc w:val="left"/>
      <w:lvlText w:val="%1."/>
      <w:numFmt w:val="decimal"/>
      <w:start w:val="9"/>
    </w:lvl>
  </w:abstractNum>
  <w:abstractNum w:abstractNumId="42">
    <w:nsid w:val="23F9C13C"/>
    <w:multiLevelType w:val="hybridMultilevel"/>
    <w:lvl w:ilvl="0">
      <w:lvlJc w:val="left"/>
      <w:lvlText w:val="%1."/>
      <w:numFmt w:val="decimal"/>
      <w:start w:val="10"/>
    </w:lvl>
  </w:abstractNum>
  <w:abstractNum w:abstractNumId="43">
    <w:nsid w:val="649BB77C"/>
    <w:multiLevelType w:val="hybridMultilevel"/>
    <w:lvl w:ilvl="0">
      <w:lvlJc w:val="left"/>
      <w:lvlText w:val="%1."/>
      <w:numFmt w:val="decimal"/>
      <w:start w:val="11"/>
    </w:lvl>
  </w:abstractNum>
  <w:abstractNum w:abstractNumId="44">
    <w:nsid w:val="275AC794"/>
    <w:multiLevelType w:val="hybridMultilevel"/>
    <w:lvl w:ilvl="0">
      <w:lvlJc w:val="left"/>
      <w:lvlText w:val="%1."/>
      <w:numFmt w:val="decimal"/>
      <w:start w:val="12"/>
    </w:lvl>
  </w:abstractNum>
  <w:abstractNum w:abstractNumId="45">
    <w:nsid w:val="39386575"/>
    <w:multiLevelType w:val="hybridMultilevel"/>
    <w:lvl w:ilvl="0">
      <w:lvlJc w:val="left"/>
      <w:lvlText w:val="%1."/>
      <w:numFmt w:val="decimal"/>
      <w:start w:val="13"/>
    </w:lvl>
  </w:abstractNum>
  <w:abstractNum w:abstractNumId="46">
    <w:nsid w:val="1CF10FD8"/>
    <w:multiLevelType w:val="hybridMultilevel"/>
    <w:lvl w:ilvl="0">
      <w:lvlJc w:val="left"/>
      <w:lvlText w:val="%1."/>
      <w:numFmt w:val="decimal"/>
      <w:start w:val="14"/>
    </w:lvl>
  </w:abstractNum>
  <w:abstractNum w:abstractNumId="47">
    <w:nsid w:val="180115BE"/>
    <w:multiLevelType w:val="hybridMultilevel"/>
    <w:lvl w:ilvl="0">
      <w:lvlJc w:val="left"/>
      <w:lvlText w:val="%1."/>
      <w:numFmt w:val="decimal"/>
      <w:start w:val="15"/>
    </w:lvl>
  </w:abstractNum>
  <w:abstractNum w:abstractNumId="48">
    <w:nsid w:val="235BA861"/>
    <w:multiLevelType w:val="hybridMultilevel"/>
    <w:lvl w:ilvl="0">
      <w:lvlJc w:val="left"/>
      <w:lvlText w:val="%1."/>
      <w:numFmt w:val="decimal"/>
      <w:start w:val="16"/>
    </w:lvl>
  </w:abstractNum>
  <w:abstractNum w:abstractNumId="49">
    <w:nsid w:val="47398C89"/>
    <w:multiLevelType w:val="hybridMultilevel"/>
    <w:lvl w:ilvl="0">
      <w:lvlJc w:val="left"/>
      <w:lvlText w:val="%1."/>
      <w:numFmt w:val="decimal"/>
      <w:start w:val="17"/>
    </w:lvl>
  </w:abstractNum>
  <w:abstractNum w:abstractNumId="50">
    <w:nsid w:val="354FE9F9"/>
    <w:multiLevelType w:val="hybridMultilevel"/>
    <w:lvl w:ilvl="0">
      <w:lvlJc w:val="left"/>
      <w:lvlText w:val="%1."/>
      <w:numFmt w:val="decimal"/>
      <w:start w:val="18"/>
    </w:lvl>
  </w:abstractNum>
  <w:abstractNum w:abstractNumId="51">
    <w:nsid w:val="15B5AF5C"/>
    <w:multiLevelType w:val="hybridMultilevel"/>
    <w:lvl w:ilvl="0">
      <w:lvlJc w:val="left"/>
      <w:lvlText w:val="%1."/>
      <w:numFmt w:val="decimal"/>
      <w:start w:val="19"/>
    </w:lvl>
  </w:abstractNum>
  <w:abstractNum w:abstractNumId="52">
    <w:nsid w:val="741226BB"/>
    <w:multiLevelType w:val="hybridMultilevel"/>
    <w:lvl w:ilvl="0">
      <w:lvlJc w:val="left"/>
      <w:lvlText w:val="%1."/>
      <w:numFmt w:val="decimal"/>
      <w:start w:val="20"/>
    </w:lvl>
  </w:abstractNum>
  <w:abstractNum w:abstractNumId="53">
    <w:nsid w:val="D34B6A8"/>
    <w:multiLevelType w:val="hybridMultilevel"/>
    <w:lvl w:ilvl="0">
      <w:lvlJc w:val="left"/>
      <w:lvlText w:val="%1."/>
      <w:numFmt w:val="decimal"/>
      <w:start w:val="2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1)"/>
      <w:numFmt w:val="lowerLetter"/>
      <w:start w:val="1"/>
    </w:lvl>
    <w:lvl w:ilvl="1">
      <w:lvlJc w:val="left"/>
      <w:lvlText w:val="(%2)"/>
      <w:numFmt w:val="decimal"/>
      <w:start w:val="1"/>
    </w:lvl>
  </w:abstractNum>
  <w:abstractNum w:abstractNumId="56">
    <w:nsid w:val="61574095"/>
    <w:multiLevelType w:val="hybridMultilevel"/>
    <w:lvl w:ilvl="0">
      <w:lvlJc w:val="left"/>
      <w:lvlText w:val="%1"/>
      <w:numFmt w:val="decimal"/>
      <w:start w:val="104"/>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
      <w:numFmt w:val="bullet"/>
      <w:start w:val="1"/>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1)"/>
      <w:numFmt w:val="lowerRoman"/>
      <w:start w:val="2"/>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70" Type="http://schemas.openxmlformats.org/officeDocument/2006/relationships/image" Target="media/image251.png"/><Relationship Id="rId271" Type="http://schemas.openxmlformats.org/officeDocument/2006/relationships/image" Target="media/image252.png"/><Relationship Id="rId278" Type="http://schemas.openxmlformats.org/officeDocument/2006/relationships/image" Target="media/image253.png"/><Relationship Id="rId279" Type="http://schemas.openxmlformats.org/officeDocument/2006/relationships/image" Target="media/image254.png"/><Relationship Id="rId280" Type="http://schemas.openxmlformats.org/officeDocument/2006/relationships/image" Target="media/image255.png"/><Relationship Id="rId281" Type="http://schemas.openxmlformats.org/officeDocument/2006/relationships/image" Target="media/image256.png"/><Relationship Id="rId282" Type="http://schemas.openxmlformats.org/officeDocument/2006/relationships/image" Target="media/image257.png"/><Relationship Id="rId283" Type="http://schemas.openxmlformats.org/officeDocument/2006/relationships/image" Target="media/image258.png"/><Relationship Id="rId284" Type="http://schemas.openxmlformats.org/officeDocument/2006/relationships/image" Target="media/image259.png"/><Relationship Id="rId285" Type="http://schemas.openxmlformats.org/officeDocument/2006/relationships/image" Target="media/image260.png"/><Relationship Id="rId286" Type="http://schemas.openxmlformats.org/officeDocument/2006/relationships/image" Target="media/image261.png"/><Relationship Id="rId287" Type="http://schemas.openxmlformats.org/officeDocument/2006/relationships/image" Target="media/image262.png"/><Relationship Id="rId288" Type="http://schemas.openxmlformats.org/officeDocument/2006/relationships/image" Target="media/image263.png"/><Relationship Id="rId289" Type="http://schemas.openxmlformats.org/officeDocument/2006/relationships/image" Target="media/image264.png"/><Relationship Id="rId290" Type="http://schemas.openxmlformats.org/officeDocument/2006/relationships/image" Target="media/image265.png"/><Relationship Id="rId291" Type="http://schemas.openxmlformats.org/officeDocument/2006/relationships/image" Target="media/image266.png"/><Relationship Id="rId292" Type="http://schemas.openxmlformats.org/officeDocument/2006/relationships/image" Target="media/image267.png"/><Relationship Id="rId293" Type="http://schemas.openxmlformats.org/officeDocument/2006/relationships/image" Target="media/image268.png"/><Relationship Id="rId294" Type="http://schemas.openxmlformats.org/officeDocument/2006/relationships/image" Target="media/image269.png"/><Relationship Id="rId295" Type="http://schemas.openxmlformats.org/officeDocument/2006/relationships/image" Target="media/image270.png"/><Relationship Id="rId296" Type="http://schemas.openxmlformats.org/officeDocument/2006/relationships/image" Target="media/image271.png"/><Relationship Id="rId297" Type="http://schemas.openxmlformats.org/officeDocument/2006/relationships/image" Target="media/image272.png"/><Relationship Id="rId298" Type="http://schemas.openxmlformats.org/officeDocument/2006/relationships/image" Target="media/image273.png"/><Relationship Id="rId258" Type="http://schemas.openxmlformats.org/officeDocument/2006/relationships/hyperlink" Target="https://www.sec.gov/Archives/edgar/data/1831915/000119312521225716/d183956dex31.htm" TargetMode="External"/><Relationship Id="rId259" Type="http://schemas.openxmlformats.org/officeDocument/2006/relationships/hyperlink" Target="https://www.sec.gov/Archives/edgar/data/1831915/000119312521225716/d183956dex32.htm" TargetMode="External"/><Relationship Id="rId260" Type="http://schemas.openxmlformats.org/officeDocument/2006/relationships/hyperlink" Target="https://www.sec.gov/Archives/edgar/data/1831915/000119312521217965/d80783dex41.htm" TargetMode="External"/><Relationship Id="rId261" Type="http://schemas.openxmlformats.org/officeDocument/2006/relationships/hyperlink" Target="https://www.sec.gov/Archives/edgar/data/1831915/000095017021004256/ctkb-ex10_1.htm" TargetMode="External"/><Relationship Id="rId262" Type="http://schemas.openxmlformats.org/officeDocument/2006/relationships/hyperlink" Target="https://www.sec.gov/Archives/edgar/data/1831915/000095017021004256/ctkb-ex10_2.htm" TargetMode="External"/><Relationship Id="rId263" Type="http://schemas.openxmlformats.org/officeDocument/2006/relationships/hyperlink" Target="https://www.sec.gov/Archives/edgar/data/1831915/000119312521207678/d80783dex101.htm" TargetMode="External"/><Relationship Id="rId264" Type="http://schemas.openxmlformats.org/officeDocument/2006/relationships/hyperlink" Target="https://www.sec.gov/Archives/edgar/data/1831915/000119312521207678/d80783dex102.htm" TargetMode="External"/><Relationship Id="rId265" Type="http://schemas.openxmlformats.org/officeDocument/2006/relationships/hyperlink" Target="https://www.sec.gov/Archives/edgar/data/1831915/000119312521207678/d80783dex103.htm" TargetMode="External"/><Relationship Id="rId266" Type="http://schemas.openxmlformats.org/officeDocument/2006/relationships/hyperlink" Target="https://www.sec.gov/Archives/edgar/data/1831915/000119312521217965/d80783dex104.htm" TargetMode="External"/><Relationship Id="rId267" Type="http://schemas.openxmlformats.org/officeDocument/2006/relationships/hyperlink" Target="https://www.sec.gov/Archives/edgar/data/1831915/000119312521217965/d80783dex105.htm" TargetMode="External"/><Relationship Id="rId268" Type="http://schemas.openxmlformats.org/officeDocument/2006/relationships/hyperlink" Target="https://www.sec.gov/Archives/edgar/data/1831915/000119312521217965/d80783dex106.htm" TargetMode="External"/><Relationship Id="rId269" Type="http://schemas.openxmlformats.org/officeDocument/2006/relationships/hyperlink" Target="https://www.sec.gov/Archives/edgar/data/1831915/000119312521217965/d80783dex107.htm" TargetMode="External"/><Relationship Id="rId272" Type="http://schemas.openxmlformats.org/officeDocument/2006/relationships/hyperlink" Target="https://www.sec.gov/Archives/edgar/data/1831915/000119312521207678/d80783dex109.htm" TargetMode="External"/><Relationship Id="rId273" Type="http://schemas.openxmlformats.org/officeDocument/2006/relationships/hyperlink" Target="https://www.sec.gov/Archives/edgar/data/1831915/000119312521217965/d80783dex109.htm" TargetMode="External"/><Relationship Id="rId274" Type="http://schemas.openxmlformats.org/officeDocument/2006/relationships/hyperlink" Target="https://www.sec.gov/Archives/edgar/data/1831915/000119312521207678/d80783dex1011.htm" TargetMode="External"/><Relationship Id="rId275" Type="http://schemas.openxmlformats.org/officeDocument/2006/relationships/hyperlink" Target="https://www.sec.gov/Archives/edgar/data/1831915/000119312521207678/d80783dex1012.htm" TargetMode="External"/><Relationship Id="rId276" Type="http://schemas.openxmlformats.org/officeDocument/2006/relationships/hyperlink" Target="https://www.sec.gov/Archives/edgar/data/1831915/000119312521207678/d80783dex1013.htm" TargetMode="External"/><Relationship Id="rId277" Type="http://schemas.openxmlformats.org/officeDocument/2006/relationships/hyperlink" Target="https://www.sec.gov/Archives/edgar/data/1831915/000119312521207678/d80783dex10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2022-03-17T15:44:48Z</dcterms:created>
  <dcterms:modified xsi:type="dcterms:W3CDTF">2022-03-17T15:44:48Z</dcterms:modified>
</cp:coreProperties>
</file>