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02026_080828.xml.htm"/>
      <w:bookmarkStart w:id="1" w:name="ksform408202026_0808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Holder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CYTEK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47215 LAKEVIEW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Cytek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62,875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 Award")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RSU Award shall vest over 3 years, with 2/36 of the total shares underlying the RSU Award vesting on August 18, 2024; 3/36 of the total shares underlying the RSU Award vesting on November 18, 2024 and each November 18 thereafter; 4/36 of the total shares underlying the RSU Award vesting on March 10, 2025 and each March 10 thereafter; 2/36 of the total shares underlying the RSU Award vesting on May 18, 2025 and each May 18 thereafter; and 3/36 of the total shares underlying the RSU Award vesting on August 18, 2025 and each August 18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Ho,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140" TargetMode="External"/><Relationship Id="rId5" Type="http://schemas.openxmlformats.org/officeDocument/2006/relationships/hyperlink" Target="http://www.sec.gov/cgi-bin/browse-edgar?action=getcompany&amp;CIK=00018319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702</Words>
  <Characters>3719</Characters>
  <CharactersWithSpaces>4341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