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60" w:right="780" w:hanging="434"/>
        <w:spacing w:after="0" w:line="286" w:lineRule="auto"/>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001-40632</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CYTEK BIOSCIENCES,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9"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47-2547526</w:t>
            </w:r>
          </w:p>
        </w:tc>
      </w:tr>
      <w:tr>
        <w:trPr>
          <w:trHeight w:val="198"/>
        </w:trPr>
        <w:tc>
          <w:tcPr>
            <w:tcW w:w="5020" w:type="dxa"/>
            <w:vAlign w:val="bottom"/>
          </w:tcPr>
          <w:p>
            <w:pPr>
              <w:jc w:val="center"/>
              <w:ind w:right="1686"/>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59"/>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9"/>
              </w:rPr>
              <w:t>47215 Lakeview Blvd. Fremont, California</w:t>
            </w:r>
          </w:p>
        </w:tc>
        <w:tc>
          <w:tcPr>
            <w:tcW w:w="2700" w:type="dxa"/>
            <w:vAlign w:val="bottom"/>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186"/>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00" w:type="dxa"/>
            <w:vAlign w:val="bottom"/>
          </w:tcPr>
          <w:p>
            <w:pPr>
              <w:jc w:val="center"/>
              <w:ind w:left="1706"/>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(877) 922-9835</w:t>
      </w:r>
    </w:p>
    <w:p>
      <w:pPr>
        <w:spacing w:after="0" w:line="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2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rPr>
              <w:t>Title of each class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2"/>
        </w:trPr>
        <w:tc>
          <w:tcPr>
            <w:tcW w:w="44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 par value $0.001 per share</w:t>
            </w:r>
          </w:p>
        </w:tc>
        <w:tc>
          <w:tcPr>
            <w:tcW w:w="24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CTKB</w:t>
            </w:r>
          </w:p>
        </w:tc>
        <w:tc>
          <w:tcPr>
            <w:tcW w:w="4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bl>
    <w:p>
      <w:pPr>
        <w:spacing w:after="0" w:line="93" w:lineRule="exact"/>
        <w:rPr>
          <w:sz w:val="24"/>
          <w:szCs w:val="24"/>
          <w:color w:val="auto"/>
        </w:rPr>
      </w:pPr>
    </w:p>
    <w:p>
      <w:pPr>
        <w:ind w:right="12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520" w:type="dxa"/>
            <w:vAlign w:val="bottom"/>
            <w:vMerge w:val="restart"/>
          </w:tcPr>
          <w:p>
            <w:pPr>
              <w:jc w:val="right"/>
              <w:ind w:right="1464"/>
              <w:spacing w:after="0"/>
              <w:rPr>
                <w:sz w:val="20"/>
                <w:szCs w:val="20"/>
                <w:color w:val="auto"/>
              </w:rPr>
            </w:pPr>
            <w:r>
              <w:rPr>
                <w:rFonts w:ascii="Wingdings" w:cs="Wingdings" w:eastAsia="Wingdings" w:hAnsi="Wingdings"/>
                <w:sz w:val="15"/>
                <w:szCs w:val="15"/>
                <w:b w:val="1"/>
                <w:bCs w:val="1"/>
                <w:color w:val="auto"/>
              </w:rPr>
              <w:t>x</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Accelerated filer</w:t>
            </w:r>
          </w:p>
        </w:tc>
        <w:tc>
          <w:tcPr>
            <w:tcW w:w="1660" w:type="dxa"/>
            <w:vAlign w:val="bottom"/>
            <w:vMerge w:val="restart"/>
          </w:tcPr>
          <w:p>
            <w:pPr>
              <w:ind w:left="1520"/>
              <w:spacing w:after="0"/>
              <w:rPr>
                <w:sz w:val="20"/>
                <w:szCs w:val="20"/>
                <w:color w:val="auto"/>
              </w:rPr>
            </w:pPr>
            <w:r>
              <w:rPr>
                <w:rFonts w:ascii="Wingdings" w:cs="Wingdings" w:eastAsia="Wingdings" w:hAnsi="Wingdings"/>
                <w:sz w:val="15"/>
                <w:szCs w:val="15"/>
                <w:b w:val="1"/>
                <w:bCs w:val="1"/>
                <w:color w:val="auto"/>
                <w:w w:val="89"/>
              </w:rPr>
              <w:t>o</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520" w:type="dxa"/>
            <w:vAlign w:val="bottom"/>
            <w:vMerge w:val="restart"/>
          </w:tcPr>
          <w:p>
            <w:pPr>
              <w:jc w:val="right"/>
              <w:ind w:right="1464"/>
              <w:spacing w:after="0"/>
              <w:rPr>
                <w:sz w:val="20"/>
                <w:szCs w:val="20"/>
                <w:color w:val="auto"/>
              </w:rPr>
            </w:pPr>
            <w:r>
              <w:rPr>
                <w:rFonts w:ascii="Wingdings" w:cs="Wingdings" w:eastAsia="Wingdings" w:hAnsi="Wingdings"/>
                <w:sz w:val="15"/>
                <w:szCs w:val="15"/>
                <w:b w:val="1"/>
                <w:bCs w:val="1"/>
                <w:color w:val="auto"/>
              </w:rPr>
              <w:t>o</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660" w:type="dxa"/>
            <w:vAlign w:val="bottom"/>
            <w:vMerge w:val="restart"/>
          </w:tcPr>
          <w:p>
            <w:pPr>
              <w:ind w:left="1520"/>
              <w:spacing w:after="0"/>
              <w:rPr>
                <w:sz w:val="20"/>
                <w:szCs w:val="20"/>
                <w:color w:val="auto"/>
              </w:rPr>
            </w:pPr>
            <w:r>
              <w:rPr>
                <w:rFonts w:ascii="Wingdings" w:cs="Wingdings" w:eastAsia="Wingdings" w:hAnsi="Wingdings"/>
                <w:sz w:val="15"/>
                <w:szCs w:val="15"/>
                <w:b w:val="1"/>
                <w:bCs w:val="1"/>
                <w:color w:val="auto"/>
                <w:w w:val="89"/>
              </w:rPr>
              <w:t>o</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Emerging growth company</w:t>
      </w:r>
    </w:p>
    <w:p>
      <w:pPr>
        <w:ind w:left="3140"/>
        <w:spacing w:after="0"/>
        <w:rPr>
          <w:sz w:val="20"/>
          <w:szCs w:val="20"/>
          <w:color w:val="auto"/>
        </w:rPr>
      </w:pPr>
      <w:r>
        <w:rPr>
          <w:rFonts w:ascii="Wingdings" w:cs="Wingdings" w:eastAsia="Wingdings" w:hAnsi="Wingdings"/>
          <w:sz w:val="15"/>
          <w:szCs w:val="15"/>
          <w:b w:val="1"/>
          <w:bCs w:val="1"/>
          <w:color w:val="auto"/>
        </w:rPr>
        <w:t>o</w:t>
      </w:r>
    </w:p>
    <w:p>
      <w:pPr>
        <w:spacing w:after="0" w:line="124" w:lineRule="exact"/>
        <w:rPr>
          <w:sz w:val="24"/>
          <w:szCs w:val="24"/>
          <w:color w:val="auto"/>
        </w:rPr>
      </w:pPr>
    </w:p>
    <w:p>
      <w:pPr>
        <w:ind w:right="520"/>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37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Registrant’s Common Stock outstanding as of October 31, 2024 was 128,810,614.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60" w:type="dxa"/>
            <w:vAlign w:val="bottom"/>
            <w:gridSpan w:val="3"/>
            <w:vMerge w:val="continue"/>
          </w:tcPr>
          <w:p>
            <w:pPr>
              <w:spacing w:after="0"/>
              <w:rPr>
                <w:sz w:val="19"/>
                <w:szCs w:val="19"/>
                <w:color w:val="auto"/>
              </w:rPr>
            </w:pPr>
          </w:p>
        </w:tc>
        <w:tc>
          <w:tcPr>
            <w:tcW w:w="8700" w:type="dxa"/>
            <w:vAlign w:val="bottom"/>
            <w:gridSpan w:val="17"/>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300" w:type="dxa"/>
            <w:vAlign w:val="bottom"/>
            <w:gridSpan w:val="6"/>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40" w:type="dxa"/>
            <w:vAlign w:val="bottom"/>
            <w:tcBorders>
              <w:top w:val="single" w:sz="8" w:color="0000FF"/>
            </w:tcBorders>
            <w:gridSpan w:val="3"/>
          </w:tcPr>
          <w:p>
            <w:pPr>
              <w:spacing w:after="0"/>
              <w:rPr>
                <w:sz w:val="20"/>
                <w:szCs w:val="20"/>
                <w:color w:val="auto"/>
              </w:rPr>
            </w:pPr>
          </w:p>
        </w:tc>
        <w:tc>
          <w:tcPr>
            <w:tcW w:w="4040" w:type="dxa"/>
            <w:vAlign w:val="bottom"/>
            <w:gridSpan w:val="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60" w:type="dxa"/>
            <w:vAlign w:val="bottom"/>
            <w:gridSpan w:val="7"/>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20" w:type="dxa"/>
            <w:vAlign w:val="bottom"/>
            <w:gridSpan w:val="11"/>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0"/>
                <w:szCs w:val="20"/>
                <w:color w:val="auto"/>
              </w:rPr>
            </w:pPr>
          </w:p>
        </w:tc>
        <w:tc>
          <w:tcPr>
            <w:tcW w:w="7380" w:type="dxa"/>
            <w:vAlign w:val="bottom"/>
            <w:gridSpan w:val="13"/>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gridSpan w:val="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380" w:type="dxa"/>
            <w:vAlign w:val="bottom"/>
            <w:gridSpan w:val="9"/>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1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0" w:type="dxa"/>
            <w:vAlign w:val="bottom"/>
            <w:gridSpan w:val="1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10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3"/>
          </w:tcPr>
          <w:p>
            <w:pPr>
              <w:ind w:left="40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22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20" w:type="dxa"/>
            <w:vAlign w:val="bottom"/>
          </w:tcPr>
          <w:p>
            <w:pPr>
              <w:spacing w:after="0"/>
              <w:rPr>
                <w:sz w:val="17"/>
                <w:szCs w:val="17"/>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220" w:type="dxa"/>
            <w:vAlign w:val="bottom"/>
          </w:tcPr>
          <w:p>
            <w:pPr>
              <w:spacing w:after="0"/>
              <w:rPr>
                <w:sz w:val="21"/>
                <w:szCs w:val="21"/>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i w:val="1"/>
                <w:iCs w:val="1"/>
                <w:color w:val="auto"/>
                <w:w w:val="98"/>
              </w:rPr>
              <w:t>(audited)</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167,299</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95,111</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55,928</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60,877</w:t>
            </w:r>
          </w:p>
        </w:tc>
      </w:tr>
      <w:tr>
        <w:trPr>
          <w:trHeight w:val="250"/>
        </w:trPr>
        <w:tc>
          <w:tcPr>
            <w:tcW w:w="7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w:t>
            </w:r>
          </w:p>
        </w:tc>
      </w:tr>
      <w:tr>
        <w:trPr>
          <w:trHeight w:val="25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392,060</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30,487</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23,084</w:t>
            </w:r>
          </w:p>
        </w:tc>
      </w:tr>
      <w:tr>
        <w:trPr>
          <w:trHeight w:val="25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50"/>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491,226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494,457</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settlement liability, 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56,226</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 liability, noncurrent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 term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5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50"/>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101,393</w:t>
            </w:r>
          </w:p>
        </w:tc>
      </w:tr>
      <w:tr>
        <w:trPr>
          <w:trHeight w:val="21"/>
        </w:trPr>
        <w:tc>
          <w:tcPr>
            <w:tcW w:w="7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8"/>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1,000,000,000 authorized shares as of September 30, 2024 and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74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31, 2023; 129,766,011 and 130,714,906 issued and outstanding shares as of September 30,</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1"/>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423,386</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w:t>
            </w:r>
          </w:p>
        </w:tc>
      </w:tr>
      <w:tr>
        <w:trPr>
          <w:trHeight w:val="25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50"/>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385,463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393,064</w:t>
            </w:r>
          </w:p>
        </w:tc>
      </w:tr>
      <w:tr>
        <w:trPr>
          <w:trHeight w:val="250"/>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491,226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494,457</w:t>
            </w:r>
          </w:p>
        </w:tc>
      </w:tr>
      <w:tr>
        <w:trPr>
          <w:trHeight w:val="27"/>
        </w:trPr>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0920"/>
          </w:cols>
          <w:pgMar w:left="320" w:top="121" w:right="6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Pr>
          <w:p>
            <w:pPr>
              <w:spacing w:after="0"/>
              <w:rPr>
                <w:sz w:val="18"/>
                <w:szCs w:val="18"/>
                <w:color w:val="auto"/>
              </w:rPr>
            </w:pPr>
          </w:p>
        </w:tc>
        <w:tc>
          <w:tcPr>
            <w:tcW w:w="3240" w:type="dxa"/>
            <w:vAlign w:val="bottom"/>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108,242</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110,065</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134,782</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58,404</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76,378</w:t>
            </w: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33,282</w:t>
            </w: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37,587</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33,217</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104,086</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w:t>
            </w: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basic and diluted</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0" w:type="dxa"/>
            <w:vAlign w:val="bottom"/>
          </w:tcPr>
          <w:p>
            <w:pPr>
              <w:spacing w:after="0"/>
              <w:rPr>
                <w:sz w:val="1"/>
                <w:szCs w:val="1"/>
                <w:color w:val="auto"/>
              </w:rPr>
            </w:pP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120" w:type="dxa"/>
            <w:vAlign w:val="bottom"/>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12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shares used in calculating net</w:t>
            </w:r>
          </w:p>
        </w:tc>
        <w:tc>
          <w:tcPr>
            <w:tcW w:w="1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131,003,744</w:t>
            </w:r>
          </w:p>
        </w:tc>
        <w:tc>
          <w:tcPr>
            <w:tcW w:w="10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136,173,278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131,121,301</w:t>
            </w:r>
          </w:p>
        </w:tc>
        <w:tc>
          <w:tcPr>
            <w:tcW w:w="10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135,862,905</w:t>
            </w: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per share, basic</w:t>
            </w:r>
          </w:p>
        </w:tc>
        <w:tc>
          <w:tcPr>
            <w:tcW w:w="12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calculating net</w:t>
            </w:r>
          </w:p>
        </w:tc>
        <w:tc>
          <w:tcPr>
            <w:tcW w:w="12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132,785,552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136,173,278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131,121,301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135,862,905</w:t>
            </w:r>
          </w:p>
        </w:tc>
        <w:tc>
          <w:tcPr>
            <w:tcW w:w="0" w:type="dxa"/>
            <w:vAlign w:val="bottom"/>
          </w:tcPr>
          <w:p>
            <w:pPr>
              <w:spacing w:after="0"/>
              <w:rPr>
                <w:sz w:val="1"/>
                <w:szCs w:val="1"/>
                <w:color w:val="auto"/>
              </w:rPr>
            </w:pP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share, diluted</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comprehensive income (loss)</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Borders>
              <w:right w:val="single" w:sz="8" w:color="auto"/>
            </w:tcBorders>
          </w:tcPr>
          <w:p>
            <w:pPr>
              <w:spacing w:after="0"/>
              <w:rPr>
                <w:sz w:val="18"/>
                <w:szCs w:val="18"/>
                <w:color w:val="auto"/>
              </w:rPr>
            </w:pPr>
          </w:p>
        </w:tc>
        <w:tc>
          <w:tcPr>
            <w:tcW w:w="2300" w:type="dxa"/>
            <w:vAlign w:val="bottom"/>
            <w:gridSpan w:val="2"/>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200" w:type="dxa"/>
            <w:vAlign w:val="bottom"/>
            <w:tcBorders>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00" w:type="dxa"/>
            <w:vAlign w:val="bottom"/>
          </w:tcPr>
          <w:p>
            <w:pPr>
              <w:spacing w:after="0"/>
              <w:rPr>
                <w:sz w:val="2"/>
                <w:szCs w:val="2"/>
                <w:color w:val="auto"/>
              </w:rPr>
            </w:pPr>
          </w:p>
        </w:tc>
        <w:tc>
          <w:tcPr>
            <w:tcW w:w="11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20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1300" w:type="dxa"/>
            <w:vAlign w:val="bottom"/>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00" w:type="dxa"/>
            <w:vAlign w:val="bottom"/>
          </w:tcPr>
          <w:p>
            <w:pPr>
              <w:spacing w:after="0"/>
              <w:rPr>
                <w:sz w:val="12"/>
                <w:szCs w:val="12"/>
                <w:color w:val="auto"/>
              </w:rPr>
            </w:pPr>
          </w:p>
        </w:tc>
        <w:tc>
          <w:tcPr>
            <w:tcW w:w="114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2"/>
                <w:szCs w:val="12"/>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right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203"/>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130,714,906</w:t>
            </w:r>
          </w:p>
        </w:tc>
        <w:tc>
          <w:tcPr>
            <w:tcW w:w="100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423,386</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(29,178)</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393,064</w:t>
            </w:r>
          </w:p>
        </w:tc>
        <w:tc>
          <w:tcPr>
            <w:tcW w:w="0" w:type="dxa"/>
            <w:vAlign w:val="bottom"/>
          </w:tcPr>
          <w:p>
            <w:pPr>
              <w:spacing w:after="0"/>
              <w:rPr>
                <w:sz w:val="1"/>
                <w:szCs w:val="1"/>
                <w:color w:val="auto"/>
              </w:rPr>
            </w:pPr>
          </w:p>
        </w:tc>
      </w:tr>
      <w:tr>
        <w:trPr>
          <w:trHeight w:val="195"/>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559,325</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200" w:type="dxa"/>
            <w:vAlign w:val="bottom"/>
          </w:tcPr>
          <w:p>
            <w:pPr>
              <w:spacing w:after="0"/>
              <w:rPr>
                <w:sz w:val="16"/>
                <w:szCs w:val="16"/>
                <w:color w:val="auto"/>
              </w:rPr>
            </w:pPr>
          </w:p>
        </w:tc>
        <w:tc>
          <w:tcPr>
            <w:tcW w:w="1140" w:type="dxa"/>
            <w:vAlign w:val="bottom"/>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0" w:type="dxa"/>
            <w:vAlign w:val="bottom"/>
          </w:tcPr>
          <w:p>
            <w:pPr>
              <w:spacing w:after="0"/>
              <w:rPr>
                <w:sz w:val="1"/>
                <w:szCs w:val="1"/>
                <w:color w:val="auto"/>
              </w:rPr>
            </w:pPr>
          </w:p>
        </w:tc>
      </w:tr>
      <w:tr>
        <w:trPr>
          <w:trHeight w:val="165"/>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(20,050)</w:t>
            </w: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30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95"/>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5,640</w:t>
            </w:r>
          </w:p>
        </w:tc>
        <w:tc>
          <w:tcPr>
            <w:tcW w:w="200" w:type="dxa"/>
            <w:vAlign w:val="bottom"/>
          </w:tcPr>
          <w:p>
            <w:pPr>
              <w:spacing w:after="0"/>
              <w:rPr>
                <w:sz w:val="16"/>
                <w:szCs w:val="16"/>
                <w:color w:val="auto"/>
              </w:rPr>
            </w:pPr>
          </w:p>
        </w:tc>
        <w:tc>
          <w:tcPr>
            <w:tcW w:w="1140" w:type="dxa"/>
            <w:vAlign w:val="bottom"/>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5,640</w:t>
            </w:r>
          </w:p>
        </w:tc>
        <w:tc>
          <w:tcPr>
            <w:tcW w:w="0" w:type="dxa"/>
            <w:vAlign w:val="bottom"/>
          </w:tcPr>
          <w:p>
            <w:pPr>
              <w:spacing w:after="0"/>
              <w:rPr>
                <w:sz w:val="1"/>
                <w:szCs w:val="1"/>
                <w:color w:val="auto"/>
              </w:rPr>
            </w:pPr>
          </w:p>
        </w:tc>
      </w:tr>
      <w:tr>
        <w:trPr>
          <w:trHeight w:val="210"/>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95"/>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40" w:type="dxa"/>
            <w:vAlign w:val="bottom"/>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0" w:type="dxa"/>
            <w:vAlign w:val="bottom"/>
          </w:tcPr>
          <w:p>
            <w:pPr>
              <w:spacing w:after="0"/>
              <w:rPr>
                <w:sz w:val="1"/>
                <w:szCs w:val="1"/>
                <w:color w:val="auto"/>
              </w:rPr>
            </w:pPr>
          </w:p>
        </w:tc>
      </w:tr>
      <w:tr>
        <w:trPr>
          <w:trHeight w:val="204"/>
        </w:trPr>
        <w:tc>
          <w:tcPr>
            <w:tcW w:w="32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Balances at March 31, 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131,254,181</w:t>
            </w:r>
          </w:p>
        </w:tc>
        <w:tc>
          <w:tcPr>
            <w:tcW w:w="100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429,384</w:t>
            </w: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392,614</w:t>
            </w: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506,375</w:t>
            </w:r>
          </w:p>
        </w:tc>
        <w:tc>
          <w:tcPr>
            <w:tcW w:w="100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95"/>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210,496</w:t>
            </w:r>
          </w:p>
        </w:tc>
        <w:tc>
          <w:tcPr>
            <w:tcW w:w="1000" w:type="dxa"/>
            <w:vAlign w:val="bottom"/>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0" w:type="dxa"/>
            <w:vAlign w:val="bottom"/>
          </w:tcPr>
          <w:p>
            <w:pPr>
              <w:spacing w:after="0"/>
              <w:rPr>
                <w:sz w:val="1"/>
                <w:szCs w:val="1"/>
                <w:color w:val="auto"/>
              </w:rPr>
            </w:pPr>
          </w:p>
        </w:tc>
      </w:tr>
      <w:tr>
        <w:trPr>
          <w:trHeight w:val="165"/>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(21,532)</w:t>
            </w: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80"/>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30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(444,319)</w:t>
            </w:r>
          </w:p>
        </w:tc>
        <w:tc>
          <w:tcPr>
            <w:tcW w:w="1000" w:type="dxa"/>
            <w:vAlign w:val="bottom"/>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0" w:type="dxa"/>
            <w:vAlign w:val="bottom"/>
          </w:tcPr>
          <w:p>
            <w:pPr>
              <w:spacing w:after="0"/>
              <w:rPr>
                <w:sz w:val="1"/>
                <w:szCs w:val="1"/>
                <w:color w:val="auto"/>
              </w:rPr>
            </w:pPr>
          </w:p>
        </w:tc>
      </w:tr>
      <w:tr>
        <w:trPr>
          <w:trHeight w:val="210"/>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7,152</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7,152</w:t>
            </w:r>
          </w:p>
        </w:tc>
        <w:tc>
          <w:tcPr>
            <w:tcW w:w="0" w:type="dxa"/>
            <w:vAlign w:val="bottom"/>
          </w:tcPr>
          <w:p>
            <w:pPr>
              <w:spacing w:after="0"/>
              <w:rPr>
                <w:sz w:val="1"/>
                <w:szCs w:val="1"/>
                <w:color w:val="auto"/>
              </w:rPr>
            </w:pPr>
          </w:p>
        </w:tc>
      </w:tr>
      <w:tr>
        <w:trPr>
          <w:trHeight w:val="195"/>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10"/>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(10,434)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(10,434)</w:t>
            </w:r>
          </w:p>
        </w:tc>
        <w:tc>
          <w:tcPr>
            <w:tcW w:w="0" w:type="dxa"/>
            <w:vAlign w:val="bottom"/>
          </w:tcPr>
          <w:p>
            <w:pPr>
              <w:spacing w:after="0"/>
              <w:rPr>
                <w:sz w:val="1"/>
                <w:szCs w:val="1"/>
                <w:color w:val="auto"/>
              </w:rPr>
            </w:pPr>
          </w:p>
        </w:tc>
      </w:tr>
      <w:tr>
        <w:trPr>
          <w:trHeight w:val="221"/>
        </w:trPr>
        <w:tc>
          <w:tcPr>
            <w:tcW w:w="32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June 30,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131,505,201</w:t>
            </w: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434,967</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(45,781)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389,123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481,509</w:t>
            </w:r>
          </w:p>
        </w:tc>
        <w:tc>
          <w:tcPr>
            <w:tcW w:w="1000" w:type="dxa"/>
            <w:vAlign w:val="bottom"/>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65"/>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(26,344)</w:t>
            </w: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0"/>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30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(2,194,355)</w:t>
            </w:r>
          </w:p>
        </w:tc>
        <w:tc>
          <w:tcPr>
            <w:tcW w:w="10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(11,948)</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(11,950)</w:t>
            </w:r>
          </w:p>
        </w:tc>
        <w:tc>
          <w:tcPr>
            <w:tcW w:w="0" w:type="dxa"/>
            <w:vAlign w:val="bottom"/>
          </w:tcPr>
          <w:p>
            <w:pPr>
              <w:spacing w:after="0"/>
              <w:rPr>
                <w:sz w:val="1"/>
                <w:szCs w:val="1"/>
                <w:color w:val="auto"/>
              </w:rPr>
            </w:pPr>
          </w:p>
        </w:tc>
      </w:tr>
      <w:tr>
        <w:trPr>
          <w:trHeight w:val="211"/>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7,053</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7,053</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30"/>
        </w:trPr>
        <w:tc>
          <w:tcPr>
            <w:tcW w:w="3200" w:type="dxa"/>
            <w:vAlign w:val="bottom"/>
            <w:tcBorders>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left="837"/>
              <w:spacing w:after="0"/>
              <w:rPr>
                <w:sz w:val="20"/>
                <w:szCs w:val="20"/>
                <w:color w:val="auto"/>
              </w:rPr>
            </w:pPr>
            <w:r>
              <w:rPr>
                <w:rFonts w:ascii="Times New Roman" w:cs="Times New Roman" w:eastAsia="Times New Roman" w:hAnsi="Times New Roman"/>
                <w:sz w:val="13"/>
                <w:szCs w:val="13"/>
                <w:color w:val="auto"/>
              </w:rPr>
              <w:t>941</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0" w:type="dxa"/>
            <w:vAlign w:val="bottom"/>
          </w:tcPr>
          <w:p>
            <w:pPr>
              <w:spacing w:after="0"/>
              <w:rPr>
                <w:sz w:val="1"/>
                <w:szCs w:val="1"/>
                <w:color w:val="auto"/>
              </w:rPr>
            </w:pPr>
          </w:p>
        </w:tc>
      </w:tr>
      <w:tr>
        <w:trPr>
          <w:trHeight w:val="30"/>
        </w:trPr>
        <w:tc>
          <w:tcPr>
            <w:tcW w:w="3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September 30, 2024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129,766,011</w:t>
            </w:r>
          </w:p>
        </w:tc>
        <w:tc>
          <w:tcPr>
            <w:tcW w:w="1000" w:type="dxa"/>
            <w:vAlign w:val="bottom"/>
            <w:tcBorders>
              <w:bottom w:val="single" w:sz="8" w:color="CCEEFF"/>
            </w:tcBorders>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430,072</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385,463</w:t>
            </w:r>
          </w:p>
        </w:tc>
        <w:tc>
          <w:tcPr>
            <w:tcW w:w="0" w:type="dxa"/>
            <w:vAlign w:val="bottom"/>
          </w:tcPr>
          <w:p>
            <w:pPr>
              <w:spacing w:after="0"/>
              <w:rPr>
                <w:sz w:val="1"/>
                <w:szCs w:val="1"/>
                <w:color w:val="auto"/>
              </w:rPr>
            </w:pP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Borders>
              <w:right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0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12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 in</w:t>
            </w:r>
          </w:p>
        </w:tc>
        <w:tc>
          <w:tcPr>
            <w:tcW w:w="140" w:type="dxa"/>
            <w:vAlign w:val="bottom"/>
          </w:tcPr>
          <w:p>
            <w:pPr>
              <w:spacing w:after="0"/>
              <w:rPr>
                <w:sz w:val="11"/>
                <w:szCs w:val="11"/>
                <w:color w:val="auto"/>
              </w:rPr>
            </w:pPr>
          </w:p>
        </w:tc>
        <w:tc>
          <w:tcPr>
            <w:tcW w:w="10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20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2"/>
                <w:szCs w:val="12"/>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consolidated</w:t>
            </w:r>
          </w:p>
        </w:tc>
        <w:tc>
          <w:tcPr>
            <w:tcW w:w="140" w:type="dxa"/>
            <w:vAlign w:val="bottom"/>
          </w:tcPr>
          <w:p>
            <w:pPr>
              <w:spacing w:after="0"/>
              <w:rPr>
                <w:sz w:val="12"/>
                <w:szCs w:val="12"/>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CCEEFF"/>
              <w:right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December 31,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135,365,381</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442,887</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425,546</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283,856</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29"/>
        </w:trPr>
        <w:tc>
          <w:tcPr>
            <w:tcW w:w="320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(5,182)</w:t>
            </w:r>
          </w:p>
        </w:tc>
        <w:tc>
          <w:tcPr>
            <w:tcW w:w="8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80"/>
        </w:trPr>
        <w:tc>
          <w:tcPr>
            <w:tcW w:w="3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12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w:t>
            </w:r>
          </w:p>
        </w:tc>
        <w:tc>
          <w:tcPr>
            <w:tcW w:w="0" w:type="dxa"/>
            <w:vAlign w:val="bottom"/>
          </w:tcPr>
          <w:p>
            <w:pPr>
              <w:spacing w:after="0"/>
              <w:rPr>
                <w:sz w:val="1"/>
                <w:szCs w:val="1"/>
                <w:color w:val="auto"/>
              </w:rPr>
            </w:pPr>
          </w:p>
        </w:tc>
      </w:tr>
      <w:tr>
        <w:trPr>
          <w:trHeight w:val="29"/>
        </w:trPr>
        <w:tc>
          <w:tcPr>
            <w:tcW w:w="320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9"/>
        </w:trPr>
        <w:tc>
          <w:tcPr>
            <w:tcW w:w="320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(6,807)</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(6,807)</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March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135,644,055</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447,748</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423,460</w:t>
            </w:r>
          </w:p>
        </w:tc>
        <w:tc>
          <w:tcPr>
            <w:tcW w:w="0" w:type="dxa"/>
            <w:vAlign w:val="bottom"/>
          </w:tcPr>
          <w:p>
            <w:pPr>
              <w:spacing w:after="0"/>
              <w:rPr>
                <w:sz w:val="1"/>
                <w:szCs w:val="1"/>
                <w:color w:val="auto"/>
              </w:rPr>
            </w:pP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697,670</w:t>
            </w:r>
          </w:p>
        </w:tc>
        <w:tc>
          <w:tcPr>
            <w:tcW w:w="86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483</w:t>
            </w:r>
          </w:p>
        </w:tc>
        <w:tc>
          <w:tcPr>
            <w:tcW w:w="16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483</w:t>
            </w:r>
          </w:p>
        </w:tc>
        <w:tc>
          <w:tcPr>
            <w:tcW w:w="0" w:type="dxa"/>
            <w:vAlign w:val="bottom"/>
          </w:tcPr>
          <w:p>
            <w:pPr>
              <w:spacing w:after="0"/>
              <w:rPr>
                <w:sz w:val="1"/>
                <w:szCs w:val="1"/>
                <w:color w:val="auto"/>
              </w:rPr>
            </w:pPr>
          </w:p>
        </w:tc>
      </w:tr>
      <w:tr>
        <w:trPr>
          <w:trHeight w:val="29"/>
        </w:trPr>
        <w:tc>
          <w:tcPr>
            <w:tcW w:w="320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145,569</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0" w:type="dxa"/>
            <w:vAlign w:val="bottom"/>
          </w:tcPr>
          <w:p>
            <w:pPr>
              <w:spacing w:after="0"/>
              <w:rPr>
                <w:sz w:val="1"/>
                <w:szCs w:val="1"/>
                <w:color w:val="auto"/>
              </w:rPr>
            </w:pPr>
          </w:p>
        </w:tc>
      </w:tr>
      <w:tr>
        <w:trPr>
          <w:trHeight w:val="157"/>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(16,604)</w:t>
            </w:r>
          </w:p>
        </w:tc>
        <w:tc>
          <w:tcPr>
            <w:tcW w:w="86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72"/>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1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(125,782)</w:t>
            </w: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5,922</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5,922</w:t>
            </w:r>
          </w:p>
        </w:tc>
        <w:tc>
          <w:tcPr>
            <w:tcW w:w="0" w:type="dxa"/>
            <w:vAlign w:val="bottom"/>
          </w:tcPr>
          <w:p>
            <w:pPr>
              <w:spacing w:after="0"/>
              <w:rPr>
                <w:sz w:val="1"/>
                <w:szCs w:val="1"/>
                <w:color w:val="auto"/>
              </w:rPr>
            </w:pPr>
          </w:p>
        </w:tc>
      </w:tr>
      <w:tr>
        <w:trPr>
          <w:trHeight w:val="29"/>
        </w:trPr>
        <w:tc>
          <w:tcPr>
            <w:tcW w:w="320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0" w:type="dxa"/>
            <w:vAlign w:val="bottom"/>
          </w:tcPr>
          <w:p>
            <w:pPr>
              <w:spacing w:after="0"/>
              <w:rPr>
                <w:sz w:val="1"/>
                <w:szCs w:val="1"/>
                <w:color w:val="auto"/>
              </w:rPr>
            </w:pPr>
          </w:p>
        </w:tc>
      </w:tr>
      <w:tr>
        <w:trPr>
          <w:trHeight w:val="29"/>
        </w:trPr>
        <w:tc>
          <w:tcPr>
            <w:tcW w:w="320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(4,388)</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(4,388)</w:t>
            </w:r>
          </w:p>
        </w:tc>
        <w:tc>
          <w:tcPr>
            <w:tcW w:w="0" w:type="dxa"/>
            <w:vAlign w:val="bottom"/>
          </w:tcPr>
          <w:p>
            <w:pPr>
              <w:spacing w:after="0"/>
              <w:rPr>
                <w:sz w:val="1"/>
                <w:szCs w:val="1"/>
                <w:color w:val="auto"/>
              </w:rPr>
            </w:pPr>
          </w:p>
        </w:tc>
      </w:tr>
      <w:tr>
        <w:trPr>
          <w:trHeight w:val="167"/>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Balances at June 30, 2023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136,344,908</w:t>
            </w:r>
          </w:p>
        </w:tc>
        <w:tc>
          <w:tcPr>
            <w:tcW w:w="860" w:type="dxa"/>
            <w:vAlign w:val="bottom"/>
            <w:tcBorders>
              <w:top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454,027</w:t>
            </w: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(28,225)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424,179</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373,649</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0" w:type="dxa"/>
            <w:vAlign w:val="bottom"/>
          </w:tcPr>
          <w:p>
            <w:pPr>
              <w:spacing w:after="0"/>
              <w:rPr>
                <w:sz w:val="1"/>
                <w:szCs w:val="1"/>
                <w:color w:val="auto"/>
              </w:rPr>
            </w:pPr>
          </w:p>
        </w:tc>
      </w:tr>
      <w:tr>
        <w:trPr>
          <w:trHeight w:val="157"/>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(17,665)</w:t>
            </w:r>
          </w:p>
        </w:tc>
        <w:tc>
          <w:tcPr>
            <w:tcW w:w="86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72"/>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1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(1,155,229)</w:t>
            </w: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(8,428)</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(8,428)</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5,758</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5,758</w:t>
            </w:r>
          </w:p>
        </w:tc>
        <w:tc>
          <w:tcPr>
            <w:tcW w:w="0" w:type="dxa"/>
            <w:vAlign w:val="bottom"/>
          </w:tcPr>
          <w:p>
            <w:pPr>
              <w:spacing w:after="0"/>
              <w:rPr>
                <w:sz w:val="1"/>
                <w:szCs w:val="1"/>
                <w:color w:val="auto"/>
              </w:rPr>
            </w:pPr>
          </w:p>
        </w:tc>
      </w:tr>
      <w:tr>
        <w:trPr>
          <w:trHeight w:val="30"/>
        </w:trPr>
        <w:tc>
          <w:tcPr>
            <w:tcW w:w="320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3"/>
        </w:trPr>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30"/>
        </w:trPr>
        <w:tc>
          <w:tcPr>
            <w:tcW w:w="320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(6,456)</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(6,456)</w:t>
            </w:r>
          </w:p>
        </w:tc>
        <w:tc>
          <w:tcPr>
            <w:tcW w:w="0" w:type="dxa"/>
            <w:vAlign w:val="bottom"/>
          </w:tcPr>
          <w:p>
            <w:pPr>
              <w:spacing w:after="0"/>
              <w:rPr>
                <w:sz w:val="1"/>
                <w:szCs w:val="1"/>
                <w:color w:val="auto"/>
              </w:rPr>
            </w:pPr>
          </w:p>
        </w:tc>
      </w:tr>
      <w:tr>
        <w:trPr>
          <w:trHeight w:val="166"/>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Balances at September 30, 2023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135,545,663</w:t>
            </w:r>
          </w:p>
        </w:tc>
        <w:tc>
          <w:tcPr>
            <w:tcW w:w="860" w:type="dxa"/>
            <w:vAlign w:val="bottom"/>
            <w:tcBorders>
              <w:top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451,648</w:t>
            </w: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(34,681)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415,524</w:t>
            </w:r>
          </w:p>
        </w:tc>
        <w:tc>
          <w:tcPr>
            <w:tcW w:w="0" w:type="dxa"/>
            <w:vAlign w:val="bottom"/>
          </w:tcPr>
          <w:p>
            <w:pPr>
              <w:spacing w:after="0"/>
              <w:rPr>
                <w:sz w:val="1"/>
                <w:szCs w:val="1"/>
                <w:color w:val="auto"/>
              </w:rPr>
            </w:pPr>
          </w:p>
        </w:tc>
      </w:tr>
      <w:tr>
        <w:trPr>
          <w:trHeight w:val="30"/>
        </w:trPr>
        <w:tc>
          <w:tcPr>
            <w:tcW w:w="3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29"/>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(17,651)</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(Benefits from) provision for credit losses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 on investments, accretion, and amortization,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expenses for accretion of the legal settlement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Trade 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Legal settlement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17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(166,812)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(152,563)</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business</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for additional investment in Cytek Japan</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6"/>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(122,960)</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Repayment of loan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repurchase of shares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(9,409)</w:t>
            </w:r>
          </w:p>
        </w:tc>
        <w:tc>
          <w:tcPr>
            <w:tcW w:w="0" w:type="dxa"/>
            <w:vAlign w:val="bottom"/>
          </w:tcPr>
          <w:p>
            <w:pPr>
              <w:spacing w:after="0"/>
              <w:rPr>
                <w:sz w:val="1"/>
                <w:szCs w:val="1"/>
                <w:color w:val="auto"/>
              </w:rPr>
            </w:pPr>
          </w:p>
        </w:tc>
      </w:tr>
      <w:tr>
        <w:trPr>
          <w:trHeight w:val="186"/>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cash equivalents and restricted cash</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(135,871)</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167,630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299,500</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taxes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17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asset purchases in accounts payable or accrued purchase at period end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Intangible asset in accounts payable or accrued expenses at period end</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Derecognition of right-of-use assets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jc w:val="both"/>
        <w:ind w:firstLine="1134"/>
        <w:spacing w:after="0" w:line="239" w:lineRule="auto"/>
        <w:rPr>
          <w:sz w:val="20"/>
          <w:szCs w:val="20"/>
          <w:color w:val="auto"/>
        </w:rPr>
      </w:pPr>
      <w:r>
        <w:rPr>
          <w:rFonts w:ascii="Times New Roman" w:cs="Times New Roman" w:eastAsia="Times New Roman" w:hAnsi="Times New Roman"/>
          <w:sz w:val="18"/>
          <w:szCs w:val="18"/>
          <w:color w:val="auto"/>
        </w:rPr>
        <w:t>Cytek Biosciences, Inc. (“Cytek” or the “Company”) is a leading cell analysis solutions company advancing the next generation of research and clinical tools with its novel technical approach of leveraging the full spectrum of fluorescence signatures from multiple lasers to distinguish fluorescent tags on single cells (“Full Spectrum Profiling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 “FSP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technology). The Company's goal is to become the premier cell analysis company through continued innovation that facilitates scientific advances in biomedical research and clinical applications.</w:t>
      </w:r>
    </w:p>
    <w:p>
      <w:pPr>
        <w:spacing w:after="0" w:line="90" w:lineRule="exact"/>
        <w:rPr>
          <w:sz w:val="20"/>
          <w:szCs w:val="20"/>
          <w:color w:val="auto"/>
        </w:rPr>
      </w:pPr>
    </w:p>
    <w:p>
      <w:pPr>
        <w:jc w:val="both"/>
        <w:ind w:firstLine="1134"/>
        <w:spacing w:after="0" w:line="241" w:lineRule="auto"/>
        <w:rPr>
          <w:sz w:val="20"/>
          <w:szCs w:val="20"/>
          <w:color w:val="auto"/>
        </w:rPr>
      </w:pPr>
      <w:r>
        <w:rPr>
          <w:rFonts w:ascii="Times New Roman" w:cs="Times New Roman" w:eastAsia="Times New Roman" w:hAnsi="Times New Roman"/>
          <w:sz w:val="18"/>
          <w:szCs w:val="18"/>
          <w:color w:val="auto"/>
        </w:rPr>
        <w:t>The Company has successfully developed and manufactured its full spectrum flow cytometry platform (“instrument(s)” or “product(s)”). The Company's core FSP instruments, the Cytek Aurora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Northern Lights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systems, deliver high-resolution, high-content and high-sensitivity cell analysis. The Company also launched its Cytek Aurora cell sorter (“Aurora CS”),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spacing w:after="0" w:line="91" w:lineRule="exact"/>
        <w:rPr>
          <w:sz w:val="20"/>
          <w:szCs w:val="20"/>
          <w:color w:val="auto"/>
        </w:rPr>
      </w:pPr>
    </w:p>
    <w:p>
      <w:pPr>
        <w:jc w:val="both"/>
        <w:ind w:firstLine="1134"/>
        <w:spacing w:after="0" w:line="239"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Guava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instruments, and flow cytometry reagent products and services (the “FCI Business”). The acquired FCI Business includes conventional flow and image-based flow cytometry instrumentation and related products and services (the “FCI Products”).</w:t>
      </w:r>
    </w:p>
    <w:p>
      <w:pPr>
        <w:spacing w:after="0" w:line="90"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Cytek Biosciences, Inc., its wholly-owned subsidiaries, Cytek Limited (HK), Cytek Biosciences B.V. (Europe), Cytek (Shanghai) Biosciences Co., Ltd., Cytek Biosciences (Wuxi) Co., Ltd. ("Cytek Wuxi"), Cytek Japan Kabushiki Kaisha (“Cytek Japan”), Cytek Biosciences Ltd (UK), Cytek Biosciences GmbH (Germany), Cytoville Biosciences Shanghai Co., Ltd. and Cytek (Shanghai) Software Development Technology Co., Ltd. Cytoville Biosciences Shanghai Co., Ltd. and Cytek (Shanghai) Software Development Technology Co., Ltd. were closed in the fourth quarter of 2023. All intercompany accounts and transactions have been eliminated in consolidation.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5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Company’s cash and cash equivalents consist of money held in demand depository accounts and money market funds. The carrying amount of cash and cash equivalents, and restricted cash was $162.3 million and $167.6 million as of September 30, 2024 and December 31, 2023,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September 30, 2024.</w:t>
      </w:r>
    </w:p>
    <w:p>
      <w:pPr>
        <w:spacing w:after="0" w:line="79"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Company classifies restricted cash as current on the accompanying unaudited interim consolidated balance sheets based upon the term of the remaining restrictions.</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is a summary of cash, cash equivalents and restricted cash on the consolidated balance sheets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presented on the consolidated statements of cash flows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restricted cash</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 customer made an advance payment of $0.3 million to Cytek Biosciences B.V., provided that the customer receives a bank guarantee for the same amount as security for refund in the event that Cytek Biosciences B.V. fails to fulfill its delivery commitment. The restricted cash was released into the Company's normal cash account upon fulfillment of delivery. As of September 30, 2024, restricted cash of $0.3 million had been released.</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two bank guarantees to Cytek Biosciences B.V. totaled $30,816. The restricted cash is related to two customers and is based on a 12-month period warranty security that will be released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The Company's investments may consist of U.S. treasury and U.S. government agency securities,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bonds, commercial paper, and money market funds. The Company has designated all investments as available-for-sale and, therefore, such investments are reported at fair value, with unrealized gains and losses recorded in accumulated other comprehensive loss.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77" w:lineRule="exact"/>
        <w:rPr>
          <w:sz w:val="20"/>
          <w:szCs w:val="20"/>
          <w:color w:val="auto"/>
        </w:rPr>
      </w:pPr>
    </w:p>
    <w:p>
      <w:pPr>
        <w:jc w:val="both"/>
        <w:ind w:right="20" w:firstLine="113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Investment. </w:t>
      </w:r>
      <w:r>
        <w:rPr>
          <w:rFonts w:ascii="Times New Roman" w:cs="Times New Roman" w:eastAsia="Times New Roman" w:hAnsi="Times New Roman"/>
          <w:sz w:val="18"/>
          <w:szCs w:val="18"/>
          <w:color w:val="auto"/>
        </w:rPr>
        <w:t>The Company's investment consists of non-marketable equity investments in a privately held company.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non-marketable equity investments do not have readily determinable fair values. Therefore,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three months ended September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net</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amounts due related to product sales of instrument systems, reagents and accessories, as well as installation and repair services. These receivables are generally due within 30 to 45 days of the period in which the corresponding sales occur, do not bear interest and are classified as trade accounts receivable, net on the consolidated balance sheets. Trade accounts receivable are reported at their estimated net realizable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19" w:lineRule="exact"/>
        <w:rPr>
          <w:sz w:val="20"/>
          <w:szCs w:val="20"/>
          <w:color w:val="auto"/>
        </w:rPr>
      </w:pPr>
    </w:p>
    <w:p>
      <w:pPr>
        <w:jc w:val="both"/>
        <w:ind w:firstLine="1134"/>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Financial Instruments - Credit Losses”), on December 31, 2022, which was retroactively applied as of the first day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76"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changes in the allowance for credit losses for the nine months ended September 30, 2024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372</w:t>
            </w:r>
          </w:p>
        </w:tc>
      </w:tr>
      <w:tr>
        <w:trPr>
          <w:trHeight w:val="26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Utilization of allowance for credit losses</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(197)</w:t>
            </w:r>
          </w:p>
        </w:tc>
      </w:tr>
      <w:tr>
        <w:trPr>
          <w:trHeight w:val="250"/>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6"/>
              </w:rPr>
              <w:t>126</w:t>
            </w:r>
          </w:p>
        </w:tc>
      </w:tr>
      <w:tr>
        <w:trPr>
          <w:trHeight w:val="27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80" w:type="dxa"/>
            <w:vAlign w:val="bottom"/>
            <w:tcBorders>
              <w:bottom w:val="single" w:sz="8" w:color="auto"/>
            </w:tcBorders>
            <w:shd w:val="clear" w:color="auto" w:fill="BFE4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BFE4FF"/>
          </w:tcPr>
          <w:p>
            <w:pPr>
              <w:jc w:val="center"/>
              <w:ind w:left="390"/>
              <w:spacing w:after="0"/>
              <w:rPr>
                <w:sz w:val="20"/>
                <w:szCs w:val="20"/>
                <w:color w:val="auto"/>
              </w:rPr>
            </w:pPr>
            <w:r>
              <w:rPr>
                <w:rFonts w:ascii="Times New Roman" w:cs="Times New Roman" w:eastAsia="Times New Roman" w:hAnsi="Times New Roman"/>
                <w:sz w:val="18"/>
                <w:szCs w:val="18"/>
                <w:color w:val="auto"/>
                <w:w w:val="96"/>
              </w:rPr>
              <w:t>301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is recorded using the straight-line method based on the estimated useful lives of the depreciable property or, for leasehold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improvements, the remaining term of the lease, whichever is shorter. Assets not yet placed in use are not depreciated. The Company’s estimated useful lives of its property and equipment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20" w:type="dxa"/>
            <w:vAlign w:val="bottom"/>
          </w:tcPr>
          <w:p>
            <w:pPr>
              <w:spacing w:after="0"/>
              <w:rPr>
                <w:sz w:val="21"/>
                <w:szCs w:val="21"/>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expected lease term or estimated useful life</w:t>
            </w:r>
          </w:p>
        </w:tc>
      </w:tr>
    </w:tbl>
    <w:p>
      <w:pPr>
        <w:spacing w:after="0" w:line="198"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Upon sale or retirement of the assets, the cost and related accumulated depreciation are removed from the accounts and the resulting gain or loss is recognized in the consolidated statement of operations and comprehensive loss. Expenditures for general maintenance and repairs are expensed as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20" w:type="dxa"/>
            <w:vAlign w:val="bottom"/>
            <w:tcBorders>
              <w:bottom w:val="single" w:sz="8" w:color="CCEEFF"/>
            </w:tcBorders>
          </w:tcPr>
          <w:p>
            <w:pPr>
              <w:spacing w:after="0"/>
              <w:rPr>
                <w:sz w:val="21"/>
                <w:szCs w:val="21"/>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5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 years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3 - 15 years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FCI developed technology</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1 - 6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7 - 9 years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68"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Company’s product revenue consists of sales of its instrument systems, reagents and accessories. The Company recognizes product revenue at the point in time when control of the product is transferred to the customer.</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Invoicing for products occurs upon delivery and payment terms are 30 to 45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7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68"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7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recorded $0.0 million and $2.8 million of revenue under bill-and-hold arrangements, respectively.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Assurance-type product warranties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banking and accounting fees relating to offerings of the Company’s securities are capitalized, and are offset against proceeds from an offering upon the effectiveness of the offering. In the event an anticipated offering is terminated, deferred offering costs will be expensed.</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September 30, 2024, the Company has not made any sales of common stock pursuant to the 2022 Sales Agreement. Accordingly, $0.7 million in transaction expenses recorded as prepaid offering costs have not yet been expensed in transaction expenses recorded.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cost of advertising, marketing and media is expensed as incurred. For the three and nine months ended September 30, 2024, advertising, marketing and media expenses were $0.8 million and $3.0 million, respectively. For the three and nine months ended September 30, 2023, advertising, marketing and media expenses were $0.5 million and $2.7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7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Expected Volatility—Expected volatility is estimated by studying the volatility of selected industry peers deemed to be comparable to the Company's business corresponding to the expected term of the awards.</w:t>
      </w:r>
    </w:p>
    <w:p>
      <w:pPr>
        <w:spacing w:after="0" w:line="54"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Expected Term—Expected term represents the period that the Company's stock-based awards are expected to be outstanding and is determined using the simplified method.</w:t>
      </w:r>
    </w:p>
    <w:p>
      <w:pPr>
        <w:spacing w:after="0" w:line="5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Dividend Yield— The expected dividend yield is zero as the Company has never declared or paid cash dividends and has no current plans to do so in the foreseeable future.</w:t>
      </w:r>
    </w:p>
    <w:p>
      <w:pPr>
        <w:spacing w:after="0" w:line="5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U.S. Treasury zero-coupon issued in effect at the time of grant for periods corresponding with the expected term of the option.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federal,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0" w:lineRule="exact"/>
        <w:rPr>
          <w:sz w:val="20"/>
          <w:szCs w:val="20"/>
          <w:color w:val="auto"/>
        </w:rPr>
      </w:pPr>
    </w:p>
    <w:p>
      <w:pPr>
        <w:ind w:right="420" w:firstLine="1134"/>
        <w:spacing w:after="0" w:line="243" w:lineRule="auto"/>
        <w:rPr>
          <w:sz w:val="20"/>
          <w:szCs w:val="20"/>
          <w:color w:val="auto"/>
        </w:rPr>
      </w:pPr>
      <w:r>
        <w:rPr>
          <w:rFonts w:ascii="Times New Roman" w:cs="Times New Roman" w:eastAsia="Times New Roman" w:hAnsi="Times New Roman"/>
          <w:sz w:val="18"/>
          <w:szCs w:val="18"/>
          <w:color w:val="auto"/>
        </w:rPr>
        <w:t>Basic earnings (loss) per share (“EPS”), is computed based on the weighted average number of common shares outstanding during the period. Diluted EPS is computed based on the sum of the weighted average number of</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 for equity awards are assumed to be used to repurchase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acquisition method of accounting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7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Amounts allocated to assets and liabilities are based upon their estimated fair values. Such valuations require management to make significant estimates and assumptions, especially with respect to the identifiable intangible assets. The Company's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May 17, 2024, Cytek Wuxi entered into a Kuaiyifu Business Cooperation Agreement with the Bank of Communications Co., Ltd. to implement a supplier financing program which enables certain Cytek Wuxi suppliers, at their sole discretion, to sell their Cytek Wuxi receivables (i.e., Cytek Wuxi’s payment obligations to the suppliers) to the Bank of Communications Co., Ltd. on a non-recourse basis in order to be paid earlier than current payment terms provide.</w:t>
      </w:r>
    </w:p>
    <w:p>
      <w:pPr>
        <w:spacing w:after="0" w:line="7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Cytek Wuxi’s payment terms to the Bank of Communications Co., Ltd., including the timing and amount of payments, are based on the original supplier invoices. Cytek Wuxi’s current payment terms with a majority of its suppliers are typically between 30 and 90 days. Cytek Wuxi undertakes unconditional payment obligations with respect to the suppliers’ account receivable transferred to the bank under the supplier finance program.</w:t>
      </w:r>
    </w:p>
    <w:p>
      <w:pPr>
        <w:spacing w:after="0" w:line="68"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program allows for the transfer of supplier receivables up to an aggregate outstanding balance of $20.0 million Chinese renminbi (approximately US $2.8 million) through December 25, 2024. As of September 30, 2024, the program has no outstanding balance, and no supplier has transferred their receivables to the Bank of Communications Co., Ltd.</w:t>
      </w:r>
    </w:p>
    <w:p>
      <w:pPr>
        <w:spacing w:after="0" w:line="68"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Any transferred suppliers’ account receivable under the program in the future will be included in the outstanding line of credit with the financial institution.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 September 2022, the FASB issued Accounting Standards Update (“ASU”) 2022-04, Liabilities-Supplier Finance Programs (Subtopic</w:t>
      </w:r>
    </w:p>
    <w:p>
      <w:pPr>
        <w:spacing w:after="0" w:line="234" w:lineRule="auto"/>
        <w:rPr>
          <w:sz w:val="20"/>
          <w:szCs w:val="20"/>
          <w:color w:val="auto"/>
        </w:rPr>
      </w:pPr>
      <w:r>
        <w:rPr>
          <w:rFonts w:ascii="Times New Roman" w:cs="Times New Roman" w:eastAsia="Times New Roman" w:hAnsi="Times New Roman"/>
          <w:sz w:val="18"/>
          <w:szCs w:val="18"/>
          <w:color w:val="auto"/>
        </w:rPr>
        <w:t>405-50): Disclosure of Supplier Finance Program Obligations (“ASU 2022-04”), which requires a buyer in a supplier finance program to disclose</w:t>
      </w:r>
    </w:p>
    <w:p>
      <w:pPr>
        <w:spacing w:after="0" w:line="219" w:lineRule="auto"/>
        <w:rPr>
          <w:sz w:val="20"/>
          <w:szCs w:val="20"/>
          <w:color w:val="auto"/>
        </w:rPr>
      </w:pPr>
      <w:r>
        <w:rPr>
          <w:rFonts w:ascii="Times New Roman" w:cs="Times New Roman" w:eastAsia="Times New Roman" w:hAnsi="Times New Roman"/>
          <w:sz w:val="18"/>
          <w:szCs w:val="18"/>
          <w:color w:val="auto"/>
        </w:rPr>
        <w:t>qualitative and quantitative information about its program to allow a user of the financial statements to understand the program’s nature, activity during the</w:t>
      </w:r>
    </w:p>
    <w:p>
      <w:pPr>
        <w:spacing w:after="0" w:line="235" w:lineRule="auto"/>
        <w:rPr>
          <w:sz w:val="20"/>
          <w:szCs w:val="20"/>
          <w:color w:val="auto"/>
        </w:rPr>
      </w:pPr>
      <w:r>
        <w:rPr>
          <w:rFonts w:ascii="Times New Roman" w:cs="Times New Roman" w:eastAsia="Times New Roman" w:hAnsi="Times New Roman"/>
          <w:sz w:val="18"/>
          <w:szCs w:val="18"/>
          <w:color w:val="auto"/>
        </w:rPr>
        <w:t>period, changes from period to period and potential magnitude. The amendments in ASU 2022-04 are effective for fiscal years beginning after December</w:t>
      </w:r>
    </w:p>
    <w:p>
      <w:pPr>
        <w:spacing w:after="0" w:line="235" w:lineRule="auto"/>
        <w:rPr>
          <w:sz w:val="20"/>
          <w:szCs w:val="20"/>
          <w:color w:val="auto"/>
        </w:rPr>
      </w:pPr>
      <w:r>
        <w:rPr>
          <w:rFonts w:ascii="Times New Roman" w:cs="Times New Roman" w:eastAsia="Times New Roman" w:hAnsi="Times New Roman"/>
          <w:sz w:val="18"/>
          <w:szCs w:val="18"/>
          <w:color w:val="auto"/>
        </w:rPr>
        <w:t>15, 2022 and interim periods within those fiscal years, with the exception for the amendment on roll-forward information, which is effective for fiscal years</w:t>
      </w:r>
    </w:p>
    <w:p>
      <w:pPr>
        <w:spacing w:after="0" w:line="235" w:lineRule="auto"/>
        <w:rPr>
          <w:sz w:val="20"/>
          <w:szCs w:val="20"/>
          <w:color w:val="auto"/>
        </w:rPr>
      </w:pPr>
      <w:r>
        <w:rPr>
          <w:rFonts w:ascii="Times New Roman" w:cs="Times New Roman" w:eastAsia="Times New Roman" w:hAnsi="Times New Roman"/>
          <w:sz w:val="18"/>
          <w:szCs w:val="18"/>
          <w:color w:val="auto"/>
        </w:rPr>
        <w:t>beginning after December 15, 2023. The guidance should be applied retrospectively, except for the amendment on roll-forward information, which should</w:t>
      </w:r>
    </w:p>
    <w:p>
      <w:pPr>
        <w:spacing w:after="0" w:line="235" w:lineRule="auto"/>
        <w:rPr>
          <w:sz w:val="20"/>
          <w:szCs w:val="20"/>
          <w:color w:val="auto"/>
        </w:rPr>
      </w:pPr>
      <w:r>
        <w:rPr>
          <w:rFonts w:ascii="Times New Roman" w:cs="Times New Roman" w:eastAsia="Times New Roman" w:hAnsi="Times New Roman"/>
          <w:sz w:val="18"/>
          <w:szCs w:val="18"/>
          <w:color w:val="auto"/>
        </w:rPr>
        <w:t>be applied prospectively. In the second quarter of 2024, the Company implemented a supplier financing arrangement and adopted ASU 2022-04. The</w:t>
      </w:r>
    </w:p>
    <w:p>
      <w:pPr>
        <w:spacing w:after="0"/>
        <w:rPr>
          <w:sz w:val="20"/>
          <w:szCs w:val="20"/>
          <w:color w:val="auto"/>
        </w:rPr>
      </w:pPr>
      <w:r>
        <w:rPr>
          <w:rFonts w:ascii="Times New Roman" w:cs="Times New Roman" w:eastAsia="Times New Roman" w:hAnsi="Times New Roman"/>
          <w:sz w:val="18"/>
          <w:szCs w:val="18"/>
          <w:color w:val="auto"/>
        </w:rPr>
        <w:t>adoption did not have a material effect on the Company's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looks to provide improvements to the segment disclosure by providing users with more decision-useful information about reportable segments in a public entity. The main provisions require a company to disclose, on an annual and interim basis, significant expenses included within each reported measure of segment profit or loss, an amount for other segment items by reportable segment and a description of its composition. ASU 2023-07 is to be applied retrospectively to all prior periods presented in the financial statements with an effective date for all public entities for fiscal years beginning after December 15, 2023, and interim periods within fiscal years beginning after December 15, 2024. Early adoption is permitted. The Company is currently evaluating the impact of this standard on its financial statements and related disclosures.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of this pronouncement.</w:t>
      </w:r>
    </w:p>
    <w:p>
      <w:pPr>
        <w:spacing w:after="0" w:line="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Concentrations of credit risk and other risks and uncertainties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6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depicts the disaggregation of revenue by sales channel mix and customer mix as defined by the nature of workflows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40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0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50"/>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sales channel</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39,743</w:t>
            </w:r>
          </w:p>
        </w:tc>
        <w:tc>
          <w:tcPr>
            <w:tcW w:w="10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108,612</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100,223</w:t>
            </w:r>
          </w:p>
        </w:tc>
      </w:tr>
      <w:tr>
        <w:trPr>
          <w:trHeight w:val="26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 channel</w:t>
            </w: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34,559</w:t>
            </w:r>
          </w:p>
        </w:tc>
      </w:tr>
      <w:tr>
        <w:trPr>
          <w:trHeight w:val="24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142,977</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134,782</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40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Academia and government </w:t>
            </w: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59,849</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55,721</w:t>
            </w:r>
          </w:p>
        </w:tc>
      </w:tr>
      <w:tr>
        <w:trPr>
          <w:trHeight w:val="211"/>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 distributor and</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5"/>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contract research organizations </w:t>
            </w: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83,128</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79,061</w:t>
            </w:r>
          </w:p>
        </w:tc>
      </w:tr>
      <w:tr>
        <w:trPr>
          <w:trHeight w:val="27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by geographical markets is presented in Note 22.</w:t>
      </w:r>
    </w:p>
    <w:p>
      <w:pPr>
        <w:spacing w:after="0" w:line="113" w:lineRule="exact"/>
        <w:rPr>
          <w:sz w:val="20"/>
          <w:szCs w:val="20"/>
          <w:color w:val="auto"/>
        </w:rPr>
      </w:pPr>
    </w:p>
    <w:p>
      <w:pPr>
        <w:jc w:val="both"/>
        <w:ind w:firstLine="1134"/>
        <w:spacing w:after="0" w:line="268" w:lineRule="auto"/>
        <w:rPr>
          <w:sz w:val="20"/>
          <w:szCs w:val="20"/>
          <w:color w:val="auto"/>
        </w:rPr>
      </w:pPr>
      <w:r>
        <w:rPr>
          <w:rFonts w:ascii="Times New Roman" w:cs="Times New Roman" w:eastAsia="Times New Roman" w:hAnsi="Times New Roman"/>
          <w:sz w:val="14"/>
          <w:szCs w:val="14"/>
          <w:color w:val="auto"/>
        </w:rPr>
        <w:t>*In the third quarter of 2024, management identified a misclassification in the Company's historical interim financial statements for the second quarter of 2024 relating to $14.2 million in the disaggregation of revenue by customer mix for the six months ended June 30, 2024. This misclassification impacts only the previously issued historical interim financial statements for the second quarter of 2024. There is no net impact on the total revenue for the three and six months ended June 30, 2024. The Company corrected the error in the third quarter of 2024 and concluded the error was not material to the previously issued interim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satisfied) as of September 30,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3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38,999</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3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deferred revenue from contracts with customers, and customer deposits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Customer deposits, which are included in 'Other current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140"/>
              <w:spacing w:after="0"/>
              <w:rPr>
                <w:sz w:val="20"/>
                <w:szCs w:val="20"/>
                <w:color w:val="auto"/>
              </w:rPr>
            </w:pPr>
            <w:r>
              <w:rPr>
                <w:rFonts w:ascii="Times New Roman" w:cs="Times New Roman" w:eastAsia="Times New Roman" w:hAnsi="Times New Roman"/>
                <w:sz w:val="18"/>
                <w:szCs w:val="18"/>
                <w:color w:val="auto"/>
              </w:rPr>
              <w:t>The following provides a roll-forward of the contract liabilities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rent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refund receivable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warranty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140"/>
              <w:spacing w:after="0"/>
              <w:rPr>
                <w:sz w:val="20"/>
                <w:szCs w:val="20"/>
                <w:color w:val="auto"/>
              </w:rPr>
            </w:pPr>
            <w:r>
              <w:rPr>
                <w:rFonts w:ascii="Times New Roman" w:cs="Times New Roman" w:eastAsia="Times New Roman" w:hAnsi="Times New Roman"/>
                <w:sz w:val="18"/>
                <w:szCs w:val="18"/>
                <w:color w:val="auto"/>
              </w:rPr>
              <w:t>For the product warranty analysis refer to Note 20.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other current liabilities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loan and line of credit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75"/>
        </w:trPr>
        <w:tc>
          <w:tcPr>
            <w:tcW w:w="4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2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48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226,078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 active</w:t>
            </w:r>
          </w:p>
        </w:tc>
        <w:tc>
          <w:tcPr>
            <w:tcW w:w="2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4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4"/>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476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U.S. Treasury securities with final maturities of three months or less are classified as cash equivalents. U.S. Treasury securities with final maturities greater than three months but less than one year are classified as short-term investments.</w:t>
      </w:r>
    </w:p>
    <w:p>
      <w:pPr>
        <w:spacing w:after="0" w:line="5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financial assets measured at fair value on a recurring basis to or from Level 1, Level 2 or Level 3 for any of the periods presented.</w:t>
      </w:r>
    </w:p>
    <w:p>
      <w:pPr>
        <w:spacing w:after="0" w:line="54"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the Company's investments in privately held equity securities. Non-marketable equity investments of $1.6 million are included within Other noncurrent assets on the consolidated balance sheet as of September 30, 2024.</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21" w:lineRule="exact"/>
        <w:rPr>
          <w:sz w:val="20"/>
          <w:szCs w:val="20"/>
          <w:color w:val="auto"/>
        </w:rPr>
      </w:pPr>
    </w:p>
    <w:p>
      <w:pPr>
        <w:ind w:right="18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September 30,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22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9"/>
                <w:szCs w:val="9"/>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0" w:type="dxa"/>
            <w:vAlign w:val="bottom"/>
          </w:tcPr>
          <w:p>
            <w:pPr>
              <w:spacing w:after="0"/>
              <w:rPr>
                <w:sz w:val="1"/>
                <w:szCs w:val="1"/>
                <w:color w:val="auto"/>
              </w:rPr>
            </w:pPr>
          </w:p>
        </w:tc>
      </w:tr>
      <w:tr>
        <w:trPr>
          <w:trHeight w:val="28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115,505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0580" w:type="dxa"/>
            <w:vAlign w:val="bottom"/>
            <w:gridSpan w:val="14"/>
          </w:tcPr>
          <w:p>
            <w:pPr>
              <w:ind w:left="1140"/>
              <w:spacing w:after="0"/>
              <w:rPr>
                <w:sz w:val="20"/>
                <w:szCs w:val="20"/>
                <w:color w:val="auto"/>
              </w:rPr>
            </w:pPr>
            <w:r>
              <w:rPr>
                <w:rFonts w:ascii="Times New Roman" w:cs="Times New Roman" w:eastAsia="Times New Roman" w:hAnsi="Times New Roman"/>
                <w:sz w:val="18"/>
                <w:szCs w:val="18"/>
                <w:color w:val="auto"/>
                <w:w w:val="99"/>
              </w:rPr>
              <w:t>The following table summarizes the contractual maturities of the Company's available-for-sale securities at September 30, 2024 (in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115,505</w:t>
            </w:r>
          </w:p>
        </w:tc>
        <w:tc>
          <w:tcPr>
            <w:tcW w:w="0" w:type="dxa"/>
            <w:vAlign w:val="bottom"/>
          </w:tcPr>
          <w:p>
            <w:pPr>
              <w:spacing w:after="0"/>
              <w:rPr>
                <w:sz w:val="1"/>
                <w:szCs w:val="1"/>
                <w:color w:val="auto"/>
              </w:rPr>
            </w:pPr>
          </w:p>
        </w:tc>
      </w:tr>
      <w:tr>
        <w:trPr>
          <w:trHeight w:val="27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115,375</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115,505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8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December 31, 2023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9"/>
                <w:szCs w:val="9"/>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47,366</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center"/>
              <w:ind w:left="816"/>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35,818</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0" w:type="dxa"/>
            <w:vAlign w:val="bottom"/>
          </w:tcPr>
          <w:p>
            <w:pPr>
              <w:spacing w:after="0"/>
              <w:rPr>
                <w:sz w:val="1"/>
                <w:szCs w:val="1"/>
                <w:color w:val="auto"/>
              </w:rPr>
            </w:pPr>
          </w:p>
        </w:tc>
      </w:tr>
      <w:tr>
        <w:trPr>
          <w:trHeight w:val="25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2"/>
                <w:szCs w:val="22"/>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December 31, 2023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95,111</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property and equipment, net (in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Total depreciation expense for the three and nine months ended September 30, 2024 was $0.9 million and $2.6 million, respectively. Total depreciation expense for the three and nine months ended September 30, 2023 was $0.9 million and $2.0 million, respectively.</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On February 28, 2023, the Company completed the FCI Acquisition for an aggregate cash consideration of $44.9 million.</w:t>
      </w:r>
    </w:p>
    <w:p>
      <w:pPr>
        <w:spacing w:after="0" w:line="11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FCI Acquisition expanded the Company's product portfolio to include high-resolution cell images with the speed, sensitivity and phenotyping abilities of flow cytometry and added cost-effective, entry-level and personal instrument options to broaden the market and research areas the Company services.</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The purchase price has been allocated to tangible assets and identifiable intangible assets acquired and liabilities assumed based upon their estimated fair values, with the exception of contract liabilities assumed which are recognized and measured in accordance with ASC 606, Revenue from Contracts with Customers. The Company finalized its accounting for the FCI Acquisition during the fourth quarter of 2023.</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the following changes as a result of measurement period adjustments to the fair value of the initial assets:</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increased by $1.4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increased by $0.6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increased by $0.1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technologies increased by a total $0.7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names increased by $0.2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measurement period adjustments noted above decreased goodwill by $3.0 million.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assets acquired and liabilities assumed at the date of the FCI Acquisition: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thousands)</w:t>
            </w:r>
          </w:p>
        </w:tc>
      </w:tr>
      <w:tr>
        <w:trPr>
          <w:trHeight w:val="33"/>
        </w:trPr>
        <w:tc>
          <w:tcPr>
            <w:tcW w:w="9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Amnis ImageStream developed technology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Guava easyCyte and Muse developed technology</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Amnis FlowSight and CellStream developed technology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Amnis trade name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Guava trade name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57"/>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44,895</w:t>
            </w:r>
          </w:p>
        </w:tc>
      </w:tr>
      <w:tr>
        <w:trPr>
          <w:trHeight w:val="21"/>
        </w:trPr>
        <w:tc>
          <w:tcPr>
            <w:tcW w:w="9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$6.0 million of goodwill arising from the FCI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spacing w:after="0" w:line="193"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04"/>
        </w:trPr>
        <w:tc>
          <w:tcPr>
            <w:tcW w:w="8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(In thousands, except for years)</w:t>
            </w:r>
          </w:p>
        </w:tc>
      </w:tr>
      <w:tr>
        <w:trPr>
          <w:trHeight w:val="3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5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8"/>
              </w:rPr>
              <w:t>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Amnis ImageStream developed technology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88"/>
              </w:rPr>
              <w:t>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Guava easyCyte and Muse developed technology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5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8"/>
              </w:rPr>
              <w:t>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Amnis FlowSight and CellStream developed technology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88"/>
              </w:rPr>
              <w:t>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Amnis trade name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Guava trade name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58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88"/>
              </w:rPr>
              <w:t>3</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580" w:type="dxa"/>
            <w:vAlign w:val="bottom"/>
            <w:tcBorders>
              <w:bottom w:val="single" w:sz="8" w:color="CCEEFF"/>
            </w:tcBorders>
            <w:shd w:val="clear" w:color="auto" w:fill="CCEEFF"/>
          </w:tcPr>
          <w:p>
            <w:pPr>
              <w:spacing w:after="0"/>
              <w:rPr>
                <w:sz w:val="24"/>
                <w:szCs w:val="24"/>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spacing w:after="0" w:line="108"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fair value of the intangible assets acquired were estimated using variations of the income approach. 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benchmarked with reference to the implied rate of return from the transaction model and the weighted average cost of capital.</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All acquired intangibles are being amortized over their estimated useful lives using the straight-line method of amortization.</w:t>
      </w:r>
    </w:p>
    <w:p>
      <w:pPr>
        <w:spacing w:after="0" w:line="117"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results of operations for the FCI Business are included in the consolidated financial statements of the Company from the date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102870</wp:posOffset>
            </wp:positionV>
            <wp:extent cx="1945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Reagent license</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5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23,084</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Total amortization expense for the three and nine months ended September 30, 2024 was approximately $0.9 million and $2.8 million, respectively. Total amortization expense for the three and nine months ended September 30, 2023 was approximately $0.9 million and $2.4 million, respectively.</w:t>
      </w:r>
    </w:p>
    <w:p>
      <w:pPr>
        <w:spacing w:after="0" w:line="6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settlement liability</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 million, (ii) a low single digit royalty payment for ten years, based on net sales of certain of its products,</w:t>
      </w:r>
    </w:p>
    <w:p>
      <w:pPr>
        <w:spacing w:after="0" w:line="1" w:lineRule="exact"/>
        <w:rPr>
          <w:sz w:val="20"/>
          <w:szCs w:val="20"/>
          <w:color w:val="auto"/>
        </w:rPr>
      </w:pPr>
    </w:p>
    <w:p>
      <w:pPr>
        <w:jc w:val="both"/>
        <w:ind w:firstLine="8"/>
        <w:spacing w:after="0" w:line="255"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78"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7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$0.1 million and $0.5 million of interest expense for the three and nine months ended September 30, 2024, respectively, and $0.5 million and $1.3 million of interest expense for the three and nine months ended September 30, 2023, respectively, to accrete the present value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$19.6 million and $19.0 million as of September 30, 2024 and December 31, 2023, respectively, and will record licensing expense in future periods.</w:t>
      </w:r>
    </w:p>
    <w:p>
      <w:pPr>
        <w:spacing w:after="0" w:line="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the legal settlement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102870</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legal settlement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September 30, 2024, the total loan amount left is $1.8 million. The current portion of the loan, $0.6 million, is included in other current liabilities. The fixed interest rate on the loan was 4.5%.</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16, 2024, the Company signed a maximum credit agreement with Bank of Communications, China for 40 million Chinese renminbi (approximately US $5.7 million). This credit is collateralized by the Wuxi building purchased in November 2023. 20 million Chinese renminbi (approximately US $2.8 million) under the credit agreement serves as collateral for the Wuxi Loan. The remaining 20 million Chinese renminbi (approximately US $2.8 million) can be borrowed, as needed, as a short-term loan for normal business operation requirements. The line of credit is available from December 25, 2023 to December 25, 2024.</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28, 2024, based on the above mentioned line of credit, Cytek Wuxi entered into a one year loan agreement with Bank of Communications, China. The loan is denominated in Chinese renminbi and collateralized by the building purchased by Cytek Wuxi in November 2023. The total loan amount was 10 million Chinese renminbi (approximately US $1.4 million) and the interest rate is fixed at 3.45%. The loan effective term is February 28, 2024 to February 28, 2025. The interest expenses are paid on a monthly basis. The loan will be used for operating expenses. The current portion of the line of credit loan of 10 million Chinese renminbi (approximately US $1.4 million) is included in other current liabilities.</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August 26, 2022, the Company filed with the SEC an automatic shelf registration statement on Form S-3ASR (File No. 333-267118) (the “Registration Statement”). In connection with the filing of the Registration Statement, the Company also entered into the “2022 Sales Agreement”-with Piper Sandler &amp; Co. (“Piper”) as sales agent to sell from time to time up to $150 million of the Company’s common stock through an “at-the-market” offering program as defined in Rule 415 promulgated under the Securities Act.</w:t>
      </w:r>
    </w:p>
    <w:p>
      <w:pPr>
        <w:spacing w:after="0" w:line="7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September 30, 2024,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has not made any sales of common stock pursuant to the 2022 Sales Agreement. Accordingly, $0.7 million in transaction expenses recorded as prepaid offering costs have not yet been expensed in transaction expenses recorded.</w:t>
      </w:r>
    </w:p>
    <w:p>
      <w:pPr>
        <w:spacing w:after="0" w:line="54"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On May 17, 2023, the Board of Directors approved a program for the repurchase by the Company of up to an aggregate of $50 million of its outstanding common stock. During the three months ended December 31, 2023, the Company repurchased 5,332,769 shares of its outstanding common stock for a total cost of approximately $34.6 million at an average price per share of $6.49. During the twelve months ended December 31, 2023, the Company repurchased 6,613,780 shares of its outstanding common stock for a total cost of approximately $44.0 million at an average price per share of $6.66. The commissions costs related with the repurchases were $0.1 million for both the three months and twelve months ended December 31, 2023. The repurchase program was used to return capital to shareholders and to minimize the dilutive impact of stock options and other stock-based awards. The repurchased shares of common stock were retired. The repurchase program expired on December 31, 2023.</w:t>
      </w:r>
    </w:p>
    <w:p>
      <w:pPr>
        <w:spacing w:after="0" w:line="8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June 6, 2024, the Board of Directors approved a program for the repurchase by the Company of up to an aggregate of $50 million of its outstanding common stock. The program will end on December 31, 2024. During the three months ended September 30, 2024, the Company repurchased 2,194,355 shares of its outstanding common stock for a total cost of approximately $11.9 million at an average price per share of $5.41. As of September 30, 2024, the Company has a remaining authorized amount of $35.4 million in the repurchase program.</w:t>
      </w:r>
    </w:p>
    <w:p>
      <w:pPr>
        <w:spacing w:after="0" w:line="7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To date, pursuant to the Company repurchase programs, the Company has purchased an aggregate of 9,252,454 shares of its outstanding common stock for a total cost of approximately $58.6 million at an average price per share of $6.33. The repurchase programs were used to return capital to shareholders and to minimize the dilutive impact of stock options and other stock-based awards. The repurchased shares of common stock were retired.</w:t>
      </w:r>
    </w:p>
    <w:p>
      <w:pPr>
        <w:spacing w:after="0" w:line="54" w:lineRule="exact"/>
        <w:rPr>
          <w:sz w:val="20"/>
          <w:szCs w:val="20"/>
          <w:color w:val="auto"/>
        </w:rPr>
      </w:pPr>
    </w:p>
    <w:p>
      <w:pPr>
        <w:ind w:right="20" w:firstLine="1134"/>
        <w:spacing w:after="0" w:line="242"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2023 and September 30, 2024, the Company accrued $0.3 million and $0.4 million in excise taxes related with its share repurchases. As of September 30, 2024, these excise taxes are still outstanding.</w:t>
      </w:r>
    </w:p>
    <w:p>
      <w:pPr>
        <w:spacing w:after="0" w:line="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Plans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 of September 30, 2024, the Company had three stock-based compensation plans (the “Plans”) which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Equity Incentive Plan</w:t>
      </w:r>
    </w:p>
    <w:p>
      <w:pPr>
        <w:spacing w:after="0" w:line="11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 March 2015, the Board approved the 2015 Equity Incentive Plan (the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1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Company's initial public offering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September 30, 2024, the total number of shares of common stock available for issuance under the 2021 Plan was 22,156,380 shares.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nine months ended September 30, 2024, 210,496 shares were issued pursuant to purchases under the ESPP. As of September 30, 2024, the total number of shares of common stock available for issuance under the ESPP was 5,298,874 shares.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valuation assumptions</w:t>
      </w:r>
    </w:p>
    <w:p>
      <w:pPr>
        <w:spacing w:after="0" w:line="11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shows stock option activity during the periods indicated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4"/>
        </w:trPr>
        <w:tc>
          <w:tcPr>
            <w:tcW w:w="448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r>
      <w:tr>
        <w:trPr>
          <w:trHeight w:val="23"/>
        </w:trPr>
        <w:tc>
          <w:tcPr>
            <w:tcW w:w="44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7,219,702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5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8,118,830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21"/>
                <w:szCs w:val="21"/>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w:t>
            </w: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September 30,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5,279,627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September 30, 2023 was $4.91 per share. No options were granted during the three months ended September 30, 2024. The weighted-average grant date fair value of options granted during the nine months ended September 30, 2024 and 2023 were $4.61 and $6.64 per share, respectively.</w:t>
      </w:r>
    </w:p>
    <w:p>
      <w:pPr>
        <w:spacing w:after="0" w:line="68"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There was $17.6 million and $24.1 million of unrecognized stock-based compensation expense related to unvested stock options as of September 30, 2024 and 2023, respectively. The unrecognized stock-based compensation expense is estimated to be recognized over a period of 2.40 years and 2.12 years as of September 30, 2024 and 2023, respectively.</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option exercises.</w:t>
      </w:r>
    </w:p>
    <w:p>
      <w:pPr>
        <w:spacing w:after="0" w:line="11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and the estimated fair value of the Company’s common stock as of September 30, 2024.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RSU awards activity during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r>
      <w:tr>
        <w:trPr>
          <w:trHeight w:val="190"/>
        </w:trPr>
        <w:tc>
          <w:tcPr>
            <w:tcW w:w="4480" w:type="dxa"/>
            <w:vAlign w:val="bottom"/>
          </w:tcPr>
          <w:p>
            <w:pPr>
              <w:spacing w:after="0"/>
              <w:rPr>
                <w:sz w:val="16"/>
                <w:szCs w:val="16"/>
                <w:color w:val="auto"/>
              </w:rPr>
            </w:pP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13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4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2,608,257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w:t>
            </w: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3,466,060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(986,704)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(459,216)</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7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4,628,397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There were $36.3 million and $29.0 million of unrecognized stock-based compensation expense related to unvested RSU awards as of September 30, 2024 and 2023, respectively. The unrecognized stock-based compensation expense is estimated to be recognized over a period of 3.01 years and 3.21 years as of September 30, 2024 and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allocation of stock-based compensation expense related to the Company’s stock-based awards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4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r>
      <w:tr>
        <w:trPr>
          <w:trHeight w:val="23"/>
        </w:trPr>
        <w:tc>
          <w:tcPr>
            <w:tcW w:w="4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6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5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weighted-average valuation assumptions used in determining the fair value of employee stock options: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6"/>
        </w:trPr>
        <w:tc>
          <w:tcPr>
            <w:tcW w:w="5360" w:type="dxa"/>
            <w:vAlign w:val="bottom"/>
            <w:gridSpan w:val="2"/>
          </w:tcPr>
          <w:p>
            <w:pPr>
              <w:ind w:left="49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5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6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30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estimating the fair value of the ESPP for the current offering period using the Black-Scholes option-pricing model:</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6"/>
        </w:trPr>
        <w:tc>
          <w:tcPr>
            <w:tcW w:w="5360" w:type="dxa"/>
            <w:vAlign w:val="bottom"/>
            <w:gridSpan w:val="2"/>
          </w:tcPr>
          <w:p>
            <w:pPr>
              <w:ind w:left="49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6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Employee benefit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retirement savings plan</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 currently maintains a 401(k) retirement savings plan that covers substantially all of its employees (the “401(k) Plan”). The 401(k) Plan permits voluntary contributions by employees, a portion of which are matched by the Company. The Company’s contributions to the 401(k) Plan were approximately $433,036 and $1,417,061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respectively. The Company’s contributions to the 401(k) Plan were approximately $469,000 and $1,238,000 for the three and nine months ended September 30, 2023, respectively.</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9"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from continuing operations was 2.1% and 11.0% for the nine months ended September 30, 2024 and 2023, respectively. The Company’s effective income tax rate for the nine months ended September 30, 2024 is lower than the U.S. federal statutory tax rate due to the impact of non-deductible stock-based compensation and the Company's mix of earnings and losses between various taxing jurisdictions, partially offset by a deduction for foreign-sourced income and federal and state research credits. The effective income rate for the nine months ended September 30, 2023 was lower than the U.S. federal statutory tax rate primarily due to state income taxes, and non-deductible stock-based compensation, partially offset by a deduction for foreign-sourced income, and federal and state research credits.</w:t>
      </w:r>
    </w:p>
    <w:p>
      <w:pPr>
        <w:spacing w:after="0" w:line="7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Company's benefit from income taxes consists primarily of provision for federal taxes and local taxes in the United States as well as foreign taxes. Any changes in the United States and foreign taxation of our activities may increase the Company's overall provision for income taxes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(benefit from) provision for income taxes for the three and nine months ended September 30, 2024 and 2023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4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6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0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5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2,271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(3,055)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773"/>
        </w:trPr>
        <w:tc>
          <w:tcPr>
            <w:tcW w:w="5020" w:type="dxa"/>
            <w:vAlign w:val="bottom"/>
          </w:tcPr>
          <w:p>
            <w:pPr>
              <w:spacing w:after="0"/>
              <w:rPr>
                <w:sz w:val="24"/>
                <w:szCs w:val="24"/>
                <w:color w:val="auto"/>
              </w:rPr>
            </w:pPr>
          </w:p>
        </w:tc>
        <w:tc>
          <w:tcPr>
            <w:tcW w:w="304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24"/>
                <w:szCs w:val="24"/>
                <w:color w:val="auto"/>
              </w:rPr>
            </w:pPr>
          </w:p>
        </w:tc>
        <w:tc>
          <w:tcPr>
            <w:tcW w:w="16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24"/>
                <w:szCs w:val="24"/>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0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5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(2,169)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1,809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7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Benefit from income taxes was $0.8 million for the three months ended September 30, 2024, as compared to a provision for income taxes of $2.3 million for the three months ended September 30, 2023. The net change of $3.1 million for the three months ended September 30, 2024 was primarily due to the reversal in the three months ended September 30, 2023 of the tax benefit from the six months ended June 30, 2023 due to a lower effective tax rate for the nine months ended September 30, 2023, and in the three months ended September 30, 2024 an adjustment to tax expense to account for the settlement price of restricted stock units settled in the quarter being lower than the grant price.</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Benefit from income taxes was $0.4 million for the nine months ended September 30, 2024, as compared to a benefit from income taxes of $2.2 million for the nine months ended September 30, 2023. The net decrease in tax benefit of $1.8 million for the nine months ended September 30, 2024 is primarily due to a lower projected loss and lower R&amp;D credits in 2024 which caused a reduction in the effective tax rate.</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tab/>
        <w:t>Lease</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leases office facilities and equipment from unrelated parties under operating lease agreements that have initial terms ranging from 1 to 7.25 years. Some leases include one or more options to renew, generally at the Company's sole discretion, with renewal terms that can extend the lease term up to 5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was a sub-lessor in an agreement with a term of 3 years that ended in March 2024.</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The components of lease expense are as follows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2,388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 the three and nine months ended September 30, 2024, sublease income was $0 and $57,000 recorded as other income.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63"/>
        </w:trPr>
        <w:tc>
          <w:tcPr>
            <w:tcW w:w="8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9"/>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other 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75"/>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rPr>
              <w:t>4.68</w:t>
            </w:r>
          </w:p>
        </w:tc>
      </w:tr>
      <w:tr>
        <w:trPr>
          <w:trHeight w:val="270"/>
        </w:trPr>
        <w:tc>
          <w:tcPr>
            <w:tcW w:w="8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w w:val="95"/>
              </w:rPr>
              <w:t>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5"/>
              </w:rPr>
              <w:t>2.7%</w:t>
            </w:r>
          </w:p>
        </w:tc>
      </w:tr>
    </w:tbl>
    <w:p>
      <w:pPr>
        <w:spacing w:after="0" w:line="171"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 September 30, 2024 is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57"/>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r>
      <w:tr>
        <w:trPr>
          <w:trHeight w:val="24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75"/>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cloud computing and other information technology services. As of September 30, 2024, future payments under these contractual obligations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8" w:lineRule="exact"/>
        <w:rPr>
          <w:sz w:val="20"/>
          <w:szCs w:val="20"/>
          <w:color w:val="auto"/>
        </w:rPr>
      </w:pPr>
    </w:p>
    <w:p>
      <w:pPr>
        <w:ind w:right="460" w:firstLine="1134"/>
        <w:spacing w:after="0" w:line="243"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and claims. On August 14, 2024, Beckman Coulter, Inc. (“Beckman Coulter”) sued the Company in federal court in the District of Delaware, alleging that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 Company's Aurora, Northern Lights and Northern Lights-CLC flow cytometers and Aurora CS cell sorters infringe U.S. Patent Nos. 10,330,582 and 11,703,443, each titled “Flow Cytometer ” On October 7, 2024, the Company filed an answer denying any liability and including a counterclaim against Beckman Coulter for false patent marking. On October 28, 2024, Beckman Coulter filed an answer to the counterclaim, denying liability. A case schedule has not been entered yet. The Company intends to vigorously defend itself and pursue the counterclaim.</w:t>
      </w:r>
    </w:p>
    <w:p>
      <w:pPr>
        <w:spacing w:after="0" w:line="86"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Investment in Cytek Japan</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loss for the year ended December 31, 2022.</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a controlling interest. The Company consolidated Cytek Japan as of March 31, 2021.</w:t>
      </w:r>
    </w:p>
    <w:p>
      <w:pPr>
        <w:spacing w:after="0" w:line="68" w:lineRule="exact"/>
        <w:rPr>
          <w:sz w:val="20"/>
          <w:szCs w:val="20"/>
          <w:color w:val="auto"/>
        </w:rPr>
      </w:pPr>
    </w:p>
    <w:p>
      <w:pPr>
        <w:ind w:right="360" w:firstLine="1134"/>
        <w:spacing w:after="0" w:line="282" w:lineRule="auto"/>
        <w:rPr>
          <w:sz w:val="20"/>
          <w:szCs w:val="20"/>
          <w:color w:val="auto"/>
        </w:rPr>
      </w:pPr>
      <w:r>
        <w:rPr>
          <w:rFonts w:ascii="Times New Roman" w:cs="Times New Roman" w:eastAsia="Times New Roman" w:hAnsi="Times New Roman"/>
          <w:sz w:val="18"/>
          <w:szCs w:val="18"/>
          <w:color w:val="auto"/>
        </w:rPr>
        <w:t>The Company recognized net assets of $1.1 million, consisting primarily of $1.0 million cash. The Company recorded a noncontrolling interest of $315,000 on the unaudited interim consolidated financial statements as of March 31, 2021.</w:t>
      </w:r>
    </w:p>
    <w:p>
      <w:pPr>
        <w:spacing w:after="0" w:line="54"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In January 2023, the Company purchased an additional $235,000 of common stock of Cytek Japan. Cytek Japan became a wholly-owned subsidiary of the Company.</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activity in the product warranty accrual included in accrued expenses on the consolidated balance sheets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8"/>
              </w:rPr>
              <w:t>2,126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current year warranties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left="616"/>
              <w:spacing w:after="0"/>
              <w:rPr>
                <w:sz w:val="20"/>
                <w:szCs w:val="20"/>
                <w:color w:val="auto"/>
              </w:rPr>
            </w:pPr>
            <w:r>
              <w:rPr>
                <w:rFonts w:ascii="Times New Roman" w:cs="Times New Roman" w:eastAsia="Times New Roman" w:hAnsi="Times New Roman"/>
                <w:sz w:val="18"/>
                <w:szCs w:val="18"/>
                <w:color w:val="auto"/>
                <w:w w:val="98"/>
              </w:rPr>
              <w:t>3,540</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cost incurred</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rPr>
              <w:t>(2,861)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8"/>
              </w:rPr>
              <w:t>2,805</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Net income (loss) per share</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for the three and nine months ended September 30, 2024 and 2023 (in thousands except share and per share data):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2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0" w:type="dxa"/>
            <w:vAlign w:val="bottom"/>
          </w:tcPr>
          <w:p>
            <w:pPr>
              <w:spacing w:after="0"/>
              <w:rPr>
                <w:sz w:val="1"/>
                <w:szCs w:val="1"/>
                <w:color w:val="auto"/>
              </w:rPr>
            </w:pPr>
          </w:p>
        </w:tc>
      </w:tr>
      <w:tr>
        <w:trPr>
          <w:trHeight w:val="211"/>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common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0" w:type="dxa"/>
            <w:vAlign w:val="bottom"/>
          </w:tcPr>
          <w:p>
            <w:pPr>
              <w:spacing w:after="0"/>
              <w:rPr>
                <w:sz w:val="1"/>
                <w:szCs w:val="1"/>
                <w:color w:val="auto"/>
              </w:rPr>
            </w:pPr>
          </w:p>
        </w:tc>
      </w:tr>
      <w:tr>
        <w:trPr>
          <w:trHeight w:val="241"/>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131,003,744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136,173,278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131,121,301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135,862,905</w:t>
            </w:r>
          </w:p>
        </w:tc>
        <w:tc>
          <w:tcPr>
            <w:tcW w:w="0" w:type="dxa"/>
            <w:vAlign w:val="bottom"/>
          </w:tcPr>
          <w:p>
            <w:pPr>
              <w:spacing w:after="0"/>
              <w:rPr>
                <w:sz w:val="1"/>
                <w:szCs w:val="1"/>
                <w:color w:val="auto"/>
              </w:rPr>
            </w:pPr>
          </w:p>
        </w:tc>
      </w:tr>
      <w:tr>
        <w:trPr>
          <w:trHeight w:val="277"/>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employee stock plans</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7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132,785,552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136,173,278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131,121,301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135,862,905</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per share, basic</w:t>
            </w:r>
          </w:p>
        </w:tc>
        <w:tc>
          <w:tcPr>
            <w:tcW w:w="16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per share, diluted</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diluted EPS includes the impact of outstanding RSUs, and stock options, while shares from the ESPP were excluded due to their anti-dilutive effect. The basic weighted average shares outstanding were 131,003,744. The treasury stock method was applied to add 1,754,814 shares from stock options and 26,994 shares from RSUs.</w:t>
      </w:r>
    </w:p>
    <w:p>
      <w:pPr>
        <w:spacing w:after="0" w:line="68"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Stock-based compensation awards of approximately 9.4 million and 6.2 million equivalent shares for the nine months ended September 30, 2024 and September 30, 2023, respectively, were outstanding but were not included in the computation of the diluted net loss per share attributable to common stockholders, because the effect of including such shares would have been anti-dilutive in the periods presented.</w:t>
      </w: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Geographic areas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sells its products worldwide and attributes revenue to the geography where the product is delivered. The geographical distribution of revenue for the three and nine months ended September 30, 2024 and 2023 was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74,948</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33,469</w:t>
            </w:r>
          </w:p>
        </w:tc>
      </w:tr>
      <w:tr>
        <w:trPr>
          <w:trHeight w:val="26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r>
      <w:tr>
        <w:trPr>
          <w:trHeight w:val="25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27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142,977</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EMEA includes Europe, the Middle East and Africa; APAC includes Asia and the Pacific countries; Other includes Canada and Latin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had no major customers.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Company’s long-lived assets by geographic area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1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6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5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5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8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18,405</w:t>
            </w:r>
          </w:p>
        </w:tc>
      </w:tr>
      <w:tr>
        <w:trPr>
          <w:trHeight w:val="27"/>
        </w:trPr>
        <w:tc>
          <w:tcPr>
            <w:tcW w:w="61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and December 31, 2023, most of the Company’s long-lived assets were located in the United States and in Wuxi, China.</w:t>
      </w:r>
    </w:p>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24, 2024, the Company signed a maximum credit agreement with Bank of China, Wuxi Branch, for 37 million Chinese renminbi (approximately US $5.2 million). This credit is collateralized by the Cytek Wuxi's cash deposit to the bank. The 37 million Chinese renminbi (approximately US $5.2 million) can be borrowed, as needed, as a short-term loan for normal business operation requirements. The line of credit is available from October 24, 2024 to September 22,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October 28, 2024, the Company completed the acquisition of substantially all of the assets of Cytometric Engineering Ltd. (d.b.a. FlowCEL) for a purchase price of $1.3 million. The acquisition included certain receivables, inventory assets, services contracts, and two rental facilities. The acquisition was accounted for as a business acquisition in accordance with ASC 805.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113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2023 and the related Management’s Discussion and Analysis of Financial Condition and Results of Operations, both of which are contained in our Annual Report on Form 10-K filed with the Securities and Exchange Commission (the “SEC”) on March 13, 2024. Unless the context requires otherwise, references in this Quarterly Report on Form 10-Q to “we,” “us” and “our” refer to Cytek Biosciences,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w:t>
      </w:r>
    </w:p>
    <w:p>
      <w:pPr>
        <w:spacing w:after="0" w:line="75"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Our core FSP systems, the Cytek Aurora and Northern Lights flow cytometers,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(“Aurora CS”)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we have sold and deployed our instruments to customers around the world, including pharmaceutical companies, biopharma companies, academic research centers, and clinical research organizations (“CROs”).</w:t>
      </w:r>
    </w:p>
    <w:p>
      <w:pPr>
        <w:spacing w:after="0" w:line="8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On February 28, 2023, we completed the acquisition of certain assets (the “FCI Acquisition”) relating to the flow cytometry and imaging business of Luminex Corporation (“Luminex”), including relating to the business of manufacturing, marketing, selling, servicing and maintaining Amnis-and Guava-branded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The acquisition supports our plan to develop new products and capabilities with flow cytometry and imaging technology, expand our reach and offerings into customer sectors previously underserved, and increase the efficiency of our operations.</w:t>
      </w:r>
    </w:p>
    <w:p>
      <w:pPr>
        <w:spacing w:after="0" w:line="7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manufacture our instruments in our facilities in Fremont, California; Wuxi, China; and Seattle, Washington. We have designed our operating model to be capital efficient and to scale efficiently as our product volumes grow.</w:t>
      </w:r>
    </w:p>
    <w:p>
      <w:pPr>
        <w:ind w:right="200" w:firstLine="1134"/>
        <w:spacing w:after="0" w:line="239" w:lineRule="auto"/>
        <w:rPr>
          <w:sz w:val="20"/>
          <w:szCs w:val="20"/>
          <w:color w:val="auto"/>
        </w:rPr>
      </w:pPr>
      <w:r>
        <w:rPr>
          <w:rFonts w:ascii="Times New Roman" w:cs="Times New Roman" w:eastAsia="Times New Roman" w:hAnsi="Times New Roman"/>
          <w:sz w:val="18"/>
          <w:szCs w:val="18"/>
          <w:color w:val="auto"/>
        </w:rPr>
        <w:t>Total revenue for the three and nine months ended September 30, 2024 was $51.5 million and $143.0 million, respectively, representing a 7% increase and a 6% increase, respectively, compared to total revenue for the three and nine months ended September 30, 2023 of $48.0 million and $134.8 million, respectively. Total revenue for the three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months ended September 30, 2024 increased compared to total revenue for the three months ended September 30, 2023 primarily due to higher product revenue resulting from higher product sales in Europe, the Middle East and Africa (“EMEA”) and Asia and Pacific countries (“APAC”), particularly in the biotechnology and pharmaceutical market sector. The increase in total revenue for the nine months ended September 30, 2024 compared to total revenue for the nine months ended September 30, 2023 was due to higher service revenue as a result of a larger installed base of instruments generating service contracts and other service revenue, partially offset by lower product revenue in the period.</w:t>
      </w:r>
    </w:p>
    <w:p>
      <w:pPr>
        <w:spacing w:after="0" w:line="90"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77% and 76% of total revenue for the three and nine months ended September 30, 2024, respectively, and 77% and 74% for the three and nine months ended September 30, 2023, respectively. Revenue from distributors represented 23% and 24% of total revenue for the three and nine months ended September 30, 2024 and 23% and 26% for the three and nine months ended September 30, 2023.</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$9.9 million and $29.7 million for the three and nine months ended September 30, 2024, respectively, and $11.2 million and $33.3 million three and nine months ended September 30, 2023, respectively. While research and development expense was slightly lower in the three and nine months ended September 30, 2024 compared to the three and nine months ended September 30, 2023, we intend to continue to make significant investments in research and development in the future.</w:t>
      </w:r>
    </w:p>
    <w:p>
      <w:pPr>
        <w:spacing w:after="0" w:line="79"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$12.4 million and $37.2 million for the three and nine months ended September 30, 2024, respectively, and $12.1 million and $37.6 million for the three and nine months ended September 30, 2023, respectively.</w:t>
      </w:r>
    </w:p>
    <w:p>
      <w:pPr>
        <w:spacing w:after="0" w:line="7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Since our inception in 2014, we have financed our operations primarily through sales of our securities and revenue from the sale of our products and services.</w:t>
      </w:r>
    </w:p>
    <w:p>
      <w:pPr>
        <w:spacing w:after="0" w:line="5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Our net income (loss) was $0.9 million and $(15.7) million for the three and nine months ended September 30, 2024, respectively, and our net loss was $6.5 million and $17.7 million for the three and nine months ended September 30, 2023, respectively. The increase in net income (loss) for the three months ended September 30, 2024 compared to the three months ended September 30, 2023 resulted primarily from a lower loss from operations compared to the prior period, a foreign exchange gain compared to a loss in the prior period and a tax benefit compared to a tax expense in the prior period. The decrease in net loss for the nine months ended September 30, 2024 compared to the nine months ended September 30, 2023 was primarily due to a lower loss from operations and lower interest expense, offset by lower interest income and lower net other income due to foreign exchange losses.</w:t>
      </w:r>
    </w:p>
    <w:p>
      <w:pPr>
        <w:spacing w:after="0" w:line="79" w:lineRule="exact"/>
        <w:rPr>
          <w:sz w:val="20"/>
          <w:szCs w:val="20"/>
          <w:color w:val="auto"/>
        </w:rPr>
      </w:pPr>
    </w:p>
    <w:p>
      <w:pPr>
        <w:ind w:right="460" w:firstLine="1134"/>
        <w:spacing w:after="0" w:line="375" w:lineRule="auto"/>
        <w:rPr>
          <w:sz w:val="20"/>
          <w:szCs w:val="20"/>
          <w:color w:val="auto"/>
        </w:rPr>
      </w:pPr>
      <w:r>
        <w:rPr>
          <w:rFonts w:ascii="Times New Roman" w:cs="Times New Roman" w:eastAsia="Times New Roman" w:hAnsi="Times New Roman"/>
          <w:sz w:val="18"/>
          <w:szCs w:val="18"/>
          <w:color w:val="auto"/>
        </w:rPr>
        <w:t xml:space="preserve">We expect our expenses to be relatively flat in the future but will continue to focus on developing new products and growing revenue. </w:t>
      </w:r>
      <w:r>
        <w:rPr>
          <w:rFonts w:ascii="Times New Roman" w:cs="Times New Roman" w:eastAsia="Times New Roman" w:hAnsi="Times New Roman"/>
          <w:sz w:val="18"/>
          <w:szCs w:val="18"/>
          <w:b w:val="1"/>
          <w:bCs w:val="1"/>
          <w:color w:val="auto"/>
        </w:rPr>
        <w:t>Key factors affecting our results of operations and future performance</w:t>
      </w:r>
    </w:p>
    <w:p>
      <w:pPr>
        <w:spacing w:after="0" w:line="1" w:lineRule="exact"/>
        <w:rPr>
          <w:sz w:val="20"/>
          <w:szCs w:val="20"/>
          <w:color w:val="auto"/>
        </w:rPr>
      </w:pPr>
    </w:p>
    <w:p>
      <w:pPr>
        <w:jc w:val="both"/>
        <w:ind w:right="20" w:firstLine="1134"/>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Global customer adoption</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in line with our growth.</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Revenue mix and gross margin</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Our revenue is primarily derived from sales of our instruments and services. Although we expect sales of our instruments to continue to represent the largest percentage of our revenue in the future, we expect service revenues to increase as a percentage of our total revenue as we grow our installed base. We expect a higher gross margin on our instruments as we increase the scale of our manufacturing operations as revenue grows and improve manufacturing efficiency. Our sales in certain regions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and as a result of variability in the timing of new product introductions.</w:t>
      </w:r>
    </w:p>
    <w:p>
      <w:pPr>
        <w:spacing w:after="0" w:line="8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key opinion leaders and industry partners. We plan to continue to invest in new product development and enhancements to support our expansion into new markets.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Our Northern Lights CLC system received CE Marking under the European Union In Vitro Diagnostic Medical Devices Directive in September 2020 and was registered in the European Union in compliance with Regulation (EU) 2017/746 on In Vitro Diagnostic Medical Devices in November 2023. The Northern Lights CLC system was also registered as a Class II In Vitro Diagnostic Medical Device in China. These registrations enable the Northern Lights CLC system to be marketed for clinical use in China, the European Union and in other countries around the world that accept the Certification of Free Sale issued from an EU Competent Authority.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metrics are representative of our current business; however, we anticipate these will change or may be substituted for additional or different metrics as our business grows.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channel mix:</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 sales channel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39,743</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57"/>
        </w:trPr>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Distributor channel</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34,559</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mix:</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Academia and government </w:t>
            </w: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59,849</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57"/>
        </w:trPr>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Biotechnology, pharmaceutical, distributor and CRO </w:t>
            </w: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83,128</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79,061</w:t>
            </w: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Distributors typically sell to end customers identified in other customer categories.</w:t>
      </w:r>
    </w:p>
    <w:p>
      <w:pPr>
        <w:spacing w:after="0" w:line="113" w:lineRule="exact"/>
        <w:rPr>
          <w:sz w:val="20"/>
          <w:szCs w:val="20"/>
          <w:color w:val="auto"/>
        </w:rPr>
      </w:pPr>
    </w:p>
    <w:p>
      <w:pPr>
        <w:jc w:val="both"/>
        <w:ind w:firstLine="1134"/>
        <w:spacing w:after="0" w:line="268" w:lineRule="auto"/>
        <w:rPr>
          <w:sz w:val="20"/>
          <w:szCs w:val="20"/>
          <w:color w:val="auto"/>
        </w:rPr>
      </w:pPr>
      <w:r>
        <w:rPr>
          <w:rFonts w:ascii="Times New Roman" w:cs="Times New Roman" w:eastAsia="Times New Roman" w:hAnsi="Times New Roman"/>
          <w:sz w:val="14"/>
          <w:szCs w:val="14"/>
          <w:color w:val="auto"/>
        </w:rPr>
        <w:t>*In the third quarter of 2024, management identified a misclassification in the Company's historical interim financial statements for the second quarter of 2024 relating to $14.2 million in the disaggregation of revenue by customer mix for the six months ended June 30, 2024. This misclassification impacts only the previously issued historical interim financial statements for the second quarter of 2024. There is no net impact on the total revenue for the three and six months ended June 30, 2024. The Company corrected the error in the third quarter of 2024 and concluded the error was not material to the previously issued interim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Events and Uncertainties</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Recent inflation trends may adversely affect our business and corresponding financial position and cash flows. Inflationary factors, such as increases in the cost of materials and supplies, interest rates and overhead costs may adversely affect our operating results. Many economists suggest that we should expect a higher recession risk to continue in the near term, which could result in further economic uncertainty and volatility in the 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future public health crises, the ongoing conflict between Russia and Ukraine, conflict in the Middle East or liquidity concerns at, and failure of, banks and other financial institutions.</w:t>
      </w:r>
    </w:p>
    <w:p>
      <w:pPr>
        <w:spacing w:after="0" w:line="8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Many of our pharmaceutical and biotech customers based in the United States have been impacted by macro-economic uncertainties related to the weakening economy, liquidity concerns in the broader financial services industry, such as those caused by recent banking failures, disruptions to and volatility in the credit and equity markets, and rising interest rates. We believe these factors contributed to longer sales cycles, which adversely impacted our operating results for the nine months ended September 30, 2024, and may adversely affect our operating results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 currently generate our total revenue, net from product revenue and service revenue.</w:t>
      </w:r>
    </w:p>
    <w:p>
      <w:pPr>
        <w:spacing w:after="0" w:line="11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Our product revenue primarily consists of sales of our instruments, including the Cytek Aurora, Northern Lights, Aurora 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72"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Our service revenue primarily consists of post-warranty service contracts, installations and repairs which are recognized over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Post-warranty service contracts are recognized ratably over the term of the contract and installations and repair services are recognized as they are delivered to the customer.</w:t>
      </w:r>
    </w:p>
    <w:p>
      <w:pPr>
        <w:spacing w:after="0" w:line="67"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We expect our revenue to increase as we broaden our customer base, increase our installed base, and expand awareness of our products with new and existing customers.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total cost of sales is comprised of product cost of sales and service cost of sales.</w:t>
      </w:r>
    </w:p>
    <w:p>
      <w:pPr>
        <w:spacing w:after="0" w:line="115"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Cost of sales associated with our products primarily consists of manufacturing-related costs incurred in the production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write-downs, warranty costs, third party royalty costs, personnel and related costs, costs of component materials, overhead, packaging and delivery and depreciation expense.</w:t>
      </w:r>
    </w:p>
    <w:p>
      <w:pPr>
        <w:spacing w:after="0" w:line="65" w:lineRule="exact"/>
        <w:rPr>
          <w:sz w:val="20"/>
          <w:szCs w:val="20"/>
          <w:color w:val="auto"/>
        </w:rPr>
      </w:pPr>
    </w:p>
    <w:p>
      <w:pPr>
        <w:jc w:val="both"/>
        <w:ind w:firstLine="1134"/>
        <w:spacing w:after="0" w:line="284"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Cost of sales associated with our services primarily consists of personnel and related costs, expenses related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replacements, product updates and qualification validation of our products, and depreciation expense.</w:t>
      </w:r>
    </w:p>
    <w:p>
      <w:pPr>
        <w:spacing w:after="0" w:line="5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5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operating expenses are primarily comprised of research and development, sales and marketing, general and administrative expenses, depreciation and amortization, and related overhead.</w:t>
      </w:r>
    </w:p>
    <w:p>
      <w:pPr>
        <w:spacing w:after="0" w:line="52"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primarily consist of salaries, benefits, stock-based compensation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employees in our research and development department, independent contractor costs, laboratory supplies, equipment maintenance and materials expenses.</w:t>
      </w:r>
    </w:p>
    <w:p>
      <w:pPr>
        <w:spacing w:after="0" w:line="6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Research and development expense may increase in absolute dollars in future periods due to our continuing investment in product development.</w:t>
      </w:r>
    </w:p>
    <w:p>
      <w:pPr>
        <w:spacing w:after="0" w:line="52"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salaries, benefits, and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sales and marketing department, sales commissions, marketing material costs, travel expenses and costs related to trade shows, trainings and various workshops. Sales and marketing expense may increase in absolute dollars in future periods.</w:t>
      </w:r>
    </w:p>
    <w:p>
      <w:pPr>
        <w:spacing w:after="0" w:line="6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employees in our executive, accounting and finance, legal and human resource functions, as well as professional services fees, such as consulting, audit, tax, legal, general corporate costs and allocated overhead expenses. The Company is focused on controlling its general and administrative expenses; however, these may increase in absolute dollars in future periods.</w:t>
      </w:r>
    </w:p>
    <w:p>
      <w:pPr>
        <w:spacing w:after="0" w:line="7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expect these expenses to vary from period to period as a percentage of revenue. As a result, our historical results of operations may not be indicative of our results of operations in future periods.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jc w:val="both"/>
        <w:ind w:firstLine="113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accretion of the present value of the litigation settlement liability. See Note 11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interim consolidated financial statements included elsewhere in this Quarterly Report on Form 10-Q for further details regarding the settlement.</w:t>
      </w:r>
    </w:p>
    <w:p>
      <w:pPr>
        <w:spacing w:after="0" w:line="50" w:lineRule="exact"/>
        <w:rPr>
          <w:sz w:val="20"/>
          <w:szCs w:val="20"/>
          <w:color w:val="auto"/>
        </w:rPr>
      </w:pPr>
    </w:p>
    <w:p>
      <w:pPr>
        <w:jc w:val="both"/>
        <w:ind w:right="20" w:firstLine="113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consists primarily of interest earned on our cash and cash equivalents which are invested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deposits and in money market funds.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Our other income (expense), net consists primarily of foreign exchange gains and losses.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(benefit from) provision for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and comprehensive loss data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9"/>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38,441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108,242</w:t>
            </w:r>
          </w:p>
        </w:tc>
        <w:tc>
          <w:tcPr>
            <w:tcW w:w="100" w:type="dxa"/>
            <w:vAlign w:val="bottom"/>
          </w:tcPr>
          <w:p>
            <w:pPr>
              <w:spacing w:after="0"/>
              <w:rPr>
                <w:sz w:val="22"/>
                <w:szCs w:val="22"/>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110,065</w:t>
            </w:r>
          </w:p>
        </w:tc>
        <w:tc>
          <w:tcPr>
            <w:tcW w:w="0" w:type="dxa"/>
            <w:vAlign w:val="bottom"/>
          </w:tcPr>
          <w:p>
            <w:pPr>
              <w:spacing w:after="0"/>
              <w:rPr>
                <w:sz w:val="1"/>
                <w:szCs w:val="1"/>
                <w:color w:val="auto"/>
              </w:rPr>
            </w:pPr>
          </w:p>
        </w:tc>
      </w:tr>
      <w:tr>
        <w:trPr>
          <w:trHeight w:val="257"/>
        </w:trPr>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24,717</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142,977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134,782</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45,557</w:t>
            </w: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12,847</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20,822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65,523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58,404</w:t>
            </w:r>
          </w:p>
        </w:tc>
        <w:tc>
          <w:tcPr>
            <w:tcW w:w="0" w:type="dxa"/>
            <w:vAlign w:val="bottom"/>
          </w:tcPr>
          <w:p>
            <w:pPr>
              <w:spacing w:after="0"/>
              <w:rPr>
                <w:sz w:val="1"/>
                <w:szCs w:val="1"/>
                <w:color w:val="auto"/>
              </w:rPr>
            </w:pPr>
          </w:p>
        </w:tc>
      </w:tr>
      <w:tr>
        <w:trPr>
          <w:trHeight w:val="257"/>
        </w:trPr>
        <w:tc>
          <w:tcPr>
            <w:tcW w:w="3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27,178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76,378</w:t>
            </w:r>
          </w:p>
        </w:tc>
        <w:tc>
          <w:tcPr>
            <w:tcW w:w="0" w:type="dxa"/>
            <w:vAlign w:val="bottom"/>
          </w:tcPr>
          <w:p>
            <w:pPr>
              <w:spacing w:after="0"/>
              <w:rPr>
                <w:sz w:val="1"/>
                <w:szCs w:val="1"/>
                <w:color w:val="auto"/>
              </w:rPr>
            </w:pPr>
          </w:p>
        </w:tc>
      </w:tr>
      <w:tr>
        <w:trPr>
          <w:trHeight w:val="25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11,171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33,282</w:t>
            </w:r>
          </w:p>
        </w:tc>
        <w:tc>
          <w:tcPr>
            <w:tcW w:w="0" w:type="dxa"/>
            <w:vAlign w:val="bottom"/>
          </w:tcPr>
          <w:p>
            <w:pPr>
              <w:spacing w:after="0"/>
              <w:rPr>
                <w:sz w:val="1"/>
                <w:szCs w:val="1"/>
                <w:color w:val="auto"/>
              </w:rPr>
            </w:pPr>
          </w:p>
        </w:tc>
      </w:tr>
      <w:tr>
        <w:trPr>
          <w:trHeight w:val="250"/>
        </w:trPr>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37,587</w:t>
            </w: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10,351</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33,217</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33,598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100,963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104,086</w:t>
            </w:r>
          </w:p>
        </w:tc>
        <w:tc>
          <w:tcPr>
            <w:tcW w:w="0" w:type="dxa"/>
            <w:vAlign w:val="bottom"/>
          </w:tcPr>
          <w:p>
            <w:pPr>
              <w:spacing w:after="0"/>
              <w:rPr>
                <w:sz w:val="1"/>
                <w:szCs w:val="1"/>
                <w:color w:val="auto"/>
              </w:rPr>
            </w:pPr>
          </w:p>
        </w:tc>
      </w:tr>
      <w:tr>
        <w:trPr>
          <w:trHeight w:val="257"/>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(27,708)</w:t>
            </w:r>
          </w:p>
        </w:tc>
        <w:tc>
          <w:tcPr>
            <w:tcW w:w="0" w:type="dxa"/>
            <w:vAlign w:val="bottom"/>
          </w:tcPr>
          <w:p>
            <w:pPr>
              <w:spacing w:after="0"/>
              <w:rPr>
                <w:sz w:val="1"/>
                <w:szCs w:val="1"/>
                <w:color w:val="auto"/>
              </w:rPr>
            </w:pPr>
          </w:p>
        </w:tc>
      </w:tr>
      <w:tr>
        <w:trPr>
          <w:trHeight w:val="25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50"/>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(19,820)</w:t>
            </w: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2,271</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43"/>
        </w:trPr>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(17,651)</w:t>
            </w:r>
          </w:p>
        </w:tc>
        <w:tc>
          <w:tcPr>
            <w:tcW w:w="0" w:type="dxa"/>
            <w:vAlign w:val="bottom"/>
          </w:tcPr>
          <w:p>
            <w:pPr>
              <w:spacing w:after="0"/>
              <w:rPr>
                <w:sz w:val="1"/>
                <w:szCs w:val="1"/>
                <w:color w:val="auto"/>
              </w:rPr>
            </w:pPr>
          </w:p>
        </w:tc>
      </w:tr>
      <w:tr>
        <w:trPr>
          <w:trHeight w:val="263"/>
        </w:trPr>
        <w:tc>
          <w:tcPr>
            <w:tcW w:w="4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comprehensive income (loss)</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(18,533)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6"/>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40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6"/>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39,544</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108,242</w:t>
            </w:r>
          </w:p>
        </w:tc>
        <w:tc>
          <w:tcPr>
            <w:tcW w:w="10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110,065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25 %</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34,735</w:t>
            </w:r>
          </w:p>
        </w:tc>
        <w:tc>
          <w:tcPr>
            <w:tcW w:w="10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10,018</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142,977</w:t>
            </w:r>
          </w:p>
        </w:tc>
        <w:tc>
          <w:tcPr>
            <w:tcW w:w="10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134,782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8,195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Total revenue increased by $3.5 million to $51.5 million, or 7%, and by $8.2 million, or 6%, for the three and nine months ended September 30, 2024, as compared to the three and nine months ended September 30, 2023, respectively. The increase in total revenue for the three months ended September 30, 2024 compared to total revenue for the three months ended September 30, 2023 was due to higher service and product revenue. The increase in total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compared to the nine months ended September 30, 2023 was due to higher service revenue and an additional two months of revenue from the FCI Acquisition, which closed on February 28, 2023.</w:t>
      </w:r>
    </w:p>
    <w:p>
      <w:pPr>
        <w:spacing w:after="0" w:line="5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Product revenue increased by $1.1 million to $39.5 million, or 3%, and decreased by $1.8 million to $108.2 million, or 2%, for the three and nine months ended September 30, 2024, as compared to the three and nine months ended September 30, 2023, respectively. The increase for the three month period was primarily due to higher instrument sales in the EMEA and APAC regions, offset by lower instrument sales in the United States. The decrease for the nine months ended September 30, 2024 compared to the nine months ended September 30, 2023 was primarily related to lower instrument sales in the United States, partially offset by an increase in instrument sales in the EMEA and APAC regions.</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Service revenue increased by $2.4 million to $12.0 million, or 25%, and by $10.0 million to $34.7 million, or 41%, for the three and nine months ended September 30, 2024, as compared to the three and nine months ended September 30, 2023, respectively. The increase was primarily due to growth in the installed base of instruments as compared to prior year periods which drove growth in both service contract revenue and other service revenue.</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17,490</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16,205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50,044</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45,557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46"/>
        </w:trPr>
        <w:tc>
          <w:tcPr>
            <w:tcW w:w="3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4,617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15,479</w:t>
            </w: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12,847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4"/>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22,495</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20,822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65,523</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58,404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27,178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76,378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Total cost of sales increased by $1.7 million, or 8%, and by $7.1 million, or 12%, for the three and nine months ended September 30, 2024, as compared to the three and nine months ended September 30, 2023, respectively. The increase in product cost of sales for the three months ended September 30, 2024 was primarily driven by the increase in product revenue, higher material cost associated with the amortization of the standard cost revaluation in January 2024 and higher scrap expense and excess and obsolete inventory expense, offset by lower manufacturing overhead expense. The increase in product cost of sales for the nine months ended September 30, 2024 was primarily due to higher inventory adjustments of a one-time nature in the three months ended March 31, 2024 arising from the integration of Luminex inventories, higher material costs due to the factors described above and higher manufacturing overhead. Service cost of sales for the three and nine months ended September 30, 2024 increased compared to the prior year period due to higher service headcount, travel, and contractor expense. Service cost of sales increased at a lower rate than service revenue in the three and nine months ended September 30, 2024 due to higher service labor productivity, lower material costs relative to revenue and improved absorption of overhead costs.</w:t>
      </w:r>
    </w:p>
    <w:p>
      <w:pPr>
        <w:spacing w:after="0" w:line="8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Total gross margin was 56% and 57% of total revenue for the three months ended September 30, 2024 and 2023, respectively, and 54% and 57% for the nine months ended September 30, 2024 and 2023, respectively. Total gross margin decreased for the three months ended September 30, 2024 as a result of lower product gross margin due to higher product cost of sales for the reasons described above. This was partially offset by higher service gross margin driven by higher service revenue, higher service labor productivity and improved absorption of overhead costs. Gross margin decreased for the nine months ended September 30, 2024 due to lower product gross margin as a result of higher product cost of sales for the reasons described above. Gross margin depends on many factors, including market conditions that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might affect our pricing, services, product mix changes between instrument configurations, excess and obsolete inventories, our cost structure for manufacturing operations relative to volume, freight costs and product support.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0"/>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40" w:type="dxa"/>
            <w:vAlign w:val="bottom"/>
          </w:tcPr>
          <w:p>
            <w:pPr>
              <w:spacing w:after="0"/>
              <w:rPr>
                <w:sz w:val="16"/>
                <w:szCs w:val="16"/>
                <w:color w:val="auto"/>
              </w:rPr>
            </w:pPr>
          </w:p>
        </w:tc>
      </w:tr>
      <w:tr>
        <w:trPr>
          <w:trHeight w:val="23"/>
        </w:trPr>
        <w:tc>
          <w:tcPr>
            <w:tcW w:w="30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200" w:type="dxa"/>
            <w:vAlign w:val="bottom"/>
          </w:tcPr>
          <w:p>
            <w:pPr>
              <w:spacing w:after="0"/>
              <w:rPr>
                <w:sz w:val="14"/>
                <w:szCs w:val="14"/>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10"/>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39,544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38,441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108,242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110,065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3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3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45,557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4,487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10 %</w:t>
            </w:r>
          </w:p>
        </w:tc>
      </w:tr>
      <w:tr>
        <w:trPr>
          <w:trHeight w:val="20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Product gross profit</w:t>
            </w: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22,054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22,236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58,198</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64,508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3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70"/>
        </w:trPr>
        <w:tc>
          <w:tcPr>
            <w:tcW w:w="2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10"/>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11,956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9,559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34,735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24,717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10,018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41 %</w:t>
            </w:r>
          </w:p>
        </w:tc>
      </w:tr>
      <w:tr>
        <w:trPr>
          <w:trHeight w:val="3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3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20 %</w:t>
            </w:r>
          </w:p>
        </w:tc>
      </w:tr>
      <w:tr>
        <w:trPr>
          <w:trHeight w:val="20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gross profit (loss)</w:t>
            </w: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6,951</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4,942</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19,256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11,870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7,386</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62 %</w:t>
            </w:r>
          </w:p>
        </w:tc>
      </w:tr>
      <w:tr>
        <w:trPr>
          <w:trHeight w:val="3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33"/>
        </w:trPr>
        <w:tc>
          <w:tcPr>
            <w:tcW w:w="2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Product revenue increased by 3% for the three months ended September 30, 2024 and decreased by 2% for the nine months ended September 30, 2024, as compared to the three and nine months ended September 30, 2023, respectively. Product cost of sales for the three and nine months ended September 30, 2024 increased by 8% and 10%, respectively, as compared to the three and nine months ended September 30, 2023. Product gross profit for the three and nine months ended September 30, 2024 decreased 1% and 10%, respectively, as compared to the three and nine months ended September 30, 2023. The lower product gross margins in the three months ended September 30, 2024 compared to the three months ended September 30, 2023 was driven primarily by higher product cost of sales and higher overhead costs. The lower product gross margins in the nine months ended September 30, 2024 compared to the nine month ended September 30, 2023 was a result of higher material costs related to unfavorable inventory adjustments in the three months ended March 31, 2024 arising from the integration of Luminex inventories and higher overhead costs.</w:t>
      </w:r>
    </w:p>
    <w:p>
      <w:pPr>
        <w:spacing w:after="0" w:line="8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Service revenue for the three and nine months ended September 30, 2024 increased 25% and 41%, respectively, as compared to the three and nine months ended September 30, 2023. Service cost of sales for the three and nine months ended September 30, 2024 increased by 8% and 20%, respectively, as compared to the three and nine months ended September 30, 2023. Service gross profit for the three and nine months ended September 30, 2024 increased 41% and 62%, respectively, as compared to the three and nine months ended September 30, 2023. The higher service gross margins in the three and nine months ended September 30, 2024 compared to the three and nine months ended September 30, 2023 were mainly driven by operating efficiencies from higher service labor productivity and improved absorption of overhead costs by leveraging these costs over greater revenues.</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$9.9 million and $29.7 million for the three and nine months ended September 30, 2024, respectively, as compared to $11.2 million and $33.3 million for the three and nine months ended September 30, 2023, respectively. The decrease in research and development expenses for both the three and nine months ended September 30, 2024 compared to the three and nine months ended September 30, 2023 was primarily due to headcount reductions and to a lesser extent a reduction in engineering expenses.</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 may increase in absolute dollars as we continue to develop new products and enhance existing instruments and technologies.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Sales and marketing expenses were $12.4 million and $37.2 million for the three and nine months ended September 30, 2024, respectively, as compared to $12.1 million and $37.6 million for the three and nine months ended September 30, 2023, respectively. The decrease in sales and marketing expenses for the nine months ended September 30, 2024 compared to the nine months ended September 30, 2023 was primarily due to a decrease in headcount and personnel-related expenses.</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may increase in absolute dollars as we expand our sales support infrastructure and invest in our brand and product awareness to further penetrate the United States and the international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33,217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$10.9 million and $34.0 million for the three and nine months ended September 30, 2024, respectively, as compared to $10.4 million and $33.2 million for the three and nine months ended September 30, 2023, respectively. The increase of $0.6 million in general and administrative expenses in the three months ended September 30, 2024 as compared to the three months ended September 30, 2023 was primarily due to an increase in stock-based compensation expense, partially offset by lower outside professional service expense. The increase of $0.8 million in general and administration expenses in the nine months ended September 30, 2024 as compared to the nine months ended September 30, 2023 included increases in stock-based compensation expense, and outside professional services expense, partially offset by a decrease in audit, insurance expense and sales and use tax.</w:t>
      </w:r>
    </w:p>
    <w:p>
      <w:pPr>
        <w:spacing w:after="0" w:line="81"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While we are focused on controlling our general and administrative expenses, these may increase in absolute dollars in future periods to provide the infrastructure necessary to support the growth of the business.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Interest expense was $0.1 million and $0.7 million for the three and nine months ended September 30, 2024, respectively, as compared to $0.6 million and $1.7 million, for the three and nine months ended September 30, 2023, respectively. The decrease in interest expense was mainly due to an adjustment to the accretion of the present value of the financial obligation related to the settlement agreement with Becton, Dickinson and Company (“BD”). See Note 11 to our unaudited interim consolidated financial statements included elsewhere in this Quarterly Report on Form 10-Q for further details.</w:t>
      </w:r>
    </w:p>
    <w:p>
      <w:pPr>
        <w:spacing w:after="0" w:line="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Interest income was $1.4 million and $4.2 million for the three and nine months ended September 30, 2024, respectively, as compared to $1.6 million and $5.0 million for the three and nine months ended September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respectively. The decrease in interest income for the nine months ended September 30, 2024 compared to interest income for the nine months ended September 30, 2023 was the result of lower average balance of cash and cash equivalents due to the funding of the FCI Acquisition on February 28, 2023 and the investment of cash in marketable securities.</w:t>
      </w:r>
    </w:p>
    <w:p>
      <w:pPr>
        <w:spacing w:after="0" w:line="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33"/>
        </w:trPr>
        <w:tc>
          <w:tcPr>
            <w:tcW w:w="3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Other income, net was $3.1 million and $4.0 million for the three and nine months ended September 30, 2024, respectively, as compared to other income, net of $1.2 million and $4.6 million for the three and nine months ended September 30, 2023, respectively. The increase in other income, net for the three months ended September 30, 2024 was primarily due to net foreign exchange gains of $1.2 million compared to a foreign exchange loss of $0.6 million in the prior year period. The decline in other income for the nine months ended September 30, 2024 was primarily driven by an increase in realized and unrealized foreign exchange losses.</w:t>
      </w:r>
    </w:p>
    <w:p>
      <w:pPr>
        <w:spacing w:after="0" w:line="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Benefit from income taxes was $0.8 million and $0.4 million for the three and nine months ended September 30, 2024, respectively, as compared to a provision for income taxes of $2.3 million and benefit from income taxes of $2.2 million for the three and nine months ended September 30, 2023, respectively. The net change of $3.1 million for the three months ended September 30, 2024 compared to the three months ended September 30, 2023 was primarily due to the reversal in the three months ended September 30, 2023 of the tax benefit from the six months ended September 30, 2023 due to a lower effective tax rate for the nine months ended September 30, 2023, and an adjustment to tax expense for the three months ended September 30, 2024 to account for the settlement price of restricted stock units settled in the quarter being lower than the grant price. The decrease in tax benefit of $1.8 million for the nine months ended September 30, 2024 was primarily due to lower projected loss and lower projected R&amp;D tax credits in 2024 which caused a reduction in the effective tax rate. Neither of these tax expense and benefit changes had a cash impact on the company.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To date, our primary sources of capital have been through sales of our securities and revenue from the sale of our products and services. As of September 30, 2024 and December 31, 2023, we had approximately $277.8 million and $262.7 million, respectively, in cash and cash equivalents, restricted cash, and short term investments, which were primarily held in U.S. short-term bank deposit accounts, money market funds, U.S. Treasury notes, Federal agency security notes, and short term commercial paper.</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Funding and material cash requirements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7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currently anticipate making additional capital expenditures during the next 12 months, which is expected to primarily include equipment to be used for manufacturing and investment in research and development.</w:t>
      </w:r>
    </w:p>
    <w:p>
      <w:pPr>
        <w:spacing w:after="0" w:line="54"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In addition, we lease certain office facilities under operating lease arrangements that expire on various dates through fiscal year 2029. Under the terms of the leases, we are responsible for certain expenses related to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maintenance, repairs and management fees. Future minimum lease payments under non-cancelable operating leases totaled $11.8 million as of September 30, 2024.</w:t>
      </w:r>
    </w:p>
    <w:p>
      <w:pPr>
        <w:spacing w:after="0" w:line="5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5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(135,871)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$23.4 million due to the non-cash provision for stock-based compensation expense, depreciation and amortization, amortization of right-of-use assets, and excess and obsolete inventory of $19.8 million, $5.4 million, $2.4 million, and $1.4 million, respectively, partially offset by a gain on investments, accretion and amortization, net of $3.6 million. Additionally, there was a decrease of inventories of $12.8 million and a decrease of trade accounts receivable of $3.9 million. These were partially offset by the usage of cash which included the net loss of $15.7 million, a decrease in accrued expenses and other liabilities of $3.8 million, and an increase prepaid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other assets of $2.1 million</w:t>
      </w:r>
      <w:r>
        <w:rPr>
          <w:rFonts w:ascii="Arial" w:cs="Arial" w:eastAsia="Arial" w:hAnsi="Arial"/>
          <w:sz w:val="21"/>
          <w:szCs w:val="21"/>
          <w:color w:val="auto"/>
        </w:rPr>
        <w:t>.</w:t>
      </w:r>
    </w:p>
    <w:p>
      <w:pPr>
        <w:spacing w:after="0" w:line="10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$4.2 million including net loss of $17.7 million. We also incurred non-cash provision for stock-based compensation expense, gain on investments, depreciation and amortization, amortization of right-of-use assets, and interest expenses for accretion of the legal settlement liabilities, and excess and obsolete inventory of $16.4 million, $5.3 million, $4.4 million, $2.4 million, $1.3 million, and $0.8 million, respectively. Usage of cash which included a decrease in lease liability of $2.2 million, an increase in inventories of $2.0 million and an increase in the legal settlement liability of $0.4 million. Additionally, there was an increase of trade accounts receivable of $7.6 million, an increase in prepaid expenses and other assets of $2.3 million, an increase in accrued expenses and other liabilities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an increase in deferred revenue of $7.2 million and an increase of trade accounts payables of $0.01 million.</w:t>
      </w:r>
    </w:p>
    <w:p>
      <w:pPr>
        <w:spacing w:after="0" w:line="1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was $19.5 million driven by purchases of marketable securities of $166.8 million and the purchase of property and equipment of approximately $2.6 million. This was partially offset by the proceeds from maturities of marketable securities of $150.0 million.</w:t>
      </w:r>
    </w:p>
    <w:p>
      <w:pPr>
        <w:spacing w:after="0" w:line="68"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2023 was $123.0 million driven by purchases of marketable securities of $152.6 million, proceeds from maturities of marketable securities of $78.0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purchase of business of $44.9 million, purchase of property and equipment of $3.1 million, and payment of additional investments in Cytek Japan of $0.2 million.</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2024 was $12.2 million driven by the payments for the repurchase of shares of $14.6 million. This was partially offset by the proceeds from a line of credit of $1.4 million, proceeds from our Employee Stock Purchase Plan of $1.0 million, and the proceeds from the issuance of common stock under our equity incentive plans of $0.9 million.</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2023 was $8.1 million driven by the payments for the repurchase of shares of $9.4 million, repayment of loan of $0.4 million, and payment for taxes related to net share settlement of equity awards of $0.3 million. This was offset by the issuance of our common stock under our equity incentive plans of $1.1 million and proceeds from our Employee Stock Purchase Plan of $1.0 million.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material changes to our contractual obligations and commitments from those described under “Management’s Discussion and Analysis of Financial Condition” which is contained in our Form 10-K and filed with the SEC on March 13,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2023 included in our Annual Report on Form 10-K filed with the SEC on March 13, 2024. There were no material changes to our critical accounting policies during the three months ended September 30, 2024.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interim consolidated financial statements included in Part I, Item 1, of this Quarterly Report on Form 10-Q,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condition represents the potential loss arising from adverse changes in interest rates or exchange rates. As of September 30, 2024, we had approximately $277.8 million in cash and cash equivalents and short-term investments, which were primarily held in U.S. short-term bank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w:t>
      </w:r>
    </w:p>
    <w:p>
      <w:pPr>
        <w:spacing w:after="0" w:line="54"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72"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controls, our disclosure controls and procedures were not effective as of September 30,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2023, we identified deficiencies in the control environment and control activities components of the Committee of Sponsoring Organizations (“COSO”) framework that constitute material weaknesses, either individually or in the aggregate.</w:t>
      </w:r>
    </w:p>
    <w:p>
      <w:pPr>
        <w:spacing w:after="0" w:line="68" w:lineRule="exact"/>
        <w:rPr>
          <w:sz w:val="20"/>
          <w:szCs w:val="20"/>
          <w:color w:val="auto"/>
        </w:rPr>
      </w:pPr>
    </w:p>
    <w:p>
      <w:pPr>
        <w:jc w:val="both"/>
        <w:ind w:left="2360" w:hanging="1218"/>
        <w:spacing w:after="0" w:line="256" w:lineRule="auto"/>
        <w:tabs>
          <w:tab w:leader="none" w:pos="23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environment – Management did not maintain an effective control environment based on the criteria established in the COSO framework and identified deficiencies in the principles associated with the control environment of the COSO framework. Specifically, the Company does not have a sufficient number of qualified resources within our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spacing w:after="0" w:line="79" w:lineRule="exact"/>
        <w:rPr>
          <w:rFonts w:ascii="Times New Roman" w:cs="Times New Roman" w:eastAsia="Times New Roman" w:hAnsi="Times New Roman"/>
          <w:sz w:val="18"/>
          <w:szCs w:val="18"/>
          <w:color w:val="auto"/>
        </w:rPr>
      </w:pPr>
    </w:p>
    <w:p>
      <w:pPr>
        <w:jc w:val="both"/>
        <w:ind w:left="2360" w:hanging="1218"/>
        <w:spacing w:after="0" w:line="255" w:lineRule="auto"/>
        <w:tabs>
          <w:tab w:leader="none" w:pos="23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spacing w:after="0" w:line="258" w:lineRule="auto"/>
        <w:rPr>
          <w:sz w:val="20"/>
          <w:szCs w:val="20"/>
          <w:color w:val="auto"/>
        </w:rPr>
      </w:pPr>
      <w:r>
        <w:rPr>
          <w:rFonts w:ascii="Times New Roman" w:cs="Times New Roman" w:eastAsia="Times New Roman" w:hAnsi="Times New Roman"/>
          <w:sz w:val="18"/>
          <w:szCs w:val="18"/>
          <w:color w:val="auto"/>
        </w:rPr>
        <w:t>The following material weaknesses were contributing factors: (i) inadequate general information technology controls (GITCs) in the area of access security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and Status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remain committed to remediating the control deficiencies that constituted the above material weaknesses by continuing to enhance our internal control over financial reporting. Management has put in place measures aimed at addressing these deficiencies to ensure the material weaknesses are remediated such that these controls are designed, implemented and operating effectively. Throughout the nine months ended September 30, 2024, we have executed, and we will continue to execute the following steps intended to remediate the material weaknesses described above and strengthen our internal control over financial reporting:</w:t>
      </w:r>
    </w:p>
    <w:p>
      <w:pPr>
        <w:spacing w:after="0" w:line="75" w:lineRule="exact"/>
        <w:rPr>
          <w:sz w:val="20"/>
          <w:szCs w:val="20"/>
          <w:color w:val="auto"/>
        </w:rPr>
      </w:pPr>
    </w:p>
    <w:p>
      <w:pPr>
        <w:ind w:left="236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augmenting our workforce with qualified personnel in both our accounting and information technology functions.</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external consultants, we will revise and improve the design of our controls, implement reviews and monitor the effectiveness of our system of internal controls, including GITCs.</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dedicated to identifying and appointing qualified personnel to assume responsibility for the design and operation of internal control over financial reporting and monitor the progress of remediation.</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an ongoing process to revise and enhance the design of existing controls and implement new controls, update documentation, expand education and training, and strengthen supervisory reviews by our management.</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further strengthen, GITCs related to financial accounting and reporting systems including implementing monitoring controls as appropriate. This includes the implementation of monitoring controls where deemed necessary to ensure ongoing effectiveness.</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automate workflows and enhance oversight over the execution and review of manual journal entry controls and account reconciliations. Furthermore, we will continue to provide training for such enhanced oversight and review.</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nine months ended September 30, 2024 that materially affected, or were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1134"/>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claims. See Note 18 to our unaudited interim consolidated financial statements included elsewhere in this Quarterly Report on Form 10-Q for further details regarding legal proceedings.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75" w:lineRule="exact"/>
        <w:rPr>
          <w:sz w:val="20"/>
          <w:szCs w:val="20"/>
          <w:color w:val="auto"/>
        </w:rPr>
      </w:pPr>
    </w:p>
    <w:p>
      <w:pPr>
        <w:jc w:val="both"/>
        <w:ind w:left="2360" w:hanging="1218"/>
        <w:spacing w:after="0" w:line="266"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 limited number of product offerings. Our revenue has been primarily generated from sales of our core Cytek Aurora, Northern Lights and Aurora CS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71" w:lineRule="exact"/>
        <w:rPr>
          <w:rFonts w:ascii="Times New Roman" w:cs="Times New Roman" w:eastAsia="Times New Roman" w:hAnsi="Times New Roman"/>
          <w:sz w:val="18"/>
          <w:szCs w:val="18"/>
          <w:color w:val="auto"/>
        </w:rPr>
      </w:pPr>
    </w:p>
    <w:p>
      <w:pPr>
        <w:jc w:val="both"/>
        <w:ind w:left="2360" w:hanging="1218"/>
        <w:spacing w:after="0" w:line="254"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8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be harmed if we are unable to accurately forecast customer demand for our products and manage our inventory.</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58"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75"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manufacture our products in high-quality commercial quantities successfully and consistently to meet demand, our growth will be limited.</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67" w:lineRule="exact"/>
        <w:rPr>
          <w:rFonts w:ascii="Times New Roman" w:cs="Times New Roman" w:eastAsia="Times New Roman" w:hAnsi="Times New Roman"/>
          <w:sz w:val="18"/>
          <w:szCs w:val="18"/>
          <w:color w:val="auto"/>
        </w:rPr>
      </w:pPr>
    </w:p>
    <w:p>
      <w:pPr>
        <w:ind w:left="2360" w:right="40" w:hanging="1218"/>
        <w:spacing w:after="0" w:line="266"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right="200"/>
        <w:spacing w:after="0" w:line="266" w:lineRule="auto"/>
        <w:rPr>
          <w:sz w:val="20"/>
          <w:szCs w:val="20"/>
          <w:color w:val="auto"/>
        </w:rPr>
      </w:pPr>
      <w:r>
        <w:rPr>
          <w:rFonts w:ascii="Times New Roman" w:cs="Times New Roman" w:eastAsia="Times New Roman" w:hAnsi="Times New Roman"/>
          <w:sz w:val="18"/>
          <w:szCs w:val="18"/>
          <w:color w:val="auto"/>
        </w:rPr>
        <w:t>become subject to more onerous regulation by the U.S. Food and Drug Administration (the “FDA”) or other regulatory agencies in the future, which could increase our costs and delay or prevent sales of our products or commercialization of new products and product enhancements.</w:t>
      </w:r>
    </w:p>
    <w:p>
      <w:pPr>
        <w:spacing w:after="0" w:line="68" w:lineRule="exact"/>
        <w:rPr>
          <w:sz w:val="20"/>
          <w:szCs w:val="20"/>
          <w:color w:val="auto"/>
        </w:rPr>
      </w:pPr>
    </w:p>
    <w:p>
      <w:pPr>
        <w:ind w:left="2360" w:right="80" w:hanging="1218"/>
        <w:spacing w:after="0" w:line="255"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of our common stock among our executive officers, directors, principal stockholders and their respective affiliates may prevent new investors from influencing significant corporate decisions. Based on shares outstanding as of September 30, 2024, our executive officers, directors, holders of 5% or more of our common stock and their respective affiliates (based on filings with the U.S. Securities and Exchange Commission (the “SEC”), in the aggregate, own approximately 46.0% of our common stock. These stockholders, acting together, will be able to significantly influence all matters requiring stockholder approval, including the election and removal of directors and any merger or other significant corporate transaction.</w:t>
      </w:r>
    </w:p>
    <w:p>
      <w:pPr>
        <w:spacing w:after="0" w:line="80"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1"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58"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5"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perform as expected, our operating results, reputation and business will suffer.</w:t>
      </w:r>
    </w:p>
    <w:p>
      <w:pPr>
        <w:spacing w:after="0" w:line="11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6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our products and/or expand our operations.</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and may encounter unforeseen expenses, difficulties, complications, delays and other known and unknown obstacles. We launched our first core commercial product, the Cytek Aurora system, in June 2017.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a limited number of product offerings. Our revenue has been primarily generated from sale of our core Cytek Aurora, Northern Lights and Aurora CS systems, which require a substantial sales cycle and are prone to quarterly fluctuations in revenue.</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Cytek Aurora system was commercially launched in June 2017, our Northern Lights system was commercially launched in October 2018 and our Aurora CS was first commercially shipped in June 2021. Sales of the Cytek Aurora, Northern Lights and Aurora CS systems together accounted for a substantial portion of our revenue for the periods presented. We expect that, for at least the foreseeable future, sales of our Cytek Aurora, Northern Lights and Aurora CS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and Aurora CS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80"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have sourced and will continue to source certain components of the Cytek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Subsidiary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8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68"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Supply interruptions have in the past arisen and could arise in the future from effects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harmed if we are unable to accurately forecast customer demand for our products and manage our inventory.</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7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5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have limited experience manufacturing our products. We currently manufacture our instruments and reagents at our manufacturing facilities in Fremont, California, Seattle, Washington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7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dependent upon our ability to increase penetration in our existing markets and expand into adjacent markets.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Our customer base includes academic and government institutions, pharmaceutical and biotechnology companies, clinical research organizations and clinical laboratories focused on cell analysis. Approximately 41% and 42% of our revenue came from sales to academic and government-owned institutions and 59% and 58% of our revenue came from sales to pharmaceutical and biotechnology companies, distributors and CROs in the three months ended September 30, 2024 and 2023,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7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67"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75" w:lineRule="exact"/>
        <w:rPr>
          <w:sz w:val="20"/>
          <w:szCs w:val="20"/>
          <w:color w:val="auto"/>
        </w:rPr>
      </w:pPr>
    </w:p>
    <w:p>
      <w:pPr>
        <w:ind w:left="2360" w:hanging="1218"/>
        <w:spacing w:after="0" w:line="282"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recruiting or training of talented sales force in existing and new markets to facilitate outreach and further adoption and awareness of our products;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for cell analysis;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inadequacy of evidence supporting benefits or cost-effectiveness of our products over existing alternatives;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processes;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training required to use new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or delay in the research and development activities using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and alternatives;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other novel alternative products for cell analysis.</w:t>
      </w:r>
    </w:p>
    <w:p>
      <w:pPr>
        <w:spacing w:after="0" w:line="117"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believe that educating notable industry key opinion leaders,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5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Approximately 41% and 42% of our revenue came from sales to academic and government-owned institutions in the three months ended September 30, 2024 and 2023,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75" w:lineRule="exact"/>
        <w:rPr>
          <w:sz w:val="20"/>
          <w:szCs w:val="20"/>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1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6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scientists’ and customers’ opinions of the utility of new products or services;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ours.</w:t>
      </w:r>
    </w:p>
    <w:p>
      <w:pPr>
        <w:spacing w:after="0" w:line="117"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In addition, various state, federal and foreign agencies that provide grants and other funding may be subject to stringent budgetary constraints that could result in spending reductions, reduced grant making, reduced allocations 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may experience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5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7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72" w:lineRule="exact"/>
        <w:rPr>
          <w:sz w:val="20"/>
          <w:szCs w:val="20"/>
          <w:color w:val="auto"/>
        </w:rPr>
      </w:pPr>
    </w:p>
    <w:p>
      <w:pPr>
        <w:jc w:val="both"/>
        <w:ind w:left="2360" w:hanging="1218"/>
        <w:spacing w:after="0" w:line="266" w:lineRule="auto"/>
        <w:tabs>
          <w:tab w:leader="none" w:pos="2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6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 party intellectual property claims;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systems and parts and components for our products, as well as transportation delays;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could result in tariffs and other protective measures;</w:t>
      </w:r>
    </w:p>
    <w:p>
      <w:pPr>
        <w:spacing w:after="0" w:line="11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the ongoing war in Ukraine, conflict in the Middle East, outbreak of disease, boycotts, curtailment of trade and other business restrictions; and</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the cell analysis and life sciences tools markets. We currently compete with both established and early stage life sciences and in vitro diagnostics (“IVD”)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quality and regulatory staff or more established marketing and sales forces.</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117" w:lineRule="exact"/>
        <w:rPr>
          <w:sz w:val="20"/>
          <w:szCs w:val="20"/>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and capabilities;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intellectual property portfolios;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and robustness;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17"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and successfully introduce new and enhanced products that meet the needs of our customers.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7" w:lineRule="exact"/>
        <w:rPr>
          <w:sz w:val="20"/>
          <w:szCs w:val="20"/>
          <w:color w:val="auto"/>
        </w:rPr>
      </w:pPr>
    </w:p>
    <w:p>
      <w:pPr>
        <w:jc w:val="both"/>
        <w:ind w:firstLine="1134"/>
        <w:spacing w:after="0" w:line="251" w:lineRule="auto"/>
        <w:rPr>
          <w:sz w:val="20"/>
          <w:szCs w:val="20"/>
          <w:color w:val="auto"/>
        </w:rPr>
      </w:pPr>
      <w:r>
        <w:rPr>
          <w:rFonts w:ascii="Times New Roman" w:cs="Times New Roman" w:eastAsia="Times New Roman" w:hAnsi="Times New Roman"/>
          <w:sz w:val="18"/>
          <w:szCs w:val="18"/>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2" w:lineRule="exact"/>
        <w:rPr>
          <w:sz w:val="20"/>
          <w:szCs w:val="20"/>
          <w:color w:val="auto"/>
        </w:rPr>
      </w:pPr>
    </w:p>
    <w:p>
      <w:pPr>
        <w:ind w:right="60" w:firstLine="1134"/>
        <w:spacing w:after="0" w:line="234" w:lineRule="auto"/>
        <w:rPr>
          <w:sz w:val="20"/>
          <w:szCs w:val="20"/>
          <w:color w:val="auto"/>
        </w:rPr>
      </w:pPr>
      <w:r>
        <w:rPr>
          <w:rFonts w:ascii="Times New Roman" w:cs="Times New Roman" w:eastAsia="Times New Roman" w:hAnsi="Times New Roman"/>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Full Spectrum Profiling (the “FSP”) solutions, it could slow or stop our business growth and negatively impact our business, financial condition, results of operations and prospects.</w:t>
      </w:r>
    </w:p>
    <w:p>
      <w:pPr>
        <w:spacing w:after="0" w:line="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involves a lengthy and complex process and we may be unable to develop or commercialize products on a timely basis, or at all.</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that our research and development efforts will produce commercially viable products and solutions and before we can commercialize any new products, we will need to expend significant funds to, for example:</w:t>
      </w:r>
    </w:p>
    <w:p>
      <w:pPr>
        <w:spacing w:after="0" w:line="54" w:lineRule="exact"/>
        <w:rPr>
          <w:sz w:val="20"/>
          <w:szCs w:val="20"/>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regulatory approval;</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engineering and manufacturing processes to accommodate different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enter into agreements with new suppliers;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w:t>
      </w:r>
    </w:p>
    <w:p>
      <w:pPr>
        <w:spacing w:after="0" w:line="11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provide reliable, high 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8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68" w:lineRule="exact"/>
        <w:rPr>
          <w:sz w:val="20"/>
          <w:szCs w:val="20"/>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orders;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warranty expenses;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engineering and manufacturing resources;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by governmental authorities;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7"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75"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September 30, 2024, we had accrued approximately $2.0 million in expenses relating to product warranty accruals. Substantial amounts of warranty claims could have an adverse effect on our business, financial condition and results of operations.</w:t>
      </w:r>
    </w:p>
    <w:p>
      <w:pPr>
        <w:spacing w:after="0" w:line="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From time to time, we may pursue acquisitions of businesses and assets. For example, in February 2023, we entered into an asset purchase agreement with Luminex Corporation (“Luminex”) and acquired certain assets related to the flow cytometry and imaging (“FCI”)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and Wuxi, China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8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7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rely on a significant base of peer-reviewed publications to showcase and validate the importance and application of our technology in academic and clinical research settings. As of September 30, 2024, there have been more than 2,150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As of September 30, 2024, we had 645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2023, we identified deficiencies in the control environment and control activities components of the Committee of Sponsoring Organizations (“COSO”) framework that constitute material weaknesses, either individually or in the aggregate. Deficiencies in the control environment related to (i) the lack of a sufficient number of qualified resources within our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and IT functions with the appropriate level of technical accounting or other requisite knowledge to (a) timely identify and assess accounting implications of transactions; and (b) perform assigned responsibilities and have appropriate accountability for the design and operation of internal control over financial reporting.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See the section entitled “Item 4. Controls and Procedures” for additional information.</w:t>
      </w:r>
    </w:p>
    <w:p>
      <w:pPr>
        <w:spacing w:after="0" w:line="7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68"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For example, we required additional time to complete our financial closing procedures and ensure appropriate accounting of various intercompany transactions and accruals at the end of the quarter ended September 30, 2023. In addition, we required additional time to complete our financial closing procedures as of the end of period ending December 31, 2023 due to a lack of internal accounting resources, resulting in a delay in obtaining and compiling required information. Accordingly, we were not able to complete the preparation, review and filing of our Quarterly Report on Form 10-Q for the quarter ended September 31, 2023, and our Annual Report on Form 10-K for the year ended December 31, 2023, within the prescribed time period without unreasonable effort or expense. Such filings were timely made on or prior to the prescribed due date pursuant to Form 12b-25, with adjustments to certain line items in the financial statements with respect to such Annual Report.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products and/or expand our operations.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some of which are beyond our control, including:</w:t>
      </w:r>
    </w:p>
    <w:p>
      <w:pPr>
        <w:spacing w:after="0" w:line="117" w:lineRule="exact"/>
        <w:rPr>
          <w:sz w:val="20"/>
          <w:szCs w:val="20"/>
          <w:color w:val="auto"/>
        </w:rPr>
      </w:pPr>
    </w:p>
    <w:p>
      <w:pPr>
        <w:ind w:left="2360" w:hanging="1218"/>
        <w:spacing w:after="0"/>
        <w:tabs>
          <w:tab w:leader="none" w:pos="2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revenue growth;</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including our sales and marketing efforts;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new products, and the cost of the sales and marketing activities associated with, establishing adoption of our products;</w:t>
      </w:r>
    </w:p>
    <w:p>
      <w:pPr>
        <w:spacing w:after="0" w:line="53"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domestic and international expansion;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84"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 in the Middle East,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fluctuations may occur due to a variety of factors, many of which are outside of our control, including, but not limited to:</w:t>
      </w:r>
    </w:p>
    <w:p>
      <w:pPr>
        <w:spacing w:after="0" w:line="99" w:lineRule="exact"/>
        <w:rPr>
          <w:sz w:val="20"/>
          <w:szCs w:val="20"/>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seasonality and customer mix of the cell analysis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newly-hired salespeople become effective;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productivity of our sales force;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distribution partners in selling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publications of our products or competitive products;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arrangements with our suppliers;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hanging="1218"/>
        <w:spacing w:after="0" w:line="266"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6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the industry in which we do business, including those related to widespread health crises;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financial crises and economic downturns, including those caused by widespread public health crises;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products may be smaller than we estimate.</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has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8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54" w:lineRule="exact"/>
        <w:rPr>
          <w:sz w:val="20"/>
          <w:szCs w:val="20"/>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costs;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or new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or</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by our partners and potential partners failing to partner with us.</w:t>
      </w:r>
    </w:p>
    <w:p>
      <w:pPr>
        <w:spacing w:after="0" w:line="11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harm our business.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See Note 18 to our unaudited interim consolidated financial statements included elsewhere in this Quarterly Report on Form 10-Q for further details regarding legal proceedings.</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may rely upon third parties (such as service providers) for our data processing–related activities and share or receive Sensitive Information with or from third parties.</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third parties with whom we work.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spacing w:after="0" w:line="8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7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generative artificial intelligence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spacing w:after="0" w:line="8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8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(and have in the past caused) a security incident or other interruption that could result in unauthorized, unlawful, or accidental acquisition, modification, destruction, loss, alteration, encryption, disclosure of, or access to our Sensitive Information or our information technology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or those of the third parties with whom we work. A security incident or other interruption could disrupt our ability (and that of third parties with whom we work)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72"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8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84"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manufacture our products at our manufacturing facilities located in Fremont and San Diego, California; Seattle, Washington;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have general and product liability insurance that we believe is appropriate, this insurance is subject to deductibles and coverage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80"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67" w:lineRule="exact"/>
        <w:rPr>
          <w:sz w:val="20"/>
          <w:szCs w:val="20"/>
          <w:color w:val="auto"/>
        </w:rPr>
      </w:pPr>
    </w:p>
    <w:p>
      <w:pPr>
        <w:jc w:val="both"/>
        <w:ind w:firstLine="1134"/>
        <w:spacing w:after="0" w:line="251"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3" w:lineRule="exact"/>
        <w:rPr>
          <w:sz w:val="20"/>
          <w:szCs w:val="20"/>
          <w:color w:val="auto"/>
        </w:rPr>
      </w:pPr>
    </w:p>
    <w:p>
      <w:pPr>
        <w:ind w:right="40" w:firstLine="1134"/>
        <w:spacing w:after="0" w:line="249" w:lineRule="auto"/>
        <w:rPr>
          <w:sz w:val="20"/>
          <w:szCs w:val="20"/>
          <w:color w:val="auto"/>
        </w:rPr>
      </w:pPr>
      <w:r>
        <w:rPr>
          <w:rFonts w:ascii="Times New Roman" w:cs="Times New Roman" w:eastAsia="Times New Roman" w:hAnsi="Times New Roman"/>
          <w:sz w:val="17"/>
          <w:szCs w:val="17"/>
          <w:color w:val="auto"/>
        </w:rPr>
        <w:t>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currency exchange risk.</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Our Industry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RUO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Currently, our Northern Lights CLC system is available for clinical use in only China and the European Union. Our Cytek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82"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As part of our growth strategy, we plan to seek approval to offer our Cytek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75" w:lineRule="exact"/>
        <w:rPr>
          <w:sz w:val="20"/>
          <w:szCs w:val="20"/>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 approvals that have already been granted;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submission of these reports could be used against us by competitors and cause customers to delay purchase decisions or cancel orders, which would harm our reputation.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51" w:lineRule="exact"/>
        <w:rPr>
          <w:sz w:val="20"/>
          <w:szCs w:val="20"/>
          <w:color w:val="auto"/>
        </w:rPr>
      </w:pPr>
    </w:p>
    <w:p>
      <w:pPr>
        <w:jc w:val="both"/>
        <w:ind w:firstLine="1134"/>
        <w:spacing w:after="0" w:line="251" w:lineRule="auto"/>
        <w:rPr>
          <w:sz w:val="20"/>
          <w:szCs w:val="20"/>
          <w:color w:val="auto"/>
        </w:rPr>
      </w:pPr>
      <w:r>
        <w:rPr>
          <w:rFonts w:ascii="Times New Roman" w:cs="Times New Roman" w:eastAsia="Times New Roman" w:hAnsi="Times New Roman"/>
          <w:sz w:val="18"/>
          <w:szCs w:val="18"/>
          <w:color w:val="auto"/>
        </w:rPr>
        <w:t>The imposition of tariffs and trade restrictions as a result of international trade disputes or changes in trade policies may adversely affect our sales and profitability.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For example, the proposed BIOSECURE Act recently passed in the U.S. House of Representatives, as well as substantially similar bill in the U.S. Senate, target U.S. government contracts, grants and loans for entities that use equipment and services from certain named Chinese biotechnology companies, and authorizes the U.S. government to name additional Chinese biotechnology companies of concern. The current House version of the BIOSECURE Act provides a grandfathering provision allowing biotechnology equipment and services provided or produced by a biotechnology company of concern under a contract or agreement entered into before the effective date until January 1, 2032. Depending on whether the BIOSECURE Act becomes law, what the final language of the BIOSECURE Act includes, and how the law is interpreted by U.S. federal agencies, companies could lose the ability to contract with, or otherwise receive funding from, the U.S. government if they contract with or continue to use designated biotechnology companies of concern beyond the grandfathering period.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75"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Additionally,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rights related to their personal information, such as those noted below. The CCPA allows for statutory fines for noncompliance (up to $7,500 per intentional violation) and allows private litigants affected by certain data breaches to recover significant statutory damages. The CCPA and other U.S. comprehensive privacy laws exempt some data processed in the context of clinical trials, but these developments increases compliance costs and potential liability with respect to other personal information we maintain about residents in these states.</w:t>
      </w:r>
    </w:p>
    <w:p>
      <w:pPr>
        <w:spacing w:after="0" w:line="8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spacing w:after="0" w:line="7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68" w:lineRule="exact"/>
        <w:rPr>
          <w:sz w:val="20"/>
          <w:szCs w:val="20"/>
          <w:color w:val="auto"/>
        </w:rPr>
      </w:pPr>
    </w:p>
    <w:p>
      <w:pPr>
        <w:ind w:right="20" w:firstLine="1134"/>
        <w:spacing w:after="0" w:line="235" w:lineRule="auto"/>
        <w:rPr>
          <w:sz w:val="20"/>
          <w:szCs w:val="20"/>
          <w:color w:val="auto"/>
        </w:rPr>
      </w:pPr>
      <w:r>
        <w:rPr>
          <w:rFonts w:ascii="Times New Roman" w:cs="Times New Roman" w:eastAsia="Times New Roman" w:hAnsi="Times New Roman"/>
          <w:sz w:val="18"/>
          <w:szCs w:val="18"/>
          <w:color w:val="auto"/>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GDPR generally restrict the transfer of personal information to the United States and other countries that are viewed by some regulators as to not generally provide an adequate level of data privacy and security. Although there are currently various mechanisms that may be used to transfer personal information from the EEA and UK to the United States in compliance with law, such as the EEA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 -border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are also increasingly scrutinizing certain personal data transfers and may impose data localization requirements, for example, the Biden Administration’s executive order Preventing Access to Americans’ Bulk Sensitive Personal Data and United States Government-Related Data by Countries of Concern.</w:t>
      </w:r>
    </w:p>
    <w:p>
      <w:pPr>
        <w:spacing w:after="0" w:line="9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8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9"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5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8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54" w:lineRule="exact"/>
        <w:rPr>
          <w:sz w:val="20"/>
          <w:szCs w:val="20"/>
          <w:color w:val="auto"/>
        </w:rPr>
      </w:pPr>
    </w:p>
    <w:p>
      <w:pPr>
        <w:jc w:val="both"/>
        <w:ind w:left="2360" w:hanging="1218"/>
        <w:spacing w:after="0" w:line="252" w:lineRule="auto"/>
        <w:tabs>
          <w:tab w:leader="none" w:pos="23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5" w:lineRule="exact"/>
        <w:rPr>
          <w:rFonts w:ascii="Times New Roman" w:cs="Times New Roman" w:eastAsia="Times New Roman" w:hAnsi="Times New Roman"/>
          <w:sz w:val="18"/>
          <w:szCs w:val="18"/>
          <w:color w:val="auto"/>
        </w:rPr>
      </w:pPr>
    </w:p>
    <w:p>
      <w:pPr>
        <w:jc w:val="both"/>
        <w:ind w:left="2360" w:hanging="1218"/>
        <w:spacing w:after="0" w:line="252" w:lineRule="auto"/>
        <w:tabs>
          <w:tab w:leader="none" w:pos="23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82"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spacing w:after="0" w:line="261" w:lineRule="auto"/>
        <w:rPr>
          <w:sz w:val="20"/>
          <w:szCs w:val="20"/>
          <w:color w:val="auto"/>
        </w:rPr>
      </w:pPr>
      <w:r>
        <w:rPr>
          <w:rFonts w:ascii="Times New Roman" w:cs="Times New Roman" w:eastAsia="Times New Roman" w:hAnsi="Times New Roman"/>
          <w:sz w:val="18"/>
          <w:szCs w:val="18"/>
          <w:color w:val="auto"/>
        </w:rPr>
        <w:t>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72" w:lineRule="exact"/>
        <w:rPr>
          <w:sz w:val="20"/>
          <w:szCs w:val="20"/>
          <w:color w:val="auto"/>
        </w:rPr>
      </w:pPr>
    </w:p>
    <w:p>
      <w:pPr>
        <w:ind w:left="2360" w:right="100" w:hanging="1218"/>
        <w:spacing w:after="0" w:line="256"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(the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9" w:lineRule="exact"/>
        <w:rPr>
          <w:rFonts w:ascii="Times New Roman" w:cs="Times New Roman" w:eastAsia="Times New Roman" w:hAnsi="Times New Roman"/>
          <w:sz w:val="18"/>
          <w:szCs w:val="18"/>
          <w:color w:val="auto"/>
        </w:rPr>
      </w:pPr>
    </w:p>
    <w:p>
      <w:pPr>
        <w:ind w:left="2360" w:hanging="1218"/>
        <w:spacing w:after="0" w:line="256"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laws govern the privacy and security of personal information, including the California Consumer Protection Act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79" w:lineRule="exact"/>
        <w:rPr>
          <w:rFonts w:ascii="Times New Roman" w:cs="Times New Roman" w:eastAsia="Times New Roman" w:hAnsi="Times New Roman"/>
          <w:sz w:val="18"/>
          <w:szCs w:val="18"/>
          <w:color w:val="auto"/>
        </w:rPr>
      </w:pPr>
    </w:p>
    <w:p>
      <w:pPr>
        <w:jc w:val="both"/>
        <w:ind w:left="2360" w:hanging="1218"/>
        <w:spacing w:after="0" w:line="255"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80" w:lineRule="exact"/>
        <w:rPr>
          <w:rFonts w:ascii="Times New Roman" w:cs="Times New Roman" w:eastAsia="Times New Roman" w:hAnsi="Times New Roman"/>
          <w:sz w:val="18"/>
          <w:szCs w:val="18"/>
          <w:color w:val="auto"/>
        </w:rPr>
      </w:pPr>
    </w:p>
    <w:p>
      <w:pPr>
        <w:jc w:val="both"/>
        <w:ind w:left="2360" w:hanging="1218"/>
        <w:spacing w:after="0" w:line="254"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80"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80"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7"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negate any competitive advantage we may have. Any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obtain or maintain patent claims and other intellectual property rights with respect to our current and any future products or other aspects of our business could harm our business, financial condition and results of operations.</w:t>
      </w:r>
    </w:p>
    <w:p>
      <w:pPr>
        <w:spacing w:after="0" w:line="5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72"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86"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Including rights acquired in connection with the FCI Acquisition, as of September 30, 2024, we own 35 issued U.S. utility patents, ten issued Japan utility patents, seven issued European utility patents, three issued China utility patents, one Canada utility patent, one India utility patent, two Australian utility patents, and three Singapore utility patents. We have 65 pending utility patent applications, including 42 utility patent applications in the United States, two international utility patent applications, nine utility patent applications in the European Union, eight utility patent applications in China, and four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As of September 30, 2024, our Shanghai subsidiary owns 13 issued utility patents and eight issued invention patents and has two pending invention patent applications, and our Wuxi subsidiary owns 39 issued patents and has eight pending patent applications, including three pending utility model patent applications and five pending invention patent applications.</w:t>
      </w:r>
    </w:p>
    <w:p>
      <w:pPr>
        <w:spacing w:after="0" w:line="80"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84"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8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Defects of form in the preparation or filing of our patents or patent applications may exist, or may arise in the future, for example, with respect to proper priority claims, inventorship and the like. If we or any of our current 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75"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8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7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8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and such cooperation may not be provided to us. Any of the foregoing could harm our business, financial condition and results of operations.</w:t>
      </w:r>
    </w:p>
    <w:p>
      <w:pPr>
        <w:spacing w:after="0" w:line="11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82"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6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6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84"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current and any future products.</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third-party was the first to invent the claimed invention. A third-party that files a patent application in the USPTO after March 15,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8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68"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84"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have been and could become subject to intellectual property-related litigation and proceedings relating to our or third-party intellectual property and proprietary rights. See Note 18 to our unaudited interim consolidated financial statements included elsewhere in this Quarterly Report on Form 10-Q for further details regarding legal proceedings.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8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72"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86"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82"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8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68"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7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80"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6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8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8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a key information technology system, process, or site could have an adverse effect on our business.</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compromise our ability to offer our services and subject us to possible litigation.</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68" w:lineRule="exact"/>
        <w:rPr>
          <w:sz w:val="20"/>
          <w:szCs w:val="20"/>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adoption of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distribution partners and suppliers, including our single and sole-source suppliers;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engage additional distribution partners and establish collaborations, if needed;</w:t>
      </w:r>
    </w:p>
    <w:p>
      <w:pPr>
        <w:spacing w:after="0" w:line="117"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right="20" w:hanging="1218"/>
        <w:spacing w:after="0" w:line="282" w:lineRule="auto"/>
        <w:tabs>
          <w:tab w:leader="none" w:pos="23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 including economic recessions or slowdowns, the ongoing war in Ukraine and the general inflationary environment; 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5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we may offer and sell up to $150 million shares of common stock registered under our universal shelf registration statement on Form S-3 pursuant to the Sales Agreement with Piper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5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Based on the number of shares of common stock outstanding as of September 30, 2024, our executive officers, directors, holders of 5% or more of our common stock and their respective affiliates (based on filings with the SEC), in the aggregate, own approximately 46.0%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of our shares and have held their shares for a longer period, they may be more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interested in selling our company to an acquirer than other investors, or they may want us to pursue strategies that deviate from the interests of other stockholders.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2360" w:hanging="1218"/>
        <w:spacing w:after="0" w:line="282"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86"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of 1933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to offset future taxable income may be subject to certain limitations.</w:t>
      </w:r>
    </w:p>
    <w:p>
      <w:pPr>
        <w:spacing w:after="0" w:line="121" w:lineRule="exact"/>
        <w:rPr>
          <w:sz w:val="20"/>
          <w:szCs w:val="20"/>
          <w:color w:val="auto"/>
        </w:rPr>
      </w:pPr>
    </w:p>
    <w:p>
      <w:pPr>
        <w:ind w:right="120" w:firstLine="1134"/>
        <w:spacing w:after="0" w:line="261"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In addition, there may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be other limitations under state law on our ability to utilize NOLs, including temporary suspensions or other limitations on the use of NOLs to offset taxable income. We determined that an ownership change occurred on September 7, 2018, October 23, 2020, and in connection with our IPO on July 23, 2021. As of December 31, 2023, we had not experienced an ownership change subsequent to the ownership change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2360" w:hanging="1218"/>
        <w:spacing w:after="0" w:line="282" w:lineRule="auto"/>
        <w:tabs>
          <w:tab w:leader="none" w:pos="23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11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6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1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and regulations may have a material adverse effect on our business, financial condition and results of operations.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 September 30, 2024:</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720" w:type="dxa"/>
            <w:vAlign w:val="bottom"/>
            <w:tcBorders>
              <w:top w:val="single" w:sz="8" w:color="auto"/>
              <w:left w:val="single" w:sz="8" w:color="auto"/>
              <w:right w:val="single" w:sz="8" w:color="auto"/>
            </w:tcBorders>
          </w:tcPr>
          <w:p>
            <w:pPr>
              <w:spacing w:after="0"/>
              <w:rPr>
                <w:sz w:val="15"/>
                <w:szCs w:val="15"/>
                <w:color w:val="auto"/>
              </w:rPr>
            </w:pPr>
          </w:p>
        </w:tc>
        <w:tc>
          <w:tcPr>
            <w:tcW w:w="174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20" w:type="dxa"/>
            <w:vAlign w:val="bottom"/>
            <w:tcBorders>
              <w:top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Average price paid for</w:t>
            </w:r>
          </w:p>
        </w:tc>
        <w:tc>
          <w:tcPr>
            <w:tcW w:w="1720" w:type="dxa"/>
            <w:vAlign w:val="bottom"/>
            <w:tcBorders>
              <w:top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40" w:type="dxa"/>
            <w:vAlign w:val="bottom"/>
            <w:tcBorders>
              <w:top w:val="single" w:sz="8" w:color="auto"/>
              <w:right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Remaining dollar value</w:t>
            </w: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purchased as part of</w:t>
            </w:r>
          </w:p>
        </w:tc>
        <w:tc>
          <w:tcPr>
            <w:tcW w:w="120" w:type="dxa"/>
            <w:vAlign w:val="bottom"/>
          </w:tcPr>
          <w:p>
            <w:pPr>
              <w:spacing w:after="0"/>
              <w:rPr>
                <w:sz w:val="14"/>
                <w:szCs w:val="14"/>
                <w:color w:val="auto"/>
              </w:rPr>
            </w:pPr>
          </w:p>
        </w:tc>
        <w:tc>
          <w:tcPr>
            <w:tcW w:w="1620" w:type="dxa"/>
            <w:vAlign w:val="bottom"/>
            <w:tcBorders>
              <w:right w:val="single" w:sz="8" w:color="auto"/>
            </w:tcBorders>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that may yet be</w:t>
            </w: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jc w:val="right"/>
              <w:ind w:right="379"/>
              <w:spacing w:after="0" w:line="162" w:lineRule="exact"/>
              <w:rPr>
                <w:sz w:val="20"/>
                <w:szCs w:val="20"/>
                <w:color w:val="auto"/>
              </w:rPr>
            </w:pPr>
            <w:r>
              <w:rPr>
                <w:rFonts w:ascii="Times New Roman" w:cs="Times New Roman" w:eastAsia="Times New Roman" w:hAnsi="Times New Roman"/>
                <w:sz w:val="16"/>
                <w:szCs w:val="16"/>
                <w:b w:val="1"/>
                <w:bCs w:val="1"/>
                <w:color w:val="auto"/>
              </w:rPr>
              <w:t>repurchased</w:t>
            </w:r>
          </w:p>
        </w:tc>
        <w:tc>
          <w:tcPr>
            <w:tcW w:w="1720" w:type="dxa"/>
            <w:vAlign w:val="bottom"/>
            <w:tcBorders>
              <w:right w:val="single" w:sz="8" w:color="auto"/>
            </w:tcBorders>
          </w:tcPr>
          <w:p>
            <w:pPr>
              <w:jc w:val="right"/>
              <w:ind w:right="619"/>
              <w:spacing w:after="0" w:line="162" w:lineRule="exact"/>
              <w:rPr>
                <w:sz w:val="20"/>
                <w:szCs w:val="20"/>
                <w:color w:val="auto"/>
              </w:rPr>
            </w:pPr>
            <w:r>
              <w:rPr>
                <w:rFonts w:ascii="Times New Roman" w:cs="Times New Roman" w:eastAsia="Times New Roman" w:hAnsi="Times New Roman"/>
                <w:sz w:val="16"/>
                <w:szCs w:val="16"/>
                <w:b w:val="1"/>
                <w:bCs w:val="1"/>
                <w:color w:val="auto"/>
              </w:rPr>
              <w:t>share</w:t>
            </w:r>
          </w:p>
        </w:tc>
        <w:tc>
          <w:tcPr>
            <w:tcW w:w="1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1620" w:type="dxa"/>
            <w:vAlign w:val="bottom"/>
            <w:tcBorders>
              <w:right w:val="single" w:sz="8" w:color="auto"/>
            </w:tcBorders>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0" w:type="dxa"/>
            <w:vAlign w:val="bottom"/>
          </w:tcPr>
          <w:p>
            <w:pPr>
              <w:spacing w:after="0"/>
              <w:rPr>
                <w:sz w:val="1"/>
                <w:szCs w:val="1"/>
                <w:color w:val="auto"/>
              </w:rPr>
            </w:pPr>
          </w:p>
        </w:tc>
      </w:tr>
      <w:tr>
        <w:trPr>
          <w:trHeight w:val="207"/>
        </w:trPr>
        <w:tc>
          <w:tcPr>
            <w:tcW w:w="17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July 1 – July 31, 2024</w:t>
            </w:r>
          </w:p>
        </w:tc>
        <w:tc>
          <w:tcPr>
            <w:tcW w:w="17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1720" w:type="dxa"/>
            <w:vAlign w:val="bottom"/>
            <w:tcBorders>
              <w:left w:val="single" w:sz="8" w:color="auto"/>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color w:val="auto"/>
              </w:rPr>
              <w:t>August 1 – August 31,</w:t>
            </w:r>
          </w:p>
        </w:tc>
        <w:tc>
          <w:tcPr>
            <w:tcW w:w="174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1,113,843</w:t>
            </w:r>
          </w:p>
        </w:tc>
        <w:tc>
          <w:tcPr>
            <w:tcW w:w="172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5.45</w:t>
            </w:r>
          </w:p>
        </w:tc>
        <w:tc>
          <w:tcPr>
            <w:tcW w:w="17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8,171,942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41,500,000</w:t>
            </w: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1740" w:type="dxa"/>
            <w:vAlign w:val="bottom"/>
            <w:tcBorders>
              <w:bottom w:val="single" w:sz="8" w:color="auto"/>
              <w:right w:val="single" w:sz="8" w:color="auto"/>
            </w:tcBorders>
            <w:vMerge w:val="continue"/>
          </w:tcPr>
          <w:p>
            <w:pPr>
              <w:spacing w:after="0"/>
              <w:rPr>
                <w:sz w:val="18"/>
                <w:szCs w:val="18"/>
                <w:color w:val="auto"/>
              </w:rPr>
            </w:pPr>
          </w:p>
        </w:tc>
        <w:tc>
          <w:tcPr>
            <w:tcW w:w="1720" w:type="dxa"/>
            <w:vAlign w:val="bottom"/>
            <w:tcBorders>
              <w:bottom w:val="single" w:sz="8" w:color="auto"/>
              <w:right w:val="single" w:sz="8" w:color="auto"/>
            </w:tcBorders>
            <w:vMerge w:val="continue"/>
          </w:tcPr>
          <w:p>
            <w:pPr>
              <w:spacing w:after="0"/>
              <w:rPr>
                <w:sz w:val="18"/>
                <w:szCs w:val="18"/>
                <w:color w:val="auto"/>
              </w:rPr>
            </w:pPr>
          </w:p>
        </w:tc>
        <w:tc>
          <w:tcPr>
            <w:tcW w:w="172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20" w:type="dxa"/>
            <w:vAlign w:val="bottom"/>
            <w:tcBorders>
              <w:left w:val="single" w:sz="8" w:color="auto"/>
              <w:right w:val="single" w:sz="8" w:color="auto"/>
            </w:tcBorders>
            <w:shd w:val="clear" w:color="auto" w:fill="CCEEFF"/>
          </w:tcPr>
          <w:p>
            <w:pPr>
              <w:ind w:left="40"/>
              <w:spacing w:after="0" w:line="158" w:lineRule="exact"/>
              <w:rPr>
                <w:sz w:val="20"/>
                <w:szCs w:val="20"/>
                <w:color w:val="auto"/>
              </w:rPr>
            </w:pPr>
            <w:r>
              <w:rPr>
                <w:rFonts w:ascii="Times New Roman" w:cs="Times New Roman" w:eastAsia="Times New Roman" w:hAnsi="Times New Roman"/>
                <w:sz w:val="16"/>
                <w:szCs w:val="16"/>
                <w:color w:val="auto"/>
              </w:rPr>
              <w:t>September 1 –</w:t>
            </w:r>
          </w:p>
        </w:tc>
        <w:tc>
          <w:tcPr>
            <w:tcW w:w="17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1,080,512</w:t>
            </w:r>
          </w:p>
        </w:tc>
        <w:tc>
          <w:tcPr>
            <w:tcW w:w="172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5.37</w:t>
            </w:r>
          </w:p>
        </w:tc>
        <w:tc>
          <w:tcPr>
            <w:tcW w:w="1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9,252,454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35,400,000</w:t>
            </w: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2024</w:t>
            </w:r>
          </w:p>
        </w:tc>
        <w:tc>
          <w:tcPr>
            <w:tcW w:w="17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7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7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6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2,194,355</w:t>
            </w:r>
          </w:p>
        </w:tc>
        <w:tc>
          <w:tcPr>
            <w:tcW w:w="172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6.33</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9,252,454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35,400,000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0" w:firstLine="8"/>
        <w:spacing w:after="0" w:line="287" w:lineRule="auto"/>
        <w:tabs>
          <w:tab w:leader="none" w:pos="171"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 June 6, 2024, the Board approved a program for the repurchase by the Company of up to an aggregate of $50 million of its outstanding common stock. The repurchase program will expire on December 31,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
                <w:szCs w:val="2"/>
                <w:color w:val="auto"/>
              </w:rPr>
            </w:pPr>
          </w:p>
        </w:tc>
        <w:tc>
          <w:tcPr>
            <w:tcW w:w="4360" w:type="dxa"/>
            <w:vAlign w:val="bottom"/>
            <w:gridSpan w:val="12"/>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1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gridSpan w:val="12"/>
            <w:vMerge w:val="continue"/>
          </w:tcPr>
          <w:p>
            <w:pPr>
              <w:spacing w:after="0"/>
              <w:rPr>
                <w:sz w:val="16"/>
                <w:szCs w:val="16"/>
                <w:color w:val="auto"/>
              </w:rPr>
            </w:pPr>
          </w:p>
        </w:tc>
        <w:tc>
          <w:tcPr>
            <w:tcW w:w="8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240" w:type="dxa"/>
            <w:vAlign w:val="bottom"/>
          </w:tcPr>
          <w:p>
            <w:pPr>
              <w:spacing w:after="0"/>
              <w:rPr>
                <w:sz w:val="16"/>
                <w:szCs w:val="16"/>
                <w:color w:val="auto"/>
              </w:rPr>
            </w:pPr>
          </w:p>
        </w:tc>
        <w:tc>
          <w:tcPr>
            <w:tcW w:w="10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6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18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4"/>
          </w:tcPr>
          <w:p>
            <w:pPr>
              <w:spacing w:after="0" w:line="196"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Amended and Restated Certificate of Incorporation</w:t>
              </w:r>
            </w:hyperlink>
          </w:p>
        </w:tc>
        <w:tc>
          <w:tcPr>
            <w:tcW w:w="680" w:type="dxa"/>
            <w:vAlign w:val="bottom"/>
            <w:gridSpan w:val="8"/>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3"/>
          </w:tcPr>
          <w:p>
            <w:pPr>
              <w:jc w:val="cente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001-40632</w:t>
              </w:r>
            </w:hyperlink>
          </w:p>
        </w:tc>
        <w:tc>
          <w:tcPr>
            <w:tcW w:w="1260" w:type="dxa"/>
            <w:vAlign w:val="bottom"/>
            <w:gridSpan w:val="3"/>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07/27/2021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Amended and Restated Bylaws</w:t>
              </w:r>
            </w:hyperlink>
          </w:p>
        </w:tc>
        <w:tc>
          <w:tcPr>
            <w:tcW w:w="1420" w:type="dxa"/>
            <w:vAlign w:val="bottom"/>
            <w:gridSpan w:val="3"/>
          </w:tcPr>
          <w:p>
            <w:pPr>
              <w:spacing w:after="0"/>
              <w:rPr>
                <w:sz w:val="20"/>
                <w:szCs w:val="20"/>
                <w:color w:val="auto"/>
              </w:rPr>
            </w:pPr>
          </w:p>
        </w:tc>
        <w:tc>
          <w:tcPr>
            <w:tcW w:w="680" w:type="dxa"/>
            <w:vAlign w:val="bottom"/>
            <w:gridSpan w:val="8"/>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3"/>
          </w:tcPr>
          <w:p>
            <w:pPr>
              <w:jc w:val="cente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001-40632</w:t>
              </w:r>
            </w:hyperlink>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07/27/2021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Rule 13a-14(a) or Rule 15d-14(a) of the Securities</w:t>
            </w:r>
          </w:p>
        </w:tc>
        <w:tc>
          <w:tcPr>
            <w:tcW w:w="2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w:t>
            </w:r>
          </w:p>
        </w:tc>
        <w:tc>
          <w:tcPr>
            <w:tcW w:w="400" w:type="dxa"/>
            <w:vAlign w:val="bottom"/>
            <w:gridSpan w:val="5"/>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w:t>
            </w:r>
          </w:p>
        </w:tc>
        <w:tc>
          <w:tcPr>
            <w:tcW w:w="460" w:type="dxa"/>
            <w:vAlign w:val="bottom"/>
            <w:gridSpan w:val="7"/>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87"/>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formatted as inline XBRL and contained in Exhibits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17" w:lineRule="exact"/>
        <w:rPr>
          <w:sz w:val="20"/>
          <w:szCs w:val="20"/>
          <w:color w:val="auto"/>
        </w:rPr>
      </w:pPr>
    </w:p>
    <w:p>
      <w:pPr>
        <w:jc w:val="both"/>
        <w:ind w:left="180" w:hanging="172"/>
        <w:spacing w:after="0" w:line="261" w:lineRule="auto"/>
        <w:tabs>
          <w:tab w:leader="none" w:pos="1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24"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5080" w:val="left"/>
          <w:tab w:leader="none" w:pos="76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McCombe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William McCombe</w:t>
      </w:r>
    </w:p>
    <w:p>
      <w:pPr>
        <w:spacing w:after="0" w:line="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Wenbin Jiang, Ph.D., certify that:</w:t>
      </w:r>
    </w:p>
    <w:p>
      <w:pPr>
        <w:spacing w:after="0" w:line="252"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18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By:</w:t>
            </w: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Wenbin Jiang, Ph.D.</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7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Wenbin Jiang, Ph.D.</w:t>
            </w:r>
          </w:p>
        </w:tc>
        <w:tc>
          <w:tcPr>
            <w:tcW w:w="10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McCombe, certify that:</w:t>
      </w:r>
    </w:p>
    <w:p>
      <w:pPr>
        <w:spacing w:after="0" w:line="252"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1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By:</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McCombe</w:t>
            </w:r>
          </w:p>
        </w:tc>
      </w:tr>
      <w:tr>
        <w:trPr>
          <w:trHeight w:val="20"/>
        </w:trPr>
        <w:tc>
          <w:tcPr>
            <w:tcW w:w="2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5"/>
        </w:trPr>
        <w:tc>
          <w:tcPr>
            <w:tcW w:w="2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William McCombe</w:t>
            </w:r>
          </w:p>
        </w:tc>
      </w:tr>
      <w:tr>
        <w:trPr>
          <w:trHeight w:val="230"/>
        </w:trPr>
        <w:tc>
          <w:tcPr>
            <w:tcW w:w="2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03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September 30, 2024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1620" w:hanging="1045"/>
        <w:spacing w:after="0" w:line="282" w:lineRule="auto"/>
        <w:tabs>
          <w:tab w:leader="none" w:pos="16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20"/>
        <w:spacing w:after="0"/>
        <w:tabs>
          <w:tab w:leader="none" w:pos="3320" w:val="left"/>
          <w:tab w:leader="none" w:pos="400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Wenbin Jiang, Ph.D.</w:t>
      </w:r>
    </w:p>
    <w:p>
      <w:pPr>
        <w:spacing w:after="0" w:line="6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96" w:name="page97"/>
    <w:bookmarkEnd w:id="96"/>
    <w:p>
      <w:pPr>
        <w:ind w:left="102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September 30, 2024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1620" w:right="20" w:hanging="1045"/>
        <w:spacing w:after="0" w:line="282" w:lineRule="auto"/>
        <w:tabs>
          <w:tab w:leader="none" w:pos="16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700"/>
        <w:spacing w:after="0"/>
        <w:tabs>
          <w:tab w:leader="none" w:pos="3320" w:val="left"/>
          <w:tab w:leader="none" w:pos="378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William McCombe</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William McCombe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1"/>
    </w:lvl>
  </w:abstractNum>
  <w:abstractNum w:abstractNumId="4">
    <w:nsid w:val="436C6125"/>
    <w:multiLevelType w:val="hybridMultilevel"/>
    <w:lvl w:ilvl="0">
      <w:lvlJc w:val="left"/>
      <w:lvlText w:val="(%1)"/>
      <w:numFmt w:val="lowerRoman"/>
      <w:start w:val="3"/>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08" Type="http://schemas.openxmlformats.org/officeDocument/2006/relationships/hyperlink" Target="https://www.sec.gov/Archives/edgar/data/1831915/000119312521225716/d183956dex31.htm" TargetMode="External"/><Relationship Id="rId109"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2024-11-07T05:16:20Z</dcterms:created>
  <dcterms:modified xsi:type="dcterms:W3CDTF">2024-11-07T05:16:20Z</dcterms:modified>
</cp:coreProperties>
</file>