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ctkb-20230331.htm"/>
      <w:bookmarkStart w:id="1" w:name="ksctkb20230331"/>
      <w:bookmarkEnd w:id="0"/>
      <w:bookmarkEnd w:id="1"/>
      <w:r>
        <w:rPr/>
        <w:t> </w:t>
      </w:r>
    </w:p>
    <w:p>
      <w:pPr>
        <w:pStyle w:val="TextBody"/>
        <w:spacing w:before="0" w:after="8"/>
        <w:jc w:val="left"/>
        <w:rPr/>
      </w:pPr>
      <w:r>
        <w:rPr/>
        <w:t> </w:t>
      </w:r>
    </w:p>
    <w:p>
      <w:pPr>
        <w:pStyle w:val="TextBody"/>
        <w:spacing w:before="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sz w:val="16"/>
        </w:rPr>
        <w:t>(Mark One)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 FOR THE TRANSITION PERIOD FROM TO</w:t>
            </w:r>
            <w:r>
              <w:rPr>
                <w:rFonts w:ascii="Times New Roman" w:hAnsi="Times New Roman"/>
                <w:sz w:val="20"/>
              </w:rPr>
              <w:t xml:space="preserve"> </w:t>
            </w:r>
          </w:p>
        </w:tc>
      </w:tr>
    </w:tbl>
    <w:p>
      <w:pPr>
        <w:pStyle w:val="TextBody"/>
        <w:spacing w:before="0" w:after="0"/>
        <w:jc w:val="center"/>
        <w:rPr>
          <w:rFonts w:ascii="Times New Roman" w:hAnsi="Times New Roman"/>
          <w:sz w:val="20"/>
        </w:rPr>
      </w:pPr>
      <w:r>
        <w:rPr>
          <w:rFonts w:ascii="Times New Roman;serif" w:hAnsi="Times New Roman;serif"/>
          <w:b/>
          <w:sz w:val="20"/>
        </w:rPr>
        <w:t>Commission File Number 001-40632</w:t>
      </w:r>
      <w:r>
        <w:rPr>
          <w:rFonts w:ascii="Times New Roman" w:hAnsi="Times New Roman"/>
          <w:sz w:val="20"/>
        </w:rPr>
        <w:t xml:space="preserve"> </w:t>
      </w:r>
    </w:p>
    <w:p>
      <w:pPr>
        <w:pStyle w:val="TextBody"/>
        <w:spacing w:before="60" w:after="0"/>
        <w:jc w:val="center"/>
        <w:rPr>
          <w:rFonts w:ascii="Times New Roman;serif" w:hAnsi="Times New Roman;serif"/>
          <w:b/>
          <w:sz w:val="44"/>
        </w:rPr>
      </w:pPr>
      <w:r>
        <w:rPr>
          <w:rFonts w:ascii="Times New Roman;serif" w:hAnsi="Times New Roman;serif"/>
          <w:b/>
          <w:sz w:val="44"/>
        </w:rPr>
        <w:t>CYTEK BIOSCIENCES, INC.</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982" w:type="dxa"/>
        <w:jc w:val="left"/>
        <w:tblInd w:w="0" w:type="dxa"/>
        <w:tblCellMar>
          <w:top w:w="28" w:type="dxa"/>
          <w:left w:w="28" w:type="dxa"/>
          <w:bottom w:w="28" w:type="dxa"/>
          <w:right w:w="28" w:type="dxa"/>
        </w:tblCellMar>
      </w:tblPr>
      <w:tblGrid>
        <w:gridCol w:w="3766"/>
        <w:gridCol w:w="1216"/>
      </w:tblGrid>
      <w:tr>
        <w:trPr/>
        <w:tc>
          <w:tcPr>
            <w:tcW w:w="376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47-2547526</w:t>
            </w:r>
          </w:p>
        </w:tc>
      </w:tr>
      <w:tr>
        <w:trPr/>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(State or other jurisdiction of</w:t>
            </w:r>
          </w:p>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incorporation or organization)</w:t>
            </w:r>
          </w:p>
        </w:tc>
        <w:tc>
          <w:tcPr>
            <w:tcW w:w="12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(I.R.S. Employer</w:t>
            </w:r>
          </w:p>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Identification No.)</w:t>
            </w:r>
          </w:p>
        </w:tc>
      </w:tr>
      <w:tr>
        <w:trPr/>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47215 Lakeview Blvd. Fremont, California</w:t>
            </w:r>
          </w:p>
        </w:tc>
        <w:tc>
          <w:tcPr>
            <w:tcW w:w="12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94538</w:t>
            </w:r>
          </w:p>
        </w:tc>
      </w:tr>
      <w:tr>
        <w:trPr/>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(Address of principal executive offices)</w:t>
            </w:r>
          </w:p>
        </w:tc>
        <w:tc>
          <w:tcPr>
            <w:tcW w:w="12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(Zip Code)</w:t>
            </w:r>
          </w:p>
        </w:tc>
      </w:tr>
    </w:tbl>
    <w:p>
      <w:pPr>
        <w:pStyle w:val="TextBody"/>
        <w:spacing w:before="0" w:after="0"/>
        <w:jc w:val="center"/>
        <w:rPr>
          <w:rFonts w:ascii="Times New Roman" w:hAnsi="Times New Roman"/>
          <w:sz w:val="20"/>
        </w:rPr>
      </w:pPr>
      <w:r>
        <w:rPr>
          <w:rFonts w:ascii="Times New Roman;serif" w:hAnsi="Times New Roman;serif"/>
          <w:b w:val="false"/>
          <w:sz w:val="16"/>
        </w:rPr>
        <w:t>Registrant’s telephone number, including area code:</w:t>
      </w:r>
      <w:r>
        <w:rPr>
          <w:rFonts w:ascii="Times New Roman" w:hAnsi="Times New Roman"/>
          <w:sz w:val="20"/>
        </w:rPr>
        <w:t xml:space="preserve"> </w:t>
      </w:r>
      <w:r>
        <w:rPr>
          <w:rFonts w:ascii="Times New Roman;serif" w:hAnsi="Times New Roman;serif"/>
          <w:b/>
          <w:sz w:val="20"/>
        </w:rPr>
        <w:t>(877) 922-9835</w:t>
      </w:r>
    </w:p>
    <w:p>
      <w:pPr>
        <w:pStyle w:val="TextBody"/>
        <w:spacing w:before="0" w:after="0"/>
        <w:jc w:val="left"/>
        <w:rPr>
          <w:rFonts w:ascii="Times New Roman" w:hAnsi="Times New Roman"/>
          <w:sz w:val="20"/>
        </w:rPr>
      </w:pPr>
      <w:r>
        <w:rPr>
          <w:rFonts w:ascii="Times New Roman;serif" w:hAnsi="Times New Roman;serif"/>
          <w:b w:val="false"/>
          <w:sz w:val="17"/>
        </w:rPr>
        <w:t>Securities registered pursuant to Section 12(b) of the Act:</w:t>
      </w:r>
      <w:r>
        <w:rPr>
          <w:rFonts w:ascii="Times New Roman" w:hAnsi="Times New Roman"/>
          <w:sz w:val="20"/>
        </w:rPr>
        <w:t xml:space="preserve"> </w:t>
      </w:r>
    </w:p>
    <w:tbl>
      <w:tblPr>
        <w:tblW w:w="8141" w:type="dxa"/>
        <w:jc w:val="left"/>
        <w:tblInd w:w="0" w:type="dxa"/>
        <w:tblCellMar>
          <w:top w:w="28" w:type="dxa"/>
          <w:left w:w="28" w:type="dxa"/>
          <w:bottom w:w="28" w:type="dxa"/>
          <w:right w:w="28" w:type="dxa"/>
        </w:tblCellMar>
      </w:tblPr>
      <w:tblGrid>
        <w:gridCol w:w="3271"/>
        <w:gridCol w:w="109"/>
        <w:gridCol w:w="1426"/>
        <w:gridCol w:w="109"/>
        <w:gridCol w:w="3226"/>
      </w:tblGrid>
      <w:tr>
        <w:trPr/>
        <w:tc>
          <w:tcPr>
            <w:tcW w:w="3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327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Title of each class</w:t>
            </w:r>
          </w:p>
        </w:tc>
        <w:tc>
          <w:tcPr>
            <w:tcW w:w="109"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2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Trading Symbol(s)</w:t>
            </w:r>
          </w:p>
        </w:tc>
        <w:tc>
          <w:tcPr>
            <w:tcW w:w="109"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22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Name of each exchange on which registered</w:t>
            </w:r>
          </w:p>
        </w:tc>
      </w:tr>
      <w:tr>
        <w:trPr/>
        <w:tc>
          <w:tcPr>
            <w:tcW w:w="327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7"/>
              </w:rPr>
            </w:pPr>
            <w:r>
              <w:rPr>
                <w:rFonts w:ascii="Times New Roman;serif" w:hAnsi="Times New Roman;serif"/>
                <w:b/>
                <w:sz w:val="17"/>
              </w:rPr>
              <w:t>Common Stock, par value $0.001 per share</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7"/>
              </w:rPr>
            </w:pPr>
            <w:r>
              <w:rPr>
                <w:rFonts w:ascii="Times New Roman;serif" w:hAnsi="Times New Roman;serif"/>
                <w:b/>
                <w:sz w:val="17"/>
              </w:rPr>
              <w:t>CTKB</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17"/>
              </w:rPr>
              <w:t>The Nasdaq Global Select Market</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56" w:type="dxa"/>
        <w:jc w:val="left"/>
        <w:tblInd w:w="0" w:type="dxa"/>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Large accelerated filer</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Accelerated filer</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5"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20"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70" w:type="dxa"/>
            <w:gridSpan w:val="2"/>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Non-accelerated filer</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Smaller reporting company</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Emerging growth company</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16"/>
        </w:rPr>
        <w:t>The number of shares of Registrant’s Common Stock outstanding as of May</w:t>
      </w:r>
      <w:r>
        <w:rPr>
          <w:rFonts w:ascii="Times New Roman" w:hAnsi="Times New Roman"/>
          <w:sz w:val="20"/>
        </w:rPr>
        <w:t xml:space="preserve"> </w:t>
      </w:r>
      <w:r>
        <w:rPr>
          <w:rFonts w:ascii="Times New Roman;serif" w:hAnsi="Times New Roman;serif"/>
          <w:b w:val="false"/>
          <w:sz w:val="16"/>
        </w:rPr>
        <w:t>4, 2023 was 135,666,676.</w:t>
      </w:r>
      <w:r>
        <w:rPr>
          <w:rFonts w:ascii="Times New Roman" w:hAnsi="Times New Roman"/>
          <w:sz w:val="20"/>
        </w:rPr>
        <w:t xml:space="preserve"> </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center"/>
        <w:rPr/>
      </w:pPr>
      <w:r>
        <w:rPr/>
        <w:t> </w:t>
      </w:r>
    </w:p>
    <w:tbl>
      <w:tblPr>
        <w:tblW w:w="8853" w:type="dxa"/>
        <w:jc w:val="left"/>
        <w:tblInd w:w="0" w:type="dxa"/>
        <w:tblCellMar>
          <w:top w:w="28" w:type="dxa"/>
          <w:left w:w="28" w:type="dxa"/>
          <w:bottom w:w="28" w:type="dxa"/>
          <w:right w:w="28" w:type="dxa"/>
        </w:tblCellMar>
      </w:tblPr>
      <w:tblGrid>
        <w:gridCol w:w="976"/>
        <w:gridCol w:w="7366"/>
        <w:gridCol w:w="511"/>
      </w:tblGrid>
      <w:tr>
        <w:trPr/>
        <w:tc>
          <w:tcPr>
            <w:tcW w:w="97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INFORMATION</w:t>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8_financial_statements">
              <w:r>
                <w:rPr>
                  <w:rStyle w:val="InternetLink"/>
                  <w:rFonts w:ascii="Times New Roman;serif" w:hAnsi="Times New Roman;serif"/>
                  <w:b w:val="false"/>
                  <w:sz w:val="20"/>
                  <w:u w:val="single"/>
                </w:rPr>
                <w:t>Consolidated 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sheet">
              <w:r>
                <w:rPr>
                  <w:rStyle w:val="InternetLink"/>
                  <w:rFonts w:ascii="Times New Roman;serif" w:hAnsi="Times New Roman;serif"/>
                  <w:b w:val="false"/>
                  <w:sz w:val="20"/>
                  <w:u w:val="single"/>
                </w:rPr>
                <w:t>Consolidated 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ncomestatement">
              <w:r>
                <w:rPr>
                  <w:rStyle w:val="InternetLink"/>
                  <w:rFonts w:ascii="Times New Roman;serif" w:hAnsi="Times New Roman;serif"/>
                  <w:b w:val="false"/>
                  <w:sz w:val="20"/>
                  <w:u w:val="single"/>
                </w:rPr>
                <w:t>Consolidated Statements of Operations and Comprehensive Loss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ockholders_equity">
              <w:r>
                <w:rPr>
                  <w:rStyle w:val="InternetLink"/>
                  <w:rFonts w:ascii="Times New Roman;serif" w:hAnsi="Times New Roman;serif"/>
                  <w:b w:val="false"/>
                  <w:sz w:val="20"/>
                  <w:u w:val="single"/>
                </w:rPr>
                <w:t>Consolidated Statements of Stockholders' Equity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sh_flow">
              <w:r>
                <w:rPr>
                  <w:rStyle w:val="InternetLink"/>
                  <w:rFonts w:ascii="Times New Roman;serif" w:hAnsi="Times New Roman;serif"/>
                  <w:b w:val="false"/>
                  <w:sz w:val="20"/>
                  <w:u w:val="single"/>
                </w:rPr>
                <w:t>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the_financial_statements">
              <w:r>
                <w:rPr>
                  <w:rStyle w:val="InternetLink"/>
                  <w:rFonts w:ascii="Times New Roman;serif" w:hAnsi="Times New Roman;serif"/>
                  <w:b w:val="false"/>
                  <w:sz w:val="20"/>
                  <w:u w:val="single"/>
                </w:rPr>
                <w:t>Notes to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da">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26</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36</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Controls and Procedures</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36</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INFORMATION</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pPr>
            <w:r>
              <w:rPr/>
              <w:t> </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legalproceedings">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38</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39</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defaultsuponseniorsecurities">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77</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defaultsuponseniorsecurities">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77</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minesafety">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78</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5other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78</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5">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79</w:t>
            </w:r>
          </w:p>
        </w:tc>
      </w:tr>
      <w:tr>
        <w:trPr/>
        <w:tc>
          <w:tcPr>
            <w:tcW w:w="97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hyperlink w:anchor="signatures">
              <w:r>
                <w:rPr>
                  <w:rStyle w:val="InternetLink"/>
                  <w:rFonts w:ascii="Times New Roman;serif" w:hAnsi="Times New Roman;serif"/>
                  <w:b w:val="false"/>
                  <w:sz w:val="20"/>
                  <w:u w:val="single"/>
                </w:rPr>
                <w:t>Signatures</w:t>
              </w:r>
            </w:hyperlink>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r>
    </w:tbl>
    <w:p>
      <w:pPr>
        <w:pStyle w:val="TextBody"/>
        <w:spacing w:before="0" w:after="0"/>
        <w:jc w:val="left"/>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120" w:after="0"/>
        <w:jc w:val="center"/>
        <w:rPr>
          <w:rFonts w:ascii="Times New Roman;serif" w:hAnsi="Times New Roman;serif"/>
          <w:b/>
          <w:sz w:val="20"/>
        </w:rPr>
      </w:pPr>
      <w:r>
        <w:rPr>
          <w:rFonts w:ascii="Times New Roman;serif" w:hAnsi="Times New Roman;serif"/>
          <w:b/>
          <w:sz w:val="20"/>
        </w:rPr>
        <w:t>PART I - FINANCIAL INFORMATION</w:t>
      </w:r>
    </w:p>
    <w:p>
      <w:pPr>
        <w:pStyle w:val="TextBody"/>
        <w:spacing w:before="120" w:after="0"/>
        <w:jc w:val="left"/>
        <w:rPr>
          <w:rFonts w:ascii="Times New Roman" w:hAnsi="Times New Roman"/>
          <w:sz w:val="20"/>
        </w:rPr>
      </w:pPr>
      <w:bookmarkStart w:id="2" w:name="toc_page"/>
      <w:bookmarkStart w:id="3" w:name="item_8_financial_statements"/>
      <w:bookmarkEnd w:id="2"/>
      <w:bookmarkEnd w:id="3"/>
      <w:r>
        <w:rPr>
          <w:rFonts w:ascii="Times New Roman;serif" w:hAnsi="Times New Roman;serif"/>
          <w:b/>
          <w:sz w:val="20"/>
        </w:rPr>
        <w:t xml:space="preserve">Item 1. </w:t>
      </w:r>
      <w:bookmarkStart w:id="4" w:name="item8"/>
      <w:bookmarkEnd w:id="4"/>
      <w:r>
        <w:rPr>
          <w:rFonts w:ascii="Times New Roman;serif" w:hAnsi="Times New Roman;serif"/>
          <w:b/>
          <w:sz w:val="20"/>
        </w:rPr>
        <w:t>Consolidated Financial Statements (Unaudited).</w:t>
      </w:r>
    </w:p>
    <w:p>
      <w:pPr>
        <w:pStyle w:val="TextBody"/>
        <w:spacing w:before="60" w:after="0"/>
        <w:jc w:val="center"/>
        <w:rPr>
          <w:rFonts w:ascii="Times New Roman;serif" w:hAnsi="Times New Roman;serif"/>
          <w:b/>
          <w:sz w:val="20"/>
        </w:rPr>
      </w:pPr>
      <w:bookmarkStart w:id="5" w:name="balancesheet"/>
      <w:bookmarkEnd w:id="5"/>
      <w:r>
        <w:rPr>
          <w:rFonts w:ascii="Times New Roman;serif" w:hAnsi="Times New Roman;serif"/>
          <w:b/>
          <w:sz w:val="20"/>
        </w:rPr>
        <w:t>Cytek Biosciences, Inc.</w:t>
      </w:r>
    </w:p>
    <w:p>
      <w:pPr>
        <w:pStyle w:val="TextBody"/>
        <w:spacing w:before="0" w:after="0"/>
        <w:jc w:val="center"/>
        <w:rPr>
          <w:rFonts w:ascii="Times New Roman;serif" w:hAnsi="Times New Roman;serif"/>
          <w:b/>
          <w:sz w:val="20"/>
        </w:rPr>
      </w:pPr>
      <w:r>
        <w:rPr>
          <w:rFonts w:ascii="Times New Roman;serif" w:hAnsi="Times New Roman;serif"/>
          <w:b/>
          <w:sz w:val="20"/>
        </w:rPr>
        <w:t>Consolidated Balance Sheets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141"/>
        <w:gridCol w:w="146"/>
        <w:gridCol w:w="211"/>
        <w:gridCol w:w="781"/>
        <w:gridCol w:w="166"/>
        <w:gridCol w:w="146"/>
        <w:gridCol w:w="217"/>
        <w:gridCol w:w="804"/>
        <w:gridCol w:w="593"/>
      </w:tblGrid>
      <w:tr>
        <w:trPr/>
        <w:tc>
          <w:tcPr>
            <w:tcW w:w="7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r>
      <w:tr>
        <w:trPr/>
        <w:tc>
          <w:tcPr>
            <w:tcW w:w="7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share and per share data)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i/>
                <w:sz w:val="16"/>
              </w:rPr>
            </w:pPr>
            <w:r>
              <w:rPr>
                <w:rFonts w:ascii="Times New Roman;serif" w:hAnsi="Times New Roman;serif"/>
                <w:b/>
                <w:i/>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i/>
                <w:sz w:val="16"/>
              </w:rPr>
            </w:pPr>
            <w:r>
              <w:rPr>
                <w:rFonts w:ascii="Times New Roman;serif" w:hAnsi="Times New Roman;serif"/>
                <w:b/>
                <w:i/>
                <w:sz w:val="16"/>
              </w:rPr>
              <w:t>(audited)</w:t>
            </w:r>
          </w:p>
        </w:tc>
        <w:tc>
          <w:tcPr>
            <w:tcW w:w="593" w:type="dxa"/>
            <w:tcBorders/>
            <w:shd w:fill="auto" w:val="clear"/>
            <w:vAlign w:val="center"/>
          </w:tcPr>
          <w:p>
            <w:pPr>
              <w:pStyle w:val="TableContents"/>
              <w:spacing w:before="0" w:after="0"/>
              <w:ind w:left="0" w:right="0" w:hanging="0"/>
              <w:jc w:val="center"/>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296,601</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169,519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44,548</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Trade 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48,864</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48,154</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12,954</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425,622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454,020</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assets,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20,459</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13,682</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13,883</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10,144</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4,331</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2,957</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4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524,575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519,476</w:t>
            </w:r>
          </w:p>
        </w:tc>
        <w:tc>
          <w:tcPr>
            <w:tcW w:w="5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Trade 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4,805</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Legal settlement liability,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21,126</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7,960</w:t>
            </w:r>
          </w:p>
        </w:tc>
        <w:tc>
          <w:tcPr>
            <w:tcW w:w="593" w:type="dxa"/>
            <w:tcBorders/>
            <w:shd w:fill="auto" w:val="cle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12,986</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56,517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49,040</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Legal settlement liability,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15,596</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13,124</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12,312</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 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2,271</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1,587</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93,930</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18)</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1,000,000,000</w:t>
            </w:r>
            <w:r>
              <w:rPr>
                <w:rFonts w:ascii="Times New Roman" w:hAnsi="Times New Roman"/>
                <w:sz w:val="20"/>
              </w:rPr>
              <w:t> </w:t>
            </w:r>
            <w:r>
              <w:rPr>
                <w:rFonts w:ascii="Times New Roman;serif" w:hAnsi="Times New Roman;serif"/>
                <w:b w:val="false"/>
                <w:sz w:val="20"/>
              </w:rPr>
              <w:t>authorized shares as of March 31, 2023 and December 31, 2022, respectively; 135,644,055</w:t>
            </w:r>
            <w:r>
              <w:rPr>
                <w:rFonts w:ascii="Times New Roman" w:hAnsi="Times New Roman"/>
                <w:sz w:val="20"/>
              </w:rPr>
              <w:t> </w:t>
            </w:r>
            <w:r>
              <w:rPr>
                <w:rFonts w:ascii="Times New Roman;serif" w:hAnsi="Times New Roman;serif"/>
                <w:b w:val="false"/>
                <w:sz w:val="20"/>
              </w:rPr>
              <w:t>and 135,365,381</w:t>
            </w:r>
            <w:r>
              <w:rPr>
                <w:rFonts w:ascii="Times New Roman" w:hAnsi="Times New Roman"/>
                <w:sz w:val="20"/>
              </w:rPr>
              <w:t> </w:t>
            </w:r>
            <w:r>
              <w:rPr>
                <w:rFonts w:ascii="Times New Roman;serif" w:hAnsi="Times New Roman;serif"/>
                <w:b w:val="false"/>
                <w:sz w:val="20"/>
              </w:rPr>
              <w:t>issued and outstanding shares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447,748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442,887</w:t>
            </w:r>
          </w:p>
        </w:tc>
        <w:tc>
          <w:tcPr>
            <w:tcW w:w="593" w:type="dxa"/>
            <w:tcBorders/>
            <w:shd w:fill="auto" w:val="clear"/>
            <w:vAlign w:val="center"/>
          </w:tcPr>
          <w:p>
            <w:pPr>
              <w:pStyle w:val="TableContents"/>
              <w:spacing w:before="0" w:after="0"/>
              <w:ind w:left="0" w:right="0" w:hanging="0"/>
              <w:jc w:val="left"/>
              <w:rPr/>
            </w:pPr>
            <w:r>
              <w:rPr/>
              <w:t> </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(17,030</w:t>
            </w:r>
          </w:p>
        </w:tc>
        <w:tc>
          <w:tcPr>
            <w:tcW w:w="5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w:t>
            </w:r>
          </w:p>
        </w:tc>
        <w:tc>
          <w:tcPr>
            <w:tcW w:w="5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Noncontrolling interest in consolidated subsidiary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1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423,460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425,546</w:t>
            </w:r>
          </w:p>
        </w:tc>
        <w:tc>
          <w:tcPr>
            <w:tcW w:w="5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714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524,575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519,476</w:t>
            </w:r>
          </w:p>
        </w:tc>
        <w:tc>
          <w:tcPr>
            <w:tcW w:w="5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The accompanying notes are an integral part of these unaudited interim consolidated financial statements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Cytek Biosciences, Inc.</w:t>
      </w:r>
    </w:p>
    <w:p>
      <w:pPr>
        <w:pStyle w:val="TextBody"/>
        <w:spacing w:before="0" w:after="0"/>
        <w:jc w:val="center"/>
        <w:rPr>
          <w:rFonts w:ascii="Times New Roman" w:hAnsi="Times New Roman"/>
          <w:sz w:val="20"/>
        </w:rPr>
      </w:pPr>
      <w:bookmarkStart w:id="6" w:name="smt_operations"/>
      <w:bookmarkEnd w:id="6"/>
      <w:r>
        <w:rPr>
          <w:rFonts w:ascii="Times New Roman;serif" w:hAnsi="Times New Roman;serif"/>
          <w:b/>
          <w:sz w:val="20"/>
        </w:rPr>
        <w:t>Consolidated Statements of Operations a</w:t>
      </w:r>
      <w:bookmarkStart w:id="7" w:name="incomestatement"/>
      <w:bookmarkEnd w:id="7"/>
      <w:r>
        <w:rPr>
          <w:rFonts w:ascii="Times New Roman;serif" w:hAnsi="Times New Roman;serif"/>
          <w:b/>
          <w:sz w:val="20"/>
        </w:rPr>
        <w:t>nd Comprehensive Loss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52"/>
        <w:gridCol w:w="146"/>
        <w:gridCol w:w="211"/>
        <w:gridCol w:w="1141"/>
        <w:gridCol w:w="166"/>
        <w:gridCol w:w="146"/>
        <w:gridCol w:w="211"/>
        <w:gridCol w:w="1141"/>
        <w:gridCol w:w="591"/>
      </w:tblGrid>
      <w:tr>
        <w:trPr/>
        <w:tc>
          <w:tcPr>
            <w:tcW w:w="64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452"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016" w:type="dxa"/>
            <w:gridSpan w:val="6"/>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591" w:type="dxa"/>
            <w:tcBorders/>
            <w:shd w:fill="auto" w:val="clear"/>
            <w:vAlign w:val="center"/>
          </w:tcPr>
          <w:p>
            <w:pPr>
              <w:pStyle w:val="TableContents"/>
              <w:spacing w:before="0" w:after="0"/>
              <w:ind w:left="0" w:right="0" w:hanging="0"/>
              <w:jc w:val="center"/>
              <w:rPr/>
            </w:pPr>
            <w:r>
              <w:rPr/>
              <w:t> </w:t>
            </w:r>
          </w:p>
        </w:tc>
      </w:tr>
      <w:tr>
        <w:trPr/>
        <w:tc>
          <w:tcPr>
            <w:tcW w:w="64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share and per share data)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center"/>
              <w:rPr>
                <w:rFonts w:ascii="Times New Roman;serif" w:hAnsi="Times New Roman;serif"/>
                <w:b/>
                <w:i/>
                <w:sz w:val="16"/>
              </w:rPr>
            </w:pPr>
            <w:r>
              <w:rPr>
                <w:rFonts w:ascii="Times New Roman;serif" w:hAnsi="Times New Roman;serif"/>
                <w:b/>
                <w:i/>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2" w:type="dxa"/>
            <w:gridSpan w:val="2"/>
            <w:tcBorders/>
            <w:shd w:fill="auto" w:val="clear"/>
            <w:vAlign w:val="center"/>
          </w:tcPr>
          <w:p>
            <w:pPr>
              <w:pStyle w:val="TableContents"/>
              <w:spacing w:before="0" w:after="0"/>
              <w:ind w:left="0" w:right="0" w:hanging="0"/>
              <w:jc w:val="center"/>
              <w:rPr>
                <w:rFonts w:ascii="Times New Roman;serif" w:hAnsi="Times New Roman;serif"/>
                <w:b/>
                <w:i/>
                <w:sz w:val="16"/>
              </w:rPr>
            </w:pPr>
            <w:r>
              <w:rPr>
                <w:rFonts w:ascii="Times New Roman;serif" w:hAnsi="Times New Roman;serif"/>
                <w:b/>
                <w:i/>
                <w:sz w:val="16"/>
              </w:rPr>
              <w:t>(unaudited)</w:t>
            </w:r>
          </w:p>
        </w:tc>
        <w:tc>
          <w:tcPr>
            <w:tcW w:w="591" w:type="dxa"/>
            <w:tcBorders/>
            <w:shd w:fill="auto" w:val="clear"/>
            <w:vAlign w:val="center"/>
          </w:tcPr>
          <w:p>
            <w:pPr>
              <w:pStyle w:val="TableContents"/>
              <w:spacing w:before="0" w:after="0"/>
              <w:ind w:left="0" w:right="0" w:hanging="0"/>
              <w:jc w:val="center"/>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net:</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31,481</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11,767</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cost of sales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5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20,177</w:t>
            </w:r>
          </w:p>
        </w:tc>
        <w:tc>
          <w:tcPr>
            <w:tcW w:w="591" w:type="dxa"/>
            <w:tcBorders/>
            <w:shd w:fill="auto" w:val="clear"/>
            <w:vAlign w:val="center"/>
          </w:tcPr>
          <w:p>
            <w:pPr>
              <w:pStyle w:val="TableContents"/>
              <w:spacing w:before="0" w:after="0"/>
              <w:ind w:left="0" w:right="0" w:hanging="0"/>
              <w:jc w:val="left"/>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8,025</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6,960</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22,534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5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(2,357</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(3,303</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loss allocated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591" w:type="dxa"/>
            <w:tcBorders/>
            <w:shd w:fill="auto" w:val="clear"/>
            <w:vAlign w:val="center"/>
          </w:tcPr>
          <w:p>
            <w:pPr>
              <w:pStyle w:val="TableContents"/>
              <w:spacing w:before="0" w:after="0"/>
              <w:ind w:left="0" w:right="0" w:hanging="0"/>
              <w:jc w:val="left"/>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5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calculating 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135,489,194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133,902,523</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adjustment, net of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591" w:type="dxa"/>
            <w:tcBorders/>
            <w:shd w:fill="auto" w:val="clear"/>
            <w:vAlign w:val="center"/>
          </w:tcPr>
          <w:p>
            <w:pPr>
              <w:pStyle w:val="TableContents"/>
              <w:spacing w:before="0" w:after="0"/>
              <w:ind w:left="0" w:right="0" w:hanging="0"/>
              <w:jc w:val="left"/>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(2,144</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i/>
          <w:sz w:val="20"/>
        </w:rPr>
        <w:t>The accompanying notes are an integral part of these unaudited interim consolidated financial statements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16"/>
        </w:rPr>
      </w:pPr>
      <w:r>
        <w:rPr>
          <w:rFonts w:ascii="Times New Roman;serif" w:hAnsi="Times New Roman;serif"/>
          <w:b/>
          <w:sz w:val="16"/>
        </w:rPr>
        <w:t>Cytek Biosciences, Inc</w:t>
      </w:r>
    </w:p>
    <w:p>
      <w:pPr>
        <w:pStyle w:val="TextBody"/>
        <w:spacing w:before="0" w:after="0"/>
        <w:jc w:val="center"/>
        <w:rPr>
          <w:rFonts w:ascii="Times New Roman" w:hAnsi="Times New Roman"/>
          <w:sz w:val="20"/>
        </w:rPr>
      </w:pPr>
      <w:bookmarkStart w:id="8" w:name="consolidated_stockholders_equity"/>
      <w:bookmarkEnd w:id="8"/>
      <w:r>
        <w:rPr>
          <w:rFonts w:ascii="Times New Roman;serif" w:hAnsi="Times New Roman;serif"/>
          <w:b/>
          <w:sz w:val="16"/>
        </w:rPr>
        <w:t>Consolidated Statements of Stockhold</w:t>
      </w:r>
      <w:bookmarkStart w:id="9" w:name="shareholdersequity"/>
      <w:bookmarkEnd w:id="9"/>
      <w:r>
        <w:rPr>
          <w:rFonts w:ascii="Times New Roman;serif" w:hAnsi="Times New Roman;serif"/>
          <w:b/>
          <w:sz w:val="16"/>
        </w:rPr>
        <w:t>ers’ Equity</w:t>
      </w:r>
    </w:p>
    <w:p>
      <w:pPr>
        <w:pStyle w:val="TextBody"/>
        <w:spacing w:before="0" w:after="0"/>
        <w:jc w:val="center"/>
        <w:rPr>
          <w:rFonts w:ascii="Times New Roman;serif" w:hAnsi="Times New Roman;serif"/>
          <w:b/>
          <w:sz w:val="16"/>
        </w:rPr>
      </w:pPr>
      <w:r>
        <w:rPr>
          <w:rFonts w:ascii="Times New Roman;serif" w:hAnsi="Times New Roman;serif"/>
          <w:b/>
          <w:sz w:val="16"/>
        </w:rPr>
        <w:t>(unaudited)</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31"/>
        <w:gridCol w:w="146"/>
        <w:gridCol w:w="841"/>
        <w:gridCol w:w="151"/>
        <w:gridCol w:w="201"/>
        <w:gridCol w:w="370"/>
        <w:gridCol w:w="146"/>
        <w:gridCol w:w="146"/>
        <w:gridCol w:w="181"/>
        <w:gridCol w:w="586"/>
        <w:gridCol w:w="151"/>
        <w:gridCol w:w="146"/>
        <w:gridCol w:w="213"/>
        <w:gridCol w:w="658"/>
        <w:gridCol w:w="151"/>
        <w:gridCol w:w="146"/>
        <w:gridCol w:w="395"/>
        <w:gridCol w:w="676"/>
        <w:gridCol w:w="151"/>
        <w:gridCol w:w="146"/>
        <w:gridCol w:w="386"/>
        <w:gridCol w:w="806"/>
        <w:gridCol w:w="151"/>
        <w:gridCol w:w="146"/>
        <w:gridCol w:w="208"/>
        <w:gridCol w:w="678"/>
        <w:gridCol w:w="198"/>
      </w:tblGrid>
      <w:tr>
        <w:trPr/>
        <w:tc>
          <w:tcPr>
            <w:tcW w:w="2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709" w:type="dxa"/>
            <w:gridSpan w:val="5"/>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 other</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98" w:type="dxa"/>
            <w:tcBorders/>
            <w:shd w:fill="auto" w:val="clear"/>
            <w:vAlign w:val="center"/>
          </w:tcPr>
          <w:p>
            <w:pPr>
              <w:pStyle w:val="TableContents"/>
              <w:spacing w:before="0" w:after="0"/>
              <w:ind w:left="0" w:right="0" w:hanging="0"/>
              <w:jc w:val="center"/>
              <w:rPr/>
            </w:pPr>
            <w:r>
              <w:rPr/>
              <w:t> </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709"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interest in consolidated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stockholders’</w:t>
            </w:r>
          </w:p>
        </w:tc>
        <w:tc>
          <w:tcPr>
            <w:tcW w:w="198" w:type="dxa"/>
            <w:tcBorders/>
            <w:shd w:fill="auto" w:val="clear"/>
            <w:vAlign w:val="center"/>
          </w:tcPr>
          <w:p>
            <w:pPr>
              <w:pStyle w:val="TableContents"/>
              <w:spacing w:before="0" w:after="0"/>
              <w:ind w:left="0" w:right="0" w:hanging="0"/>
              <w:jc w:val="center"/>
              <w:rPr/>
            </w:pPr>
            <w:r>
              <w:rPr/>
              <w:t> </w:t>
            </w:r>
          </w:p>
        </w:tc>
      </w:tr>
      <w:tr>
        <w:trPr/>
        <w:tc>
          <w:tcPr>
            <w:tcW w:w="2031"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 thousands, except share data)</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income (loss)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subsidiary</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3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Balances at December 31, 2022</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135,365,381</w:t>
            </w:r>
          </w:p>
        </w:tc>
        <w:tc>
          <w:tcPr>
            <w:tcW w:w="15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442,887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(17,030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(697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38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425,546</w:t>
            </w:r>
          </w:p>
        </w:tc>
        <w:tc>
          <w:tcPr>
            <w:tcW w:w="198" w:type="dxa"/>
            <w:tcBorders/>
            <w:shd w:fill="auto" w:val="clear"/>
            <w:vAlign w:val="center"/>
          </w:tcPr>
          <w:p>
            <w:pPr>
              <w:pStyle w:val="TableContents"/>
              <w:spacing w:before="0" w:after="0"/>
              <w:ind w:left="0" w:right="0" w:hanging="0"/>
              <w:jc w:val="left"/>
              <w:rPr/>
            </w:pPr>
            <w:r>
              <w:rPr/>
              <w:t> </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Shares issued in connection with employee stock plans</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283,856</w:t>
            </w:r>
          </w:p>
        </w:tc>
        <w:tc>
          <w:tcPr>
            <w:tcW w:w="151"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204</w:t>
            </w:r>
          </w:p>
        </w:tc>
        <w:tc>
          <w:tcPr>
            <w:tcW w:w="198" w:type="dxa"/>
            <w:tcBorders/>
            <w:shd w:fill="auto" w:val="clear"/>
            <w:vAlign w:val="center"/>
          </w:tcPr>
          <w:p>
            <w:pPr>
              <w:pStyle w:val="TableContents"/>
              <w:spacing w:before="0" w:after="0"/>
              <w:ind w:left="0" w:right="0" w:hanging="0"/>
              <w:jc w:val="left"/>
              <w:rPr/>
            </w:pPr>
            <w:r>
              <w:rPr/>
              <w:t> </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Shares of Common Stock withheld related to net share settlement</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(5,182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01"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w:t>
            </w:r>
          </w:p>
        </w:tc>
        <w:tc>
          <w:tcPr>
            <w:tcW w:w="98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4,699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4,699</w:t>
            </w:r>
          </w:p>
        </w:tc>
        <w:tc>
          <w:tcPr>
            <w:tcW w:w="198" w:type="dxa"/>
            <w:tcBorders/>
            <w:shd w:fill="auto" w:val="clear"/>
            <w:vAlign w:val="center"/>
          </w:tcPr>
          <w:p>
            <w:pPr>
              <w:pStyle w:val="TableContents"/>
              <w:spacing w:before="0" w:after="0"/>
              <w:ind w:left="0" w:right="0" w:hanging="0"/>
              <w:jc w:val="left"/>
              <w:rPr/>
            </w:pPr>
            <w:r>
              <w:rPr/>
              <w:t> </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Unrealized gain on marketable securities</w:t>
            </w:r>
          </w:p>
        </w:tc>
        <w:tc>
          <w:tcPr>
            <w:tcW w:w="98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152</w:t>
            </w:r>
          </w:p>
        </w:tc>
        <w:tc>
          <w:tcPr>
            <w:tcW w:w="198" w:type="dxa"/>
            <w:tcBorders/>
            <w:shd w:fill="auto" w:val="clear"/>
            <w:vAlign w:val="center"/>
          </w:tcPr>
          <w:p>
            <w:pPr>
              <w:pStyle w:val="TableContents"/>
              <w:spacing w:before="0" w:after="0"/>
              <w:ind w:left="0" w:right="0" w:hanging="0"/>
              <w:jc w:val="left"/>
              <w:rPr/>
            </w:pPr>
            <w:r>
              <w:rPr/>
              <w:t> </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Foreign currency translation adjustment, net of tax</w:t>
            </w:r>
          </w:p>
        </w:tc>
        <w:tc>
          <w:tcPr>
            <w:tcW w:w="98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98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(6,807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67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(6,807</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Noncontrolling interest</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(235</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Balances at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135,644,055</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447,748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(23,837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(587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423,460</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031"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pPr>
            <w:r>
              <w:rPr/>
              <w:t> </w:t>
            </w:r>
          </w:p>
        </w:tc>
        <w:tc>
          <w:tcPr>
            <w:tcW w:w="98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98" w:type="dxa"/>
            <w:tcBorders/>
            <w:shd w:fill="auto" w:val="clear"/>
            <w:vAlign w:val="center"/>
          </w:tcPr>
          <w:p>
            <w:pPr>
              <w:pStyle w:val="TableContents"/>
              <w:spacing w:before="0" w:after="0"/>
              <w:ind w:left="0" w:right="0" w:hanging="0"/>
              <w:jc w:val="right"/>
              <w:rPr/>
            </w:pPr>
            <w:r>
              <w:rPr/>
              <w:t> </w:t>
            </w:r>
          </w:p>
        </w:tc>
      </w:tr>
    </w:tbl>
    <w:p>
      <w:pPr>
        <w:pStyle w:val="TextBody"/>
        <w:spacing w:before="0" w:after="203"/>
        <w:jc w:val="left"/>
        <w:rPr/>
      </w:pPr>
      <w:r>
        <w:rPr/>
        <w:t> </w:t>
      </w:r>
    </w:p>
    <w:tbl>
      <w:tblPr>
        <w:tblW w:w="10205" w:type="dxa"/>
        <w:jc w:val="left"/>
        <w:tblInd w:w="0" w:type="dxa"/>
        <w:tblCellMar>
          <w:top w:w="28" w:type="dxa"/>
          <w:left w:w="28" w:type="dxa"/>
          <w:bottom w:w="28" w:type="dxa"/>
          <w:right w:w="28" w:type="dxa"/>
        </w:tblCellMar>
      </w:tblPr>
      <w:tblGrid>
        <w:gridCol w:w="1963"/>
        <w:gridCol w:w="146"/>
        <w:gridCol w:w="841"/>
        <w:gridCol w:w="146"/>
        <w:gridCol w:w="201"/>
        <w:gridCol w:w="370"/>
        <w:gridCol w:w="146"/>
        <w:gridCol w:w="146"/>
        <w:gridCol w:w="181"/>
        <w:gridCol w:w="586"/>
        <w:gridCol w:w="146"/>
        <w:gridCol w:w="146"/>
        <w:gridCol w:w="213"/>
        <w:gridCol w:w="658"/>
        <w:gridCol w:w="151"/>
        <w:gridCol w:w="146"/>
        <w:gridCol w:w="427"/>
        <w:gridCol w:w="668"/>
        <w:gridCol w:w="146"/>
        <w:gridCol w:w="146"/>
        <w:gridCol w:w="403"/>
        <w:gridCol w:w="841"/>
        <w:gridCol w:w="151"/>
        <w:gridCol w:w="146"/>
        <w:gridCol w:w="209"/>
        <w:gridCol w:w="681"/>
        <w:gridCol w:w="201"/>
      </w:tblGrid>
      <w:tr>
        <w:trPr/>
        <w:tc>
          <w:tcPr>
            <w:tcW w:w="19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704" w:type="dxa"/>
            <w:gridSpan w:val="5"/>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 other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4"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0"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01" w:type="dxa"/>
            <w:tcBorders/>
            <w:shd w:fill="auto" w:val="clear"/>
            <w:vAlign w:val="center"/>
          </w:tcPr>
          <w:p>
            <w:pPr>
              <w:pStyle w:val="TableContents"/>
              <w:spacing w:before="0" w:after="0"/>
              <w:ind w:left="0" w:right="0" w:hanging="0"/>
              <w:jc w:val="center"/>
              <w:rPr/>
            </w:pPr>
            <w:r>
              <w:rPr/>
              <w:t> </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center"/>
              <w:rPr/>
            </w:pPr>
            <w:r>
              <w:rPr/>
              <w:t> </w:t>
            </w:r>
          </w:p>
        </w:tc>
        <w:tc>
          <w:tcPr>
            <w:tcW w:w="1704"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4"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interest in consolidated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90"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stockholders’</w:t>
            </w:r>
          </w:p>
        </w:tc>
        <w:tc>
          <w:tcPr>
            <w:tcW w:w="201" w:type="dxa"/>
            <w:tcBorders/>
            <w:shd w:fill="auto" w:val="clear"/>
            <w:vAlign w:val="center"/>
          </w:tcPr>
          <w:p>
            <w:pPr>
              <w:pStyle w:val="TableContents"/>
              <w:spacing w:before="0" w:after="0"/>
              <w:ind w:left="0" w:right="0" w:hanging="0"/>
              <w:jc w:val="center"/>
              <w:rPr/>
            </w:pPr>
            <w:r>
              <w:rPr/>
              <w:t> </w:t>
            </w:r>
          </w:p>
        </w:tc>
      </w:tr>
      <w:tr>
        <w:trPr/>
        <w:tc>
          <w:tcPr>
            <w:tcW w:w="1963" w:type="dxa"/>
            <w:tcBorders>
              <w:bottom w:val="single" w:sz="4" w:space="0" w:color="000000"/>
              <w:right w:val="single" w:sz="4" w:space="0" w:color="000000"/>
            </w:tcBorders>
            <w:shd w:fill="auto" w:val="clear"/>
            <w:tcMar>
              <w:top w:w="0" w:type="dxa"/>
              <w:lef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 thousands, except share data)</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income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subsidiary</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Balances at December 31, 2021</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133,749,663</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423,625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(19,606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42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405,385</w:t>
            </w:r>
          </w:p>
        </w:tc>
        <w:tc>
          <w:tcPr>
            <w:tcW w:w="201" w:type="dxa"/>
            <w:tcBorders/>
            <w:shd w:fill="auto" w:val="clear"/>
            <w:vAlign w:val="center"/>
          </w:tcPr>
          <w:p>
            <w:pPr>
              <w:pStyle w:val="TableContents"/>
              <w:spacing w:before="0" w:after="0"/>
              <w:ind w:left="0" w:right="0" w:hanging="0"/>
              <w:jc w:val="left"/>
              <w:rPr/>
            </w:pPr>
            <w:r>
              <w:rPr/>
              <w:t> </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493,267</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37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4"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364</w:t>
            </w:r>
          </w:p>
        </w:tc>
        <w:tc>
          <w:tcPr>
            <w:tcW w:w="201" w:type="dxa"/>
            <w:tcBorders/>
            <w:shd w:fill="auto" w:val="clear"/>
            <w:vAlign w:val="center"/>
          </w:tcPr>
          <w:p>
            <w:pPr>
              <w:pStyle w:val="TableContents"/>
              <w:spacing w:before="0" w:after="0"/>
              <w:ind w:left="0" w:right="0" w:hanging="0"/>
              <w:jc w:val="left"/>
              <w:rPr/>
            </w:pPr>
            <w:r>
              <w:rPr/>
              <w:t> </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w:t>
            </w:r>
          </w:p>
        </w:tc>
        <w:tc>
          <w:tcPr>
            <w:tcW w:w="9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3,837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4"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3,837</w:t>
            </w:r>
          </w:p>
        </w:tc>
        <w:tc>
          <w:tcPr>
            <w:tcW w:w="201" w:type="dxa"/>
            <w:tcBorders/>
            <w:shd w:fill="auto" w:val="clear"/>
            <w:vAlign w:val="center"/>
          </w:tcPr>
          <w:p>
            <w:pPr>
              <w:pStyle w:val="TableContents"/>
              <w:spacing w:before="0" w:after="0"/>
              <w:ind w:left="0" w:right="0" w:hanging="0"/>
              <w:jc w:val="left"/>
              <w:rPr/>
            </w:pPr>
            <w:r>
              <w:rPr/>
              <w:t> </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Foreign currency translation adjustment, net of tax</w:t>
            </w:r>
          </w:p>
        </w:tc>
        <w:tc>
          <w:tcPr>
            <w:tcW w:w="9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1"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7"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44" w:type="dxa"/>
            <w:gridSpan w:val="2"/>
            <w:tcBorders/>
            <w:shd w:fill="auto" w:val="clear"/>
            <w:vAlign w:val="center"/>
          </w:tcPr>
          <w:p>
            <w:pPr>
              <w:pStyle w:val="TableContents"/>
              <w:spacing w:before="0" w:after="0"/>
              <w:ind w:left="0" w:right="0" w:hanging="0"/>
              <w:jc w:val="right"/>
              <w:rPr/>
            </w:pPr>
            <w:r>
              <w:rPr/>
              <w:t> </w:t>
            </w:r>
          </w:p>
        </w:tc>
        <w:tc>
          <w:tcPr>
            <w:tcW w:w="15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201" w:type="dxa"/>
            <w:tcBorders/>
            <w:shd w:fill="auto" w:val="clear"/>
            <w:vAlign w:val="center"/>
          </w:tcPr>
          <w:p>
            <w:pPr>
              <w:pStyle w:val="TableContents"/>
              <w:spacing w:before="0" w:after="0"/>
              <w:ind w:left="0" w:right="0" w:hanging="0"/>
              <w:jc w:val="left"/>
              <w:rPr/>
            </w:pPr>
            <w:r>
              <w:rPr/>
              <w:t> </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loss</w:t>
            </w:r>
          </w:p>
        </w:tc>
        <w:tc>
          <w:tcPr>
            <w:tcW w:w="9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6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65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(2,021</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Noncontrolling interest</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(137</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963" w:type="dxa"/>
            <w:tcBorders>
              <w:right w:val="single" w:sz="4" w:space="0" w:color="000000"/>
            </w:tcBorders>
            <w:shd w:fill="auto" w:val="clear"/>
            <w:tcMar>
              <w:top w:w="0" w:type="dxa"/>
              <w:left w:w="0" w:type="dxa"/>
              <w:bottom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Balances at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134,242,930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427,818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(21,627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407,442</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 w:hAnsi="Times New Roman"/>
          <w:sz w:val="20"/>
        </w:rPr>
      </w:pPr>
      <w:r>
        <w:rPr>
          <w:rFonts w:ascii="Times New Roman;serif" w:hAnsi="Times New Roman;serif"/>
          <w:b w:val="false"/>
          <w:i/>
          <w:sz w:val="16"/>
        </w:rPr>
        <w:t>The accompanying notes are an integral part of these unaudited interim consolidated financial statements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Cytek Biosciences, Inc</w:t>
      </w:r>
    </w:p>
    <w:p>
      <w:pPr>
        <w:pStyle w:val="TextBody"/>
        <w:spacing w:before="0" w:after="0"/>
        <w:jc w:val="center"/>
        <w:rPr>
          <w:rFonts w:ascii="Times New Roman" w:hAnsi="Times New Roman"/>
          <w:sz w:val="20"/>
        </w:rPr>
      </w:pPr>
      <w:bookmarkStart w:id="10" w:name="cash_flow"/>
      <w:bookmarkEnd w:id="10"/>
      <w:r>
        <w:rPr>
          <w:rFonts w:ascii="Times New Roman;serif" w:hAnsi="Times New Roman;serif"/>
          <w:b/>
          <w:sz w:val="20"/>
        </w:rPr>
        <w:t>Consolidated Statemen</w:t>
      </w:r>
      <w:bookmarkStart w:id="11" w:name="cashflow"/>
      <w:bookmarkEnd w:id="11"/>
      <w:r>
        <w:rPr>
          <w:rFonts w:ascii="Times New Roman;serif" w:hAnsi="Times New Roman;serif"/>
          <w:b/>
          <w:sz w:val="20"/>
        </w:rPr>
        <w:t>ts of Cash Flows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tbl>
      <w:tblPr>
        <w:tblW w:w="9224" w:type="dxa"/>
        <w:jc w:val="left"/>
        <w:tblInd w:w="0" w:type="dxa"/>
        <w:tblCellMar>
          <w:top w:w="28" w:type="dxa"/>
          <w:left w:w="28" w:type="dxa"/>
          <w:bottom w:w="28" w:type="dxa"/>
          <w:right w:w="28" w:type="dxa"/>
        </w:tblCellMar>
      </w:tblPr>
      <w:tblGrid>
        <w:gridCol w:w="6121"/>
        <w:gridCol w:w="146"/>
        <w:gridCol w:w="196"/>
        <w:gridCol w:w="751"/>
        <w:gridCol w:w="166"/>
        <w:gridCol w:w="146"/>
        <w:gridCol w:w="196"/>
        <w:gridCol w:w="691"/>
        <w:gridCol w:w="811"/>
      </w:tblGrid>
      <w:tr>
        <w:trPr/>
        <w:tc>
          <w:tcPr>
            <w:tcW w:w="6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61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Three months 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811" w:type="dxa"/>
            <w:tcBorders/>
            <w:shd w:fill="auto" w:val="clear"/>
            <w:vAlign w:val="center"/>
          </w:tcPr>
          <w:p>
            <w:pPr>
              <w:pStyle w:val="TableContents"/>
              <w:spacing w:before="0" w:after="0"/>
              <w:ind w:left="0" w:right="0" w:hanging="0"/>
              <w:jc w:val="center"/>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(2,158</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Adjustments to reconcile net loss to 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794</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operating lease-right-of use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676</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3,837</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excess and obsolete inventory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Gain on investments, accretion, and amortization,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expenses for accretion of the legal settlement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498</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Change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Trade accounts receivable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(1,038</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Inventories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(5,921</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(4,351</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Trade 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2,782</w:t>
            </w:r>
          </w:p>
        </w:tc>
        <w:tc>
          <w:tcPr>
            <w:tcW w:w="811" w:type="dxa"/>
            <w:tcBorders/>
            <w:shd w:fill="auto" w:val="clear"/>
            <w:vAlign w:val="center"/>
          </w:tcPr>
          <w:p>
            <w:pPr>
              <w:pStyle w:val="TableContents"/>
              <w:spacing w:before="0" w:after="0"/>
              <w:ind w:left="0" w:right="0" w:firstLine="400"/>
              <w:jc w:val="left"/>
              <w:rPr/>
            </w:pPr>
            <w:r>
              <w:rPr/>
              <w:t> </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555</w:t>
            </w:r>
          </w:p>
        </w:tc>
        <w:tc>
          <w:tcPr>
            <w:tcW w:w="811" w:type="dxa"/>
            <w:tcBorders/>
            <w:shd w:fill="auto" w:val="clear"/>
            <w:vAlign w:val="center"/>
          </w:tcPr>
          <w:p>
            <w:pPr>
              <w:pStyle w:val="TableContents"/>
              <w:spacing w:before="0" w:after="0"/>
              <w:ind w:left="0" w:right="0" w:firstLine="400"/>
              <w:jc w:val="left"/>
              <w:rPr/>
            </w:pPr>
            <w:r>
              <w:rPr/>
              <w:t> </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Legal settlement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482</w:t>
            </w:r>
          </w:p>
        </w:tc>
        <w:tc>
          <w:tcPr>
            <w:tcW w:w="811" w:type="dxa"/>
            <w:tcBorders/>
            <w:shd w:fill="auto" w:val="clear"/>
            <w:vAlign w:val="center"/>
          </w:tcPr>
          <w:p>
            <w:pPr>
              <w:pStyle w:val="TableContents"/>
              <w:spacing w:before="0" w:after="0"/>
              <w:ind w:left="0" w:right="0" w:firstLine="400"/>
              <w:jc w:val="left"/>
              <w:rPr/>
            </w:pPr>
            <w:r>
              <w:rPr/>
              <w:t> </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2,581</w:t>
            </w:r>
          </w:p>
        </w:tc>
        <w:tc>
          <w:tcPr>
            <w:tcW w:w="811" w:type="dxa"/>
            <w:tcBorders/>
            <w:shd w:fill="auto" w:val="clear"/>
            <w:vAlign w:val="center"/>
          </w:tcPr>
          <w:p>
            <w:pPr>
              <w:pStyle w:val="TableContents"/>
              <w:spacing w:before="0" w:after="0"/>
              <w:ind w:left="0" w:right="0" w:firstLine="400"/>
              <w:jc w:val="left"/>
              <w:rPr/>
            </w:pPr>
            <w:r>
              <w:rPr/>
              <w:t> </w:t>
            </w:r>
          </w:p>
        </w:tc>
      </w:tr>
      <w:tr>
        <w:trPr/>
        <w:tc>
          <w:tcPr>
            <w:tcW w:w="612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(123,239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Purchase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(780</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Acquisition of business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(44,895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 for additional investment in Cytek Japan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121"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(168,874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Repayment of loan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Payments for taxes related to net share settlement of equity awards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Proceeds from issuance of common stock under employee stock plans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121"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(167,106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299,500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364,618</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132,394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362,506</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Cash paid for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2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Fixed asset purchases in accounts payable at period end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228</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12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Intangible asset in accrued expenses at period end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interim consolidated financial statements</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Cytek Biosciences,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12" w:name="notestoconsolidatedfinancialstatements"/>
      <w:bookmarkEnd w:id="12"/>
      <w:r>
        <w:rPr>
          <w:rFonts w:ascii="Times New Roman;serif" w:hAnsi="Times New Roman;serif"/>
          <w:b/>
          <w:sz w:val="20"/>
        </w:rPr>
        <w:t>Notes to consolid</w:t>
      </w:r>
      <w:bookmarkStart w:id="13" w:name="notes_to_the_financial_statements"/>
      <w:bookmarkEnd w:id="13"/>
      <w:r>
        <w:rPr>
          <w:rFonts w:ascii="Times New Roman;serif" w:hAnsi="Times New Roman;serif"/>
          <w:b/>
          <w:sz w:val="20"/>
        </w:rPr>
        <w:t>ated financial statements</w:t>
      </w:r>
      <w:r>
        <w:rPr>
          <w:rFonts w:ascii="Times New Roman" w:hAnsi="Times New Roman"/>
          <w:sz w:val="20"/>
        </w:rPr>
        <w:t xml:space="preserve"> </w:t>
      </w:r>
    </w:p>
    <w:p>
      <w:pPr>
        <w:pStyle w:val="TextBody"/>
        <w:spacing w:before="120" w:after="120"/>
        <w:jc w:val="left"/>
        <w:rPr>
          <w:rFonts w:ascii="Times New Roman" w:hAnsi="Times New Roman"/>
          <w:b/>
          <w:sz w:val="20"/>
        </w:rPr>
      </w:pPr>
      <w:r>
        <w:rPr>
          <w:rFonts w:ascii="Times New Roman" w:hAnsi="Times New Roman"/>
          <w:b/>
          <w:sz w:val="20"/>
        </w:rPr>
        <w:t>1.</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Description of business </w:t>
      </w:r>
    </w:p>
    <w:p>
      <w:pPr>
        <w:pStyle w:val="TextBody"/>
        <w:spacing w:before="120" w:after="120"/>
        <w:jc w:val="both"/>
        <w:rPr>
          <w:rFonts w:ascii="Times New Roman" w:hAnsi="Times New Roman"/>
          <w:sz w:val="20"/>
        </w:rPr>
      </w:pPr>
      <w:r>
        <w:rPr>
          <w:rFonts w:ascii="Times New Roman;serif" w:hAnsi="Times New Roman;serif"/>
          <w:b w:val="false"/>
          <w:sz w:val="20"/>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has successfully developed and manufactured its full spectrum flow cytometry platform (“instrument(s)” or “product(s)”). The Company believes its core instruments, the Aurora and Northern Lights</w:t>
      </w:r>
      <w:r>
        <w:rPr>
          <w:rFonts w:ascii="Times New Roman;serif" w:hAnsi="Times New Roman;serif"/>
          <w:b w:val="false"/>
          <w:sz w:val="11"/>
        </w:rPr>
        <w:t>TM</w:t>
      </w:r>
      <w:r>
        <w:rPr>
          <w:rFonts w:ascii="Times New Roman" w:hAnsi="Times New Roman"/>
          <w:sz w:val="20"/>
        </w:rPr>
        <w:t xml:space="preserve"> </w:t>
      </w:r>
      <w:r>
        <w:rPr>
          <w:rFonts w:ascii="Times New Roman;serif" w:hAnsi="Times New Roman;serif"/>
          <w:b w:val="false"/>
          <w:sz w:val="20"/>
        </w:rPr>
        <w:t>systems, are the first full spectrum flow cytometers able to deliver high-resolution, high-content and high-sensitivity cell analysis by utilizing the full spectrum of fluorescence signatures from multiple lasers to distinguish fluorescent tags on single cells (“Full Spectrum Profiling</w:t>
      </w:r>
      <w:r>
        <w:rPr>
          <w:rFonts w:ascii="Times New Roman;serif" w:hAnsi="Times New Roman;serif"/>
          <w:b w:val="false"/>
          <w:sz w:val="11"/>
        </w:rPr>
        <w:t>TM</w:t>
      </w:r>
      <w:r>
        <w:rPr>
          <w:rFonts w:ascii="Times New Roman" w:hAnsi="Times New Roman"/>
          <w:sz w:val="20"/>
        </w:rPr>
        <w:t xml:space="preserve">” </w:t>
      </w:r>
      <w:r>
        <w:rPr>
          <w:rFonts w:ascii="Times New Roman;serif" w:hAnsi="Times New Roman;serif"/>
          <w:b w:val="false"/>
          <w:sz w:val="20"/>
        </w:rPr>
        <w:t>or “FSP</w:t>
      </w:r>
      <w:r>
        <w:rPr>
          <w:rFonts w:ascii="Times New Roman;serif" w:hAnsi="Times New Roman;serif"/>
          <w:b w:val="false"/>
          <w:sz w:val="11"/>
        </w:rPr>
        <w:t>TM</w:t>
      </w:r>
      <w:r>
        <w:rPr>
          <w:rFonts w:ascii="Times New Roman" w:hAnsi="Times New Roman"/>
          <w:sz w:val="20"/>
        </w:rPr>
        <w:t>”</w:t>
      </w:r>
      <w:r>
        <w:rPr>
          <w:rFonts w:ascii="Times New Roman;serif" w:hAnsi="Times New Roman;serif"/>
          <w:b w:val="false"/>
          <w:sz w:val="20"/>
        </w:rPr>
        <w:t>). The Company’s FSP platform includes instruments, accessories, reagents, software, and services to provide a comprehensive and integrated suite of solutions for its customers.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On February 28, 2023, the Company completed the acquisition of the flow cytometry and imaging (“FCI”) business unit of Luminex Corporation ("Luminex"), including relating to the business of manufacturing, marketing, selling, servicing and maintaining Amnis-, CellStream-, Guava- and Muse-branded instruments, and flow cytometry reagent products and services.</w:t>
      </w:r>
    </w:p>
    <w:p>
      <w:pPr>
        <w:pStyle w:val="TextBody"/>
        <w:spacing w:before="120" w:after="120"/>
        <w:jc w:val="both"/>
        <w:rPr>
          <w:rFonts w:ascii="Times New Roman" w:hAnsi="Times New Roman"/>
          <w:sz w:val="20"/>
        </w:rPr>
      </w:pPr>
      <w:r>
        <w:rPr>
          <w:rFonts w:ascii="Times New Roman;serif" w:hAnsi="Times New Roman;serif"/>
          <w:b w:val="false"/>
          <w:sz w:val="20"/>
        </w:rPr>
        <w:t>The Company was incorporated in the state of Delaware</w:t>
      </w:r>
      <w:r>
        <w:rPr>
          <w:rFonts w:ascii="Times New Roman" w:hAnsi="Times New Roman"/>
          <w:sz w:val="20"/>
        </w:rPr>
        <w:t xml:space="preserve"> </w:t>
      </w:r>
      <w:r>
        <w:rPr>
          <w:rFonts w:ascii="Times New Roman;serif" w:hAnsi="Times New Roman;serif"/>
          <w:b w:val="false"/>
          <w:sz w:val="20"/>
        </w:rPr>
        <w:t>in December 2014 and is headquartered in Fremont, California with offices, manufacturing facilities and distribution channels across the globe.</w:t>
      </w:r>
      <w:r>
        <w:rPr>
          <w:rFonts w:ascii="Times New Roman" w:hAnsi="Times New Roman"/>
          <w:sz w:val="20"/>
        </w:rPr>
        <w:t xml:space="preserve"> </w:t>
      </w:r>
    </w:p>
    <w:p>
      <w:pPr>
        <w:pStyle w:val="TextBody"/>
        <w:spacing w:before="120" w:after="120"/>
        <w:jc w:val="both"/>
        <w:rPr>
          <w:rFonts w:ascii="Times New Roman;serif" w:hAnsi="Times New Roman;serif"/>
          <w:b/>
          <w:i/>
          <w:sz w:val="20"/>
        </w:rPr>
      </w:pPr>
      <w:r>
        <w:rPr>
          <w:rFonts w:ascii="Times New Roman;serif" w:hAnsi="Times New Roman;serif"/>
          <w:b/>
          <w:i/>
          <w:sz w:val="20"/>
        </w:rPr>
        <w:t>Shelf Registration Statement and At-the-Market Offering</w:t>
      </w:r>
    </w:p>
    <w:p>
      <w:pPr>
        <w:pStyle w:val="TextBody"/>
        <w:spacing w:before="120" w:after="120"/>
        <w:jc w:val="both"/>
        <w:rPr>
          <w:rFonts w:ascii="Times New Roman" w:hAnsi="Times New Roman"/>
          <w:sz w:val="20"/>
        </w:rPr>
      </w:pPr>
      <w:r>
        <w:rPr>
          <w:rFonts w:ascii="Times New Roman;serif" w:hAnsi="Times New Roman;serif"/>
          <w:b w:val="false"/>
          <w:sz w:val="20"/>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w:t>
      </w:r>
      <w:r>
        <w:rPr>
          <w:rFonts w:ascii="Times New Roman" w:hAnsi="Times New Roman"/>
          <w:sz w:val="20"/>
        </w:rPr>
        <w:t xml:space="preserve"> </w:t>
      </w:r>
      <w:r>
        <w:rPr>
          <w:rFonts w:ascii="Times New Roman;serif" w:hAnsi="Times New Roman;serif"/>
          <w:b w:val="false"/>
          <w:sz w:val="20"/>
        </w:rPr>
        <w:t>million of the Company’s common stock through an “at-the-market” offering program as defined in Rule 415 promulgated under the Securities Act of 1933, as amended (the “Securities Act”).</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March 31, 2023, the Company has not made any sales of common stock pursuant to the 2022 Sales Agreement.</w:t>
      </w:r>
    </w:p>
    <w:p>
      <w:pPr>
        <w:pStyle w:val="TextBody"/>
        <w:spacing w:before="120" w:after="120"/>
        <w:jc w:val="left"/>
        <w:rPr>
          <w:rFonts w:ascii="Times New Roman" w:hAnsi="Times New Roman"/>
          <w:b/>
          <w:sz w:val="20"/>
        </w:rPr>
      </w:pPr>
      <w:r>
        <w:rPr>
          <w:rFonts w:ascii="Times New Roman" w:hAnsi="Times New Roman"/>
          <w:b/>
          <w:sz w:val="20"/>
        </w:rPr>
        <w:t>2.</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Basis of presentation and summary of significant accounting policies </w:t>
      </w:r>
    </w:p>
    <w:p>
      <w:pPr>
        <w:pStyle w:val="TextBody"/>
        <w:spacing w:before="120" w:after="120"/>
        <w:jc w:val="both"/>
        <w:rPr>
          <w:rFonts w:ascii="Times New Roman" w:hAnsi="Times New Roman"/>
          <w:sz w:val="20"/>
        </w:rPr>
      </w:pPr>
      <w:r>
        <w:rPr>
          <w:rFonts w:ascii="Times New Roman;serif" w:hAnsi="Times New Roman;serif"/>
          <w:b w:val="false"/>
          <w:sz w:val="20"/>
        </w:rPr>
        <w:t>The Company has prepared the accompanying unaudited interim consolidated financial statements in accordance with accounting principles generally accepted in the United States of America (“GAAP”). Any reference in these notes to applicable guidance is meant to refer to the authoritative GAAP as found in the Accounting Standards Codification (“ASC”) and Accounting Standards Updates (“ASUs”) of the Financial Accounting Standards Board (“FASB”).</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Principles of consolidation</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 xml:space="preserve">The unaudited interim consolidated financial statements include the accounts of Cytek Biosciences, Inc., its wholly-owned subsidiaries, Cytek Limited (HK), Cytek Biosciences B.V. (Europe), Cytek (Shanghai) Biosciences Co., Ltd., Cytek Biosciences (Wuxi) Co., Ltd., Cytoville Biosciences Shanghai Co., Ltd., Cytek (Shanghai) Software Development Technology Co., Ltd. and Cytek Japan Kabushiki Kaisha (“Cytek Japan”). All intercompany accounts and transactions have been eliminated in consolidation. </w:t>
      </w:r>
    </w:p>
    <w:p>
      <w:pPr>
        <w:pStyle w:val="TextBody"/>
        <w:spacing w:before="120" w:after="120"/>
        <w:jc w:val="both"/>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preparation of the unaudited interim consolidated financial statements in conformity with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Operating segments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aggregate basis for allocating and evaluating financial performance. The Company operates and manages its business as one reportable and operating segment.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Foreign currency translation and transactions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income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income.</w:t>
      </w:r>
      <w:r>
        <w:rPr>
          <w:rFonts w:ascii="Times New Roman" w:hAnsi="Times New Roman"/>
          <w:sz w:val="20"/>
        </w:rPr>
        <w:t xml:space="preserve"> </w:t>
      </w:r>
    </w:p>
    <w:p>
      <w:pPr>
        <w:pStyle w:val="TextBody"/>
        <w:spacing w:before="120" w:after="120"/>
        <w:jc w:val="both"/>
        <w:rPr>
          <w:rFonts w:ascii="Times New Roman;serif" w:hAnsi="Times New Roman;serif"/>
          <w:b/>
          <w:i/>
          <w:sz w:val="20"/>
        </w:rPr>
      </w:pPr>
      <w:r>
        <w:rPr>
          <w:rFonts w:ascii="Times New Roman;serif" w:hAnsi="Times New Roman;serif"/>
          <w:b/>
          <w:i/>
          <w:sz w:val="20"/>
        </w:rPr>
        <w:t>Cash, cash equivalents, and restricted cash</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Company considers all highly liquid investments with a maturity of three months or less when purchased to be cash equivalents. Cash equivalents are carried at cost, which approximates fair value.</w:t>
      </w:r>
    </w:p>
    <w:p>
      <w:pPr>
        <w:pStyle w:val="TextBody"/>
        <w:spacing w:before="120" w:after="120"/>
        <w:jc w:val="both"/>
        <w:rPr>
          <w:rFonts w:ascii="Times New Roman" w:hAnsi="Times New Roman"/>
          <w:sz w:val="20"/>
        </w:rPr>
      </w:pPr>
      <w:r>
        <w:rPr>
          <w:rFonts w:ascii="Times New Roman;serif" w:hAnsi="Times New Roman;serif"/>
          <w:b w:val="false"/>
          <w:sz w:val="20"/>
        </w:rPr>
        <w:t>The Company’s cash and cash equivalents consist of money held in demand depositary accounts and money market funds. The carrying amount of cash and cash equivalents was $129.5</w:t>
      </w:r>
      <w:r>
        <w:rPr>
          <w:rFonts w:ascii="Times New Roman" w:hAnsi="Times New Roman"/>
          <w:sz w:val="20"/>
        </w:rPr>
        <w:t xml:space="preserve"> </w:t>
      </w:r>
      <w:r>
        <w:rPr>
          <w:rFonts w:ascii="Times New Roman;serif" w:hAnsi="Times New Roman;serif"/>
          <w:b w:val="false"/>
          <w:sz w:val="20"/>
        </w:rPr>
        <w:t>million and $296.6</w:t>
      </w:r>
      <w:r>
        <w:rPr>
          <w:rFonts w:ascii="Times New Roman" w:hAnsi="Times New Roman"/>
          <w:sz w:val="20"/>
        </w:rPr>
        <w:t xml:space="preserve"> </w:t>
      </w:r>
      <w:r>
        <w:rPr>
          <w:rFonts w:ascii="Times New Roman;serif" w:hAnsi="Times New Roman;serif"/>
          <w:b w:val="false"/>
          <w:sz w:val="20"/>
        </w:rPr>
        <w:t>million as of March 31, 2023</w:t>
      </w:r>
      <w:r>
        <w:rPr>
          <w:rFonts w:ascii="Times New Roman" w:hAnsi="Times New Roman"/>
          <w:sz w:val="20"/>
        </w:rPr>
        <w:t xml:space="preserve"> </w:t>
      </w:r>
      <w:r>
        <w:rPr>
          <w:rFonts w:ascii="Times New Roman;serif" w:hAnsi="Times New Roman;serif"/>
          <w:b w:val="false"/>
          <w:sz w:val="20"/>
        </w:rPr>
        <w:t>and December 31, 2022,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w:t>
      </w:r>
      <w:r>
        <w:rPr>
          <w:rFonts w:ascii="Times New Roman" w:hAnsi="Times New Roman"/>
          <w:sz w:val="20"/>
        </w:rPr>
        <w:t xml:space="preserve"> </w:t>
      </w:r>
      <w:r>
        <w:rPr>
          <w:rFonts w:ascii="Times New Roman;serif" w:hAnsi="Times New Roman;serif"/>
          <w:b w:val="false"/>
          <w:sz w:val="20"/>
        </w:rPr>
        <w:t>as of March 31, 2023.</w:t>
      </w:r>
    </w:p>
    <w:p>
      <w:pPr>
        <w:pStyle w:val="TextBody"/>
        <w:spacing w:before="120" w:after="120"/>
        <w:jc w:val="both"/>
        <w:rPr>
          <w:rFonts w:ascii="Times New Roman" w:hAnsi="Times New Roman"/>
          <w:sz w:val="20"/>
        </w:rPr>
      </w:pPr>
      <w:r>
        <w:rPr>
          <w:rFonts w:ascii="Times New Roman;serif" w:hAnsi="Times New Roman;serif"/>
          <w:b w:val="false"/>
          <w:sz w:val="20"/>
        </w:rPr>
        <w:t>The Company classifies restricted cash as current on the accompanying unaudited interim consolidated balance sheets based upon the term of the remaining restrictions.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following is a summary of cash, cash equivalents and restricted cash on the consolidated balance sheets (in thousands):</w:t>
      </w:r>
      <w:r>
        <w:rPr>
          <w:rFonts w:ascii="Times New Roman" w:hAnsi="Times New Roman"/>
          <w:sz w:val="20"/>
        </w:rPr>
        <w:t xml:space="preserve"> </w:t>
      </w:r>
    </w:p>
    <w:tbl>
      <w:tblPr>
        <w:tblW w:w="8252" w:type="dxa"/>
        <w:jc w:val="left"/>
        <w:tblInd w:w="0" w:type="dxa"/>
        <w:tblCellMar>
          <w:top w:w="28" w:type="dxa"/>
          <w:left w:w="28" w:type="dxa"/>
          <w:bottom w:w="28" w:type="dxa"/>
          <w:right w:w="28" w:type="dxa"/>
        </w:tblCellMar>
      </w:tblPr>
      <w:tblGrid>
        <w:gridCol w:w="5536"/>
        <w:gridCol w:w="146"/>
        <w:gridCol w:w="211"/>
        <w:gridCol w:w="781"/>
        <w:gridCol w:w="146"/>
        <w:gridCol w:w="146"/>
        <w:gridCol w:w="233"/>
        <w:gridCol w:w="862"/>
        <w:gridCol w:w="191"/>
      </w:tblGrid>
      <w:tr>
        <w:trPr/>
        <w:tc>
          <w:tcPr>
            <w:tcW w:w="5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5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118,305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123,371</w:t>
            </w:r>
          </w:p>
        </w:tc>
        <w:tc>
          <w:tcPr>
            <w:tcW w:w="191" w:type="dxa"/>
            <w:tcBorders/>
            <w:shd w:fill="auto" w:val="cle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29,930</w:t>
            </w:r>
          </w:p>
        </w:tc>
        <w:tc>
          <w:tcPr>
            <w:tcW w:w="191" w:type="dxa"/>
            <w:tcBorders/>
            <w:shd w:fill="auto" w:val="cle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19,908</w:t>
            </w:r>
          </w:p>
        </w:tc>
        <w:tc>
          <w:tcPr>
            <w:tcW w:w="191" w:type="dxa"/>
            <w:tcBorders/>
            <w:shd w:fill="auto" w:val="cle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5,955</w:t>
            </w:r>
          </w:p>
        </w:tc>
        <w:tc>
          <w:tcPr>
            <w:tcW w:w="191" w:type="dxa"/>
            <w:tcBorders/>
            <w:shd w:fill="auto" w:val="cle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117,437</w:t>
            </w:r>
          </w:p>
        </w:tc>
        <w:tc>
          <w:tcPr>
            <w:tcW w:w="191" w:type="dxa"/>
            <w:tcBorders/>
            <w:shd w:fill="auto" w:val="cle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 as presented on the</w:t>
              <w:br/>
              <w:t>   consolidated statements of cash flows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299,500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serif" w:hAnsi="Times New Roman;serif"/>
          <w:b/>
          <w:i/>
          <w:sz w:val="20"/>
        </w:rPr>
      </w:pPr>
      <w:r>
        <w:rPr>
          <w:rFonts w:ascii="Times New Roman;serif" w:hAnsi="Times New Roman;serif"/>
          <w:b/>
          <w:i/>
          <w:sz w:val="20"/>
        </w:rPr>
        <w:t>Investments</w:t>
      </w:r>
    </w:p>
    <w:p>
      <w:pPr>
        <w:pStyle w:val="TextBody"/>
        <w:spacing w:before="120" w:after="120"/>
        <w:jc w:val="both"/>
        <w:rPr>
          <w:rFonts w:ascii="Times New Roman" w:hAnsi="Times New Roman"/>
          <w:sz w:val="20"/>
        </w:rPr>
      </w:pPr>
      <w:r>
        <w:rPr>
          <w:rFonts w:ascii="Times New Roman;serif" w:hAnsi="Times New Roman;serif"/>
          <w:b w:val="false"/>
          <w:i/>
          <w:sz w:val="20"/>
        </w:rPr>
        <w:t xml:space="preserve">Available-for-sale investments. </w:t>
      </w:r>
      <w:r>
        <w:rPr>
          <w:rFonts w:ascii="Times New Roman;serif" w:hAnsi="Times New Roman;serif"/>
          <w:b w:val="false"/>
          <w:sz w:val="20"/>
        </w:rPr>
        <w:t>The Company's investments may consist of U.S. treasury and U.S. government agency securities, corporate notes and bonds, commercial paper, and money market funds. The Company has designated all investments as available-for-sale and, therefore, such investments are reported at fair value, with unrealized gains and losses recorded in accumulated other comprehensive loss. The Company generally holds securities until maturity; however, they may be sold under certain circumstances including, but not limited to, when necessary for the funding of acquisitions and other strategic investments. Realized gains and losses on the sale of investments are recorded in interest and other income, net in the consolidated statements of operations. Investments with remaining maturities at date of purchase greater than 90 days and remaining maturities as of the reporting period less than one year are classified as short-term investments. Investments with remaining maturities greater than one year are classified as long-term investments.</w:t>
      </w:r>
    </w:p>
    <w:p>
      <w:pPr>
        <w:pStyle w:val="TextBody"/>
        <w:spacing w:before="120" w:after="120"/>
        <w:jc w:val="both"/>
        <w:rPr>
          <w:rFonts w:ascii="Times New Roman" w:hAnsi="Times New Roman"/>
          <w:sz w:val="20"/>
        </w:rPr>
      </w:pPr>
      <w:r>
        <w:rPr>
          <w:rFonts w:ascii="Times New Roman;serif" w:hAnsi="Times New Roman;serif"/>
          <w:b w:val="false"/>
          <w:i/>
          <w:sz w:val="20"/>
        </w:rPr>
        <w:t xml:space="preserve">Equity Investment. </w:t>
      </w:r>
      <w:r>
        <w:rPr>
          <w:rFonts w:ascii="Times New Roman;serif" w:hAnsi="Times New Roman;serif"/>
          <w:b w:val="false"/>
          <w:sz w:val="20"/>
        </w:rPr>
        <w:t>The Company's investment consists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is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March 31, 2023.</w:t>
      </w:r>
    </w:p>
    <w:p>
      <w:pPr>
        <w:pStyle w:val="TextBody"/>
        <w:spacing w:before="120" w:after="120"/>
        <w:jc w:val="both"/>
        <w:rPr>
          <w:rFonts w:ascii="Times New Roman" w:hAnsi="Times New Roman"/>
          <w:sz w:val="20"/>
        </w:rPr>
      </w:pPr>
      <w:r>
        <w:rPr>
          <w:rFonts w:ascii="Times New Roman;serif" w:hAnsi="Times New Roman;serif"/>
          <w:b/>
          <w:i/>
          <w:sz w:val="20"/>
        </w:rPr>
        <w:t>Trade accounts receivable, net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Company’s accounts receivable consists principally of amounts due related to product sales of instrument systems and accessories, as well as installation and repair services. These receivables are generally due within 30</w:t>
      </w:r>
      <w:r>
        <w:rPr>
          <w:rFonts w:ascii="Times New Roman" w:hAnsi="Times New Roman"/>
          <w:sz w:val="20"/>
        </w:rPr>
        <w:t xml:space="preserve"> </w:t>
      </w:r>
      <w:r>
        <w:rPr>
          <w:rFonts w:ascii="Times New Roman;serif" w:hAnsi="Times New Roman;serif"/>
          <w:b w:val="false"/>
          <w:sz w:val="20"/>
        </w:rPr>
        <w:t>to 90</w:t>
      </w:r>
      <w:r>
        <w:rPr>
          <w:rFonts w:ascii="Times New Roman" w:hAnsi="Times New Roman"/>
          <w:sz w:val="20"/>
        </w:rPr>
        <w:t xml:space="preserve"> </w:t>
      </w:r>
      <w:r>
        <w:rPr>
          <w:rFonts w:ascii="Times New Roman;serif" w:hAnsi="Times New Roman;serif"/>
          <w:b w:val="false"/>
          <w:sz w:val="20"/>
        </w:rPr>
        <w:t>days of the period in which the corresponding sales occur and do not bear interest are classified as trade accounts receivable, net on the consolidated balance sheets. Trade accounts receivable are reported at their estimated net realizable value.</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i/>
          <w:sz w:val="20"/>
        </w:rPr>
      </w:pPr>
      <w:r>
        <w:rPr>
          <w:rFonts w:ascii="Times New Roman;serif" w:hAnsi="Times New Roman;serif"/>
          <w:b/>
          <w:i/>
          <w:sz w:val="20"/>
        </w:rPr>
        <w:t>Allowance for uncollectible receivables</w:t>
      </w:r>
    </w:p>
    <w:p>
      <w:pPr>
        <w:pStyle w:val="TextBody"/>
        <w:spacing w:before="120" w:after="120"/>
        <w:jc w:val="both"/>
        <w:rPr>
          <w:rFonts w:ascii="Times New Roman" w:hAnsi="Times New Roman"/>
          <w:sz w:val="20"/>
        </w:rPr>
      </w:pPr>
      <w:r>
        <w:rPr>
          <w:rFonts w:ascii="Times New Roman;serif" w:hAnsi="Times New Roman;serif"/>
          <w:b w:val="false"/>
          <w:sz w:val="20"/>
        </w:rPr>
        <w:t xml:space="preserve">The Company adopted ASU 2016-13, </w:t>
      </w:r>
      <w:r>
        <w:rPr>
          <w:rFonts w:ascii="Times New Roman;serif" w:hAnsi="Times New Roman;serif"/>
          <w:b w:val="false"/>
          <w:i/>
          <w:sz w:val="20"/>
        </w:rPr>
        <w:t>Financial Instruments—Credit Losses (Topic 326): Measurement of Credit Losses on Financial Instruments</w:t>
      </w:r>
      <w:r>
        <w:rPr>
          <w:rFonts w:ascii="Times New Roman" w:hAnsi="Times New Roman"/>
          <w:sz w:val="20"/>
        </w:rPr>
        <w:t xml:space="preserve"> </w:t>
      </w:r>
      <w:r>
        <w:rPr>
          <w:rFonts w:ascii="Times New Roman;serif" w:hAnsi="Times New Roman;serif"/>
          <w:b w:val="false"/>
          <w:sz w:val="20"/>
        </w:rPr>
        <w:t>(“ASU 2016-13, Financial Instruments - Credit Losses “), on December 31, 2022, which was retroactively applied as of the first day of fiscal year 2022, as further described within the section below titled Recently Adopted Accounting Pronouncements. This accounting standard requires companies to measure expected credit losses on financial instruments based on the total estimated amount to be collected over the lifetime of the instrument. Prior to the adoption of this accounting standard, the Company recorded incurred loss reserves against receivable balances based on current and historical information.</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Company is not party to any off-balance sheet arrangements that would require an allowance for credit losses in accordance with this accounting standard.</w:t>
      </w:r>
    </w:p>
    <w:p>
      <w:pPr>
        <w:pStyle w:val="TextBody"/>
        <w:spacing w:before="120" w:after="120"/>
        <w:jc w:val="both"/>
        <w:rPr>
          <w:rFonts w:ascii="Times New Roman" w:hAnsi="Times New Roman"/>
          <w:sz w:val="20"/>
        </w:rPr>
      </w:pPr>
      <w:r>
        <w:rPr>
          <w:rFonts w:ascii="Times New Roman;serif" w:hAnsi="Times New Roman;serif"/>
          <w:b w:val="false"/>
          <w:sz w:val="20"/>
        </w:rPr>
        <w:t>The changes in the allowance for uncollectible receivables for the three months ended March 31, 2023</w:t>
      </w:r>
      <w:r>
        <w:rPr>
          <w:rFonts w:ascii="Times New Roman" w:hAnsi="Times New Roman"/>
          <w:sz w:val="20"/>
        </w:rPr>
        <w:t xml:space="preserve"> </w:t>
      </w:r>
      <w:r>
        <w:rPr>
          <w:rFonts w:ascii="Times New Roman;serif" w:hAnsi="Times New Roman;serif"/>
          <w:b w:val="false"/>
          <w:sz w:val="20"/>
        </w:rPr>
        <w:t>were as follows (in thousands):</w:t>
      </w:r>
    </w:p>
    <w:tbl>
      <w:tblPr>
        <w:tblW w:w="5040" w:type="dxa"/>
        <w:jc w:val="left"/>
        <w:tblInd w:w="0" w:type="dxa"/>
        <w:tblCellMar>
          <w:top w:w="28" w:type="dxa"/>
          <w:left w:w="28" w:type="dxa"/>
          <w:bottom w:w="28" w:type="dxa"/>
          <w:right w:w="28" w:type="dxa"/>
        </w:tblCellMar>
      </w:tblPr>
      <w:tblGrid>
        <w:gridCol w:w="3871"/>
        <w:gridCol w:w="146"/>
        <w:gridCol w:w="211"/>
        <w:gridCol w:w="421"/>
        <w:gridCol w:w="391"/>
      </w:tblGrid>
      <w:tr>
        <w:trPr/>
        <w:tc>
          <w:tcPr>
            <w:tcW w:w="3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Allowance for doubtful accounts</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91" w:type="dxa"/>
            <w:tcBorders/>
            <w:shd w:fill="auto" w:val="clear"/>
            <w:vAlign w:val="center"/>
          </w:tcPr>
          <w:p>
            <w:pPr>
              <w:pStyle w:val="TableContents"/>
              <w:spacing w:before="0" w:after="0"/>
              <w:ind w:left="0" w:right="0" w:firstLine="200"/>
              <w:jc w:val="left"/>
              <w:rPr/>
            </w:pPr>
            <w:r>
              <w:rPr/>
              <w:t> </w:t>
            </w:r>
          </w:p>
        </w:tc>
      </w:tr>
      <w:tr>
        <w:trPr/>
        <w:tc>
          <w:tcPr>
            <w:tcW w:w="38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Utilization of allowance for doubtful accounts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8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8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 w:hAnsi="Times New Roman"/>
          <w:sz w:val="20"/>
        </w:rPr>
      </w:pPr>
      <w:r>
        <w:rPr>
          <w:rFonts w:ascii="Times New Roman;serif" w:hAnsi="Times New Roman;serif"/>
          <w:b/>
          <w:i/>
          <w:sz w:val="20"/>
        </w:rPr>
        <w:t>Inventories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Inventories are stated at the lower of cost and net realizable value. Cost is computed using standard cost, which approximates actual cost on a first-in, first-out basis. The Company regularly monitors inventory quantities on hand and records write-downs for excess and obsolete inventories based on an estimate of demand for products, potential obsolescence of technology, product life cycles, and whether pricing trends or forecasts indicate that the carrying value of inventory exceeds its estimated selling price. These factors are impacted by market and economic conditions, technology changes, and new product introductions and require estimates that may include elements that are uncertain. The Company's estimates of forecasted demand are based upon analysis and assumptions including, but not limited to, expected product lifecycles, product development plans and historical usage by product. If inventory is written down, a new cost basis is established that cannot be increased in future periods.</w:t>
      </w:r>
    </w:p>
    <w:p>
      <w:pPr>
        <w:pStyle w:val="TextBody"/>
        <w:spacing w:before="120" w:after="120"/>
        <w:jc w:val="both"/>
        <w:rPr>
          <w:rFonts w:ascii="Times New Roman" w:hAnsi="Times New Roman"/>
          <w:sz w:val="20"/>
        </w:rPr>
      </w:pPr>
      <w:r>
        <w:rPr>
          <w:rFonts w:ascii="Times New Roman;serif" w:hAnsi="Times New Roman;serif"/>
          <w:b/>
          <w:i/>
          <w:sz w:val="20"/>
        </w:rPr>
        <w:t>Property and equipment, net</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 xml:space="preserve">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 </w:t>
      </w:r>
    </w:p>
    <w:tbl>
      <w:tblPr>
        <w:tblW w:w="7303" w:type="dxa"/>
        <w:jc w:val="left"/>
        <w:tblInd w:w="0" w:type="dxa"/>
        <w:tblCellMar>
          <w:top w:w="28" w:type="dxa"/>
          <w:left w:w="28" w:type="dxa"/>
          <w:bottom w:w="28" w:type="dxa"/>
          <w:right w:w="28" w:type="dxa"/>
        </w:tblCellMar>
      </w:tblPr>
      <w:tblGrid>
        <w:gridCol w:w="2686"/>
        <w:gridCol w:w="146"/>
        <w:gridCol w:w="447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7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71" w:type="dxa"/>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Estimated Useful Lives</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w:t>
            </w:r>
          </w:p>
        </w:tc>
        <w:tc>
          <w:tcPr>
            <w:tcW w:w="146" w:type="dxa"/>
            <w:tcBorders/>
            <w:shd w:fill="auto" w:val="clear"/>
            <w:vAlign w:val="center"/>
          </w:tcPr>
          <w:p>
            <w:pPr>
              <w:pStyle w:val="TableContents"/>
              <w:spacing w:before="0" w:after="0"/>
              <w:ind w:left="0" w:right="0" w:hanging="0"/>
              <w:jc w:val="left"/>
              <w:rPr/>
            </w:pPr>
            <w:r>
              <w:rPr/>
              <w:t> </w:t>
            </w:r>
          </w:p>
        </w:tc>
        <w:tc>
          <w:tcPr>
            <w:tcW w:w="44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 years</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447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7</w:t>
            </w:r>
            <w:r>
              <w:rPr>
                <w:rFonts w:ascii="Times New Roman" w:hAnsi="Times New Roman"/>
                <w:sz w:val="20"/>
              </w:rPr>
              <w:t> </w:t>
            </w:r>
            <w:r>
              <w:rPr>
                <w:rFonts w:ascii="Times New Roman;serif" w:hAnsi="Times New Roman;serif"/>
                <w:b w:val="false"/>
                <w:sz w:val="20"/>
              </w:rPr>
              <w:t>years</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shd w:fill="auto" w:val="clear"/>
            <w:vAlign w:val="center"/>
          </w:tcPr>
          <w:p>
            <w:pPr>
              <w:pStyle w:val="TableContents"/>
              <w:spacing w:before="0" w:after="0"/>
              <w:ind w:left="0" w:right="0" w:hanging="0"/>
              <w:jc w:val="left"/>
              <w:rPr/>
            </w:pPr>
            <w:r>
              <w:rPr/>
              <w:t> </w:t>
            </w:r>
          </w:p>
        </w:tc>
        <w:tc>
          <w:tcPr>
            <w:tcW w:w="447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5</w:t>
            </w:r>
            <w:r>
              <w:rPr>
                <w:rFonts w:ascii="Times New Roman" w:hAnsi="Times New Roman"/>
                <w:sz w:val="20"/>
              </w:rPr>
              <w:t> </w:t>
            </w:r>
            <w:r>
              <w:rPr>
                <w:rFonts w:ascii="Times New Roman;serif" w:hAnsi="Times New Roman;serif"/>
                <w:b w:val="false"/>
                <w:sz w:val="20"/>
              </w:rPr>
              <w:t>years</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 and computer equipment</w:t>
            </w:r>
          </w:p>
        </w:tc>
        <w:tc>
          <w:tcPr>
            <w:tcW w:w="146" w:type="dxa"/>
            <w:tcBorders/>
            <w:shd w:fill="auto" w:val="clear"/>
            <w:vAlign w:val="center"/>
          </w:tcPr>
          <w:p>
            <w:pPr>
              <w:pStyle w:val="TableContents"/>
              <w:spacing w:before="0" w:after="0"/>
              <w:ind w:left="0" w:right="0" w:hanging="0"/>
              <w:jc w:val="left"/>
              <w:rPr/>
            </w:pPr>
            <w:r>
              <w:rPr/>
              <w:t> </w:t>
            </w:r>
          </w:p>
        </w:tc>
        <w:tc>
          <w:tcPr>
            <w:tcW w:w="447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years</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44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Shorter of expected lease term or estimated useful life</w:t>
            </w:r>
          </w:p>
        </w:tc>
      </w:tr>
    </w:tbl>
    <w:p>
      <w:pPr>
        <w:pStyle w:val="TextBody"/>
        <w:spacing w:before="120" w:after="120"/>
        <w:jc w:val="both"/>
        <w:rPr>
          <w:rFonts w:ascii="Times New Roman" w:hAnsi="Times New Roman"/>
          <w:sz w:val="20"/>
        </w:rPr>
      </w:pPr>
      <w:r>
        <w:rPr>
          <w:rFonts w:ascii="Times New Roman;serif" w:hAnsi="Times New Roman;serif"/>
          <w:b w:val="false"/>
          <w:sz w:val="20"/>
        </w:rPr>
        <w:t>Upon sale or retirement of the assets, the cost and related accumulated depreciation are removed from the accounts and the resulting gain or loss is recognized in the consolidated statement of operations and comprehensive loss. Expenditures for general maintenance and repairs are expensed as incurred.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Goodwill and intangible assets, net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Goodwill represents the excess of the purchase price over the fair value of the net tangible and identifiable intangible assets acquired in a business combination. Intangible assets resulting from the acquisition of entities are estimated by management based on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 xml:space="preserve">the fair value of assets received. Intangible assets are amortized on a straight-line basis over the estimated useful lives. The Company’s estimated useful lives of its intangible assets are as follows: </w:t>
      </w:r>
    </w:p>
    <w:tbl>
      <w:tblPr>
        <w:tblW w:w="4528" w:type="dxa"/>
        <w:jc w:val="left"/>
        <w:tblInd w:w="0" w:type="dxa"/>
        <w:tblCellMar>
          <w:top w:w="28" w:type="dxa"/>
          <w:left w:w="28" w:type="dxa"/>
          <w:bottom w:w="28" w:type="dxa"/>
          <w:right w:w="28" w:type="dxa"/>
        </w:tblCellMar>
      </w:tblPr>
      <w:tblGrid>
        <w:gridCol w:w="2296"/>
        <w:gridCol w:w="146"/>
        <w:gridCol w:w="2086"/>
      </w:tblGrid>
      <w:tr>
        <w:trPr/>
        <w:tc>
          <w:tcPr>
            <w:tcW w:w="2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Estimated Useful Lives</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Patent</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 years</w:t>
            </w:r>
          </w:p>
        </w:tc>
      </w:tr>
      <w:tr>
        <w:trPr/>
        <w:tc>
          <w:tcPr>
            <w:tcW w:w="229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Trademarks</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 years</w:t>
            </w:r>
          </w:p>
        </w:tc>
      </w:tr>
      <w:tr>
        <w:trPr/>
        <w:tc>
          <w:tcPr>
            <w:tcW w:w="229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Tradename</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4</w:t>
            </w:r>
            <w:r>
              <w:rPr>
                <w:rFonts w:ascii="Times New Roman" w:hAnsi="Times New Roman"/>
                <w:sz w:val="20"/>
              </w:rPr>
              <w:t> </w:t>
            </w:r>
            <w:r>
              <w:rPr>
                <w:rFonts w:ascii="Times New Roman;serif" w:hAnsi="Times New Roman;serif"/>
                <w:b w:val="false"/>
                <w:sz w:val="20"/>
              </w:rPr>
              <w:t>- 10</w:t>
            </w:r>
            <w:r>
              <w:rPr>
                <w:rFonts w:ascii="Times New Roman" w:hAnsi="Times New Roman"/>
                <w:sz w:val="20"/>
              </w:rPr>
              <w:t> </w:t>
            </w:r>
            <w:r>
              <w:rPr>
                <w:rFonts w:ascii="Times New Roman;serif" w:hAnsi="Times New Roman;serif"/>
                <w:b w:val="false"/>
                <w:sz w:val="20"/>
              </w:rPr>
              <w:t>years</w:t>
            </w:r>
          </w:p>
        </w:tc>
      </w:tr>
      <w:tr>
        <w:trPr/>
        <w:tc>
          <w:tcPr>
            <w:tcW w:w="229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FCI developed technology</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5</w:t>
            </w:r>
            <w:r>
              <w:rPr>
                <w:rFonts w:ascii="Times New Roman" w:hAnsi="Times New Roman"/>
                <w:sz w:val="20"/>
              </w:rPr>
              <w:t> </w:t>
            </w:r>
            <w:r>
              <w:rPr>
                <w:rFonts w:ascii="Times New Roman;serif" w:hAnsi="Times New Roman;serif"/>
                <w:b w:val="false"/>
                <w:sz w:val="20"/>
              </w:rPr>
              <w:t>years</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 years</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Reagent licenses</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 years</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IP license</w:t>
            </w:r>
          </w:p>
        </w:tc>
        <w:tc>
          <w:tcPr>
            <w:tcW w:w="146" w:type="dxa"/>
            <w:tcBorders/>
            <w:shd w:fill="auto" w:val="clear"/>
            <w:vAlign w:val="center"/>
          </w:tcPr>
          <w:p>
            <w:pPr>
              <w:pStyle w:val="TableContents"/>
              <w:spacing w:before="0" w:after="0"/>
              <w:ind w:left="0" w:right="0" w:hanging="0"/>
              <w:jc w:val="left"/>
              <w:rPr/>
            </w:pPr>
            <w:r>
              <w:rPr/>
              <w:t> </w:t>
            </w:r>
          </w:p>
        </w:tc>
        <w:tc>
          <w:tcPr>
            <w:tcW w:w="20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r>
    </w:tbl>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Accounting for Impairment of Long-Lived Assets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pStyle w:val="TextBody"/>
        <w:spacing w:before="120" w:after="120"/>
        <w:jc w:val="both"/>
        <w:rPr>
          <w:rFonts w:ascii="Times New Roman" w:hAnsi="Times New Roman"/>
          <w:sz w:val="20"/>
        </w:rPr>
      </w:pPr>
      <w:r>
        <w:rPr>
          <w:rFonts w:ascii="Times New Roman;serif" w:hAnsi="Times New Roman;serif"/>
          <w:b/>
          <w:i/>
          <w:sz w:val="20"/>
        </w:rPr>
        <w:t>Fair value of financial instruments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Level 1—Quoted prices in active markets for identical assets or liabilities.</w:t>
      </w:r>
    </w:p>
    <w:p>
      <w:pPr>
        <w:pStyle w:val="TextBody"/>
        <w:spacing w:before="120" w:after="120"/>
        <w:jc w:val="both"/>
        <w:rPr>
          <w:rFonts w:ascii="Times New Roman" w:hAnsi="Times New Roman"/>
          <w:sz w:val="20"/>
        </w:rPr>
      </w:pPr>
      <w:r>
        <w:rPr>
          <w:rFonts w:ascii="Times New Roman;serif" w:hAnsi="Times New Roman;serif"/>
          <w:b w:val="false"/>
          <w:sz w:val="20"/>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Level 3—Unobservable inputs that are supported by little or no market activity and that are significant to determining the fair value of the assets or liabilities, including pricing models, discounted cash flow methodologies and similar techniques.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carrying amounts reflected in the unaudited interim consolidated balance sheets for cash and cash equivalents, trade accounts receivable, net, trade accounts payable and accrued expenses approximate their fair values.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Company’s product revenue consists of sales of its instrument systems and accessories. The Company recognizes product revenue at the point in time when control of the product is transferred to the customer.</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Invoicing for products occurs upon delivery and payment terms are 30</w:t>
      </w:r>
      <w:r>
        <w:rPr>
          <w:rFonts w:ascii="Times New Roman" w:hAnsi="Times New Roman"/>
          <w:sz w:val="20"/>
        </w:rPr>
        <w:t xml:space="preserve"> </w:t>
      </w:r>
      <w:r>
        <w:rPr>
          <w:rFonts w:ascii="Times New Roman;serif" w:hAnsi="Times New Roman;serif"/>
          <w:b w:val="false"/>
          <w:sz w:val="20"/>
        </w:rPr>
        <w:t>to 90</w:t>
      </w:r>
      <w:r>
        <w:rPr>
          <w:rFonts w:ascii="Times New Roman" w:hAnsi="Times New Roman"/>
          <w:sz w:val="20"/>
        </w:rPr>
        <w:t xml:space="preserve"> </w:t>
      </w:r>
      <w:r>
        <w:rPr>
          <w:rFonts w:ascii="Times New Roman;serif" w:hAnsi="Times New Roman;serif"/>
          <w:b w:val="false"/>
          <w:sz w:val="20"/>
        </w:rPr>
        <w:t>days. Service contracts are invoiced upfront and payment terms are generally 30</w:t>
      </w:r>
      <w:r>
        <w:rPr>
          <w:rFonts w:ascii="Times New Roman" w:hAnsi="Times New Roman"/>
          <w:sz w:val="20"/>
        </w:rPr>
        <w:t xml:space="preserve"> </w:t>
      </w:r>
      <w:r>
        <w:rPr>
          <w:rFonts w:ascii="Times New Roman;serif" w:hAnsi="Times New Roman;serif"/>
          <w:b w:val="false"/>
          <w:sz w:val="20"/>
        </w:rPr>
        <w:t>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br/>
      </w:r>
      <w:r>
        <w:rPr>
          <w:rFonts w:ascii="Times New Roman" w:hAnsi="Times New Roman"/>
          <w:sz w:val="20"/>
        </w:rPr>
        <w:t> </w:t>
      </w:r>
    </w:p>
    <w:p>
      <w:pPr>
        <w:pStyle w:val="TextBody"/>
        <w:spacing w:before="120" w:after="120"/>
        <w:jc w:val="both"/>
        <w:rPr>
          <w:rFonts w:ascii="Times New Roman" w:hAnsi="Times New Roman"/>
          <w:sz w:val="20"/>
        </w:rPr>
      </w:pPr>
      <w:r>
        <w:rPr>
          <w:rFonts w:ascii="Times New Roman;serif" w:hAnsi="Times New Roman;serif"/>
          <w:b w:val="false"/>
          <w:sz w:val="20"/>
        </w:rPr>
        <w:t>As of March 31, 2023, $6.8</w:t>
      </w:r>
      <w:r>
        <w:rPr>
          <w:rFonts w:ascii="Times New Roman" w:hAnsi="Times New Roman"/>
          <w:sz w:val="20"/>
        </w:rPr>
        <w:t xml:space="preserve"> </w:t>
      </w:r>
      <w:r>
        <w:rPr>
          <w:rFonts w:ascii="Times New Roman;serif" w:hAnsi="Times New Roman;serif"/>
          <w:b w:val="false"/>
          <w:sz w:val="20"/>
        </w:rPr>
        <w:t>million was included in revenue for products that had not shipped. As of March 31, 2022, the Company did not have any revenue under bill-and-hold arrangements.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Product revenue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Company’s standard arrangement for sales to end users is a purchase order or an executed contract. Revenue is recognized upon transfer of control of the product to the customer, which occurs at a point in time depending on the shipping terms.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Service revenue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w:t>
      </w:r>
      <w:r>
        <w:rPr>
          <w:rFonts w:ascii="Times New Roman" w:hAnsi="Times New Roman"/>
          <w:sz w:val="20"/>
        </w:rPr>
        <w:t xml:space="preserve"> </w:t>
      </w:r>
      <w:r>
        <w:rPr>
          <w:rFonts w:ascii="Times New Roman;serif" w:hAnsi="Times New Roman;serif"/>
          <w:b w:val="false"/>
          <w:sz w:val="20"/>
        </w:rPr>
        <w:t>and three years.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Contract liabilities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Assurance-type product warranties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Research and development costs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Advertising costs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cost of advertising, marketing and media is expensed as incurred. For the three months ended March 31, 2023 and 2022, advertising, marketing and media expenses were $0.9</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120"/>
        <w:jc w:val="both"/>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Expected Volatility—Expected volatility is estimated by studying the volatility of selected industry peers deemed to be comparable to the Company's business corresponding to the expected term of the awards.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Expected Term—Expected term represents the period that the Company's stock-based awards are expected to be outstanding and is determined using the simplified method.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Dividend Yield— The expected dividend yield is zero as the Company has never declared or paid cash dividends and has no current plans to do so in the foreseeable future.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Risk-Free Interest Rate—The risk-free interest rate is based on the U.S. Treasury zero-coupon issued in effect at the time of grant for periods corresponding with the expected term of the option.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intends to reinvest its undistributed earnings of its foreign operations. Following enactment of the 2017 Tax Cuts and Jobs Act (the "Tax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Net loss attributable to common stockholders per share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Basic net loss attributable to common stockholders per share and diluted net loss attributable to common stockholders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redeemable convertible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per share in the periods in which net loss is recorded.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Diluted net loss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attributable to common stockholders per share gives effect to all potentially dilutive common stock equivalents, including outstanding options and redeemable convertible preferred stock.</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Common stock equivalents are excluded from the computation of diluted net loss attributable to common stockholders per share if their effect is antidilutive.</w:t>
      </w:r>
      <w:r>
        <w:rPr>
          <w:rFonts w:ascii="Times New Roman" w:hAnsi="Times New Roman"/>
          <w:sz w:val="20"/>
        </w:rPr>
        <w:t xml:space="preserve"> </w:t>
      </w:r>
    </w:p>
    <w:p>
      <w:pPr>
        <w:pStyle w:val="TextBody"/>
        <w:spacing w:before="120" w:after="120"/>
        <w:jc w:val="both"/>
        <w:rPr>
          <w:rFonts w:ascii="Times New Roman;serif" w:hAnsi="Times New Roman;serif"/>
          <w:b/>
          <w:i/>
          <w:sz w:val="20"/>
        </w:rPr>
      </w:pPr>
      <w:r>
        <w:rPr>
          <w:rFonts w:ascii="Times New Roman;serif" w:hAnsi="Times New Roman;serif"/>
          <w:b/>
          <w:i/>
          <w:sz w:val="20"/>
        </w:rPr>
        <w:t>Business Combinations</w:t>
      </w:r>
    </w:p>
    <w:p>
      <w:pPr>
        <w:pStyle w:val="TextBody"/>
        <w:spacing w:before="120" w:after="120"/>
        <w:jc w:val="both"/>
        <w:rPr>
          <w:rFonts w:ascii="Times New Roman" w:hAnsi="Times New Roman"/>
          <w:sz w:val="20"/>
        </w:rPr>
      </w:pPr>
      <w:r>
        <w:rPr>
          <w:rFonts w:ascii="Times New Roman;serif" w:hAnsi="Times New Roman;serif"/>
          <w:b w:val="false"/>
          <w:sz w:val="20"/>
        </w:rPr>
        <w:t xml:space="preserve">The Company uses the acquisition method of accounting under ASC 805, </w:t>
      </w:r>
      <w:r>
        <w:rPr>
          <w:rFonts w:ascii="Times New Roman;serif" w:hAnsi="Times New Roman;serif"/>
          <w:b w:val="false"/>
          <w:i/>
          <w:sz w:val="20"/>
        </w:rPr>
        <w:t>Business Combinations</w:t>
      </w:r>
      <w:r>
        <w:rPr>
          <w:rFonts w:ascii="Times New Roman;serif" w:hAnsi="Times New Roman;serif"/>
          <w:b w:val="false"/>
          <w:sz w:val="20"/>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developed technology, customer relationships, trade names, and reagent licenses.</w:t>
      </w:r>
    </w:p>
    <w:p>
      <w:pPr>
        <w:pStyle w:val="TextBody"/>
        <w:spacing w:before="120" w:after="120"/>
        <w:jc w:val="both"/>
        <w:rPr>
          <w:rFonts w:ascii="Times New Roman" w:hAnsi="Times New Roman"/>
          <w:sz w:val="20"/>
        </w:rPr>
      </w:pPr>
      <w:r>
        <w:rPr>
          <w:rFonts w:ascii="Times New Roman;serif" w:hAnsi="Times New Roman;serif"/>
          <w:b/>
          <w:i/>
          <w:sz w:val="20"/>
        </w:rPr>
        <w:t>Recently adopted accounting pronouncements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 xml:space="preserve">In February 2016, the FASB issued ASU 2016-02, </w:t>
      </w:r>
      <w:r>
        <w:rPr>
          <w:rFonts w:ascii="Times New Roman;serif" w:hAnsi="Times New Roman;serif"/>
          <w:b w:val="false"/>
          <w:i/>
          <w:sz w:val="20"/>
        </w:rPr>
        <w:t>Leases (Topic 842)</w:t>
      </w:r>
      <w:r>
        <w:rPr>
          <w:rFonts w:ascii="Times New Roman;serif" w:hAnsi="Times New Roman;serif"/>
          <w:b w:val="false"/>
          <w:sz w:val="20"/>
        </w:rPr>
        <w:t xml:space="preserve">, to improve financial reporting and disclosures about leasing transactions. This ASU requires companies that lease assets to recognize on the balance sheet the assets and liabilities for the rights and obligations created by those leases, for substantially all leases.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The new lease standard was adopted by the Company on its effective date of January 1, 2022. The Company used the optional transition method to the modified retrospective approach in which results for reporting periods beginning on January 1, 2022 are presented under Topic 842, while prior period amounts continue to be reported and disclosed in accordance with the Company’s historical accounting treatment under ASC Topic 840, </w:t>
      </w:r>
      <w:r>
        <w:rPr>
          <w:rFonts w:ascii="Times New Roman;serif" w:hAnsi="Times New Roman;serif"/>
          <w:b w:val="false"/>
          <w:i/>
          <w:sz w:val="20"/>
        </w:rPr>
        <w:t>Leases</w:t>
      </w:r>
      <w:r>
        <w:rPr>
          <w:rFonts w:ascii="Times New Roman;serif" w:hAnsi="Times New Roman;serif"/>
          <w:b w:val="false"/>
          <w:sz w:val="20"/>
        </w:rPr>
        <w:t>.</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 number of practical expedients and policy elections are available under the new guidance to reduce the burden of adoption and ongoing compliance with Topic 842. The Company elected the "package of practical expedients" permitted under the transition guidance, which did not require reassessment of whether contracts entered into prior to January 1, 2022 are or contain leases, and allowed carryforward of the historical lease classification for existing leases. The Company has not elected to adopt the “hindsight” practical expedient, and therefore will measure the right-of-use (ROU) asset and lease liability using the remaining portion of the lease term at adoption on January 1, 2022.</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Company made an accounting policy election under Topic 842 not to recognize ROU assets and lease liabilities for leases with a term of twelve months or less. For all other leases, the Company recognizes ROU assets and lease liabilities based on the present value of lease payments over the lease term at the commencement date of the lease (or January 1, 2022 for existing leases upon the adoption of Topic 842). The ROU assets also include any initial direct costs incurred and lease payments made at or before the commencement date and are reduced by any lease incentives.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Future lease payments may include fixed rent escalation clauses or payments that depend on an index (such as the consumer price index). Subsequent changes an index and other periodic market-rate adjustments to base rent are recorded in variable lease expense in the period incurred. Residual value guarantees and payments for terminating a lease are included in the lease payments only when it is probable they will be incurred.</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Company’s leases may include a non-lease component representing additional services transferred to the Company, such as common area maintenance for real estate. The Company made an accounting policy election to account for each separate lease component and the non-lease components associated with that lease component as a single lease component. The non-lease components are generally variable in nature and recorded in variable lease expense in the period incurred.</w:t>
      </w:r>
    </w:p>
    <w:p>
      <w:pPr>
        <w:pStyle w:val="TextBody"/>
        <w:spacing w:before="120" w:after="120"/>
        <w:jc w:val="both"/>
        <w:rPr>
          <w:rFonts w:ascii="Times New Roman" w:hAnsi="Times New Roman"/>
          <w:sz w:val="20"/>
        </w:rPr>
      </w:pPr>
      <w:r>
        <w:rPr>
          <w:rFonts w:ascii="Times New Roman;serif" w:hAnsi="Times New Roman;serif"/>
          <w:b w:val="false"/>
          <w:sz w:val="20"/>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assessing factors such as Company-specific credit risk, lease term, nature and quality of the underlying collateral, currency, and economic environment in determining the incremental borrowing rate to apply to each lease.</w:t>
      </w:r>
    </w:p>
    <w:p>
      <w:pPr>
        <w:pStyle w:val="TextBody"/>
        <w:spacing w:before="120" w:after="120"/>
        <w:jc w:val="both"/>
        <w:rPr>
          <w:rFonts w:ascii="Times New Roman" w:hAnsi="Times New Roman"/>
          <w:sz w:val="20"/>
        </w:rPr>
      </w:pPr>
      <w:r>
        <w:rPr>
          <w:rFonts w:ascii="Times New Roman;serif" w:hAnsi="Times New Roman;serif"/>
          <w:b w:val="false"/>
          <w:sz w:val="20"/>
        </w:rPr>
        <w:t>Adoption of Topic 842 resulted in the recording of ROU assets and lease liabilities related to the Company’s operating leases of approximately $14.6</w:t>
      </w:r>
      <w:r>
        <w:rPr>
          <w:rFonts w:ascii="Times New Roman" w:hAnsi="Times New Roman"/>
          <w:sz w:val="20"/>
        </w:rPr>
        <w:t xml:space="preserve"> </w:t>
      </w:r>
      <w:r>
        <w:rPr>
          <w:rFonts w:ascii="Times New Roman;serif" w:hAnsi="Times New Roman;serif"/>
          <w:b w:val="false"/>
          <w:sz w:val="20"/>
        </w:rPr>
        <w:t>million and $15.2</w:t>
      </w:r>
      <w:r>
        <w:rPr>
          <w:rFonts w:ascii="Times New Roman" w:hAnsi="Times New Roman"/>
          <w:sz w:val="20"/>
        </w:rPr>
        <w:t xml:space="preserve"> </w:t>
      </w:r>
      <w:r>
        <w:rPr>
          <w:rFonts w:ascii="Times New Roman;serif" w:hAnsi="Times New Roman;serif"/>
          <w:b w:val="false"/>
          <w:sz w:val="20"/>
        </w:rPr>
        <w:t>million, respectively, on January 1, 2022. The adoption of the new lease standard did not materially impact the Company's unaudited interim consolidated net income or consolidated cash flows and did not result in a cumulative-effect adjustment to the opening balance of retained earnings. Refer to Note 16 for additional disclosures.</w:t>
      </w:r>
    </w:p>
    <w:p>
      <w:pPr>
        <w:pStyle w:val="TextBody"/>
        <w:spacing w:before="120" w:after="120"/>
        <w:jc w:val="both"/>
        <w:rPr>
          <w:rFonts w:ascii="Times New Roman" w:hAnsi="Times New Roman"/>
          <w:sz w:val="20"/>
        </w:rPr>
      </w:pPr>
      <w:r>
        <w:rPr>
          <w:rFonts w:ascii="Times New Roman;serif" w:hAnsi="Times New Roman;serif"/>
          <w:b w:val="false"/>
          <w:sz w:val="20"/>
        </w:rPr>
        <w:t>In June 2016, the FASB issued ASU 2016-13, Financial Instruments - Credit Losses, which requires entities to estimate all expected credit losses for financial assets measured at amortized cost basis, including trade receivables, held at the reporting date based on historical experience, current conditions and reasonable and supportable forecasts. The Company adopted this guidance using the modified retrospective adoption method on December 31, 2022, which was retroactively applied as of the first day of fiscal year 2022. The adoption of this accounting standard did not have a material impact to the Company’s consolidated financial statements.</w:t>
      </w:r>
      <w:r>
        <w:rPr>
          <w:rFonts w:ascii="Times New Roman" w:hAnsi="Times New Roman"/>
          <w:sz w:val="20"/>
        </w:rPr>
        <w:t xml:space="preserve"> </w:t>
      </w:r>
    </w:p>
    <w:p>
      <w:pPr>
        <w:pStyle w:val="TextBody"/>
        <w:spacing w:before="120" w:after="120"/>
        <w:jc w:val="left"/>
        <w:rPr>
          <w:rFonts w:ascii="Times New Roman" w:hAnsi="Times New Roman"/>
          <w:b/>
          <w:sz w:val="20"/>
        </w:rPr>
      </w:pPr>
      <w:r>
        <w:rPr>
          <w:rFonts w:ascii="Times New Roman" w:hAnsi="Times New Roman"/>
          <w:b/>
          <w:sz w:val="20"/>
        </w:rPr>
        <w:t>3.</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Concentrations of credit risk and other risks and uncertainties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Financial instruments that potentially subject the Company to concentrations of credit risk consist primarily of cash, cash equivalents and marketable securities.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 The Company holds marketable securities with high credit ratings.</w:t>
      </w:r>
    </w:p>
    <w:p>
      <w:pPr>
        <w:pStyle w:val="TextBody"/>
        <w:spacing w:before="120" w:after="120"/>
        <w:jc w:val="left"/>
        <w:rPr>
          <w:rFonts w:ascii="Times New Roman" w:hAnsi="Times New Roman"/>
          <w:b/>
          <w:sz w:val="20"/>
        </w:rPr>
      </w:pPr>
      <w:r>
        <w:rPr>
          <w:rFonts w:ascii="Times New Roman" w:hAnsi="Times New Roman"/>
          <w:b/>
          <w:sz w:val="20"/>
        </w:rPr>
        <w:t>4.</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Revenue from contracts with customers </w:t>
      </w:r>
    </w:p>
    <w:p>
      <w:pPr>
        <w:pStyle w:val="TextBody"/>
        <w:spacing w:before="120" w:after="120"/>
        <w:jc w:val="left"/>
        <w:rPr>
          <w:rFonts w:ascii="Times New Roman" w:hAnsi="Times New Roman"/>
          <w:sz w:val="20"/>
        </w:rPr>
      </w:pPr>
      <w:r>
        <w:rPr>
          <w:rFonts w:ascii="Times New Roman;serif" w:hAnsi="Times New Roman;serif"/>
          <w:b w:val="false"/>
          <w:i/>
          <w:sz w:val="20"/>
        </w:rPr>
        <w:t>Disaggregation of revenue</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following table depicts the disaggregation of revenue by sales channel mix and customer mix as defined by the nature of workflows (in thousands):</w:t>
      </w:r>
    </w:p>
    <w:p>
      <w:pPr>
        <w:pStyle w:val="TextBody"/>
        <w:spacing w:before="0" w:after="0"/>
        <w:jc w:val="left"/>
        <w:rPr/>
      </w:pPr>
      <w:r>
        <w:rPr/>
        <w:t> </w:t>
      </w:r>
    </w:p>
    <w:tbl>
      <w:tblPr>
        <w:tblW w:w="8567" w:type="dxa"/>
        <w:jc w:val="left"/>
        <w:tblInd w:w="0" w:type="dxa"/>
        <w:tblCellMar>
          <w:top w:w="28" w:type="dxa"/>
          <w:left w:w="28" w:type="dxa"/>
          <w:bottom w:w="28" w:type="dxa"/>
          <w:right w:w="28" w:type="dxa"/>
        </w:tblCellMar>
      </w:tblPr>
      <w:tblGrid>
        <w:gridCol w:w="5386"/>
        <w:gridCol w:w="146"/>
        <w:gridCol w:w="240"/>
        <w:gridCol w:w="770"/>
        <w:gridCol w:w="166"/>
        <w:gridCol w:w="166"/>
        <w:gridCol w:w="240"/>
        <w:gridCol w:w="770"/>
        <w:gridCol w:w="146"/>
        <w:gridCol w:w="146"/>
        <w:gridCol w:w="39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Sales channel mix</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Direct sales channel</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25,453</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Distributor channel</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Customer mix</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Academia and government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15,197</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5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Biotechnology, pharmaceutical, distributor and contract research</w:t>
              <w:br/>
              <w:t>   organizations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 xml:space="preserve">Revenue by geographical markets is presented in Note 22, </w:t>
      </w:r>
      <w:r>
        <w:rPr>
          <w:rFonts w:ascii="Times New Roman;serif" w:hAnsi="Times New Roman;serif"/>
          <w:b w:val="false"/>
          <w:i/>
          <w:sz w:val="20"/>
        </w:rPr>
        <w:t>Geographic areas</w:t>
      </w:r>
      <w:r>
        <w:rPr>
          <w:rFonts w:ascii="Times New Roman;serif" w:hAnsi="Times New Roman;serif"/>
          <w:b w:val="false"/>
          <w:sz w:val="20"/>
        </w:rPr>
        <w:t>.</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i/>
          <w:sz w:val="20"/>
        </w:rPr>
        <w:t>Remaining performance obligations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includes estimated revenues expected to be recognized in the future related to performance obligations that are unsatisfied (or partially satisfied) as of March 31, 2023 (in thousands):</w:t>
      </w:r>
      <w:r>
        <w:rPr>
          <w:rFonts w:ascii="Times New Roman" w:hAnsi="Times New Roman"/>
          <w:sz w:val="20"/>
        </w:rPr>
        <w:t xml:space="preserve"> </w:t>
      </w:r>
    </w:p>
    <w:tbl>
      <w:tblPr>
        <w:tblW w:w="6314" w:type="dxa"/>
        <w:jc w:val="left"/>
        <w:tblInd w:w="0" w:type="dxa"/>
        <w:tblCellMar>
          <w:top w:w="28" w:type="dxa"/>
          <w:left w:w="28" w:type="dxa"/>
          <w:bottom w:w="28" w:type="dxa"/>
          <w:right w:w="28" w:type="dxa"/>
        </w:tblCellMar>
      </w:tblPr>
      <w:tblGrid>
        <w:gridCol w:w="1441"/>
        <w:gridCol w:w="146"/>
        <w:gridCol w:w="307"/>
        <w:gridCol w:w="983"/>
        <w:gridCol w:w="146"/>
        <w:gridCol w:w="146"/>
        <w:gridCol w:w="374"/>
        <w:gridCol w:w="1201"/>
        <w:gridCol w:w="146"/>
        <w:gridCol w:w="146"/>
        <w:gridCol w:w="211"/>
        <w:gridCol w:w="676"/>
        <w:gridCol w:w="391"/>
      </w:tblGrid>
      <w:tr>
        <w:trPr/>
        <w:tc>
          <w:tcPr>
            <w:tcW w:w="14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4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 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Greater than 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revenue</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shd w:fill="auto" w:val="clear"/>
            <w:vAlign w:val="center"/>
          </w:tcPr>
          <w:p>
            <w:pPr>
              <w:pStyle w:val="TableContents"/>
              <w:spacing w:before="0" w:after="0"/>
              <w:ind w:left="0" w:right="0" w:hanging="0"/>
              <w:jc w:val="left"/>
              <w:rPr/>
            </w:pPr>
            <w:r>
              <w:rPr/>
              <w:t> </w:t>
            </w:r>
          </w:p>
        </w:tc>
        <w:tc>
          <w:tcPr>
            <w:tcW w:w="9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4" w:type="dxa"/>
            <w:tcBorders/>
            <w:shd w:fill="auto" w:val="clear"/>
            <w:vAlign w:val="center"/>
          </w:tcPr>
          <w:p>
            <w:pPr>
              <w:pStyle w:val="TableContents"/>
              <w:spacing w:before="0" w:after="0"/>
              <w:ind w:left="0" w:right="0" w:hanging="0"/>
              <w:jc w:val="left"/>
              <w:rPr/>
            </w:pPr>
            <w:r>
              <w:rPr/>
              <w:t> </w:t>
            </w:r>
          </w:p>
        </w:tc>
        <w:tc>
          <w:tcPr>
            <w:tcW w:w="12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391" w:type="dxa"/>
            <w:tcBorders/>
            <w:shd w:fill="auto" w:val="clear"/>
            <w:vAlign w:val="center"/>
          </w:tcPr>
          <w:p>
            <w:pPr>
              <w:pStyle w:val="TableContents"/>
              <w:spacing w:before="0" w:after="0"/>
              <w:ind w:left="0" w:right="0" w:hanging="0"/>
              <w:jc w:val="left"/>
              <w:rPr/>
            </w:pPr>
            <w:r>
              <w:rPr/>
              <w:t> </w:t>
            </w:r>
          </w:p>
        </w:tc>
      </w:tr>
      <w:tr>
        <w:trPr/>
        <w:tc>
          <w:tcPr>
            <w:tcW w:w="14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30,639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4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31,116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val="false"/>
          <w:i/>
          <w:sz w:val="20"/>
        </w:rPr>
        <w:t>Contract balances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provides information about receivables, deferred revenue from contracts with customers, and customer deposits (in thousands):</w:t>
      </w:r>
      <w:r>
        <w:rPr>
          <w:rFonts w:ascii="Times New Roman" w:hAnsi="Times New Roman"/>
          <w:sz w:val="20"/>
        </w:rPr>
        <w:t xml:space="preserve"> </w:t>
      </w:r>
    </w:p>
    <w:tbl>
      <w:tblPr>
        <w:tblW w:w="8472" w:type="dxa"/>
        <w:jc w:val="left"/>
        <w:tblInd w:w="0" w:type="dxa"/>
        <w:tblCellMar>
          <w:top w:w="28" w:type="dxa"/>
          <w:left w:w="28" w:type="dxa"/>
          <w:bottom w:w="28" w:type="dxa"/>
          <w:right w:w="28" w:type="dxa"/>
        </w:tblCellMar>
      </w:tblPr>
      <w:tblGrid>
        <w:gridCol w:w="5461"/>
        <w:gridCol w:w="146"/>
        <w:gridCol w:w="211"/>
        <w:gridCol w:w="676"/>
        <w:gridCol w:w="146"/>
        <w:gridCol w:w="146"/>
        <w:gridCol w:w="260"/>
        <w:gridCol w:w="835"/>
        <w:gridCol w:w="591"/>
      </w:tblGrid>
      <w:tr>
        <w:trPr/>
        <w:tc>
          <w:tcPr>
            <w:tcW w:w="5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4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 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48,864</w:t>
            </w:r>
          </w:p>
        </w:tc>
        <w:tc>
          <w:tcPr>
            <w:tcW w:w="591" w:type="dxa"/>
            <w:tcBorders/>
            <w:shd w:fill="auto" w:val="clear"/>
            <w:vAlign w:val="center"/>
          </w:tcPr>
          <w:p>
            <w:pPr>
              <w:pStyle w:val="TableContents"/>
              <w:spacing w:before="0" w:after="0"/>
              <w:ind w:left="0" w:right="0" w:hanging="0"/>
              <w:jc w:val="left"/>
              <w:rPr/>
            </w:pPr>
            <w:r>
              <w:rPr/>
              <w:t> </w:t>
            </w:r>
          </w:p>
        </w:tc>
      </w:tr>
      <w:tr>
        <w:trPr/>
        <w:tc>
          <w:tcPr>
            <w:tcW w:w="54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4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26,110</w:t>
            </w:r>
          </w:p>
        </w:tc>
        <w:tc>
          <w:tcPr>
            <w:tcW w:w="591" w:type="dxa"/>
            <w:tcBorders/>
            <w:shd w:fill="auto" w:val="clear"/>
            <w:vAlign w:val="center"/>
          </w:tcPr>
          <w:p>
            <w:pPr>
              <w:pStyle w:val="TableContents"/>
              <w:spacing w:before="0" w:after="0"/>
              <w:ind w:left="0" w:right="0" w:firstLine="200"/>
              <w:jc w:val="left"/>
              <w:rPr/>
            </w:pPr>
            <w:r>
              <w:rPr/>
              <w:t> </w:t>
            </w:r>
          </w:p>
        </w:tc>
      </w:tr>
      <w:tr>
        <w:trPr/>
        <w:tc>
          <w:tcPr>
            <w:tcW w:w="54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Customer deposits, which are included in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4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contract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27,665</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 w:hAnsi="Times New Roman"/>
          <w:sz w:val="20"/>
        </w:rPr>
      </w:pPr>
      <w:r>
        <w:rPr>
          <w:rFonts w:ascii="Times New Roman;serif" w:hAnsi="Times New Roman;serif"/>
          <w:b w:val="false"/>
          <w:sz w:val="20"/>
        </w:rPr>
        <w:t>The following provides a roll-forward of the contract liabilities (in thousands):</w:t>
      </w:r>
      <w:r>
        <w:rPr>
          <w:rFonts w:ascii="Times New Roman" w:hAnsi="Times New Roman"/>
          <w:sz w:val="20"/>
        </w:rPr>
        <w:t xml:space="preserve"> </w:t>
      </w:r>
    </w:p>
    <w:tbl>
      <w:tblPr>
        <w:tblW w:w="4100" w:type="dxa"/>
        <w:jc w:val="left"/>
        <w:tblInd w:w="0" w:type="dxa"/>
        <w:tblCellMar>
          <w:top w:w="28" w:type="dxa"/>
          <w:left w:w="28" w:type="dxa"/>
          <w:bottom w:w="28" w:type="dxa"/>
          <w:right w:w="28" w:type="dxa"/>
        </w:tblCellMar>
      </w:tblPr>
      <w:tblGrid>
        <w:gridCol w:w="2596"/>
        <w:gridCol w:w="146"/>
        <w:gridCol w:w="211"/>
        <w:gridCol w:w="736"/>
        <w:gridCol w:w="41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Contract liabilities</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17,889</w:t>
            </w:r>
          </w:p>
        </w:tc>
        <w:tc>
          <w:tcPr>
            <w:tcW w:w="411" w:type="dxa"/>
            <w:tcBorders/>
            <w:shd w:fill="auto" w:val="clear"/>
            <w:vAlign w:val="center"/>
          </w:tcPr>
          <w:p>
            <w:pPr>
              <w:pStyle w:val="TableContents"/>
              <w:spacing w:before="0" w:after="0"/>
              <w:ind w:left="0" w:right="0" w:firstLine="200"/>
              <w:jc w:val="left"/>
              <w:rPr/>
            </w:pPr>
            <w:r>
              <w:rPr/>
              <w:t> </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(24,686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deferred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34,462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27,665</w:t>
            </w:r>
          </w:p>
        </w:tc>
        <w:tc>
          <w:tcPr>
            <w:tcW w:w="411" w:type="dxa"/>
            <w:tcBorders/>
            <w:shd w:fill="auto" w:val="clear"/>
            <w:vAlign w:val="center"/>
          </w:tcPr>
          <w:p>
            <w:pPr>
              <w:pStyle w:val="TableContents"/>
              <w:spacing w:before="0" w:after="0"/>
              <w:ind w:left="0" w:right="0" w:firstLine="200"/>
              <w:jc w:val="left"/>
              <w:rPr/>
            </w:pPr>
            <w:r>
              <w:rPr/>
              <w:t> </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(9,856</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deferred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34,313</w:t>
            </w:r>
          </w:p>
        </w:tc>
        <w:tc>
          <w:tcPr>
            <w:tcW w:w="41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left"/>
        <w:rPr>
          <w:rFonts w:ascii="Times New Roman" w:hAnsi="Times New Roman"/>
          <w:b/>
          <w:sz w:val="20"/>
        </w:rPr>
      </w:pPr>
      <w:r>
        <w:rPr>
          <w:rFonts w:ascii="Times New Roman" w:hAnsi="Times New Roman"/>
          <w:b/>
          <w:sz w:val="20"/>
        </w:rPr>
        <w:t>5.</w:t>
      </w:r>
    </w:p>
    <w:p>
      <w:pPr>
        <w:pStyle w:val="TextBody"/>
        <w:spacing w:before="120" w:after="120"/>
        <w:jc w:val="left"/>
        <w:rPr>
          <w:rFonts w:ascii="Times New Roman;serif" w:hAnsi="Times New Roman;serif"/>
          <w:b/>
          <w:sz w:val="20"/>
        </w:rPr>
      </w:pPr>
      <w:r>
        <w:rPr>
          <w:rFonts w:ascii="Times New Roman;serif" w:hAnsi="Times New Roman;serif"/>
          <w:b/>
          <w:sz w:val="20"/>
        </w:rPr>
        <w:t>Balance sheet details</w:t>
      </w:r>
    </w:p>
    <w:p>
      <w:pPr>
        <w:pStyle w:val="TextBody"/>
        <w:spacing w:before="120" w:after="120"/>
        <w:jc w:val="left"/>
        <w:rPr>
          <w:rFonts w:ascii="Times New Roman" w:hAnsi="Times New Roman"/>
          <w:sz w:val="20"/>
        </w:rPr>
      </w:pPr>
      <w:r>
        <w:rPr>
          <w:rFonts w:ascii="Times New Roman;serif" w:hAnsi="Times New Roman;serif"/>
          <w:b/>
          <w:i/>
          <w:sz w:val="20"/>
        </w:rPr>
        <w:t>Inventories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shows the components of inventory (in thousands):</w:t>
      </w:r>
      <w:r>
        <w:rPr>
          <w:rFonts w:ascii="Times New Roman" w:hAnsi="Times New Roman"/>
          <w:sz w:val="20"/>
        </w:rPr>
        <w:t xml:space="preserve"> </w:t>
      </w:r>
    </w:p>
    <w:tbl>
      <w:tblPr>
        <w:tblW w:w="4127" w:type="dxa"/>
        <w:jc w:val="left"/>
        <w:tblInd w:w="0" w:type="dxa"/>
        <w:tblCellMar>
          <w:top w:w="28" w:type="dxa"/>
          <w:left w:w="28" w:type="dxa"/>
          <w:bottom w:w="28" w:type="dxa"/>
          <w:right w:w="28" w:type="dxa"/>
        </w:tblCellMar>
      </w:tblPr>
      <w:tblGrid>
        <w:gridCol w:w="1516"/>
        <w:gridCol w:w="146"/>
        <w:gridCol w:w="211"/>
        <w:gridCol w:w="676"/>
        <w:gridCol w:w="146"/>
        <w:gridCol w:w="146"/>
        <w:gridCol w:w="260"/>
        <w:gridCol w:w="835"/>
        <w:gridCol w:w="19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26,925</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4,897</w:t>
            </w:r>
          </w:p>
        </w:tc>
        <w:tc>
          <w:tcPr>
            <w:tcW w:w="1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16,332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48,154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i/>
          <w:sz w:val="20"/>
        </w:rPr>
        <w:t>Prepaid expenses and other current assets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shows the components of prepaid expenses and other current assets (in thousands):</w:t>
      </w:r>
      <w:r>
        <w:rPr>
          <w:rFonts w:ascii="Times New Roman" w:hAnsi="Times New Roman"/>
          <w:sz w:val="20"/>
        </w:rPr>
        <w:t xml:space="preserve"> </w:t>
      </w:r>
    </w:p>
    <w:tbl>
      <w:tblPr>
        <w:tblW w:w="6742" w:type="dxa"/>
        <w:jc w:val="left"/>
        <w:tblInd w:w="0" w:type="dxa"/>
        <w:tblCellMar>
          <w:top w:w="28" w:type="dxa"/>
          <w:left w:w="28" w:type="dxa"/>
          <w:bottom w:w="28" w:type="dxa"/>
          <w:right w:w="28" w:type="dxa"/>
        </w:tblCellMar>
      </w:tblPr>
      <w:tblGrid>
        <w:gridCol w:w="3931"/>
        <w:gridCol w:w="146"/>
        <w:gridCol w:w="211"/>
        <w:gridCol w:w="676"/>
        <w:gridCol w:w="146"/>
        <w:gridCol w:w="146"/>
        <w:gridCol w:w="260"/>
        <w:gridCol w:w="835"/>
        <w:gridCol w:w="39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inventory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w:t>
            </w:r>
          </w:p>
        </w:tc>
        <w:tc>
          <w:tcPr>
            <w:tcW w:w="391" w:type="dxa"/>
            <w:tcBorders/>
            <w:shd w:fill="auto" w:val="clear"/>
            <w:vAlign w:val="center"/>
          </w:tcPr>
          <w:p>
            <w:pPr>
              <w:pStyle w:val="TableContents"/>
              <w:spacing w:before="0" w:after="0"/>
              <w:ind w:left="0" w:right="0" w:firstLine="200"/>
              <w:jc w:val="lef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391" w:type="dxa"/>
            <w:tcBorders/>
            <w:shd w:fill="auto" w:val="clear"/>
            <w:vAlign w:val="center"/>
          </w:tcPr>
          <w:p>
            <w:pPr>
              <w:pStyle w:val="TableContents"/>
              <w:spacing w:before="0" w:after="0"/>
              <w:ind w:left="0" w:right="0" w:firstLine="200"/>
              <w:jc w:val="lef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w:t>
            </w:r>
          </w:p>
        </w:tc>
        <w:tc>
          <w:tcPr>
            <w:tcW w:w="391" w:type="dxa"/>
            <w:tcBorders/>
            <w:shd w:fill="auto" w:val="clear"/>
            <w:vAlign w:val="center"/>
          </w:tcPr>
          <w:p>
            <w:pPr>
              <w:pStyle w:val="TableContents"/>
              <w:spacing w:before="0" w:after="0"/>
              <w:ind w:left="0" w:right="0" w:firstLine="200"/>
              <w:jc w:val="lef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income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2,080</w:t>
            </w:r>
          </w:p>
        </w:tc>
        <w:tc>
          <w:tcPr>
            <w:tcW w:w="391" w:type="dxa"/>
            <w:tcBorders/>
            <w:shd w:fill="auto" w:val="clear"/>
            <w:vAlign w:val="center"/>
          </w:tcPr>
          <w:p>
            <w:pPr>
              <w:pStyle w:val="TableContents"/>
              <w:spacing w:before="0" w:after="0"/>
              <w:ind w:left="0" w:right="0" w:firstLine="200"/>
              <w:jc w:val="lef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VAT tax</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tradeshow</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2,687</w:t>
            </w:r>
          </w:p>
        </w:tc>
        <w:tc>
          <w:tcPr>
            <w:tcW w:w="39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refund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2,011</w:t>
            </w:r>
          </w:p>
        </w:tc>
        <w:tc>
          <w:tcPr>
            <w:tcW w:w="391" w:type="dxa"/>
            <w:tcBorders/>
            <w:shd w:fill="auto" w:val="clear"/>
            <w:vAlign w:val="center"/>
          </w:tcPr>
          <w:p>
            <w:pPr>
              <w:pStyle w:val="TableContents"/>
              <w:spacing w:before="0" w:after="0"/>
              <w:ind w:left="0" w:right="0" w:firstLine="200"/>
              <w:jc w:val="left"/>
              <w:rPr/>
            </w:pPr>
            <w:r>
              <w:rPr/>
              <w:t> </w:t>
            </w:r>
          </w:p>
        </w:tc>
      </w:tr>
      <w:tr>
        <w:trPr/>
        <w:tc>
          <w:tcPr>
            <w:tcW w:w="39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3,796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i/>
          <w:sz w:val="20"/>
        </w:rPr>
        <w:t>Accrued expenses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shows the components of accrued expenses (in thousands):</w:t>
      </w:r>
      <w:r>
        <w:rPr>
          <w:rFonts w:ascii="Times New Roman" w:hAnsi="Times New Roman"/>
          <w:sz w:val="20"/>
        </w:rPr>
        <w:t xml:space="preserve"> </w:t>
      </w:r>
    </w:p>
    <w:tbl>
      <w:tblPr>
        <w:tblW w:w="6427" w:type="dxa"/>
        <w:jc w:val="left"/>
        <w:tblInd w:w="0" w:type="dxa"/>
        <w:tblCellMar>
          <w:top w:w="28" w:type="dxa"/>
          <w:left w:w="28" w:type="dxa"/>
          <w:bottom w:w="28" w:type="dxa"/>
          <w:right w:w="28" w:type="dxa"/>
        </w:tblCellMar>
      </w:tblPr>
      <w:tblGrid>
        <w:gridCol w:w="3616"/>
        <w:gridCol w:w="146"/>
        <w:gridCol w:w="211"/>
        <w:gridCol w:w="676"/>
        <w:gridCol w:w="146"/>
        <w:gridCol w:w="146"/>
        <w:gridCol w:w="260"/>
        <w:gridCol w:w="835"/>
        <w:gridCol w:w="39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 and related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13,911</w:t>
            </w:r>
          </w:p>
        </w:tc>
        <w:tc>
          <w:tcPr>
            <w:tcW w:w="39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Professional service fees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1,276</w:t>
            </w:r>
          </w:p>
        </w:tc>
        <w:tc>
          <w:tcPr>
            <w:tcW w:w="39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2,457</w:t>
            </w:r>
          </w:p>
        </w:tc>
        <w:tc>
          <w:tcPr>
            <w:tcW w:w="39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warranty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2,126</w:t>
            </w:r>
          </w:p>
        </w:tc>
        <w:tc>
          <w:tcPr>
            <w:tcW w:w="391" w:type="dxa"/>
            <w:tcBorders/>
            <w:shd w:fill="auto" w:val="clear"/>
            <w:vAlign w:val="center"/>
          </w:tcPr>
          <w:p>
            <w:pPr>
              <w:pStyle w:val="TableContents"/>
              <w:spacing w:before="0" w:after="0"/>
              <w:ind w:left="0" w:right="0" w:firstLine="200"/>
              <w:jc w:val="left"/>
              <w:rPr/>
            </w:pPr>
            <w:r>
              <w:rPr/>
              <w:t> </w:t>
            </w:r>
          </w:p>
        </w:tc>
      </w:tr>
      <w:tr>
        <w:trPr/>
        <w:tc>
          <w:tcPr>
            <w:tcW w:w="36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21,126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serif" w:hAnsi="Times New Roman;serif"/>
          <w:b w:val="false"/>
          <w:sz w:val="20"/>
        </w:rPr>
      </w:pPr>
      <w:r>
        <w:rPr>
          <w:rFonts w:ascii="Times New Roman;serif" w:hAnsi="Times New Roman;serif"/>
          <w:b w:val="false"/>
          <w:sz w:val="20"/>
        </w:rPr>
        <w:t>For the product warranty analysis refer to Note 20.</w:t>
      </w:r>
    </w:p>
    <w:p>
      <w:pPr>
        <w:pStyle w:val="TextBody"/>
        <w:spacing w:before="120" w:after="120"/>
        <w:jc w:val="left"/>
        <w:rPr>
          <w:rFonts w:ascii="Times New Roman" w:hAnsi="Times New Roman"/>
          <w:sz w:val="20"/>
        </w:rPr>
      </w:pPr>
      <w:r>
        <w:rPr>
          <w:rFonts w:ascii="Times New Roman;serif" w:hAnsi="Times New Roman;serif"/>
          <w:b/>
          <w:i/>
          <w:sz w:val="20"/>
        </w:rPr>
        <w:t>Other current liabilities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shows the components of other current liabilities (in thousands):</w:t>
      </w:r>
      <w:r>
        <w:rPr>
          <w:rFonts w:ascii="Times New Roman" w:hAnsi="Times New Roman"/>
          <w:sz w:val="20"/>
        </w:rPr>
        <w:t xml:space="preserve"> </w:t>
      </w:r>
    </w:p>
    <w:tbl>
      <w:tblPr>
        <w:tblW w:w="5557" w:type="dxa"/>
        <w:jc w:val="left"/>
        <w:tblInd w:w="0" w:type="dxa"/>
        <w:tblCellMar>
          <w:top w:w="28" w:type="dxa"/>
          <w:left w:w="28" w:type="dxa"/>
          <w:bottom w:w="28" w:type="dxa"/>
          <w:right w:w="28" w:type="dxa"/>
        </w:tblCellMar>
      </w:tblPr>
      <w:tblGrid>
        <w:gridCol w:w="2746"/>
        <w:gridCol w:w="146"/>
        <w:gridCol w:w="211"/>
        <w:gridCol w:w="676"/>
        <w:gridCol w:w="146"/>
        <w:gridCol w:w="146"/>
        <w:gridCol w:w="294"/>
        <w:gridCol w:w="801"/>
        <w:gridCol w:w="391"/>
      </w:tblGrid>
      <w:tr>
        <w:trPr/>
        <w:tc>
          <w:tcPr>
            <w:tcW w:w="2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Customer deposits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1,555</w:t>
            </w:r>
          </w:p>
        </w:tc>
        <w:tc>
          <w:tcPr>
            <w:tcW w:w="391" w:type="dxa"/>
            <w:tcBorders/>
            <w:shd w:fill="auto" w:val="clear"/>
            <w:vAlign w:val="center"/>
          </w:tcPr>
          <w:p>
            <w:pPr>
              <w:pStyle w:val="TableContents"/>
              <w:spacing w:before="0" w:after="0"/>
              <w:ind w:left="0" w:right="0" w:firstLine="200"/>
              <w:jc w:val="left"/>
              <w:rPr/>
            </w:pPr>
            <w:r>
              <w:rPr/>
              <w:t> </w:t>
            </w:r>
          </w:p>
        </w:tc>
      </w:tr>
      <w:tr>
        <w:trPr/>
        <w:tc>
          <w:tcPr>
            <w:tcW w:w="2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391" w:type="dxa"/>
            <w:tcBorders/>
            <w:shd w:fill="auto" w:val="clear"/>
            <w:vAlign w:val="center"/>
          </w:tcPr>
          <w:p>
            <w:pPr>
              <w:pStyle w:val="TableContents"/>
              <w:spacing w:before="0" w:after="0"/>
              <w:ind w:left="0" w:right="0" w:firstLine="200"/>
              <w:jc w:val="left"/>
              <w:rPr/>
            </w:pPr>
            <w:r>
              <w:rPr/>
              <w:t> </w:t>
            </w:r>
          </w:p>
        </w:tc>
      </w:tr>
      <w:tr>
        <w:trPr/>
        <w:tc>
          <w:tcPr>
            <w:tcW w:w="2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use tax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1,421</w:t>
            </w:r>
          </w:p>
        </w:tc>
        <w:tc>
          <w:tcPr>
            <w:tcW w:w="391" w:type="dxa"/>
            <w:tcBorders/>
            <w:shd w:fill="auto" w:val="clear"/>
            <w:vAlign w:val="center"/>
          </w:tcPr>
          <w:p>
            <w:pPr>
              <w:pStyle w:val="TableContents"/>
              <w:spacing w:before="0" w:after="0"/>
              <w:ind w:left="0" w:right="0" w:firstLine="200"/>
              <w:jc w:val="left"/>
              <w:rPr/>
            </w:pPr>
            <w:r>
              <w:rPr/>
              <w:t> </w:t>
            </w:r>
          </w:p>
        </w:tc>
      </w:tr>
      <w:tr>
        <w:trPr/>
        <w:tc>
          <w:tcPr>
            <w:tcW w:w="2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2,931</w:t>
            </w:r>
          </w:p>
        </w:tc>
        <w:tc>
          <w:tcPr>
            <w:tcW w:w="391" w:type="dxa"/>
            <w:tcBorders/>
            <w:shd w:fill="auto" w:val="clear"/>
            <w:vAlign w:val="center"/>
          </w:tcPr>
          <w:p>
            <w:pPr>
              <w:pStyle w:val="TableContents"/>
              <w:spacing w:before="0" w:after="0"/>
              <w:ind w:left="0" w:right="0" w:firstLine="200"/>
              <w:jc w:val="left"/>
              <w:rPr/>
            </w:pPr>
            <w:r>
              <w:rPr/>
              <w:t> </w:t>
            </w:r>
          </w:p>
        </w:tc>
      </w:tr>
      <w:tr>
        <w:trPr/>
        <w:tc>
          <w:tcPr>
            <w:tcW w:w="2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391" w:type="dxa"/>
            <w:tcBorders/>
            <w:shd w:fill="auto" w:val="clear"/>
            <w:vAlign w:val="center"/>
          </w:tcPr>
          <w:p>
            <w:pPr>
              <w:pStyle w:val="TableContents"/>
              <w:spacing w:before="0" w:after="0"/>
              <w:ind w:left="0" w:right="0" w:firstLine="200"/>
              <w:jc w:val="left"/>
              <w:rPr/>
            </w:pPr>
            <w:r>
              <w:rPr/>
              <w:t> </w:t>
            </w:r>
          </w:p>
        </w:tc>
      </w:tr>
      <w:tr>
        <w:trPr/>
        <w:tc>
          <w:tcPr>
            <w:tcW w:w="2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left"/>
        <w:rPr>
          <w:rFonts w:ascii="Times New Roman" w:hAnsi="Times New Roman"/>
          <w:b/>
          <w:sz w:val="20"/>
        </w:rPr>
      </w:pPr>
      <w:r>
        <w:rPr>
          <w:rFonts w:ascii="Times New Roman" w:hAnsi="Times New Roman"/>
          <w:b/>
          <w:sz w:val="20"/>
        </w:rPr>
        <w:t>6.</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Fair value of financial instruments </w:t>
      </w:r>
    </w:p>
    <w:p>
      <w:pPr>
        <w:pStyle w:val="TextBody"/>
        <w:spacing w:before="120" w:after="120"/>
        <w:jc w:val="both"/>
        <w:rPr>
          <w:rFonts w:ascii="Times New Roman" w:hAnsi="Times New Roman"/>
          <w:sz w:val="20"/>
        </w:rPr>
      </w:pPr>
      <w:r>
        <w:rPr>
          <w:rFonts w:ascii="Times New Roman;serif" w:hAnsi="Times New Roman;serif"/>
          <w:b w:val="false"/>
          <w:sz w:val="20"/>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w:t>
      </w:r>
      <w:r>
        <w:rPr>
          <w:rFonts w:ascii="Times New Roman" w:hAnsi="Times New Roman"/>
          <w:sz w:val="20"/>
        </w:rPr>
        <w:t xml:space="preserve"> </w:t>
      </w:r>
      <w:r>
        <w:rPr>
          <w:rFonts w:ascii="Times New Roman;serif" w:hAnsi="Times New Roman;serif"/>
          <w:b w:val="false"/>
          <w:sz w:val="20"/>
        </w:rPr>
        <w:t xml:space="preserve">The following table sets forth the fair value of the Company’s financial assets and liabilities by level within the fair value hierarchy (in thousands): </w:t>
      </w:r>
    </w:p>
    <w:tbl>
      <w:tblPr>
        <w:tblW w:w="7734" w:type="dxa"/>
        <w:jc w:val="left"/>
        <w:tblInd w:w="0" w:type="dxa"/>
        <w:tblCellMar>
          <w:top w:w="28" w:type="dxa"/>
          <w:left w:w="28" w:type="dxa"/>
          <w:bottom w:w="28" w:type="dxa"/>
          <w:right w:w="28" w:type="dxa"/>
        </w:tblCellMar>
      </w:tblPr>
      <w:tblGrid>
        <w:gridCol w:w="2161"/>
        <w:gridCol w:w="146"/>
        <w:gridCol w:w="211"/>
        <w:gridCol w:w="781"/>
        <w:gridCol w:w="146"/>
        <w:gridCol w:w="146"/>
        <w:gridCol w:w="264"/>
        <w:gridCol w:w="846"/>
        <w:gridCol w:w="146"/>
        <w:gridCol w:w="146"/>
        <w:gridCol w:w="211"/>
        <w:gridCol w:w="781"/>
        <w:gridCol w:w="146"/>
        <w:gridCol w:w="146"/>
        <w:gridCol w:w="403"/>
        <w:gridCol w:w="663"/>
        <w:gridCol w:w="3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Quoted prices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active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Significant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markets for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Significant</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identical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observable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assets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inputs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inputs</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3"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16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180,690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tbl>
      <w:tblPr>
        <w:tblW w:w="7732" w:type="dxa"/>
        <w:jc w:val="left"/>
        <w:tblInd w:w="0" w:type="dxa"/>
        <w:tblCellMar>
          <w:top w:w="28" w:type="dxa"/>
          <w:left w:w="28" w:type="dxa"/>
          <w:bottom w:w="28" w:type="dxa"/>
          <w:right w:w="28" w:type="dxa"/>
        </w:tblCellMar>
      </w:tblPr>
      <w:tblGrid>
        <w:gridCol w:w="2161"/>
        <w:gridCol w:w="146"/>
        <w:gridCol w:w="233"/>
        <w:gridCol w:w="862"/>
        <w:gridCol w:w="146"/>
        <w:gridCol w:w="146"/>
        <w:gridCol w:w="236"/>
        <w:gridCol w:w="874"/>
        <w:gridCol w:w="146"/>
        <w:gridCol w:w="146"/>
        <w:gridCol w:w="211"/>
        <w:gridCol w:w="676"/>
        <w:gridCol w:w="146"/>
        <w:gridCol w:w="146"/>
        <w:gridCol w:w="403"/>
        <w:gridCol w:w="663"/>
        <w:gridCol w:w="3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Quoted prices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active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Significant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markets for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Significant</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identical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observable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assets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inputs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inputs</w:t>
            </w:r>
          </w:p>
        </w:tc>
        <w:tc>
          <w:tcPr>
            <w:tcW w:w="391" w:type="dxa"/>
            <w:tcBorders/>
            <w:shd w:fill="auto" w:val="clear"/>
            <w:vAlign w:val="center"/>
          </w:tcPr>
          <w:p>
            <w:pPr>
              <w:pStyle w:val="TableContents"/>
              <w:spacing w:before="0" w:after="0"/>
              <w:ind w:left="0" w:right="0" w:hanging="0"/>
              <w:jc w:val="center"/>
              <w:rPr/>
            </w:pPr>
            <w:r>
              <w:rPr/>
              <w:t> </w:t>
            </w:r>
          </w:p>
        </w:tc>
      </w:tr>
      <w:tr>
        <w:trPr/>
        <w:tc>
          <w:tcPr>
            <w:tcW w:w="2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Description: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117,437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216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157,153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 w:hAnsi="Times New Roman"/>
          <w:sz w:val="20"/>
        </w:rPr>
      </w:pPr>
      <w:r>
        <w:rPr>
          <w:rFonts w:ascii="Times New Roman;serif" w:hAnsi="Times New Roman;serif"/>
          <w:b w:val="false"/>
          <w:sz w:val="20"/>
        </w:rPr>
        <w:t>The Company did not have any transfers of financial assets measured at fair value on a recurring basis to or from Level 1, Level 2 or Level 3 for any of the periods presented.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table above does not include the Company's investments in privately held equity securities. Non-marketable equity investments of $1.6</w:t>
      </w:r>
      <w:r>
        <w:rPr>
          <w:rFonts w:ascii="Times New Roman" w:hAnsi="Times New Roman"/>
          <w:sz w:val="20"/>
        </w:rPr>
        <w:t xml:space="preserve"> </w:t>
      </w:r>
      <w:r>
        <w:rPr>
          <w:rFonts w:ascii="Times New Roman;serif" w:hAnsi="Times New Roman;serif"/>
          <w:b w:val="false"/>
          <w:sz w:val="20"/>
        </w:rPr>
        <w:t>million are included within Other noncurrent assets on the consolidated balance sheet as of March 31, 2023.</w:t>
      </w:r>
    </w:p>
    <w:p>
      <w:pPr>
        <w:pStyle w:val="TextBody"/>
        <w:spacing w:before="120" w:after="0"/>
        <w:jc w:val="left"/>
        <w:rPr>
          <w:rFonts w:ascii="Times New Roman" w:hAnsi="Times New Roman"/>
          <w:b/>
          <w:sz w:val="20"/>
        </w:rPr>
      </w:pPr>
      <w:r>
        <w:rPr>
          <w:rFonts w:ascii="Times New Roman" w:hAnsi="Times New Roman"/>
          <w:b/>
          <w:sz w:val="20"/>
        </w:rPr>
        <w:t>7.</w:t>
      </w:r>
    </w:p>
    <w:p>
      <w:pPr>
        <w:pStyle w:val="TextBody"/>
        <w:spacing w:before="120" w:after="283"/>
        <w:jc w:val="left"/>
        <w:rPr>
          <w:rFonts w:ascii="Times New Roman;serif" w:hAnsi="Times New Roman;serif"/>
          <w:b/>
          <w:sz w:val="20"/>
        </w:rPr>
      </w:pPr>
      <w:r>
        <w:rPr>
          <w:rFonts w:ascii="Times New Roman;serif" w:hAnsi="Times New Roman;serif"/>
          <w:b/>
          <w:sz w:val="20"/>
        </w:rPr>
        <w:t>Investments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The following tables summarize the Company's investments in available-for-sale securities by significant investment category reported as short-term as of March 31, 2023 (in thousands):</w:t>
      </w:r>
    </w:p>
    <w:tbl>
      <w:tblPr>
        <w:tblW w:w="10205" w:type="dxa"/>
        <w:jc w:val="left"/>
        <w:tblInd w:w="0" w:type="dxa"/>
        <w:tblCellMar>
          <w:top w:w="28" w:type="dxa"/>
          <w:left w:w="28" w:type="dxa"/>
          <w:bottom w:w="28" w:type="dxa"/>
          <w:right w:w="28" w:type="dxa"/>
        </w:tblCellMar>
      </w:tblPr>
      <w:tblGrid>
        <w:gridCol w:w="2918"/>
        <w:gridCol w:w="260"/>
        <w:gridCol w:w="965"/>
        <w:gridCol w:w="146"/>
        <w:gridCol w:w="146"/>
        <w:gridCol w:w="580"/>
        <w:gridCol w:w="1164"/>
        <w:gridCol w:w="146"/>
        <w:gridCol w:w="146"/>
        <w:gridCol w:w="920"/>
        <w:gridCol w:w="727"/>
        <w:gridCol w:w="146"/>
        <w:gridCol w:w="146"/>
        <w:gridCol w:w="340"/>
        <w:gridCol w:w="1260"/>
        <w:gridCol w:w="195"/>
      </w:tblGrid>
      <w:tr>
        <w:trPr/>
        <w:tc>
          <w:tcPr>
            <w:tcW w:w="291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918" w:type="dxa"/>
            <w:tcBorders/>
            <w:shd w:fill="auto" w:val="clear"/>
            <w:vAlign w:val="center"/>
          </w:tcPr>
          <w:p>
            <w:pPr>
              <w:pStyle w:val="TableContents"/>
              <w:spacing w:before="0" w:after="0"/>
              <w:ind w:left="0" w:right="0" w:hanging="0"/>
              <w:jc w:val="left"/>
              <w:rPr/>
            </w:pPr>
            <w:r>
              <w:rPr/>
              <w:t> </w:t>
            </w:r>
          </w:p>
        </w:tc>
        <w:tc>
          <w:tcPr>
            <w:tcW w:w="709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8" w:type="dxa"/>
            <w:tcBorders/>
            <w:shd w:fill="auto" w:val="clear"/>
            <w:vAlign w:val="center"/>
          </w:tcPr>
          <w:p>
            <w:pPr>
              <w:pStyle w:val="TableContents"/>
              <w:spacing w:before="0" w:after="0"/>
              <w:ind w:left="0" w:right="0" w:hanging="0"/>
              <w:jc w:val="left"/>
              <w:rPr/>
            </w:pPr>
            <w:r>
              <w:rPr/>
              <w:t> </w:t>
            </w:r>
          </w:p>
        </w:tc>
        <w:tc>
          <w:tcPr>
            <w:tcW w:w="12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 Unrealized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Estimated Fair Value</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22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0" w:type="dxa"/>
            <w:gridSpan w:val="2"/>
            <w:tcBorders/>
            <w:shd w:fill="auto" w:val="clear"/>
            <w:vAlign w:val="center"/>
          </w:tcPr>
          <w:p>
            <w:pPr>
              <w:pStyle w:val="TableContents"/>
              <w:spacing w:before="0" w:after="0"/>
              <w:ind w:left="0" w:right="0" w:hanging="0"/>
              <w:jc w:val="left"/>
              <w:rPr/>
            </w:pPr>
            <w:r>
              <w:rPr/>
              <w:t> </w:t>
            </w:r>
          </w:p>
        </w:tc>
        <w:tc>
          <w:tcPr>
            <w:tcW w:w="195" w:type="dxa"/>
            <w:tcBorders/>
            <w:shd w:fill="auto" w:val="clear"/>
            <w:vAlign w:val="center"/>
          </w:tcPr>
          <w:p>
            <w:pPr>
              <w:pStyle w:val="TableContents"/>
              <w:spacing w:before="0" w:after="0"/>
              <w:ind w:left="0" w:right="0" w:hanging="0"/>
              <w:jc w:val="left"/>
              <w:rPr/>
            </w:pPr>
            <w:r>
              <w:rPr/>
              <w:t> </w:t>
            </w:r>
          </w:p>
        </w:tc>
      </w:tr>
      <w:tr>
        <w:trPr/>
        <w:tc>
          <w:tcPr>
            <w:tcW w:w="29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w:t>
            </w:r>
          </w:p>
        </w:tc>
        <w:tc>
          <w:tcPr>
            <w:tcW w:w="260"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1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41,322</w:t>
            </w:r>
          </w:p>
        </w:tc>
        <w:tc>
          <w:tcPr>
            <w:tcW w:w="195" w:type="dxa"/>
            <w:tcBorders/>
            <w:shd w:fill="auto" w:val="clear"/>
            <w:vAlign w:val="center"/>
          </w:tcPr>
          <w:p>
            <w:pPr>
              <w:pStyle w:val="TableContents"/>
              <w:spacing w:before="0" w:after="0"/>
              <w:ind w:left="0" w:right="0" w:hanging="0"/>
              <w:jc w:val="left"/>
              <w:rPr/>
            </w:pPr>
            <w:r>
              <w:rPr/>
              <w:t> </w:t>
            </w:r>
          </w:p>
        </w:tc>
      </w:tr>
      <w:tr>
        <w:trPr/>
        <w:tc>
          <w:tcPr>
            <w:tcW w:w="29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Federal agency securities</w:t>
            </w:r>
          </w:p>
        </w:tc>
        <w:tc>
          <w:tcPr>
            <w:tcW w:w="260" w:type="dxa"/>
            <w:tcBorders/>
            <w:shd w:fill="auto" w:val="clear"/>
            <w:vAlign w:val="center"/>
          </w:tcPr>
          <w:p>
            <w:pPr>
              <w:pStyle w:val="TableContents"/>
              <w:spacing w:before="0" w:after="0"/>
              <w:ind w:left="0" w:right="0" w:hanging="0"/>
              <w:jc w:val="left"/>
              <w:rPr/>
            </w:pPr>
            <w:r>
              <w:rPr/>
              <w:t> </w:t>
            </w:r>
          </w:p>
        </w:tc>
        <w:tc>
          <w:tcPr>
            <w:tcW w:w="9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57,943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0" w:type="dxa"/>
            <w:tcBorders/>
            <w:shd w:fill="auto" w:val="clear"/>
            <w:vAlign w:val="center"/>
          </w:tcPr>
          <w:p>
            <w:pPr>
              <w:pStyle w:val="TableContents"/>
              <w:spacing w:before="0" w:after="0"/>
              <w:ind w:left="0" w:right="0" w:hanging="0"/>
              <w:jc w:val="left"/>
              <w:rPr/>
            </w:pPr>
            <w:r>
              <w:rPr/>
              <w:t> </w:t>
            </w:r>
          </w:p>
        </w:tc>
        <w:tc>
          <w:tcPr>
            <w:tcW w:w="11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left"/>
              <w:rPr/>
            </w:pPr>
            <w:r>
              <w:rPr/>
              <w:t> </w:t>
            </w:r>
          </w:p>
        </w:tc>
        <w:tc>
          <w:tcPr>
            <w:tcW w:w="72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58,092</w:t>
            </w:r>
          </w:p>
        </w:tc>
        <w:tc>
          <w:tcPr>
            <w:tcW w:w="195" w:type="dxa"/>
            <w:tcBorders/>
            <w:shd w:fill="auto" w:val="clear"/>
            <w:vAlign w:val="center"/>
          </w:tcPr>
          <w:p>
            <w:pPr>
              <w:pStyle w:val="TableContents"/>
              <w:spacing w:before="0" w:after="0"/>
              <w:ind w:left="0" w:right="0" w:hanging="0"/>
              <w:jc w:val="left"/>
              <w:rPr/>
            </w:pPr>
            <w:r>
              <w:rPr/>
              <w:t> </w:t>
            </w:r>
          </w:p>
        </w:tc>
      </w:tr>
      <w:tr>
        <w:trPr/>
        <w:tc>
          <w:tcPr>
            <w:tcW w:w="29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paper</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70,105</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available-for-sale investments</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169,519</w:t>
            </w:r>
          </w:p>
        </w:tc>
        <w:tc>
          <w:tcPr>
            <w:tcW w:w="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summarizes the contractual maturities of the Company's available-for-sale securities at March 31, 2023 (in thousands):</w:t>
      </w:r>
    </w:p>
    <w:tbl>
      <w:tblPr>
        <w:tblW w:w="5121" w:type="dxa"/>
        <w:jc w:val="left"/>
        <w:tblInd w:w="0" w:type="dxa"/>
        <w:tblCellMar>
          <w:top w:w="28" w:type="dxa"/>
          <w:left w:w="28" w:type="dxa"/>
          <w:bottom w:w="28" w:type="dxa"/>
          <w:right w:w="28" w:type="dxa"/>
        </w:tblCellMar>
      </w:tblPr>
      <w:tblGrid>
        <w:gridCol w:w="2401"/>
        <w:gridCol w:w="265"/>
        <w:gridCol w:w="980"/>
        <w:gridCol w:w="146"/>
        <w:gridCol w:w="146"/>
        <w:gridCol w:w="211"/>
        <w:gridCol w:w="781"/>
        <w:gridCol w:w="191"/>
      </w:tblGrid>
      <w:tr>
        <w:trPr/>
        <w:tc>
          <w:tcPr>
            <w:tcW w:w="240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01" w:type="dxa"/>
            <w:tcBorders/>
            <w:shd w:fill="auto" w:val="clear"/>
            <w:vAlign w:val="center"/>
          </w:tcPr>
          <w:p>
            <w:pPr>
              <w:pStyle w:val="TableContents"/>
              <w:spacing w:before="0" w:after="0"/>
              <w:ind w:left="0" w:right="0" w:hanging="0"/>
              <w:jc w:val="left"/>
              <w:rPr/>
            </w:pPr>
            <w:r>
              <w:rPr/>
              <w:t> </w:t>
            </w:r>
          </w:p>
        </w:tc>
        <w:tc>
          <w:tcPr>
            <w:tcW w:w="252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pPr>
            <w:r>
              <w:rPr/>
              <w:t> </w:t>
            </w:r>
          </w:p>
        </w:tc>
        <w:tc>
          <w:tcPr>
            <w:tcW w:w="12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shd w:fill="auto" w:val="cle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Mature in less than one year</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169,519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169,350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169,519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left"/>
        <w:rPr>
          <w:rFonts w:ascii="Times New Roman" w:hAnsi="Times New Roman"/>
          <w:b/>
          <w:sz w:val="20"/>
        </w:rPr>
      </w:pPr>
      <w:r>
        <w:rPr>
          <w:rFonts w:ascii="Times New Roman" w:hAnsi="Times New Roman"/>
          <w:b/>
          <w:sz w:val="20"/>
        </w:rPr>
        <w:t>8.</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Property and equipment, net </w:t>
      </w:r>
    </w:p>
    <w:p>
      <w:pPr>
        <w:pStyle w:val="TextBody"/>
        <w:spacing w:before="120" w:after="120"/>
        <w:jc w:val="left"/>
        <w:rPr>
          <w:rFonts w:ascii="Times New Roman" w:hAnsi="Times New Roman"/>
          <w:sz w:val="20"/>
        </w:rPr>
      </w:pPr>
      <w:r>
        <w:rPr>
          <w:rFonts w:ascii="Times New Roman;serif" w:hAnsi="Times New Roman;serif"/>
          <w:b w:val="false"/>
          <w:sz w:val="20"/>
        </w:rPr>
        <w:t>The following table shows the components of property and equipment, net (in thousands):</w:t>
      </w:r>
      <w:r>
        <w:rPr>
          <w:rFonts w:ascii="Times New Roman" w:hAnsi="Times New Roman"/>
          <w:sz w:val="20"/>
        </w:rPr>
        <w:t xml:space="preserve"> </w:t>
      </w:r>
    </w:p>
    <w:tbl>
      <w:tblPr>
        <w:tblW w:w="5537" w:type="dxa"/>
        <w:jc w:val="left"/>
        <w:tblInd w:w="0" w:type="dxa"/>
        <w:tblCellMar>
          <w:top w:w="28" w:type="dxa"/>
          <w:left w:w="28" w:type="dxa"/>
          <w:bottom w:w="28" w:type="dxa"/>
          <w:right w:w="28" w:type="dxa"/>
        </w:tblCellMar>
      </w:tblPr>
      <w:tblGrid>
        <w:gridCol w:w="2686"/>
        <w:gridCol w:w="146"/>
        <w:gridCol w:w="211"/>
        <w:gridCol w:w="676"/>
        <w:gridCol w:w="166"/>
        <w:gridCol w:w="146"/>
        <w:gridCol w:w="260"/>
        <w:gridCol w:w="835"/>
        <w:gridCol w:w="41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4,777</w:t>
            </w:r>
          </w:p>
        </w:tc>
        <w:tc>
          <w:tcPr>
            <w:tcW w:w="4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3,481</w:t>
            </w:r>
          </w:p>
        </w:tc>
        <w:tc>
          <w:tcPr>
            <w:tcW w:w="4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Building and land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5,553</w:t>
            </w:r>
          </w:p>
        </w:tc>
        <w:tc>
          <w:tcPr>
            <w:tcW w:w="4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4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 and computer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4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1,962</w:t>
            </w:r>
          </w:p>
        </w:tc>
        <w:tc>
          <w:tcPr>
            <w:tcW w:w="411" w:type="dxa"/>
            <w:tcBorders/>
            <w:shd w:fill="auto" w:val="cle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16,841</w:t>
            </w:r>
          </w:p>
        </w:tc>
        <w:tc>
          <w:tcPr>
            <w:tcW w:w="41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 w:hAnsi="Times New Roman"/>
          <w:sz w:val="20"/>
        </w:rPr>
      </w:pPr>
      <w:r>
        <w:rPr>
          <w:rFonts w:ascii="Times New Roman;serif" w:hAnsi="Times New Roman;serif"/>
          <w:b w:val="false"/>
          <w:sz w:val="20"/>
        </w:rPr>
        <w:t>Total depreciation expense for the three months ended March 31, 2023 and 2022 were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0" w:after="0"/>
        <w:jc w:val="both"/>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20" w:after="120"/>
        <w:jc w:val="left"/>
        <w:rPr>
          <w:rFonts w:ascii="Times New Roman" w:hAnsi="Times New Roman"/>
          <w:b/>
          <w:sz w:val="20"/>
        </w:rPr>
      </w:pPr>
      <w:r>
        <w:rPr>
          <w:rFonts w:ascii="Times New Roman" w:hAnsi="Times New Roman"/>
          <w:b/>
          <w:sz w:val="20"/>
        </w:rPr>
        <w:t>9.</w:t>
      </w:r>
    </w:p>
    <w:p>
      <w:pPr>
        <w:pStyle w:val="TextBody"/>
        <w:spacing w:before="120" w:after="120"/>
        <w:jc w:val="left"/>
        <w:rPr>
          <w:rFonts w:ascii="Times New Roman;serif" w:hAnsi="Times New Roman;serif"/>
          <w:b/>
          <w:sz w:val="20"/>
        </w:rPr>
      </w:pPr>
      <w:r>
        <w:rPr>
          <w:rFonts w:ascii="Times New Roman;serif" w:hAnsi="Times New Roman;serif"/>
          <w:b/>
          <w:sz w:val="20"/>
        </w:rPr>
        <w:t>Acquisition</w:t>
      </w:r>
    </w:p>
    <w:p>
      <w:pPr>
        <w:pStyle w:val="TextBody"/>
        <w:spacing w:before="120" w:after="120"/>
        <w:jc w:val="both"/>
        <w:rPr>
          <w:rFonts w:ascii="Times New Roman" w:hAnsi="Times New Roman"/>
          <w:sz w:val="20"/>
        </w:rPr>
      </w:pPr>
      <w:r>
        <w:rPr>
          <w:rFonts w:ascii="Times New Roman;serif" w:hAnsi="Times New Roman;serif"/>
          <w:b w:val="false"/>
          <w:sz w:val="20"/>
        </w:rPr>
        <w:t>On February 28, 2023, the Company completed the acquisition of the Luminex FCI business unit, including relating to the business of manufacturing, marketing, selling, servicing and maintaining Amnis-, CellStream-, Guava- and Muse-branded instruments, and flow cytometry reagent products and services, for an aggregate cash consideration of $44.9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 xml:space="preserve">The acquisition was accounted for as a business combination in accordance with ASC 805. The tangible and intangible assets acquired were recorded at estimated fair value on the acquisition date. The purchase price allocation is based upon preliminary valuations and estimates and assumptions which are subject to change within the purchase price allocation period, generally one year from the acquisition date. The Company identified the following areas as subject to change within the purchase price allocation period: intangible asset and inventory fair values recognized and measured in accordance with ASC 820, </w:t>
      </w:r>
      <w:r>
        <w:rPr>
          <w:rFonts w:ascii="Times New Roman;serif" w:hAnsi="Times New Roman;serif"/>
          <w:b w:val="false"/>
          <w:i/>
          <w:sz w:val="20"/>
        </w:rPr>
        <w:t>Fair Value Measurement</w:t>
      </w:r>
      <w:r>
        <w:rPr>
          <w:rFonts w:ascii="Times New Roman;serif" w:hAnsi="Times New Roman;serif"/>
          <w:b w:val="false"/>
          <w:sz w:val="20"/>
        </w:rPr>
        <w:t xml:space="preserve">, deferred income tax assets acquired and liabilities assumed are recognized and measured in accordance with ASC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 xml:space="preserve">and certain lease related assets and liabilities which are measured and recognized in accordance with ASC 842, </w:t>
      </w:r>
      <w:r>
        <w:rPr>
          <w:rFonts w:ascii="Times New Roman;serif" w:hAnsi="Times New Roman;serif"/>
          <w:b w:val="false"/>
          <w:i/>
          <w:sz w:val="20"/>
        </w:rPr>
        <w:t>Leases</w:t>
      </w:r>
      <w:r>
        <w:rPr>
          <w:rFonts w:ascii="Times New Roman;serif" w:hAnsi="Times New Roman;serif"/>
          <w:b w:val="false"/>
          <w:sz w:val="20"/>
        </w:rPr>
        <w:t>. The following table represents the preliminary allocation of the purchase price to the assets acquired by the Company as part of the acquisition included in the Company’s consolidated balance sheets and is reconciled to the purchase price.</w:t>
      </w:r>
    </w:p>
    <w:tbl>
      <w:tblPr>
        <w:tblW w:w="6048" w:type="dxa"/>
        <w:jc w:val="left"/>
        <w:tblInd w:w="0" w:type="dxa"/>
        <w:tblCellMar>
          <w:top w:w="28" w:type="dxa"/>
          <w:left w:w="28" w:type="dxa"/>
          <w:bottom w:w="28" w:type="dxa"/>
          <w:right w:w="28" w:type="dxa"/>
        </w:tblCellMar>
      </w:tblPr>
      <w:tblGrid>
        <w:gridCol w:w="4366"/>
        <w:gridCol w:w="146"/>
        <w:gridCol w:w="267"/>
        <w:gridCol w:w="858"/>
        <w:gridCol w:w="411"/>
      </w:tblGrid>
      <w:tr>
        <w:trPr/>
        <w:tc>
          <w:tcPr>
            <w:tcW w:w="4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(in thousands)</w:t>
            </w:r>
          </w:p>
        </w:tc>
        <w:tc>
          <w:tcPr>
            <w:tcW w:w="411" w:type="dxa"/>
            <w:tcBorders/>
            <w:shd w:fill="auto" w:val="clear"/>
            <w:vAlign w:val="center"/>
          </w:tcPr>
          <w:p>
            <w:pPr>
              <w:pStyle w:val="TableContents"/>
              <w:spacing w:before="0" w:after="0"/>
              <w:ind w:left="0" w:right="0" w:hanging="0"/>
              <w:jc w:val="right"/>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assets acquired and liabilities assumed:</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hanging="0"/>
              <w:jc w:val="center"/>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18,687</w:t>
            </w:r>
          </w:p>
        </w:tc>
        <w:tc>
          <w:tcPr>
            <w:tcW w:w="411" w:type="dxa"/>
            <w:tcBorders/>
            <w:shd w:fill="auto" w:val="clear"/>
            <w:vAlign w:val="center"/>
          </w:tcPr>
          <w:p>
            <w:pPr>
              <w:pStyle w:val="TableContents"/>
              <w:spacing w:before="0" w:after="0"/>
              <w:ind w:left="0" w:right="0" w:hanging="0"/>
              <w:jc w:val="left"/>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1,608</w:t>
            </w:r>
          </w:p>
        </w:tc>
        <w:tc>
          <w:tcPr>
            <w:tcW w:w="411" w:type="dxa"/>
            <w:tcBorders/>
            <w:shd w:fill="auto" w:val="clear"/>
            <w:vAlign w:val="center"/>
          </w:tcPr>
          <w:p>
            <w:pPr>
              <w:pStyle w:val="TableContents"/>
              <w:spacing w:before="0" w:after="0"/>
              <w:ind w:left="0" w:right="0" w:hanging="0"/>
              <w:jc w:val="left"/>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411" w:type="dxa"/>
            <w:tcBorders/>
            <w:shd w:fill="auto" w:val="clear"/>
            <w:vAlign w:val="center"/>
          </w:tcPr>
          <w:p>
            <w:pPr>
              <w:pStyle w:val="TableContents"/>
              <w:spacing w:before="0" w:after="0"/>
              <w:ind w:left="0" w:right="0" w:hanging="0"/>
              <w:jc w:val="left"/>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pPr>
            <w:r>
              <w:rPr/>
              <w:t> </w:t>
            </w:r>
          </w:p>
        </w:tc>
        <w:tc>
          <w:tcPr>
            <w:tcW w:w="411" w:type="dxa"/>
            <w:tcBorders/>
            <w:shd w:fill="auto" w:val="clear"/>
            <w:vAlign w:val="center"/>
          </w:tcPr>
          <w:p>
            <w:pPr>
              <w:pStyle w:val="TableContents"/>
              <w:spacing w:before="0" w:after="0"/>
              <w:ind w:left="0" w:right="0" w:firstLine="200"/>
              <w:jc w:val="center"/>
              <w:rPr/>
            </w:pPr>
            <w:r>
              <w:rPr/>
              <w:t> </w:t>
            </w:r>
          </w:p>
        </w:tc>
      </w:tr>
      <w:tr>
        <w:trPr/>
        <w:tc>
          <w:tcPr>
            <w:tcW w:w="43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FCI Developed Technology</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9,500</w:t>
            </w:r>
          </w:p>
        </w:tc>
        <w:tc>
          <w:tcPr>
            <w:tcW w:w="411" w:type="dxa"/>
            <w:tcBorders/>
            <w:shd w:fill="auto" w:val="clear"/>
            <w:vAlign w:val="center"/>
          </w:tcPr>
          <w:p>
            <w:pPr>
              <w:pStyle w:val="TableContents"/>
              <w:spacing w:before="0" w:after="0"/>
              <w:ind w:left="0" w:right="0" w:firstLine="200"/>
              <w:jc w:val="left"/>
              <w:rPr/>
            </w:pPr>
            <w:r>
              <w:rPr/>
              <w:t> </w:t>
            </w:r>
          </w:p>
        </w:tc>
      </w:tr>
      <w:tr>
        <w:trPr/>
        <w:tc>
          <w:tcPr>
            <w:tcW w:w="43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8,500</w:t>
            </w:r>
          </w:p>
        </w:tc>
        <w:tc>
          <w:tcPr>
            <w:tcW w:w="411" w:type="dxa"/>
            <w:tcBorders/>
            <w:shd w:fill="auto" w:val="clear"/>
            <w:vAlign w:val="center"/>
          </w:tcPr>
          <w:p>
            <w:pPr>
              <w:pStyle w:val="TableContents"/>
              <w:spacing w:before="0" w:after="0"/>
              <w:ind w:left="0" w:right="0" w:firstLine="200"/>
              <w:jc w:val="left"/>
              <w:rPr/>
            </w:pPr>
            <w:r>
              <w:rPr/>
              <w:t> </w:t>
            </w:r>
          </w:p>
        </w:tc>
      </w:tr>
      <w:tr>
        <w:trPr/>
        <w:tc>
          <w:tcPr>
            <w:tcW w:w="43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Amnis tradename</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w:t>
            </w:r>
          </w:p>
        </w:tc>
        <w:tc>
          <w:tcPr>
            <w:tcW w:w="411" w:type="dxa"/>
            <w:tcBorders/>
            <w:shd w:fill="auto" w:val="clear"/>
            <w:vAlign w:val="center"/>
          </w:tcPr>
          <w:p>
            <w:pPr>
              <w:pStyle w:val="TableContents"/>
              <w:spacing w:before="0" w:after="0"/>
              <w:ind w:left="0" w:right="0" w:hanging="0"/>
              <w:jc w:val="left"/>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8,999</w:t>
            </w:r>
          </w:p>
        </w:tc>
        <w:tc>
          <w:tcPr>
            <w:tcW w:w="411" w:type="dxa"/>
            <w:tcBorders/>
            <w:shd w:fill="auto" w:val="clear"/>
            <w:vAlign w:val="center"/>
          </w:tcPr>
          <w:p>
            <w:pPr>
              <w:pStyle w:val="TableContents"/>
              <w:spacing w:before="0" w:after="0"/>
              <w:ind w:left="0" w:right="0" w:hanging="0"/>
              <w:jc w:val="left"/>
              <w:rPr/>
            </w:pPr>
            <w:r>
              <w:rPr/>
              <w:t> </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(4,130</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noncurrent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 of net assets acquired</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44,896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 w:hAnsi="Times New Roman"/>
          <w:sz w:val="20"/>
        </w:rPr>
      </w:pPr>
      <w:r>
        <w:rPr>
          <w:rFonts w:ascii="Times New Roman;serif" w:hAnsi="Times New Roman;serif"/>
          <w:b w:val="false"/>
          <w:sz w:val="20"/>
        </w:rPr>
        <w:t>The $9.0</w:t>
      </w:r>
      <w:r>
        <w:rPr>
          <w:rFonts w:ascii="Times New Roman" w:hAnsi="Times New Roman"/>
          <w:sz w:val="20"/>
        </w:rPr>
        <w:t xml:space="preserve"> </w:t>
      </w:r>
      <w:r>
        <w:rPr>
          <w:rFonts w:ascii="Times New Roman;serif" w:hAnsi="Times New Roman;serif"/>
          <w:b w:val="false"/>
          <w:sz w:val="20"/>
        </w:rPr>
        <w:t>million of goodwill arising from the acquisition is primarily attributed to significant time-to-market advantages, as the Company gained immediate access to Luminex’s FCI products, existing relationships and business infrastructure and Luminex’s knowledgeable and experienced FCI workforce. The goodwill is expected to be deductible for tax purposes. The Company is currently evaluating the amount of goodwill which is expected to be deductible and will finalize this amount in future periods.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Intangible assets eligible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tbl>
      <w:tblPr>
        <w:tblW w:w="5229" w:type="dxa"/>
        <w:jc w:val="left"/>
        <w:tblInd w:w="0" w:type="dxa"/>
        <w:tblCellMar>
          <w:top w:w="28" w:type="dxa"/>
          <w:left w:w="28" w:type="dxa"/>
          <w:bottom w:w="28" w:type="dxa"/>
          <w:right w:w="28" w:type="dxa"/>
        </w:tblCellMar>
      </w:tblPr>
      <w:tblGrid>
        <w:gridCol w:w="2296"/>
        <w:gridCol w:w="242"/>
        <w:gridCol w:w="778"/>
        <w:gridCol w:w="146"/>
        <w:gridCol w:w="146"/>
        <w:gridCol w:w="1621"/>
      </w:tblGrid>
      <w:tr>
        <w:trPr/>
        <w:tc>
          <w:tcPr>
            <w:tcW w:w="229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Contents"/>
              <w:spacing w:before="0" w:after="0"/>
              <w:ind w:left="0" w:right="0" w:hanging="0"/>
              <w:jc w:val="left"/>
              <w:rPr/>
            </w:pPr>
            <w:r>
              <w:rPr/>
              <w:t> </w:t>
            </w:r>
          </w:p>
        </w:tc>
        <w:tc>
          <w:tcPr>
            <w:tcW w:w="293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9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Useful life (years)</w:t>
            </w:r>
          </w:p>
        </w:tc>
      </w:tr>
      <w:tr>
        <w:trPr/>
        <w:tc>
          <w:tcPr>
            <w:tcW w:w="2296" w:type="dxa"/>
            <w:tcBorders/>
            <w:shd w:fill="auto" w:val="clear"/>
            <w:vAlign w:val="center"/>
          </w:tcPr>
          <w:p>
            <w:pPr>
              <w:pStyle w:val="TableContents"/>
              <w:spacing w:before="0" w:after="0"/>
              <w:ind w:left="0" w:right="0" w:hanging="0"/>
              <w:jc w:val="left"/>
              <w:rPr/>
            </w:pPr>
            <w:r>
              <w:rPr/>
              <w:t> </w:t>
            </w:r>
          </w:p>
        </w:tc>
        <w:tc>
          <w:tcPr>
            <w:tcW w:w="2933" w:type="dxa"/>
            <w:gridSpan w:val="5"/>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(In thousands, except for years)</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FCI developed technology</w:t>
            </w:r>
          </w:p>
        </w:tc>
        <w:tc>
          <w:tcPr>
            <w:tcW w:w="2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242" w:type="dxa"/>
            <w:tcBorders/>
            <w:shd w:fill="auto" w:val="clear"/>
            <w:vAlign w:val="center"/>
          </w:tcPr>
          <w:p>
            <w:pPr>
              <w:pStyle w:val="TableContents"/>
              <w:spacing w:before="0" w:after="0"/>
              <w:ind w:left="0" w:right="0" w:hanging="0"/>
              <w:jc w:val="left"/>
              <w:rPr/>
            </w:pPr>
            <w:r>
              <w:rPr/>
              <w:t> </w:t>
            </w:r>
          </w:p>
        </w:tc>
        <w:tc>
          <w:tcPr>
            <w:tcW w:w="7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7</w:t>
            </w:r>
          </w:p>
        </w:tc>
      </w:tr>
      <w:tr>
        <w:trPr/>
        <w:tc>
          <w:tcPr>
            <w:tcW w:w="2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Amnis tradename</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firstLine="200"/>
              <w:jc w:val="center"/>
              <w:rPr>
                <w:rFonts w:ascii="Times New Roman;serif" w:hAnsi="Times New Roman;serif"/>
                <w:b w:val="false"/>
                <w:sz w:val="20"/>
              </w:rPr>
            </w:pPr>
            <w:r>
              <w:rPr>
                <w:rFonts w:ascii="Times New Roman;serif" w:hAnsi="Times New Roman;serif"/>
                <w:b w:val="false"/>
                <w:sz w:val="20"/>
              </w:rPr>
              <w:t>10</w:t>
            </w:r>
          </w:p>
        </w:tc>
      </w:tr>
      <w:tr>
        <w:trPr/>
        <w:tc>
          <w:tcPr>
            <w:tcW w:w="22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1" w:type="dxa"/>
            <w:tcBorders/>
            <w:shd w:fill="auto" w:val="cle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customer relationships intangible asset represents the fair value of the underlying relationships with Luminex’s FCI customers. The tradename intangible asset represents the fair value of brand and name recognition associated with the marketing of Luminex’s FCI products. The FCI developed technology intangible asset represents the fair value of access to certain imaging and microcapillary technologies.</w:t>
      </w:r>
    </w:p>
    <w:p>
      <w:pPr>
        <w:pStyle w:val="TextBody"/>
        <w:spacing w:before="120" w:after="120"/>
        <w:jc w:val="both"/>
        <w:rPr>
          <w:rFonts w:ascii="Times New Roman" w:hAnsi="Times New Roman"/>
          <w:sz w:val="20"/>
        </w:rPr>
      </w:pPr>
      <w:r>
        <w:rPr>
          <w:rFonts w:ascii="Times New Roman;serif" w:hAnsi="Times New Roman;serif"/>
          <w:b w:val="false"/>
          <w:sz w:val="20"/>
        </w:rPr>
        <w:t>The fair value of the customer relationships intangible asset was determined based on the excess earnings method; the fair values of the tradename and FCI developed technology intangible assets were determined based on the relief-from-royalty method. The key assumptions used in estimating the fair values of intangible assets included forecasted financial information; customer retention rates;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royalty rate of 2.0% for the tradename intangible assets; royalty rate of 9.0% for the developed technology intangible assets; discount rate of 40.0% for all intangible assets; and certain other assumptions.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All acquired intangibles are being amortized over their estimated useful lives using the straight-line method of amortization.</w:t>
      </w:r>
    </w:p>
    <w:p>
      <w:pPr>
        <w:pStyle w:val="TextBody"/>
        <w:spacing w:before="120" w:after="120"/>
        <w:jc w:val="both"/>
        <w:rPr>
          <w:rFonts w:ascii="Times New Roman" w:hAnsi="Times New Roman"/>
          <w:sz w:val="20"/>
        </w:rPr>
      </w:pPr>
      <w:r>
        <w:rPr>
          <w:rFonts w:ascii="Times New Roman;serif" w:hAnsi="Times New Roman;serif"/>
          <w:b w:val="false"/>
          <w:sz w:val="20"/>
        </w:rPr>
        <w:t>The fair value assigned to the assets acquired are based on reasonable assumptions and estimates that market participants would use. Actual results may differ from these estimates and assumptions.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results of operations for the acquisition are included in the consolidated financial statements of the Company from the date of the acquisition. $3.4</w:t>
      </w:r>
      <w:r>
        <w:rPr>
          <w:rFonts w:ascii="Times New Roman" w:hAnsi="Times New Roman"/>
          <w:sz w:val="20"/>
        </w:rPr>
        <w:t xml:space="preserve"> </w:t>
      </w:r>
      <w:r>
        <w:rPr>
          <w:rFonts w:ascii="Times New Roman;serif" w:hAnsi="Times New Roman;serif"/>
          <w:b w:val="false"/>
          <w:sz w:val="20"/>
        </w:rPr>
        <w:t>million of the Company's revenue for the period from February 28, 2023 to March 31, 2023 were attributable to the acquired business unit. Following the closing of the acquisition, the Company began integrating operations of the FCI business unit. As a result, computing a separate measure of the stand-alone profitability of the FCI business unit for the period after the acquisition is impracticable.</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following unaudited pro forma consolidated financial information reflects the results of operations of the Company for the quarter ended March 31, 2023 and 2022 as if the acquisition had occurred as of January 1, 2022, after giving effect to certain purchase accounting and financing adjustments. These amounts are based on financial information of the acquired business unit and are not necessarily indicative of what the Company’s operating results would have been had the acquisition taken place on January 1, 2022:</w:t>
      </w:r>
    </w:p>
    <w:tbl>
      <w:tblPr>
        <w:tblW w:w="5037" w:type="dxa"/>
        <w:jc w:val="left"/>
        <w:tblInd w:w="0" w:type="dxa"/>
        <w:tblCellMar>
          <w:top w:w="28" w:type="dxa"/>
          <w:left w:w="28" w:type="dxa"/>
          <w:bottom w:w="28" w:type="dxa"/>
          <w:right w:w="28" w:type="dxa"/>
        </w:tblCellMar>
      </w:tblPr>
      <w:tblGrid>
        <w:gridCol w:w="2161"/>
        <w:gridCol w:w="146"/>
        <w:gridCol w:w="274"/>
        <w:gridCol w:w="878"/>
        <w:gridCol w:w="215"/>
        <w:gridCol w:w="274"/>
        <w:gridCol w:w="878"/>
        <w:gridCol w:w="21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9" w:type="dxa"/>
            <w:gridSpan w:val="5"/>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21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 thousands)</w:t>
            </w:r>
          </w:p>
        </w:tc>
        <w:tc>
          <w:tcPr>
            <w:tcW w:w="146" w:type="dxa"/>
            <w:tcBorders/>
            <w:shd w:fill="auto" w:val="clear"/>
            <w:vAlign w:val="center"/>
          </w:tcPr>
          <w:p>
            <w:pPr>
              <w:pStyle w:val="TableContents"/>
              <w:spacing w:before="0" w:after="0"/>
              <w:ind w:left="0" w:right="0" w:hanging="0"/>
              <w:jc w:val="left"/>
              <w:rPr/>
            </w:pPr>
            <w:r>
              <w:rPr/>
              <w:t> </w:t>
            </w:r>
          </w:p>
        </w:tc>
        <w:tc>
          <w:tcPr>
            <w:tcW w:w="115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5" w:type="dxa"/>
            <w:tcBorders/>
            <w:shd w:fill="auto" w:val="clear"/>
            <w:vAlign w:val="center"/>
          </w:tcPr>
          <w:p>
            <w:pPr>
              <w:pStyle w:val="TableContents"/>
              <w:spacing w:before="0" w:after="0"/>
              <w:ind w:left="0" w:right="0" w:hanging="0"/>
              <w:jc w:val="center"/>
              <w:rPr/>
            </w:pPr>
            <w:r>
              <w:rPr/>
              <w:t> </w:t>
            </w:r>
          </w:p>
        </w:tc>
        <w:tc>
          <w:tcPr>
            <w:tcW w:w="115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41,665</w:t>
            </w:r>
          </w:p>
        </w:tc>
        <w:tc>
          <w:tcPr>
            <w:tcW w:w="215"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45,294</w:t>
            </w:r>
          </w:p>
        </w:tc>
        <w:tc>
          <w:tcPr>
            <w:tcW w:w="21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(8,248</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(6,212</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 w:hAnsi="Times New Roman"/>
          <w:sz w:val="20"/>
        </w:rPr>
      </w:pPr>
      <w:r>
        <w:rPr>
          <w:rFonts w:ascii="Times New Roman;serif" w:hAnsi="Times New Roman;serif"/>
          <w:b w:val="false"/>
          <w:sz w:val="20"/>
        </w:rPr>
        <w:t>Pro forma financial information is presented as if the operations of the acquired business unit had been included in the consolidated results of the Company since January 1, 2022 and gives effect to transactions that are directly attributable to the acquisition. Adjustments include additional depreciation and amortization expense related to the fair value of acquired property and equipment and intangible assets as if such assets were acquired on January 1, 2022. Transaction costs incurred by the Company related to the acquisition totaled approximately $1.5</w:t>
      </w:r>
      <w:r>
        <w:rPr>
          <w:rFonts w:ascii="Times New Roman" w:hAnsi="Times New Roman"/>
          <w:sz w:val="20"/>
        </w:rPr>
        <w:t xml:space="preserve"> </w:t>
      </w:r>
      <w:r>
        <w:rPr>
          <w:rFonts w:ascii="Times New Roman;serif" w:hAnsi="Times New Roman;serif"/>
          <w:b w:val="false"/>
          <w:sz w:val="20"/>
        </w:rPr>
        <w:t>million for the quarter ended March 31, 2023, which were expensed and recorded as a component of general and administrative expenses in the consolidated statement of operations.</w:t>
      </w:r>
    </w:p>
    <w:p>
      <w:pPr>
        <w:pStyle w:val="TextBody"/>
        <w:spacing w:before="120" w:after="120"/>
        <w:jc w:val="left"/>
        <w:rPr>
          <w:rFonts w:ascii="Times New Roman" w:hAnsi="Times New Roman"/>
          <w:b/>
          <w:sz w:val="20"/>
        </w:rPr>
      </w:pPr>
      <w:r>
        <w:rPr>
          <w:rFonts w:ascii="Times New Roman" w:hAnsi="Times New Roman"/>
          <w:b/>
          <w:sz w:val="20"/>
        </w:rPr>
        <w:t>10.</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Goodwill and intangible assets, net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addition of goodwill for the three months ended March 31, 2023 is discussed in Note 9.</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following table shows the components of intangible assets, net (in thousands):</w:t>
      </w:r>
    </w:p>
    <w:tbl>
      <w:tblPr>
        <w:tblW w:w="5552" w:type="dxa"/>
        <w:jc w:val="left"/>
        <w:tblInd w:w="0" w:type="dxa"/>
        <w:tblCellMar>
          <w:top w:w="28" w:type="dxa"/>
          <w:left w:w="28" w:type="dxa"/>
          <w:bottom w:w="28" w:type="dxa"/>
          <w:right w:w="28" w:type="dxa"/>
        </w:tblCellMar>
      </w:tblPr>
      <w:tblGrid>
        <w:gridCol w:w="2701"/>
        <w:gridCol w:w="146"/>
        <w:gridCol w:w="211"/>
        <w:gridCol w:w="676"/>
        <w:gridCol w:w="166"/>
        <w:gridCol w:w="146"/>
        <w:gridCol w:w="274"/>
        <w:gridCol w:w="821"/>
        <w:gridCol w:w="41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Patents and trademarks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w:t>
            </w:r>
          </w:p>
        </w:tc>
        <w:tc>
          <w:tcPr>
            <w:tcW w:w="41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Tradename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41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FCI developed technology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41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IP license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41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2,200</w:t>
            </w:r>
          </w:p>
        </w:tc>
        <w:tc>
          <w:tcPr>
            <w:tcW w:w="41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Reagent license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intangible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5,710</w:t>
            </w:r>
          </w:p>
        </w:tc>
        <w:tc>
          <w:tcPr>
            <w:tcW w:w="41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24,664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left"/>
        <w:rPr>
          <w:rFonts w:ascii="Times New Roman" w:hAnsi="Times New Roman"/>
          <w:sz w:val="20"/>
        </w:rPr>
      </w:pPr>
      <w:r>
        <w:rPr>
          <w:rFonts w:ascii="Times New Roman;serif" w:hAnsi="Times New Roman;serif"/>
          <w:b w:val="false"/>
          <w:sz w:val="20"/>
        </w:rPr>
        <w:t>Total amortization expense for the three months ended March 31, 2023 and 2022 were approximately $471,000</w:t>
      </w:r>
      <w:r>
        <w:rPr>
          <w:rFonts w:ascii="Times New Roman" w:hAnsi="Times New Roman"/>
          <w:sz w:val="20"/>
        </w:rPr>
        <w:t xml:space="preserve"> </w:t>
      </w:r>
      <w:r>
        <w:rPr>
          <w:rFonts w:ascii="Times New Roman;serif" w:hAnsi="Times New Roman;serif"/>
          <w:b w:val="false"/>
          <w:sz w:val="20"/>
        </w:rPr>
        <w:t>and $453,000, respectively.</w:t>
      </w:r>
    </w:p>
    <w:p>
      <w:pPr>
        <w:pStyle w:val="TextBody"/>
        <w:spacing w:before="120" w:after="120"/>
        <w:jc w:val="left"/>
        <w:rPr>
          <w:rFonts w:ascii="Times New Roman" w:hAnsi="Times New Roman"/>
          <w:b/>
          <w:sz w:val="20"/>
        </w:rPr>
      </w:pPr>
      <w:r>
        <w:rPr>
          <w:rFonts w:ascii="Times New Roman" w:hAnsi="Times New Roman"/>
          <w:b/>
          <w:sz w:val="20"/>
        </w:rPr>
        <w:t>11.</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Legal settlement liability </w:t>
      </w:r>
    </w:p>
    <w:p>
      <w:pPr>
        <w:pStyle w:val="TextBody"/>
        <w:spacing w:before="120" w:after="120"/>
        <w:jc w:val="both"/>
        <w:rPr>
          <w:rFonts w:ascii="Times New Roman" w:hAnsi="Times New Roman"/>
          <w:sz w:val="20"/>
        </w:rPr>
      </w:pPr>
      <w:r>
        <w:rPr>
          <w:rFonts w:ascii="Times New Roman;serif" w:hAnsi="Times New Roman;serif"/>
          <w:b w:val="false"/>
          <w:sz w:val="20"/>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w:t>
      </w:r>
      <w:r>
        <w:rPr>
          <w:rFonts w:ascii="Times New Roman" w:hAnsi="Times New Roman"/>
          <w:sz w:val="20"/>
        </w:rPr>
        <w:t xml:space="preserve"> </w:t>
      </w:r>
      <w:r>
        <w:rPr>
          <w:rFonts w:ascii="Times New Roman;serif" w:hAnsi="Times New Roman;serif"/>
          <w:b w:val="false"/>
          <w:sz w:val="20"/>
        </w:rPr>
        <w:t>million, (ii) a low single digit royalty payment for ten years, based on net sales of certain of its products, (iii) $6.0</w:t>
      </w:r>
      <w:r>
        <w:rPr>
          <w:rFonts w:ascii="Times New Roman" w:hAnsi="Times New Roman"/>
          <w:sz w:val="20"/>
        </w:rPr>
        <w:t xml:space="preserve"> </w:t>
      </w:r>
      <w:r>
        <w:rPr>
          <w:rFonts w:ascii="Times New Roman;serif" w:hAnsi="Times New Roman;serif"/>
          <w:b w:val="false"/>
          <w:sz w:val="20"/>
        </w:rPr>
        <w:t>million milestone payment upon the occurrence of a certain sales threshold, and (iv) a specified payment upon the closing of</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a change of control transaction, if any. The Company also issued 2,087,545</w:t>
      </w:r>
      <w:r>
        <w:rPr>
          <w:rFonts w:ascii="Times New Roman" w:hAnsi="Times New Roman"/>
          <w:sz w:val="20"/>
        </w:rPr>
        <w:t xml:space="preserve"> </w:t>
      </w:r>
      <w:r>
        <w:rPr>
          <w:rFonts w:ascii="Times New Roman;serif" w:hAnsi="Times New Roman;serif"/>
          <w:b w:val="false"/>
          <w:sz w:val="20"/>
        </w:rPr>
        <w:t>shares of the Company’s common stock to BD during the year ended December 31, 2020 in connection with the BD settlement. The Company achieved the sales milestone and made the milestone payment in the quarter ended December 31, 2021.</w:t>
      </w:r>
    </w:p>
    <w:p>
      <w:pPr>
        <w:pStyle w:val="TextBody"/>
        <w:spacing w:before="120" w:after="120"/>
        <w:jc w:val="both"/>
        <w:rPr>
          <w:rFonts w:ascii="Times New Roman" w:hAnsi="Times New Roman"/>
          <w:sz w:val="20"/>
        </w:rPr>
      </w:pPr>
      <w:r>
        <w:rPr>
          <w:rFonts w:ascii="Times New Roman;serif" w:hAnsi="Times New Roman;serif"/>
          <w:b w:val="false"/>
          <w:sz w:val="20"/>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patents in question were determined to have an average useful life of 18 months. Accordingly, beginning the second quarter of 2022, the remaining contractual payments will be classified as operating expenses as they are considered to be represented of deferred litigation settlement. The Company recorded $-</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product cost of sales related to royalty expense for the three months ended March 31, 2023 and 2022, respectively. The Company recorded $0.5</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of interest expense for the three months ended March 31, 2023 and 2022, respectively, to accrete the present value discount of the payment streams over the payment period of ten years from the settlement date using the effective interest rate method. The Company made a one-time upfront payment and issued 2,087,545</w:t>
      </w:r>
      <w:r>
        <w:rPr>
          <w:rFonts w:ascii="Times New Roman" w:hAnsi="Times New Roman"/>
          <w:sz w:val="20"/>
        </w:rPr>
        <w:t xml:space="preserve"> </w:t>
      </w:r>
      <w:r>
        <w:rPr>
          <w:rFonts w:ascii="Times New Roman;serif" w:hAnsi="Times New Roman;serif"/>
          <w:b w:val="false"/>
          <w:sz w:val="20"/>
        </w:rPr>
        <w:t>shares of the Company’s common stock to BD during the year ended December 31, 2020. The Company recorded legal settlement liability on the consolidated balance sheets of $18.0</w:t>
      </w:r>
      <w:r>
        <w:rPr>
          <w:rFonts w:ascii="Times New Roman" w:hAnsi="Times New Roman"/>
          <w:sz w:val="20"/>
        </w:rPr>
        <w:t xml:space="preserve"> </w:t>
      </w:r>
      <w:r>
        <w:rPr>
          <w:rFonts w:ascii="Times New Roman;serif" w:hAnsi="Times New Roman;serif"/>
          <w:b w:val="false"/>
          <w:sz w:val="20"/>
        </w:rPr>
        <w:t>million and $17.8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March 31, 2023 and December 31, 2022, respectively, and will record licensing expense in future periods.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following table shows the components of the legal settlement liability (in thousands):</w:t>
      </w:r>
    </w:p>
    <w:tbl>
      <w:tblPr>
        <w:tblW w:w="5407" w:type="dxa"/>
        <w:jc w:val="left"/>
        <w:tblInd w:w="0" w:type="dxa"/>
        <w:tblCellMar>
          <w:top w:w="28" w:type="dxa"/>
          <w:left w:w="28" w:type="dxa"/>
          <w:bottom w:w="28" w:type="dxa"/>
          <w:right w:w="28" w:type="dxa"/>
        </w:tblCellMar>
      </w:tblPr>
      <w:tblGrid>
        <w:gridCol w:w="2596"/>
        <w:gridCol w:w="146"/>
        <w:gridCol w:w="211"/>
        <w:gridCol w:w="676"/>
        <w:gridCol w:w="146"/>
        <w:gridCol w:w="146"/>
        <w:gridCol w:w="260"/>
        <w:gridCol w:w="835"/>
        <w:gridCol w:w="391"/>
      </w:tblGrid>
      <w:tr>
        <w:trPr/>
        <w:tc>
          <w:tcPr>
            <w:tcW w:w="2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Legal settlement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391" w:type="dxa"/>
            <w:tcBorders/>
            <w:shd w:fill="auto" w:val="cle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5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Legal settlement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legal settlement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17,951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17,759</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left"/>
        <w:rPr>
          <w:rFonts w:ascii="Times New Roman" w:hAnsi="Times New Roman"/>
          <w:b/>
          <w:sz w:val="20"/>
        </w:rPr>
      </w:pPr>
      <w:r>
        <w:rPr>
          <w:rFonts w:ascii="Times New Roman" w:hAnsi="Times New Roman"/>
          <w:b/>
          <w:sz w:val="20"/>
        </w:rPr>
        <w:t>12.</w:t>
      </w:r>
    </w:p>
    <w:p>
      <w:pPr>
        <w:pStyle w:val="TextBody"/>
        <w:spacing w:before="120" w:after="120"/>
        <w:jc w:val="left"/>
        <w:rPr>
          <w:rFonts w:ascii="Times New Roman;serif" w:hAnsi="Times New Roman;serif"/>
          <w:b/>
          <w:sz w:val="20"/>
        </w:rPr>
      </w:pPr>
      <w:r>
        <w:rPr>
          <w:rFonts w:ascii="Times New Roman;serif" w:hAnsi="Times New Roman;serif"/>
          <w:b/>
          <w:sz w:val="20"/>
        </w:rPr>
        <w:t>Debt</w:t>
      </w:r>
    </w:p>
    <w:p>
      <w:pPr>
        <w:pStyle w:val="TextBody"/>
        <w:spacing w:before="0" w:after="120"/>
        <w:jc w:val="both"/>
        <w:rPr>
          <w:rFonts w:ascii="Times New Roman" w:hAnsi="Times New Roman"/>
          <w:sz w:val="20"/>
        </w:rPr>
      </w:pPr>
      <w:r>
        <w:rPr>
          <w:rFonts w:ascii="Times New Roman;serif" w:hAnsi="Times New Roman;serif"/>
          <w:b w:val="false"/>
          <w:sz w:val="20"/>
        </w:rPr>
        <w:t>On November 7, 2022, Cytek (Wuxi) Biosciences Co., Ltd, the Company’s China subsidiary (“Cytek Wuxi”), entered a fixed asset loan agreement with Bank of Communications, China. The loan is denominated in Chinese renminbi and collateralized by Cytek Wuxi's cash deposit to the bank. The deposit is in a separate account with Cytek Wuxi's name, but the use of such account is restricted. The Company considered the deposit as restricted cash and are presented on the unaudited interim consolidated balance sheets. The total loan amount is $2.9</w:t>
      </w:r>
      <w:r>
        <w:rPr>
          <w:rFonts w:ascii="Times New Roman" w:hAnsi="Times New Roman"/>
          <w:sz w:val="20"/>
        </w:rPr>
        <w:t xml:space="preserve"> </w:t>
      </w:r>
      <w:r>
        <w:rPr>
          <w:rFonts w:ascii="Times New Roman;serif" w:hAnsi="Times New Roman;serif"/>
          <w:b w:val="false"/>
          <w:sz w:val="20"/>
        </w:rPr>
        <w:t>million and the loan term is five years. The current portion of the loan, $582,000, is included in other current liabilities. The fixed interest rate on the loan was 4.5% as of March 31, 2023.</w:t>
      </w:r>
    </w:p>
    <w:p>
      <w:pPr>
        <w:pStyle w:val="TextBody"/>
        <w:spacing w:before="120" w:after="120"/>
        <w:jc w:val="left"/>
        <w:rPr>
          <w:rFonts w:ascii="Times New Roman" w:hAnsi="Times New Roman"/>
          <w:b/>
          <w:sz w:val="20"/>
        </w:rPr>
      </w:pPr>
      <w:r>
        <w:rPr>
          <w:rFonts w:ascii="Times New Roman" w:hAnsi="Times New Roman"/>
          <w:b/>
          <w:sz w:val="20"/>
        </w:rPr>
        <w:t>13.</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Common stock </w:t>
      </w:r>
    </w:p>
    <w:p>
      <w:pPr>
        <w:pStyle w:val="TextBody"/>
        <w:spacing w:before="120" w:after="120"/>
        <w:jc w:val="both"/>
        <w:rPr>
          <w:rFonts w:ascii="Times New Roman" w:hAnsi="Times New Roman"/>
          <w:sz w:val="20"/>
        </w:rPr>
      </w:pPr>
      <w:r>
        <w:rPr>
          <w:rFonts w:ascii="Times New Roman;serif" w:hAnsi="Times New Roman;serif"/>
          <w:b w:val="false"/>
          <w:sz w:val="20"/>
        </w:rPr>
        <w:t>As of March 31, 2023, the Company has authorized 1,000,000,000</w:t>
      </w:r>
      <w:r>
        <w:rPr>
          <w:rFonts w:ascii="Times New Roman" w:hAnsi="Times New Roman"/>
          <w:sz w:val="20"/>
        </w:rPr>
        <w:t xml:space="preserve"> </w:t>
      </w:r>
      <w:r>
        <w:rPr>
          <w:rFonts w:ascii="Times New Roman;serif" w:hAnsi="Times New Roman;serif"/>
          <w:b w:val="false"/>
          <w:sz w:val="20"/>
        </w:rPr>
        <w:t>shares of common stock at $0.001</w:t>
      </w:r>
      <w:r>
        <w:rPr>
          <w:rFonts w:ascii="Times New Roman" w:hAnsi="Times New Roman"/>
          <w:sz w:val="20"/>
        </w:rPr>
        <w:t xml:space="preserve"> </w:t>
      </w:r>
      <w:r>
        <w:rPr>
          <w:rFonts w:ascii="Times New Roman;serif" w:hAnsi="Times New Roman;serif"/>
          <w:b w:val="false"/>
          <w:sz w:val="20"/>
        </w:rPr>
        <w:t>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4"/>
        </w:rPr>
        <w:t>O</w:t>
      </w:r>
      <w:r>
        <w:rPr>
          <w:rFonts w:ascii="Times New Roman;serif" w:hAnsi="Times New Roman;serif"/>
          <w:b w:val="false"/>
          <w:sz w:val="20"/>
        </w:rPr>
        <w:t>n July 16, 2021, the Board and the Company’s stockholders approved an amendment and restatement of the Company’s certificate of incorporation to effect the Stock Split, which became effective upon filing with the Secretary of State of the State of Delaware on July 16, 2021</w:t>
      </w:r>
      <w:r>
        <w:rPr>
          <w:rFonts w:ascii="Times New Roman;serif" w:hAnsi="Times New Roman;serif"/>
          <w:b w:val="false"/>
          <w:sz w:val="24"/>
        </w:rPr>
        <w:t>.</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pStyle w:val="TextBody"/>
        <w:spacing w:before="120" w:after="120"/>
        <w:jc w:val="both"/>
        <w:rPr>
          <w:rFonts w:ascii="Times New Roman" w:hAnsi="Times New Roman"/>
          <w:sz w:val="20"/>
        </w:rPr>
      </w:pPr>
      <w:r>
        <w:rPr>
          <w:rFonts w:ascii="Times New Roman;serif" w:hAnsi="Times New Roman;serif"/>
          <w:b w:val="false"/>
          <w:sz w:val="20"/>
        </w:rPr>
        <w:t>On August 26, 2022, the Company filed a Registration Statement with the SEC. In connection with the filing of the Registration Statement, the Company also entered into the “2022 Sales Agreement” with Piper as sales agent to sell from time to time up to $150</w:t>
      </w:r>
      <w:r>
        <w:rPr>
          <w:rFonts w:ascii="Times New Roman" w:hAnsi="Times New Roman"/>
          <w:sz w:val="20"/>
        </w:rPr>
        <w:t xml:space="preserve"> </w:t>
      </w:r>
      <w:r>
        <w:rPr>
          <w:rFonts w:ascii="Times New Roman;serif" w:hAnsi="Times New Roman;serif"/>
          <w:b w:val="false"/>
          <w:sz w:val="20"/>
        </w:rPr>
        <w:t>million of the Company’s common stock through an “at-the-market” offering program as defined in Rule 415 promulgated under the Securities Act.</w:t>
      </w:r>
    </w:p>
    <w:p>
      <w:pPr>
        <w:pStyle w:val="TextBody"/>
        <w:spacing w:before="120" w:after="120"/>
        <w:jc w:val="both"/>
        <w:rPr>
          <w:rFonts w:ascii="Times New Roman" w:hAnsi="Times New Roman"/>
          <w:sz w:val="20"/>
        </w:rPr>
      </w:pPr>
      <w:r>
        <w:rPr>
          <w:rFonts w:ascii="Times New Roman;serif" w:hAnsi="Times New Roman;serif"/>
          <w:b w:val="false"/>
          <w:sz w:val="20"/>
        </w:rPr>
        <w:t>Pursuant to the terms of the 2022 Sales Agreement, the aggregate compensation payable to Piper is up to 3% of the gross proceeds from the sale of common stock sold by Piper pursuant to the 2022 Sales Agreement. Each party agreed in the 2022 Sale Agreement to</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provide indemnification and contribution against certain liabilities, including liabilities under the Securities Act, subject to the terms of the 2022 Sales Agreement. As of March 31, 2023, the Company has not made any sales of common stock pursuant to the 2022 Sales Agreement.</w:t>
      </w:r>
    </w:p>
    <w:p>
      <w:pPr>
        <w:pStyle w:val="TextBody"/>
        <w:spacing w:before="120" w:after="120"/>
        <w:jc w:val="left"/>
        <w:rPr>
          <w:rFonts w:ascii="Times New Roman" w:hAnsi="Times New Roman"/>
          <w:b/>
          <w:sz w:val="20"/>
        </w:rPr>
      </w:pPr>
      <w:r>
        <w:rPr>
          <w:rFonts w:ascii="Times New Roman" w:hAnsi="Times New Roman"/>
          <w:b/>
          <w:sz w:val="20"/>
        </w:rPr>
        <w:t>14.</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Stock-based compensation plan </w:t>
      </w:r>
    </w:p>
    <w:p>
      <w:pPr>
        <w:pStyle w:val="TextBody"/>
        <w:spacing w:before="120" w:after="120"/>
        <w:jc w:val="both"/>
        <w:rPr>
          <w:rFonts w:ascii="Times New Roman" w:hAnsi="Times New Roman"/>
          <w:sz w:val="20"/>
        </w:rPr>
      </w:pPr>
      <w:r>
        <w:rPr>
          <w:rFonts w:ascii="Times New Roman;serif" w:hAnsi="Times New Roman;serif"/>
          <w:b w:val="false"/>
          <w:i/>
          <w:sz w:val="20"/>
        </w:rPr>
        <w:t>Stock Plans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As of March 31, 2023, the Company had three stock-based compensation plans (the “Plans”) which are described below.</w:t>
      </w:r>
    </w:p>
    <w:p>
      <w:pPr>
        <w:pStyle w:val="TextBody"/>
        <w:spacing w:before="120" w:after="120"/>
        <w:jc w:val="both"/>
        <w:rPr>
          <w:rFonts w:ascii="Times New Roman;serif" w:hAnsi="Times New Roman;serif"/>
          <w:b w:val="false"/>
          <w:i/>
          <w:sz w:val="20"/>
        </w:rPr>
      </w:pPr>
      <w:r>
        <w:rPr>
          <w:rFonts w:ascii="Times New Roman;serif" w:hAnsi="Times New Roman;serif"/>
          <w:b w:val="false"/>
          <w:i/>
          <w:sz w:val="20"/>
        </w:rPr>
        <w:t>2015 Equity Incentive Plan</w:t>
      </w:r>
    </w:p>
    <w:p>
      <w:pPr>
        <w:pStyle w:val="TextBody"/>
        <w:spacing w:before="120" w:after="120"/>
        <w:jc w:val="both"/>
        <w:rPr>
          <w:rFonts w:ascii="Times New Roman" w:hAnsi="Times New Roman"/>
          <w:sz w:val="20"/>
        </w:rPr>
      </w:pPr>
      <w:r>
        <w:rPr>
          <w:rFonts w:ascii="Times New Roman;serif" w:hAnsi="Times New Roman;serif"/>
          <w:b w:val="false"/>
          <w:sz w:val="20"/>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r>
        <w:rPr>
          <w:rFonts w:ascii="Times New Roman" w:hAnsi="Times New Roman"/>
          <w:sz w:val="20"/>
        </w:rPr>
        <w:t xml:space="preserve"> </w:t>
      </w:r>
    </w:p>
    <w:p>
      <w:pPr>
        <w:pStyle w:val="TextBody"/>
        <w:spacing w:before="120" w:after="120"/>
        <w:jc w:val="both"/>
        <w:rPr>
          <w:rFonts w:ascii="Times New Roman;serif" w:hAnsi="Times New Roman;serif"/>
          <w:b w:val="false"/>
          <w:i/>
          <w:sz w:val="20"/>
        </w:rPr>
      </w:pPr>
      <w:r>
        <w:rPr>
          <w:rFonts w:ascii="Times New Roman;serif" w:hAnsi="Times New Roman;serif"/>
          <w:b w:val="false"/>
          <w:i/>
          <w:sz w:val="20"/>
        </w:rPr>
        <w:t>2021 Equity Incentive Plan</w:t>
      </w:r>
    </w:p>
    <w:p>
      <w:pPr>
        <w:pStyle w:val="TextBody"/>
        <w:spacing w:before="120" w:after="120"/>
        <w:jc w:val="both"/>
        <w:rPr>
          <w:rFonts w:ascii="Times New Roman" w:hAnsi="Times New Roman"/>
          <w:sz w:val="20"/>
        </w:rPr>
      </w:pPr>
      <w:r>
        <w:rPr>
          <w:rFonts w:ascii="Times New Roman;serif" w:hAnsi="Times New Roman;serif"/>
          <w:b w:val="false"/>
          <w:sz w:val="20"/>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w:t>
      </w:r>
      <w:r>
        <w:rPr>
          <w:rFonts w:ascii="Times New Roman" w:hAnsi="Times New Roman"/>
          <w:sz w:val="20"/>
        </w:rPr>
        <w:t xml:space="preserve"> </w:t>
      </w:r>
      <w:r>
        <w:rPr>
          <w:rFonts w:ascii="Times New Roman;serif" w:hAnsi="Times New Roman;serif"/>
          <w:b w:val="false"/>
          <w:sz w:val="20"/>
        </w:rPr>
        <w:t>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w:t>
      </w:r>
      <w:r>
        <w:rPr>
          <w:rFonts w:ascii="Times New Roman" w:hAnsi="Times New Roman"/>
          <w:sz w:val="20"/>
        </w:rPr>
        <w:t xml:space="preserve"> </w:t>
      </w:r>
      <w:r>
        <w:rPr>
          <w:rFonts w:ascii="Times New Roman;serif" w:hAnsi="Times New Roman;serif"/>
          <w:b w:val="false"/>
          <w:sz w:val="20"/>
        </w:rPr>
        <w:t>As of March 31, 2023, the total number of shares of common stock available for issuance under the 2021 Plan was 21,018,707</w:t>
      </w:r>
      <w:r>
        <w:rPr>
          <w:rFonts w:ascii="Times New Roman" w:hAnsi="Times New Roman"/>
          <w:sz w:val="20"/>
        </w:rPr>
        <w:t xml:space="preserve"> </w:t>
      </w:r>
      <w:r>
        <w:rPr>
          <w:rFonts w:ascii="Times New Roman;serif" w:hAnsi="Times New Roman;serif"/>
          <w:b w:val="false"/>
          <w:sz w:val="20"/>
        </w:rPr>
        <w:t>shares.</w:t>
      </w:r>
    </w:p>
    <w:p>
      <w:pPr>
        <w:pStyle w:val="TextBody"/>
        <w:spacing w:before="120" w:after="120"/>
        <w:jc w:val="both"/>
        <w:rPr>
          <w:rFonts w:ascii="Times New Roman;serif" w:hAnsi="Times New Roman;serif"/>
          <w:b w:val="false"/>
          <w:i/>
          <w:sz w:val="20"/>
        </w:rPr>
      </w:pPr>
      <w:r>
        <w:rPr>
          <w:rFonts w:ascii="Times New Roman;serif" w:hAnsi="Times New Roman;serif"/>
          <w:b w:val="false"/>
          <w:i/>
          <w:sz w:val="20"/>
        </w:rPr>
        <w:t>2021 Employee Stock Purchase Plan</w:t>
      </w:r>
    </w:p>
    <w:p>
      <w:pPr>
        <w:pStyle w:val="TextBody"/>
        <w:spacing w:before="120" w:after="120"/>
        <w:jc w:val="both"/>
        <w:rPr>
          <w:rFonts w:ascii="Times New Roman" w:hAnsi="Times New Roman"/>
          <w:sz w:val="20"/>
        </w:rPr>
      </w:pPr>
      <w:r>
        <w:rPr>
          <w:rFonts w:ascii="Times New Roman;serif" w:hAnsi="Times New Roman;serif"/>
          <w:b w:val="false"/>
          <w:sz w:val="20"/>
        </w:rPr>
        <w:t>In July 2021, the Board approved the 2021 Employee Stock Purchase Plan (the “ESPP”). The ESPP became effective on July 22, 2021 in connection with the IPO. Upon the ESPP’s effective date, there were 2,000,000</w:t>
      </w:r>
      <w:r>
        <w:rPr>
          <w:rFonts w:ascii="Times New Roman" w:hAnsi="Times New Roman"/>
          <w:sz w:val="20"/>
        </w:rPr>
        <w:t xml:space="preserve"> </w:t>
      </w:r>
      <w:r>
        <w:rPr>
          <w:rFonts w:ascii="Times New Roman;serif" w:hAnsi="Times New Roman;serif"/>
          <w:b w:val="false"/>
          <w:sz w:val="20"/>
        </w:rPr>
        <w:t>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w:t>
      </w:r>
      <w:r>
        <w:rPr>
          <w:rFonts w:ascii="Times New Roman" w:hAnsi="Times New Roman"/>
          <w:sz w:val="20"/>
        </w:rPr>
        <w:t xml:space="preserve"> </w:t>
      </w:r>
      <w:r>
        <w:rPr>
          <w:rFonts w:ascii="Times New Roman;serif" w:hAnsi="Times New Roman;serif"/>
          <w:b w:val="false"/>
          <w:sz w:val="20"/>
        </w:rPr>
        <w:t>shares and (3) a number of shares determined by the Board. During the three months ended March 31, 2023, no shares were issued pursuant to purchases under the ESPP.</w:t>
      </w:r>
    </w:p>
    <w:p>
      <w:pPr>
        <w:pStyle w:val="TextBody"/>
        <w:spacing w:before="120" w:after="120"/>
        <w:jc w:val="both"/>
        <w:rPr>
          <w:rFonts w:ascii="Times New Roman;serif" w:hAnsi="Times New Roman;serif"/>
          <w:b w:val="false"/>
          <w:i/>
          <w:sz w:val="20"/>
        </w:rPr>
      </w:pPr>
      <w:r>
        <w:rPr>
          <w:rFonts w:ascii="Times New Roman;serif" w:hAnsi="Times New Roman;serif"/>
          <w:b w:val="false"/>
          <w:i/>
          <w:sz w:val="20"/>
        </w:rPr>
        <w:t>Stock option valuation assumptions</w:t>
      </w:r>
    </w:p>
    <w:p>
      <w:pPr>
        <w:pStyle w:val="TextBody"/>
        <w:spacing w:before="120" w:after="120"/>
        <w:jc w:val="both"/>
        <w:rPr>
          <w:rFonts w:ascii="Times New Roman" w:hAnsi="Times New Roman"/>
          <w:sz w:val="20"/>
        </w:rPr>
      </w:pPr>
      <w:r>
        <w:rPr>
          <w:rFonts w:ascii="Times New Roman;serif" w:hAnsi="Times New Roman;serif"/>
          <w:b w:val="false"/>
          <w:sz w:val="20"/>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r>
        <w:rPr>
          <w:rFonts w:ascii="Times New Roman" w:hAnsi="Times New Roman"/>
          <w:sz w:val="20"/>
        </w:rPr>
        <w:t xml:space="preserve"> </w:t>
      </w:r>
    </w:p>
    <w:p>
      <w:pPr>
        <w:pStyle w:val="TextBody"/>
        <w:spacing w:before="120" w:after="203"/>
        <w:jc w:val="both"/>
        <w:rPr>
          <w:rFonts w:ascii="Times New Roman;serif" w:hAnsi="Times New Roman;serif"/>
          <w:b w:val="false"/>
          <w:i/>
          <w:sz w:val="20"/>
        </w:rPr>
      </w:pPr>
      <w:r>
        <w:rPr>
          <w:rFonts w:ascii="Times New Roman;serif" w:hAnsi="Times New Roman;serif"/>
          <w:b w:val="false"/>
          <w:i/>
          <w:sz w:val="20"/>
        </w:rPr>
        <w:t>Stock Options</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shows stock option activity during the periods indicated (in thousands except share and per share data):</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1859"/>
        <w:gridCol w:w="146"/>
        <w:gridCol w:w="204"/>
        <w:gridCol w:w="1303"/>
        <w:gridCol w:w="166"/>
        <w:gridCol w:w="146"/>
        <w:gridCol w:w="480"/>
        <w:gridCol w:w="1303"/>
        <w:gridCol w:w="146"/>
        <w:gridCol w:w="146"/>
        <w:gridCol w:w="566"/>
        <w:gridCol w:w="1813"/>
        <w:gridCol w:w="146"/>
        <w:gridCol w:w="146"/>
        <w:gridCol w:w="294"/>
        <w:gridCol w:w="945"/>
        <w:gridCol w:w="396"/>
      </w:tblGrid>
      <w:tr>
        <w:trPr/>
        <w:tc>
          <w:tcPr>
            <w:tcW w:w="18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185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 options outstanding</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 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 remaining contractual 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7,578,635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left"/>
              <w:rPr/>
            </w:pPr>
            <w:r>
              <w:rPr/>
              <w:t> </w:t>
            </w:r>
          </w:p>
        </w:tc>
        <w:tc>
          <w:tcPr>
            <w:tcW w:w="18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37,200</w:t>
            </w:r>
          </w:p>
        </w:tc>
        <w:tc>
          <w:tcPr>
            <w:tcW w:w="396" w:type="dxa"/>
            <w:tcBorders/>
            <w:shd w:fill="auto" w:val="clear"/>
            <w:vAlign w:val="center"/>
          </w:tcPr>
          <w:p>
            <w:pPr>
              <w:pStyle w:val="TableContents"/>
              <w:spacing w:before="0" w:after="0"/>
              <w:ind w:left="0" w:right="0" w:firstLine="200"/>
              <w:jc w:val="left"/>
              <w:rPr/>
            </w:pPr>
            <w:r>
              <w:rPr/>
              <w:t> </w:t>
            </w:r>
          </w:p>
        </w:tc>
      </w:tr>
      <w:tr>
        <w:trPr/>
        <w:tc>
          <w:tcPr>
            <w:tcW w:w="185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1,083,739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9" w:type="dxa"/>
            <w:gridSpan w:val="2"/>
            <w:tcBorders/>
            <w:shd w:fill="auto" w:val="clear"/>
            <w:vAlign w:val="center"/>
          </w:tcPr>
          <w:p>
            <w:pPr>
              <w:pStyle w:val="TableContents"/>
              <w:spacing w:before="0" w:after="0"/>
              <w:ind w:left="0" w:right="0" w:hanging="0"/>
              <w:jc w:val="left"/>
              <w:rPr/>
            </w:pPr>
            <w:r>
              <w:rPr/>
              <w:t> </w:t>
            </w:r>
          </w:p>
        </w:tc>
        <w:tc>
          <w:tcPr>
            <w:tcW w:w="396" w:type="dxa"/>
            <w:tcBorders/>
            <w:shd w:fill="auto" w:val="clear"/>
            <w:vAlign w:val="center"/>
          </w:tcPr>
          <w:p>
            <w:pPr>
              <w:pStyle w:val="TableContents"/>
              <w:spacing w:before="0" w:after="0"/>
              <w:ind w:left="0" w:right="0" w:firstLine="200"/>
              <w:jc w:val="left"/>
              <w:rPr/>
            </w:pPr>
            <w:r>
              <w:rPr/>
              <w:t> </w:t>
            </w:r>
          </w:p>
        </w:tc>
      </w:tr>
      <w:tr>
        <w:trPr/>
        <w:tc>
          <w:tcPr>
            <w:tcW w:w="185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9" w:type="dxa"/>
            <w:gridSpan w:val="2"/>
            <w:tcBorders/>
            <w:shd w:fill="auto" w:val="clear"/>
            <w:vAlign w:val="center"/>
          </w:tcPr>
          <w:p>
            <w:pPr>
              <w:pStyle w:val="TableContents"/>
              <w:spacing w:before="0" w:after="0"/>
              <w:ind w:left="0" w:right="0" w:hanging="0"/>
              <w:jc w:val="left"/>
              <w:rPr/>
            </w:pPr>
            <w:r>
              <w:rPr/>
              <w:t> </w:t>
            </w:r>
          </w:p>
        </w:tc>
        <w:tc>
          <w:tcPr>
            <w:tcW w:w="396" w:type="dxa"/>
            <w:tcBorders/>
            <w:shd w:fill="auto" w:val="clear"/>
            <w:vAlign w:val="center"/>
          </w:tcPr>
          <w:p>
            <w:pPr>
              <w:pStyle w:val="TableContents"/>
              <w:spacing w:before="0" w:after="0"/>
              <w:ind w:left="0" w:right="0" w:firstLine="200"/>
              <w:jc w:val="left"/>
              <w:rPr/>
            </w:pPr>
            <w:r>
              <w:rPr/>
              <w:t> </w:t>
            </w:r>
          </w:p>
        </w:tc>
      </w:tr>
      <w:tr>
        <w:trPr/>
        <w:tc>
          <w:tcPr>
            <w:tcW w:w="185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forfeited</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(48,037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left"/>
              <w:rPr/>
            </w:pPr>
            <w:r>
              <w:rPr/>
              <w:t> </w:t>
            </w:r>
          </w:p>
        </w:tc>
        <w:tc>
          <w:tcPr>
            <w:tcW w:w="13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9" w:type="dxa"/>
            <w:gridSpan w:val="2"/>
            <w:tcBorders/>
            <w:shd w:fill="auto" w:val="clear"/>
            <w:vAlign w:val="center"/>
          </w:tcPr>
          <w:p>
            <w:pPr>
              <w:pStyle w:val="TableContents"/>
              <w:spacing w:before="0" w:after="0"/>
              <w:ind w:left="0" w:right="0" w:hanging="0"/>
              <w:jc w:val="left"/>
              <w:rPr/>
            </w:pPr>
            <w:r>
              <w:rPr/>
              <w:t> </w:t>
            </w:r>
          </w:p>
        </w:tc>
        <w:tc>
          <w:tcPr>
            <w:tcW w:w="396" w:type="dxa"/>
            <w:tcBorders/>
            <w:shd w:fill="auto" w:val="clear"/>
            <w:vAlign w:val="center"/>
          </w:tcPr>
          <w:p>
            <w:pPr>
              <w:pStyle w:val="TableContents"/>
              <w:spacing w:before="0" w:after="0"/>
              <w:ind w:left="0" w:right="0" w:firstLine="200"/>
              <w:jc w:val="left"/>
              <w:rPr/>
            </w:pPr>
            <w:r>
              <w:rPr/>
              <w:t> </w:t>
            </w:r>
          </w:p>
        </w:tc>
      </w:tr>
      <w:tr>
        <w:trPr/>
        <w:tc>
          <w:tcPr>
            <w:tcW w:w="185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expired</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8,400,455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30,887</w:t>
            </w:r>
          </w:p>
        </w:tc>
        <w:tc>
          <w:tcPr>
            <w:tcW w:w="3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4,397,107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25,270</w:t>
            </w:r>
          </w:p>
        </w:tc>
        <w:tc>
          <w:tcPr>
            <w:tcW w:w="3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The weighted-average grant date fair value of options granted during the three months ended March 31, 2023 and 2022 were $6.92</w:t>
      </w:r>
      <w:r>
        <w:rPr>
          <w:rFonts w:ascii="Times New Roman" w:hAnsi="Times New Roman"/>
          <w:sz w:val="20"/>
        </w:rPr>
        <w:t xml:space="preserve"> </w:t>
      </w:r>
      <w:r>
        <w:rPr>
          <w:rFonts w:ascii="Times New Roman;serif" w:hAnsi="Times New Roman;serif"/>
          <w:b w:val="false"/>
          <w:sz w:val="20"/>
        </w:rPr>
        <w:t>and $9.04</w:t>
      </w:r>
      <w:r>
        <w:rPr>
          <w:rFonts w:ascii="Times New Roman" w:hAnsi="Times New Roman"/>
          <w:sz w:val="20"/>
        </w:rPr>
        <w:t xml:space="preserve"> </w:t>
      </w:r>
      <w:r>
        <w:rPr>
          <w:rFonts w:ascii="Times New Roman;serif" w:hAnsi="Times New Roman;serif"/>
          <w:b w:val="false"/>
          <w:sz w:val="20"/>
        </w:rPr>
        <w:t>per share, respectively.</w:t>
      </w:r>
    </w:p>
    <w:p>
      <w:pPr>
        <w:pStyle w:val="TextBody"/>
        <w:spacing w:before="120" w:after="120"/>
        <w:jc w:val="both"/>
        <w:rPr>
          <w:rFonts w:ascii="Times New Roman" w:hAnsi="Times New Roman"/>
          <w:sz w:val="20"/>
        </w:rPr>
      </w:pPr>
      <w:r>
        <w:rPr>
          <w:rFonts w:ascii="Times New Roman;serif" w:hAnsi="Times New Roman;serif"/>
          <w:b w:val="false"/>
          <w:sz w:val="20"/>
        </w:rPr>
        <w:t>There was $32.1</w:t>
      </w:r>
      <w:r>
        <w:rPr>
          <w:rFonts w:ascii="Times New Roman" w:hAnsi="Times New Roman"/>
          <w:sz w:val="20"/>
        </w:rPr>
        <w:t xml:space="preserve"> </w:t>
      </w:r>
      <w:r>
        <w:rPr>
          <w:rFonts w:ascii="Times New Roman;serif" w:hAnsi="Times New Roman;serif"/>
          <w:b w:val="false"/>
          <w:sz w:val="20"/>
        </w:rPr>
        <w:t>million of unrecognized stock-based compensation expense related to unvested stock options as of March 31, 2023. The unrecognized stock-based compensation expense is estimated to be recognized over a period of 2.49</w:t>
      </w:r>
      <w:r>
        <w:rPr>
          <w:rFonts w:ascii="Times New Roman" w:hAnsi="Times New Roman"/>
          <w:sz w:val="20"/>
        </w:rPr>
        <w:t xml:space="preserve"> </w:t>
      </w:r>
      <w:r>
        <w:rPr>
          <w:rFonts w:ascii="Times New Roman;serif" w:hAnsi="Times New Roman;serif"/>
          <w:b w:val="false"/>
          <w:sz w:val="20"/>
        </w:rPr>
        <w:t>years as of March 31, 2023.</w:t>
      </w:r>
    </w:p>
    <w:p>
      <w:pPr>
        <w:pStyle w:val="TextBody"/>
        <w:spacing w:before="120" w:after="120"/>
        <w:jc w:val="both"/>
        <w:rPr>
          <w:rFonts w:ascii="Times New Roman" w:hAnsi="Times New Roman"/>
          <w:sz w:val="20"/>
        </w:rPr>
      </w:pPr>
      <w:r>
        <w:rPr>
          <w:rFonts w:ascii="Times New Roman;serif" w:hAnsi="Times New Roman;serif"/>
          <w:b w:val="false"/>
          <w:sz w:val="20"/>
        </w:rPr>
        <w:t>The Company currently uses authorized and unissued shares to satisfy option exercises</w:t>
      </w:r>
      <w:r>
        <w:rPr>
          <w:rFonts w:ascii="Times New Roman;serif" w:hAnsi="Times New Roman;serif"/>
          <w:b w:val="false"/>
          <w:sz w:val="24"/>
        </w:rPr>
        <w:t>.</w:t>
      </w:r>
    </w:p>
    <w:p>
      <w:pPr>
        <w:pStyle w:val="TextBody"/>
        <w:spacing w:before="120" w:after="120"/>
        <w:jc w:val="both"/>
        <w:rPr>
          <w:rFonts w:ascii="Times New Roman" w:hAnsi="Times New Roman"/>
          <w:sz w:val="20"/>
        </w:rPr>
      </w:pPr>
      <w:r>
        <w:rPr>
          <w:rFonts w:ascii="Times New Roman;serif" w:hAnsi="Times New Roman;serif"/>
          <w:b w:val="false"/>
          <w:sz w:val="20"/>
        </w:rPr>
        <w:t>The aggregate intrinsic value is calculated as the difference between the exercise price and the estimated fair value of the Company’s common stock as of March 31, 2023</w:t>
      </w:r>
      <w:r>
        <w:rPr>
          <w:rFonts w:ascii="Times New Roman;serif" w:hAnsi="Times New Roman;serif"/>
          <w:b w:val="false"/>
          <w:sz w:val="24"/>
        </w:rPr>
        <w:t>.</w:t>
      </w:r>
    </w:p>
    <w:p>
      <w:pPr>
        <w:pStyle w:val="TextBody"/>
        <w:spacing w:before="120" w:after="120"/>
        <w:jc w:val="left"/>
        <w:rPr>
          <w:rFonts w:ascii="Times New Roman;serif" w:hAnsi="Times New Roman;serif"/>
          <w:b w:val="false"/>
          <w:i/>
          <w:sz w:val="20"/>
        </w:rPr>
      </w:pPr>
      <w:r>
        <w:rPr>
          <w:rFonts w:ascii="Times New Roman;serif" w:hAnsi="Times New Roman;serif"/>
          <w:b w:val="false"/>
          <w:i/>
          <w:sz w:val="20"/>
        </w:rPr>
        <w:t>RSU Awards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shows RSU awards activity during the periods indicated:</w:t>
      </w:r>
    </w:p>
    <w:tbl>
      <w:tblPr>
        <w:tblW w:w="9022" w:type="dxa"/>
        <w:jc w:val="left"/>
        <w:tblInd w:w="0" w:type="dxa"/>
        <w:tblCellMar>
          <w:top w:w="28" w:type="dxa"/>
          <w:left w:w="28" w:type="dxa"/>
          <w:bottom w:w="28" w:type="dxa"/>
          <w:right w:w="28" w:type="dxa"/>
        </w:tblCellMar>
      </w:tblPr>
      <w:tblGrid>
        <w:gridCol w:w="3376"/>
        <w:gridCol w:w="146"/>
        <w:gridCol w:w="146"/>
        <w:gridCol w:w="931"/>
        <w:gridCol w:w="166"/>
        <w:gridCol w:w="146"/>
        <w:gridCol w:w="1001"/>
        <w:gridCol w:w="2719"/>
        <w:gridCol w:w="391"/>
      </w:tblGrid>
      <w:tr>
        <w:trPr/>
        <w:tc>
          <w:tcPr>
            <w:tcW w:w="3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71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Weighted-average grant date fair value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1,169,508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13.36</w:t>
            </w:r>
          </w:p>
        </w:tc>
        <w:tc>
          <w:tcPr>
            <w:tcW w:w="391" w:type="dxa"/>
            <w:tcBorders/>
            <w:shd w:fill="auto" w:val="clear"/>
            <w:vAlign w:val="center"/>
          </w:tcPr>
          <w:p>
            <w:pPr>
              <w:pStyle w:val="TableContents"/>
              <w:spacing w:before="0" w:after="0"/>
              <w:ind w:left="0" w:right="0" w:firstLine="200"/>
              <w:jc w:val="left"/>
              <w:rPr/>
            </w:pPr>
            <w:r>
              <w:rPr/>
              <w:t> </w:t>
            </w:r>
          </w:p>
        </w:tc>
      </w:tr>
      <w:tr>
        <w:trPr/>
        <w:tc>
          <w:tcPr>
            <w:tcW w:w="33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2,204,907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391" w:type="dxa"/>
            <w:tcBorders/>
            <w:shd w:fill="auto" w:val="clear"/>
            <w:vAlign w:val="center"/>
          </w:tcPr>
          <w:p>
            <w:pPr>
              <w:pStyle w:val="TableContents"/>
              <w:spacing w:before="0" w:after="0"/>
              <w:ind w:left="0" w:right="0" w:firstLine="200"/>
              <w:jc w:val="left"/>
              <w:rPr/>
            </w:pPr>
            <w:r>
              <w:rPr/>
              <w:t> </w:t>
            </w:r>
          </w:p>
        </w:tc>
      </w:tr>
      <w:tr>
        <w:trPr/>
        <w:tc>
          <w:tcPr>
            <w:tcW w:w="33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(81,639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0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14.32</w:t>
            </w:r>
          </w:p>
        </w:tc>
        <w:tc>
          <w:tcPr>
            <w:tcW w:w="391" w:type="dxa"/>
            <w:tcBorders/>
            <w:shd w:fill="auto" w:val="clear"/>
            <w:vAlign w:val="center"/>
          </w:tcPr>
          <w:p>
            <w:pPr>
              <w:pStyle w:val="TableContents"/>
              <w:spacing w:before="0" w:after="0"/>
              <w:ind w:left="0" w:right="0" w:firstLine="200"/>
              <w:jc w:val="left"/>
              <w:rPr/>
            </w:pPr>
            <w:r>
              <w:rPr/>
              <w:t> </w:t>
            </w:r>
          </w:p>
        </w:tc>
      </w:tr>
      <w:tr>
        <w:trPr/>
        <w:tc>
          <w:tcPr>
            <w:tcW w:w="33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(64,060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3,228,716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 w:hAnsi="Times New Roman"/>
          <w:sz w:val="20"/>
        </w:rPr>
      </w:pPr>
      <w:r>
        <w:rPr>
          <w:rFonts w:ascii="Times New Roman;serif" w:hAnsi="Times New Roman;serif"/>
          <w:b w:val="false"/>
          <w:sz w:val="20"/>
        </w:rPr>
        <w:t>There was $35.0</w:t>
      </w:r>
      <w:r>
        <w:rPr>
          <w:rFonts w:ascii="Times New Roman" w:hAnsi="Times New Roman"/>
          <w:sz w:val="20"/>
        </w:rPr>
        <w:t xml:space="preserve"> </w:t>
      </w:r>
      <w:r>
        <w:rPr>
          <w:rFonts w:ascii="Times New Roman;serif" w:hAnsi="Times New Roman;serif"/>
          <w:b w:val="false"/>
          <w:sz w:val="20"/>
        </w:rPr>
        <w:t>million of</w:t>
      </w:r>
      <w:r>
        <w:rPr>
          <w:rFonts w:ascii="Times New Roman" w:hAnsi="Times New Roman"/>
          <w:sz w:val="20"/>
        </w:rPr>
        <w:t xml:space="preserve"> </w:t>
      </w:r>
      <w:r>
        <w:rPr>
          <w:rFonts w:ascii="Times New Roman;serif" w:hAnsi="Times New Roman;serif"/>
          <w:b w:val="false"/>
          <w:sz w:val="20"/>
        </w:rPr>
        <w:t>unrecognized stock-based compensation expense related to unvested RSU awards as of March 31, 2023. The unrecognized stock-based compensation expense is estimated to be recognized over a period of</w:t>
      </w:r>
      <w:r>
        <w:rPr>
          <w:rFonts w:ascii="Times New Roman" w:hAnsi="Times New Roman"/>
          <w:sz w:val="20"/>
        </w:rPr>
        <w:t xml:space="preserve"> </w:t>
      </w:r>
      <w:r>
        <w:rPr>
          <w:rFonts w:ascii="Times New Roman;serif" w:hAnsi="Times New Roman;serif"/>
          <w:b w:val="false"/>
          <w:sz w:val="20"/>
        </w:rPr>
        <w:t>3.63</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r>
        <w:rPr>
          <w:rFonts w:ascii="Times New Roman;serif" w:hAnsi="Times New Roman;serif"/>
          <w:b w:val="false"/>
          <w:sz w:val="20"/>
        </w:rPr>
        <w:t>as of March 31, 2023.</w:t>
      </w:r>
    </w:p>
    <w:p>
      <w:pPr>
        <w:pStyle w:val="TextBody"/>
        <w:spacing w:before="120" w:after="203"/>
        <w:jc w:val="left"/>
        <w:rPr>
          <w:rFonts w:ascii="Times New Roman" w:hAnsi="Times New Roman"/>
          <w:sz w:val="20"/>
        </w:rPr>
      </w:pPr>
      <w:r>
        <w:rPr>
          <w:rFonts w:ascii="Times New Roman;serif" w:hAnsi="Times New Roman;serif"/>
          <w:b w:val="false"/>
          <w:i/>
          <w:sz w:val="20"/>
        </w:rPr>
        <w:t>Stock-based compensation expense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shows the allocation of stock-based compensation expense related to the Company’s stock-based awards (in thousands):</w:t>
      </w:r>
      <w:r>
        <w:rPr>
          <w:rFonts w:ascii="Times New Roman" w:hAnsi="Times New Roman"/>
          <w:sz w:val="20"/>
        </w:rPr>
        <w:t xml:space="preserve"> </w:t>
      </w:r>
    </w:p>
    <w:tbl>
      <w:tblPr>
        <w:tblW w:w="5635" w:type="dxa"/>
        <w:jc w:val="left"/>
        <w:tblInd w:w="0" w:type="dxa"/>
        <w:tblCellMar>
          <w:top w:w="28" w:type="dxa"/>
          <w:left w:w="28" w:type="dxa"/>
          <w:bottom w:w="28" w:type="dxa"/>
          <w:right w:w="28" w:type="dxa"/>
        </w:tblCellMar>
      </w:tblPr>
      <w:tblGrid>
        <w:gridCol w:w="2746"/>
        <w:gridCol w:w="146"/>
        <w:gridCol w:w="267"/>
        <w:gridCol w:w="724"/>
        <w:gridCol w:w="185"/>
        <w:gridCol w:w="185"/>
        <w:gridCol w:w="267"/>
        <w:gridCol w:w="724"/>
        <w:gridCol w:w="391"/>
      </w:tblGrid>
      <w:tr>
        <w:trPr/>
        <w:tc>
          <w:tcPr>
            <w:tcW w:w="27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w:t>
            </w:r>
          </w:p>
        </w:tc>
        <w:tc>
          <w:tcPr>
            <w:tcW w:w="391" w:type="dxa"/>
            <w:tcBorders/>
            <w:shd w:fill="auto" w:val="clear"/>
            <w:vAlign w:val="center"/>
          </w:tcPr>
          <w:p>
            <w:pPr>
              <w:pStyle w:val="TableContents"/>
              <w:spacing w:before="0" w:after="0"/>
              <w:ind w:left="0" w:right="0" w:hanging="0"/>
              <w:jc w:val="left"/>
              <w:rPr/>
            </w:pPr>
            <w:r>
              <w:rPr/>
              <w:t> </w:t>
            </w:r>
          </w:p>
        </w:tc>
      </w:tr>
      <w:tr>
        <w:trPr/>
        <w:tc>
          <w:tcPr>
            <w:tcW w:w="2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1,434</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1,265</w:t>
            </w:r>
          </w:p>
        </w:tc>
        <w:tc>
          <w:tcPr>
            <w:tcW w:w="391" w:type="dxa"/>
            <w:tcBorders/>
            <w:shd w:fill="auto" w:val="clear"/>
            <w:vAlign w:val="center"/>
          </w:tcPr>
          <w:p>
            <w:pPr>
              <w:pStyle w:val="TableContents"/>
              <w:spacing w:before="0" w:after="0"/>
              <w:ind w:left="0" w:right="0" w:hanging="0"/>
              <w:jc w:val="left"/>
              <w:rPr/>
            </w:pPr>
            <w:r>
              <w:rPr/>
              <w:t> </w:t>
            </w:r>
          </w:p>
        </w:tc>
      </w:tr>
      <w:tr>
        <w:trPr/>
        <w:tc>
          <w:tcPr>
            <w:tcW w:w="2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936</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778</w:t>
            </w:r>
          </w:p>
        </w:tc>
        <w:tc>
          <w:tcPr>
            <w:tcW w:w="391" w:type="dxa"/>
            <w:tcBorders/>
            <w:shd w:fill="auto" w:val="clear"/>
            <w:vAlign w:val="center"/>
          </w:tcPr>
          <w:p>
            <w:pPr>
              <w:pStyle w:val="TableContents"/>
              <w:spacing w:before="0" w:after="0"/>
              <w:ind w:left="0" w:right="0" w:hanging="0"/>
              <w:jc w:val="left"/>
              <w:rPr/>
            </w:pPr>
            <w:r>
              <w:rPr/>
              <w:t> </w:t>
            </w:r>
          </w:p>
        </w:tc>
      </w:tr>
      <w:tr>
        <w:trPr/>
        <w:tc>
          <w:tcPr>
            <w:tcW w:w="27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7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4,699</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shows the weighted-average valuation assumptions used in determining the fair value of employee stock options:</w:t>
      </w:r>
      <w:r>
        <w:rPr>
          <w:rFonts w:ascii="Times New Roman" w:hAnsi="Times New Roman"/>
          <w:sz w:val="20"/>
        </w:rPr>
        <w:t xml:space="preserve"> </w:t>
      </w:r>
    </w:p>
    <w:tbl>
      <w:tblPr>
        <w:tblW w:w="4902" w:type="dxa"/>
        <w:jc w:val="left"/>
        <w:tblInd w:w="0" w:type="dxa"/>
        <w:tblCellMar>
          <w:top w:w="28" w:type="dxa"/>
          <w:left w:w="28" w:type="dxa"/>
          <w:bottom w:w="28" w:type="dxa"/>
          <w:right w:w="28" w:type="dxa"/>
        </w:tblCellMar>
      </w:tblPr>
      <w:tblGrid>
        <w:gridCol w:w="2086"/>
        <w:gridCol w:w="146"/>
        <w:gridCol w:w="209"/>
        <w:gridCol w:w="669"/>
        <w:gridCol w:w="389"/>
        <w:gridCol w:w="209"/>
        <w:gridCol w:w="209"/>
        <w:gridCol w:w="669"/>
        <w:gridCol w:w="316"/>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389"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6.02</w:t>
            </w:r>
          </w:p>
        </w:tc>
        <w:tc>
          <w:tcPr>
            <w:tcW w:w="316"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9"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9" w:type="dxa"/>
            <w:tcBorders/>
            <w:shd w:fill="auto" w:val="clear"/>
            <w:vAlign w:val="center"/>
          </w:tcPr>
          <w:p>
            <w:pPr>
              <w:pStyle w:val="TableContents"/>
              <w:spacing w:before="0" w:after="0"/>
              <w:ind w:left="0" w:right="0" w:hanging="0"/>
              <w:jc w:val="lef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66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878" w:type="dxa"/>
            <w:gridSpan w:val="2"/>
            <w:tcBorders/>
            <w:shd w:fill="auto" w:val="clear"/>
            <w:vAlign w:val="center"/>
          </w:tcPr>
          <w:p>
            <w:pPr>
              <w:pStyle w:val="TableContents"/>
              <w:spacing w:before="0" w:after="0"/>
              <w:ind w:left="0" w:right="0" w:hanging="0"/>
              <w:jc w:val="right"/>
              <w:rPr/>
            </w:pPr>
            <w:r>
              <w:rPr/>
              <w:t>—</w:t>
            </w:r>
          </w:p>
        </w:tc>
        <w:tc>
          <w:tcPr>
            <w:tcW w:w="389" w:type="dxa"/>
            <w:tcBorders/>
            <w:shd w:fill="auto" w:val="clear"/>
            <w:vAlign w:val="center"/>
          </w:tcPr>
          <w:p>
            <w:pPr>
              <w:pStyle w:val="TableContents"/>
              <w:spacing w:before="0" w:after="0"/>
              <w:ind w:left="0" w:right="0" w:hanging="0"/>
              <w:jc w:val="right"/>
              <w:rPr/>
            </w:pPr>
            <w:r>
              <w:rPr/>
              <w:t> </w:t>
            </w:r>
          </w:p>
        </w:tc>
        <w:tc>
          <w:tcPr>
            <w:tcW w:w="209" w:type="dxa"/>
            <w:tcBorders/>
            <w:shd w:fill="auto" w:val="clear"/>
            <w:vAlign w:val="center"/>
          </w:tcPr>
          <w:p>
            <w:pPr>
              <w:pStyle w:val="TableContents"/>
              <w:spacing w:before="0" w:after="0"/>
              <w:ind w:left="0" w:right="0" w:hanging="0"/>
              <w:jc w:val="left"/>
              <w:rPr/>
            </w:pPr>
            <w:r>
              <w:rPr/>
              <w:t> </w:t>
            </w:r>
          </w:p>
        </w:tc>
        <w:tc>
          <w:tcPr>
            <w:tcW w:w="878" w:type="dxa"/>
            <w:gridSpan w:val="2"/>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following table summarizes the weighted-average assumptions used in estimating the fair value of the ESPP for the current offering period using the Black-Scholes option-pricing model:</w:t>
      </w:r>
    </w:p>
    <w:tbl>
      <w:tblPr>
        <w:tblW w:w="4902" w:type="dxa"/>
        <w:jc w:val="left"/>
        <w:tblInd w:w="0" w:type="dxa"/>
        <w:tblCellMar>
          <w:top w:w="28" w:type="dxa"/>
          <w:left w:w="28" w:type="dxa"/>
          <w:bottom w:w="28" w:type="dxa"/>
          <w:right w:w="28" w:type="dxa"/>
        </w:tblCellMar>
      </w:tblPr>
      <w:tblGrid>
        <w:gridCol w:w="2086"/>
        <w:gridCol w:w="146"/>
        <w:gridCol w:w="240"/>
        <w:gridCol w:w="594"/>
        <w:gridCol w:w="446"/>
        <w:gridCol w:w="240"/>
        <w:gridCol w:w="240"/>
        <w:gridCol w:w="594"/>
        <w:gridCol w:w="316"/>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6"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3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240"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c>
          <w:tcPr>
            <w:tcW w:w="834"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4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316"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0"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0"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pPr>
            <w:r>
              <w:rPr/>
              <w:t>—</w:t>
            </w:r>
          </w:p>
        </w:tc>
        <w:tc>
          <w:tcPr>
            <w:tcW w:w="4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righ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120" w:after="203"/>
        <w:jc w:val="left"/>
        <w:rPr>
          <w:rFonts w:ascii="Times New Roman" w:hAnsi="Times New Roman"/>
          <w:b/>
          <w:sz w:val="20"/>
        </w:rPr>
      </w:pPr>
      <w:r>
        <w:rPr>
          <w:rFonts w:ascii="Times New Roman" w:hAnsi="Times New Roman"/>
          <w:b/>
          <w:sz w:val="20"/>
        </w:rPr>
        <w:t>15.</w:t>
      </w:r>
    </w:p>
    <w:p>
      <w:pPr>
        <w:pStyle w:val="TextBody"/>
        <w:spacing w:before="120" w:after="203"/>
        <w:jc w:val="left"/>
        <w:rPr>
          <w:rFonts w:ascii="Times New Roman;serif" w:hAnsi="Times New Roman;serif"/>
          <w:b/>
          <w:sz w:val="20"/>
        </w:rPr>
      </w:pPr>
      <w:r>
        <w:rPr>
          <w:rFonts w:ascii="Times New Roman;serif" w:hAnsi="Times New Roman;serif"/>
          <w:b/>
          <w:sz w:val="20"/>
        </w:rPr>
        <w:t xml:space="preserve">Employee benefit plan </w:t>
      </w:r>
    </w:p>
    <w:p>
      <w:pPr>
        <w:pStyle w:val="TextBody"/>
        <w:spacing w:before="120" w:after="120"/>
        <w:jc w:val="left"/>
        <w:rPr>
          <w:rFonts w:ascii="Times New Roman" w:hAnsi="Times New Roman"/>
          <w:sz w:val="20"/>
        </w:rPr>
      </w:pPr>
      <w:r>
        <w:rPr>
          <w:rFonts w:ascii="Times New Roman;serif" w:hAnsi="Times New Roman;serif"/>
          <w:b w:val="false"/>
          <w:i/>
          <w:sz w:val="20"/>
        </w:rPr>
        <w:t>401(k) retirement savings plan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$338,000, and $249,000</w:t>
      </w:r>
      <w:r>
        <w:rPr>
          <w:rFonts w:ascii="Times New Roman" w:hAnsi="Times New Roman"/>
          <w:sz w:val="20"/>
        </w:rPr>
        <w:t xml:space="preserve"> </w:t>
      </w:r>
      <w:r>
        <w:rPr>
          <w:rFonts w:ascii="Times New Roman;serif" w:hAnsi="Times New Roman;serif"/>
          <w:b w:val="false"/>
          <w:sz w:val="20"/>
        </w:rPr>
        <w:t>for the three months ended March 31, 2023 and 2022, respectively.</w:t>
      </w:r>
    </w:p>
    <w:p>
      <w:pPr>
        <w:pStyle w:val="TextBody"/>
        <w:spacing w:before="120" w:after="203"/>
        <w:jc w:val="left"/>
        <w:rPr>
          <w:rFonts w:ascii="Times New Roman" w:hAnsi="Times New Roman"/>
          <w:b/>
          <w:sz w:val="20"/>
        </w:rPr>
      </w:pPr>
      <w:r>
        <w:rPr>
          <w:rFonts w:ascii="Times New Roman" w:hAnsi="Times New Roman"/>
          <w:b/>
          <w:sz w:val="20"/>
        </w:rPr>
        <w:t>16.</w:t>
      </w:r>
    </w:p>
    <w:p>
      <w:pPr>
        <w:pStyle w:val="TextBody"/>
        <w:spacing w:before="120" w:after="203"/>
        <w:jc w:val="left"/>
        <w:rPr>
          <w:rFonts w:ascii="Times New Roman;serif" w:hAnsi="Times New Roman;serif"/>
          <w:b/>
          <w:sz w:val="20"/>
        </w:rPr>
      </w:pPr>
      <w:r>
        <w:rPr>
          <w:rFonts w:ascii="Times New Roman;serif" w:hAnsi="Times New Roman;serif"/>
          <w:b/>
          <w:sz w:val="20"/>
        </w:rPr>
        <w:t xml:space="preserve">Income taxes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Company's effective income tax rate from continuing operations was 24.7% and 34.7% for the three months ended March 31, 2023 and 2022, respectively. The Company’s effective income tax rate for the three months ended March 31, 2023 is higher than the US federal statutory tax rate due to state income taxes, non-deductible stock-based compensation, the Company's mix of earnings between various taxing jurisdictions, partially offset by a deduction for foreign-sourced revenue, stock compensation, and federal and state research credits. The effective income tax rate for the three months ended March 31, 2022 was higher than the US federal statutory tax rate primarily due to non-deductible stock-based compensation, the Company's mix of earnings between various taxing jurisdictions, partially offset by a deduction for foreign-sourced revenue, and federal and state research credits.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pStyle w:val="TextBody"/>
        <w:spacing w:before="120" w:after="203"/>
        <w:jc w:val="left"/>
        <w:rPr>
          <w:rFonts w:ascii="Times New Roman" w:hAnsi="Times New Roman"/>
          <w:b/>
          <w:sz w:val="20"/>
        </w:rPr>
      </w:pPr>
      <w:r>
        <w:rPr>
          <w:rFonts w:ascii="Times New Roman" w:hAnsi="Times New Roman"/>
          <w:b/>
          <w:sz w:val="20"/>
        </w:rPr>
        <w:t>17.</w:t>
      </w:r>
    </w:p>
    <w:p>
      <w:pPr>
        <w:pStyle w:val="TextBody"/>
        <w:spacing w:before="120" w:after="203"/>
        <w:jc w:val="left"/>
        <w:rPr>
          <w:rFonts w:ascii="Times New Roman;serif" w:hAnsi="Times New Roman;serif"/>
          <w:b/>
          <w:sz w:val="20"/>
        </w:rPr>
      </w:pPr>
      <w:r>
        <w:rPr>
          <w:rFonts w:ascii="Times New Roman;serif" w:hAnsi="Times New Roman;serif"/>
          <w:b/>
          <w:sz w:val="20"/>
        </w:rPr>
        <w:t>Lease</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pStyle w:val="TextBody"/>
        <w:spacing w:before="120" w:after="120"/>
        <w:jc w:val="both"/>
        <w:rPr>
          <w:rFonts w:ascii="Times New Roman" w:hAnsi="Times New Roman"/>
          <w:sz w:val="20"/>
        </w:rPr>
      </w:pPr>
      <w:r>
        <w:rPr>
          <w:rFonts w:ascii="Times New Roman;serif" w:hAnsi="Times New Roman;serif"/>
          <w:b w:val="false"/>
          <w:sz w:val="20"/>
        </w:rPr>
        <w:t>The Company leases office facilities and equipment from unrelated parties under operating lease agreements that have initial terms ranging from one to 7.25</w:t>
      </w:r>
      <w:r>
        <w:rPr>
          <w:rFonts w:ascii="Times New Roman" w:hAnsi="Times New Roman"/>
          <w:sz w:val="20"/>
        </w:rPr>
        <w:t xml:space="preserve"> </w:t>
      </w:r>
      <w:r>
        <w:rPr>
          <w:rFonts w:ascii="Times New Roman;serif" w:hAnsi="Times New Roman;serif"/>
          <w:b w:val="false"/>
          <w:sz w:val="20"/>
        </w:rPr>
        <w:t>years. Some leases include one or more options to renew, generally at the Company's sole discretion, with renewal terms that can extend the lease term up to five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three years.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Operating lease cost is recognized on a straight-line basis over the lease term. The components of lease expense are as follows (in thousands):</w:t>
      </w:r>
    </w:p>
    <w:tbl>
      <w:tblPr>
        <w:tblW w:w="4546" w:type="dxa"/>
        <w:jc w:val="left"/>
        <w:tblInd w:w="0" w:type="dxa"/>
        <w:tblCellMar>
          <w:top w:w="28" w:type="dxa"/>
          <w:left w:w="28" w:type="dxa"/>
          <w:bottom w:w="28" w:type="dxa"/>
          <w:right w:w="28" w:type="dxa"/>
        </w:tblCellMar>
      </w:tblPr>
      <w:tblGrid>
        <w:gridCol w:w="1801"/>
        <w:gridCol w:w="319"/>
        <w:gridCol w:w="637"/>
        <w:gridCol w:w="221"/>
        <w:gridCol w:w="221"/>
        <w:gridCol w:w="319"/>
        <w:gridCol w:w="637"/>
        <w:gridCol w:w="391"/>
      </w:tblGrid>
      <w:tr>
        <w:trPr/>
        <w:tc>
          <w:tcPr>
            <w:tcW w:w="180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before="0" w:after="0"/>
              <w:ind w:left="0" w:right="0" w:hanging="0"/>
              <w:jc w:val="center"/>
              <w:rPr/>
            </w:pPr>
            <w:r>
              <w:rPr/>
              <w:t> </w:t>
            </w:r>
          </w:p>
        </w:tc>
        <w:tc>
          <w:tcPr>
            <w:tcW w:w="2354"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center"/>
              <w:rPr/>
            </w:pPr>
            <w:r>
              <w:rPr/>
              <w:t> </w:t>
            </w:r>
          </w:p>
        </w:tc>
        <w:tc>
          <w:tcPr>
            <w:tcW w:w="9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w:t>
            </w:r>
          </w:p>
        </w:tc>
        <w:tc>
          <w:tcPr>
            <w:tcW w:w="22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w:t>
            </w:r>
          </w:p>
        </w:tc>
        <w:tc>
          <w:tcPr>
            <w:tcW w:w="391" w:type="dxa"/>
            <w:tcBorders/>
            <w:shd w:fill="auto" w:val="clear"/>
            <w:vAlign w:val="center"/>
          </w:tcPr>
          <w:p>
            <w:pPr>
              <w:pStyle w:val="TableContents"/>
              <w:spacing w:before="0" w:after="0"/>
              <w:ind w:left="0" w:right="0" w:hanging="0"/>
              <w:jc w:val="left"/>
              <w:rPr/>
            </w:pPr>
            <w:r>
              <w:rPr/>
              <w:t> </w:t>
            </w:r>
          </w:p>
        </w:tc>
      </w:tr>
      <w:tr>
        <w:trPr/>
        <w:tc>
          <w:tcPr>
            <w:tcW w:w="18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lease cost</w:t>
            </w:r>
          </w:p>
        </w:tc>
        <w:tc>
          <w:tcPr>
            <w:tcW w:w="319"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21"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1" w:type="dxa"/>
            <w:tcBorders/>
            <w:shd w:fill="auto" w:val="clear"/>
            <w:vAlign w:val="center"/>
          </w:tcPr>
          <w:p>
            <w:pPr>
              <w:pStyle w:val="TableContents"/>
              <w:spacing w:before="0" w:after="0"/>
              <w:ind w:left="0" w:right="0" w:firstLine="200"/>
              <w:jc w:val="left"/>
              <w:rPr/>
            </w:pPr>
            <w:r>
              <w:rPr/>
              <w:t> </w:t>
            </w:r>
          </w:p>
        </w:tc>
      </w:tr>
      <w:tr>
        <w:trPr/>
        <w:tc>
          <w:tcPr>
            <w:tcW w:w="180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lease cost</w:t>
            </w:r>
          </w:p>
        </w:tc>
        <w:tc>
          <w:tcPr>
            <w:tcW w:w="31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2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1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795</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For the three months ended March 31, 2023 and 2022, sublease income were $66,000, respectively, recorded as other income.</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Supplemental cash flow information related to leases is as follows (in thousands):</w:t>
      </w:r>
    </w:p>
    <w:tbl>
      <w:tblPr>
        <w:tblW w:w="8324" w:type="dxa"/>
        <w:jc w:val="left"/>
        <w:tblInd w:w="0" w:type="dxa"/>
        <w:tblCellMar>
          <w:top w:w="28" w:type="dxa"/>
          <w:left w:w="28" w:type="dxa"/>
          <w:bottom w:w="28" w:type="dxa"/>
          <w:right w:w="28" w:type="dxa"/>
        </w:tblCellMar>
      </w:tblPr>
      <w:tblGrid>
        <w:gridCol w:w="5581"/>
        <w:gridCol w:w="274"/>
        <w:gridCol w:w="547"/>
        <w:gridCol w:w="189"/>
        <w:gridCol w:w="189"/>
        <w:gridCol w:w="274"/>
        <w:gridCol w:w="879"/>
        <w:gridCol w:w="391"/>
      </w:tblGrid>
      <w:tr>
        <w:trPr/>
        <w:tc>
          <w:tcPr>
            <w:tcW w:w="558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581" w:type="dxa"/>
            <w:tcBorders/>
            <w:shd w:fill="auto" w:val="clear"/>
            <w:vAlign w:val="center"/>
          </w:tcPr>
          <w:p>
            <w:pPr>
              <w:pStyle w:val="TableContents"/>
              <w:spacing w:before="0" w:after="0"/>
              <w:ind w:left="0" w:right="0" w:hanging="0"/>
              <w:jc w:val="left"/>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shd w:fill="auto" w:val="clear"/>
            <w:vAlign w:val="center"/>
          </w:tcPr>
          <w:p>
            <w:pPr>
              <w:pStyle w:val="TableContents"/>
              <w:spacing w:before="0" w:after="0"/>
              <w:ind w:left="0" w:right="0" w:hanging="0"/>
              <w:jc w:val="center"/>
              <w:rPr/>
            </w:pPr>
            <w:r>
              <w:rPr/>
              <w:t> </w:t>
            </w:r>
          </w:p>
        </w:tc>
      </w:tr>
      <w:tr>
        <w:trPr/>
        <w:tc>
          <w:tcPr>
            <w:tcW w:w="5581" w:type="dxa"/>
            <w:tcBorders/>
            <w:shd w:fill="auto" w:val="clear"/>
            <w:vAlign w:val="center"/>
          </w:tcPr>
          <w:p>
            <w:pPr>
              <w:pStyle w:val="TableContents"/>
              <w:spacing w:before="0" w:after="0"/>
              <w:ind w:left="0" w:right="0" w:hanging="0"/>
              <w:jc w:val="left"/>
              <w:rPr/>
            </w:pPr>
            <w:r>
              <w:rPr/>
              <w:t> </w:t>
            </w:r>
          </w:p>
        </w:tc>
        <w:tc>
          <w:tcPr>
            <w:tcW w:w="8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measurement of lease liabilities:</w:t>
            </w:r>
          </w:p>
        </w:tc>
        <w:tc>
          <w:tcPr>
            <w:tcW w:w="821" w:type="dxa"/>
            <w:gridSpan w:val="2"/>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153"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outflows - payments on operating leases</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w:t>
            </w:r>
          </w:p>
        </w:tc>
        <w:tc>
          <w:tcPr>
            <w:tcW w:w="189"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348</w:t>
            </w:r>
          </w:p>
        </w:tc>
        <w:tc>
          <w:tcPr>
            <w:tcW w:w="39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pPr>
            <w:r>
              <w:rPr/>
              <w:t> </w:t>
            </w:r>
          </w:p>
        </w:tc>
        <w:tc>
          <w:tcPr>
            <w:tcW w:w="821" w:type="dxa"/>
            <w:gridSpan w:val="2"/>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153"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5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 obtained in exchange for new lease obligations:</w:t>
            </w:r>
          </w:p>
        </w:tc>
        <w:tc>
          <w:tcPr>
            <w:tcW w:w="821" w:type="dxa"/>
            <w:gridSpan w:val="2"/>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1153"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55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7" w:type="dxa"/>
            <w:tcBorders/>
            <w:shd w:fill="auto" w:val="clear"/>
            <w:vAlign w:val="center"/>
          </w:tcPr>
          <w:p>
            <w:pPr>
              <w:pStyle w:val="TableContents"/>
              <w:spacing w:before="0" w:after="0"/>
              <w:ind w:left="0" w:right="0" w:hanging="0"/>
              <w:jc w:val="right"/>
              <w:rPr/>
            </w:pPr>
            <w:r>
              <w:rPr/>
              <w:t>—</w:t>
            </w:r>
          </w:p>
        </w:tc>
        <w:tc>
          <w:tcPr>
            <w:tcW w:w="189"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14,564</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Supplemental balance sheet information related to leases is as follows (in thousands):</w:t>
      </w:r>
    </w:p>
    <w:tbl>
      <w:tblPr>
        <w:tblW w:w="5846" w:type="dxa"/>
        <w:jc w:val="left"/>
        <w:tblInd w:w="0" w:type="dxa"/>
        <w:tblCellMar>
          <w:top w:w="28" w:type="dxa"/>
          <w:left w:w="28" w:type="dxa"/>
          <w:bottom w:w="28" w:type="dxa"/>
          <w:right w:w="28" w:type="dxa"/>
        </w:tblCellMar>
      </w:tblPr>
      <w:tblGrid>
        <w:gridCol w:w="3181"/>
        <w:gridCol w:w="211"/>
        <w:gridCol w:w="676"/>
        <w:gridCol w:w="146"/>
        <w:gridCol w:w="146"/>
        <w:gridCol w:w="260"/>
        <w:gridCol w:w="835"/>
        <w:gridCol w:w="391"/>
      </w:tblGrid>
      <w:tr>
        <w:trPr/>
        <w:tc>
          <w:tcPr>
            <w:tcW w:w="31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81"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shd w:fill="auto" w:val="cle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13,883</w:t>
            </w:r>
          </w:p>
        </w:tc>
        <w:tc>
          <w:tcPr>
            <w:tcW w:w="3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Included in other current liabilities:</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firstLine="100"/>
              <w:jc w:val="center"/>
              <w:rPr/>
            </w:pPr>
            <w:r>
              <w:rPr/>
              <w:t> </w:t>
            </w:r>
          </w:p>
        </w:tc>
      </w:tr>
      <w:tr>
        <w:trPr/>
        <w:tc>
          <w:tcPr>
            <w:tcW w:w="31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2,931</w:t>
            </w:r>
          </w:p>
        </w:tc>
        <w:tc>
          <w:tcPr>
            <w:tcW w:w="391" w:type="dxa"/>
            <w:tcBorders/>
            <w:shd w:fill="auto" w:val="clear"/>
            <w:vAlign w:val="center"/>
          </w:tcPr>
          <w:p>
            <w:pPr>
              <w:pStyle w:val="TableContents"/>
              <w:spacing w:before="0" w:after="0"/>
              <w:ind w:left="0" w:right="0" w:hanging="0"/>
              <w:jc w:val="left"/>
              <w:rPr/>
            </w:pPr>
            <w:r>
              <w:rPr/>
              <w:t> </w:t>
            </w:r>
          </w:p>
        </w:tc>
      </w:tr>
      <w:tr>
        <w:trPr/>
        <w:tc>
          <w:tcPr>
            <w:tcW w:w="31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noncurrent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12,312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15,243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6089" w:type="dxa"/>
        <w:jc w:val="left"/>
        <w:tblInd w:w="0" w:type="dxa"/>
        <w:tblCellMar>
          <w:top w:w="28" w:type="dxa"/>
          <w:left w:w="28" w:type="dxa"/>
          <w:bottom w:w="28" w:type="dxa"/>
          <w:right w:w="28" w:type="dxa"/>
        </w:tblCellMar>
      </w:tblPr>
      <w:tblGrid>
        <w:gridCol w:w="4846"/>
        <w:gridCol w:w="526"/>
        <w:gridCol w:w="146"/>
        <w:gridCol w:w="571"/>
      </w:tblGrid>
      <w:tr>
        <w:trPr/>
        <w:tc>
          <w:tcPr>
            <w:tcW w:w="48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 - operating leases:</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5.2</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5.47</w:t>
            </w:r>
          </w:p>
        </w:tc>
      </w:tr>
      <w:tr>
        <w:trPr/>
        <w:tc>
          <w:tcPr>
            <w:tcW w:w="48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 - operating leases:</w:t>
            </w:r>
          </w:p>
        </w:tc>
        <w:tc>
          <w:tcPr>
            <w:tcW w:w="5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2.6%</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2.6%</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Future undiscounted cash flows for each of the next five years and thereafter and reconciliation to the lease liabilities recognized on the balance sheet as of March 31, 2023 is as follows (in thousands):</w:t>
      </w:r>
    </w:p>
    <w:tbl>
      <w:tblPr>
        <w:tblW w:w="5589" w:type="dxa"/>
        <w:jc w:val="left"/>
        <w:tblInd w:w="0" w:type="dxa"/>
        <w:tblCellMar>
          <w:top w:w="28" w:type="dxa"/>
          <w:left w:w="28" w:type="dxa"/>
          <w:bottom w:w="28" w:type="dxa"/>
          <w:right w:w="28" w:type="dxa"/>
        </w:tblCellMar>
      </w:tblPr>
      <w:tblGrid>
        <w:gridCol w:w="4291"/>
        <w:gridCol w:w="211"/>
        <w:gridCol w:w="676"/>
        <w:gridCol w:w="411"/>
      </w:tblGrid>
      <w:tr>
        <w:trPr/>
        <w:tc>
          <w:tcPr>
            <w:tcW w:w="4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(excluding the three months ended March 31)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4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3,098</w:t>
            </w:r>
          </w:p>
        </w:tc>
        <w:tc>
          <w:tcPr>
            <w:tcW w:w="4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2,681</w:t>
            </w:r>
          </w:p>
        </w:tc>
        <w:tc>
          <w:tcPr>
            <w:tcW w:w="4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2,579</w:t>
            </w:r>
          </w:p>
        </w:tc>
        <w:tc>
          <w:tcPr>
            <w:tcW w:w="4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2,315</w:t>
            </w:r>
          </w:p>
        </w:tc>
        <w:tc>
          <w:tcPr>
            <w:tcW w:w="41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2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15,559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present value of lease liabilities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14,544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pPr>
      <w:r>
        <w:rPr/>
        <w:t> </w:t>
      </w:r>
    </w:p>
    <w:p>
      <w:pPr>
        <w:pStyle w:val="TextBody"/>
        <w:spacing w:before="120" w:after="203"/>
        <w:jc w:val="left"/>
        <w:rPr>
          <w:rFonts w:ascii="Times New Roman" w:hAnsi="Times New Roman"/>
          <w:b/>
          <w:sz w:val="20"/>
        </w:rPr>
      </w:pPr>
      <w:r>
        <w:rPr>
          <w:rFonts w:ascii="Times New Roman" w:hAnsi="Times New Roman"/>
          <w:b/>
          <w:sz w:val="20"/>
        </w:rPr>
        <w:t>18.</w:t>
      </w:r>
    </w:p>
    <w:p>
      <w:pPr>
        <w:pStyle w:val="TextBody"/>
        <w:spacing w:before="120" w:after="20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spacing w:before="120" w:after="203"/>
        <w:jc w:val="left"/>
        <w:rPr>
          <w:rFonts w:ascii="Times New Roman;serif" w:hAnsi="Times New Roman;serif"/>
          <w:b w:val="false"/>
          <w:i/>
          <w:sz w:val="20"/>
        </w:rPr>
      </w:pPr>
      <w:r>
        <w:rPr>
          <w:rFonts w:ascii="Times New Roman;serif" w:hAnsi="Times New Roman;serif"/>
          <w:b w:val="false"/>
          <w:i/>
          <w:sz w:val="20"/>
        </w:rPr>
        <w:t>Legal proceedings</w:t>
      </w:r>
    </w:p>
    <w:p>
      <w:pPr>
        <w:pStyle w:val="TextBody"/>
        <w:spacing w:before="120" w:after="120"/>
        <w:jc w:val="both"/>
        <w:rPr>
          <w:rFonts w:ascii="Times New Roman" w:hAnsi="Times New Roman"/>
          <w:sz w:val="20"/>
        </w:rPr>
      </w:pPr>
      <w:r>
        <w:rPr>
          <w:rFonts w:ascii="Times New Roman;serif" w:hAnsi="Times New Roman;serif"/>
          <w:b w:val="false"/>
          <w:sz w:val="20"/>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is not currently involved in legal actions, nor is management aware of any potential claims or legal actions, for which the ultimate disposition could have a material effect on the Company’s financial position, results of operations or liquidity.</w:t>
      </w:r>
      <w:r>
        <w:rPr>
          <w:rFonts w:ascii="Times New Roman" w:hAnsi="Times New Roman"/>
          <w:sz w:val="20"/>
        </w:rPr>
        <w:t xml:space="preserve"> </w:t>
      </w:r>
    </w:p>
    <w:p>
      <w:pPr>
        <w:pStyle w:val="TextBody"/>
        <w:spacing w:before="120" w:after="203"/>
        <w:jc w:val="left"/>
        <w:rPr>
          <w:rFonts w:ascii="Times New Roman" w:hAnsi="Times New Roman"/>
          <w:b/>
          <w:sz w:val="20"/>
        </w:rPr>
      </w:pPr>
      <w:r>
        <w:rPr>
          <w:rFonts w:ascii="Times New Roman" w:hAnsi="Times New Roman"/>
          <w:b/>
          <w:sz w:val="20"/>
        </w:rPr>
        <w:t>19.</w:t>
      </w:r>
    </w:p>
    <w:p>
      <w:pPr>
        <w:pStyle w:val="TextBody"/>
        <w:spacing w:before="120" w:after="203"/>
        <w:jc w:val="left"/>
        <w:rPr>
          <w:rFonts w:ascii="Times New Roman;serif" w:hAnsi="Times New Roman;serif"/>
          <w:sz w:val="20"/>
        </w:rPr>
      </w:pPr>
      <w:r>
        <w:rPr>
          <w:rFonts w:ascii="Times New Roman;serif" w:hAnsi="Times New Roman;serif"/>
          <w:b/>
          <w:sz w:val="20"/>
        </w:rPr>
        <w:t>Investment in Cytek Japan</w:t>
      </w:r>
      <w:r>
        <w:rPr>
          <w:rFonts w:ascii="Times New Roman;serif" w:hAnsi="Times New Roman;serif"/>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May 2019, the Company jointly formed Cytek Japan with TOMY Digital Biology (“TOMY”). Cytek Japan was created for the purpose of expanding the Company’s presence in Japan. The Company and TOMY each purchased $46,000</w:t>
      </w:r>
      <w:r>
        <w:rPr>
          <w:rFonts w:ascii="Times New Roman" w:hAnsi="Times New Roman"/>
          <w:sz w:val="20"/>
        </w:rPr>
        <w:t xml:space="preserve"> </w:t>
      </w:r>
      <w:r>
        <w:rPr>
          <w:rFonts w:ascii="Times New Roman;serif" w:hAnsi="Times New Roman;serif"/>
          <w:b w:val="false"/>
          <w:sz w:val="20"/>
        </w:rPr>
        <w:t>of common stock of Cytek Japan. The Company previously accounted for its 50% interest in Cytek Japan as an equity method investment. The Company recorded $40,000</w:t>
      </w:r>
      <w:r>
        <w:rPr>
          <w:rFonts w:ascii="Times New Roman" w:hAnsi="Times New Roman"/>
          <w:sz w:val="20"/>
        </w:rPr>
        <w:t xml:space="preserve"> </w:t>
      </w:r>
      <w:r>
        <w:rPr>
          <w:rFonts w:ascii="Times New Roman;serif" w:hAnsi="Times New Roman;serif"/>
          <w:b w:val="false"/>
          <w:sz w:val="20"/>
        </w:rPr>
        <w:t>for its proportionate share of Cytek Japan’s earnings prior to its additional investment, which is included in other income (expense), net in the consolidated statements of operations and comprehensive income for the year ended December 31, 2022.</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March 2021, the Company purchased an additional $688,000</w:t>
      </w:r>
      <w:r>
        <w:rPr>
          <w:rFonts w:ascii="Times New Roman" w:hAnsi="Times New Roman"/>
          <w:sz w:val="20"/>
        </w:rPr>
        <w:t xml:space="preserve"> </w:t>
      </w:r>
      <w:r>
        <w:rPr>
          <w:rFonts w:ascii="Times New Roman;serif" w:hAnsi="Times New Roman;serif"/>
          <w:b w:val="false"/>
          <w:sz w:val="20"/>
        </w:rPr>
        <w:t>of common stock of Cytek Japan and TOMY purchased an additional $229,000</w:t>
      </w:r>
      <w:r>
        <w:rPr>
          <w:rFonts w:ascii="Times New Roman" w:hAnsi="Times New Roman"/>
          <w:sz w:val="20"/>
        </w:rPr>
        <w:t xml:space="preserve"> </w:t>
      </w:r>
      <w:r>
        <w:rPr>
          <w:rFonts w:ascii="Times New Roman;serif" w:hAnsi="Times New Roman;serif"/>
          <w:b w:val="false"/>
          <w:sz w:val="20"/>
        </w:rPr>
        <w:t>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Company recognized net assets of $1.1</w:t>
      </w:r>
      <w:r>
        <w:rPr>
          <w:rFonts w:ascii="Times New Roman" w:hAnsi="Times New Roman"/>
          <w:sz w:val="20"/>
        </w:rPr>
        <w:t xml:space="preserve"> </w:t>
      </w:r>
      <w:r>
        <w:rPr>
          <w:rFonts w:ascii="Times New Roman;serif" w:hAnsi="Times New Roman;serif"/>
          <w:b w:val="false"/>
          <w:sz w:val="20"/>
        </w:rPr>
        <w:t>million, consisting primarily of $1.0</w:t>
      </w:r>
      <w:r>
        <w:rPr>
          <w:rFonts w:ascii="Times New Roman" w:hAnsi="Times New Roman"/>
          <w:sz w:val="20"/>
        </w:rPr>
        <w:t xml:space="preserve"> </w:t>
      </w:r>
      <w:r>
        <w:rPr>
          <w:rFonts w:ascii="Times New Roman;serif" w:hAnsi="Times New Roman;serif"/>
          <w:b w:val="false"/>
          <w:sz w:val="20"/>
        </w:rPr>
        <w:t>million cash. The Company recorded noncontrolling interest of $315,000</w:t>
      </w:r>
      <w:r>
        <w:rPr>
          <w:rFonts w:ascii="Times New Roman" w:hAnsi="Times New Roman"/>
          <w:sz w:val="20"/>
        </w:rPr>
        <w:t xml:space="preserve"> </w:t>
      </w:r>
      <w:r>
        <w:rPr>
          <w:rFonts w:ascii="Times New Roman;serif" w:hAnsi="Times New Roman;serif"/>
          <w:b w:val="false"/>
          <w:sz w:val="20"/>
        </w:rPr>
        <w:t>on the unaudited interim consolidated financial statements as of March 31, 2021.</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January 2023, the Company purchased an additional $235,000</w:t>
      </w:r>
      <w:r>
        <w:rPr>
          <w:rFonts w:ascii="Times New Roman" w:hAnsi="Times New Roman"/>
          <w:sz w:val="20"/>
        </w:rPr>
        <w:t xml:space="preserve"> </w:t>
      </w:r>
      <w:r>
        <w:rPr>
          <w:rFonts w:ascii="Times New Roman;serif" w:hAnsi="Times New Roman;serif"/>
          <w:b w:val="false"/>
          <w:sz w:val="20"/>
        </w:rPr>
        <w:t>of common stock of Cytek Japan. Cytek Japan became a wholly-owned subsidiary of the Company.</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b/>
          <w:sz w:val="20"/>
        </w:rPr>
      </w:pPr>
      <w:r>
        <w:rPr>
          <w:rFonts w:ascii="Times New Roman" w:hAnsi="Times New Roman"/>
          <w:b/>
          <w:sz w:val="20"/>
        </w:rPr>
        <w:t>20.</w:t>
      </w:r>
    </w:p>
    <w:p>
      <w:pPr>
        <w:pStyle w:val="TextBody"/>
        <w:spacing w:before="360" w:after="283"/>
        <w:jc w:val="left"/>
        <w:rPr>
          <w:rFonts w:ascii="Times New Roman;serif" w:hAnsi="Times New Roman;serif"/>
          <w:b/>
          <w:sz w:val="20"/>
        </w:rPr>
      </w:pPr>
      <w:r>
        <w:rPr>
          <w:rFonts w:ascii="Times New Roman;serif" w:hAnsi="Times New Roman;serif"/>
          <w:b/>
          <w:sz w:val="20"/>
        </w:rPr>
        <w:t xml:space="preserve">Product warranty </w:t>
      </w:r>
    </w:p>
    <w:p>
      <w:pPr>
        <w:pStyle w:val="TextBody"/>
        <w:spacing w:before="120" w:after="203"/>
        <w:jc w:val="both"/>
        <w:rPr>
          <w:rFonts w:ascii="Times New Roman" w:hAnsi="Times New Roman"/>
          <w:sz w:val="20"/>
        </w:rPr>
      </w:pPr>
      <w:r>
        <w:rPr>
          <w:rFonts w:ascii="Times New Roman;serif" w:hAnsi="Times New Roman;serif"/>
          <w:b w:val="false"/>
          <w:sz w:val="20"/>
        </w:rPr>
        <w:t>The following table shows the activity in the product warranty accrual included in accrued expenses on the consolidated balance sheets (in thousands):</w:t>
      </w:r>
      <w:r>
        <w:rPr>
          <w:rFonts w:ascii="Times New Roman" w:hAnsi="Times New Roman"/>
          <w:sz w:val="20"/>
        </w:rPr>
        <w:t xml:space="preserve"> </w:t>
      </w:r>
    </w:p>
    <w:tbl>
      <w:tblPr>
        <w:tblW w:w="5695" w:type="dxa"/>
        <w:jc w:val="left"/>
        <w:tblInd w:w="0" w:type="dxa"/>
        <w:tblCellMar>
          <w:top w:w="28" w:type="dxa"/>
          <w:left w:w="28" w:type="dxa"/>
          <w:bottom w:w="28" w:type="dxa"/>
          <w:right w:w="28" w:type="dxa"/>
        </w:tblCellMar>
      </w:tblPr>
      <w:tblGrid>
        <w:gridCol w:w="2896"/>
        <w:gridCol w:w="146"/>
        <w:gridCol w:w="230"/>
        <w:gridCol w:w="625"/>
        <w:gridCol w:w="166"/>
        <w:gridCol w:w="146"/>
        <w:gridCol w:w="274"/>
        <w:gridCol w:w="821"/>
        <w:gridCol w:w="391"/>
      </w:tblGrid>
      <w:tr>
        <w:trPr/>
        <w:tc>
          <w:tcPr>
            <w:tcW w:w="28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1,760</w:t>
            </w:r>
          </w:p>
        </w:tc>
        <w:tc>
          <w:tcPr>
            <w:tcW w:w="3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Accrual for current year warranties</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8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2,841</w:t>
            </w:r>
          </w:p>
        </w:tc>
        <w:tc>
          <w:tcPr>
            <w:tcW w:w="391" w:type="dxa"/>
            <w:tcBorders/>
            <w:shd w:fill="auto" w:val="clear"/>
            <w:vAlign w:val="center"/>
          </w:tcPr>
          <w:p>
            <w:pPr>
              <w:pStyle w:val="TableContents"/>
              <w:spacing w:before="0" w:after="0"/>
              <w:ind w:left="0" w:right="0" w:firstLine="200"/>
              <w:jc w:val="left"/>
              <w:rPr/>
            </w:pPr>
            <w:r>
              <w:rPr/>
              <w:t> </w:t>
            </w:r>
          </w:p>
        </w:tc>
      </w:tr>
      <w:tr>
        <w:trPr/>
        <w:tc>
          <w:tcPr>
            <w:tcW w:w="28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Warranty cost incurred</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end of period</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203"/>
        <w:jc w:val="left"/>
        <w:rPr>
          <w:rFonts w:ascii="Times New Roman" w:hAnsi="Times New Roman"/>
          <w:b/>
          <w:sz w:val="20"/>
        </w:rPr>
      </w:pPr>
      <w:r>
        <w:rPr>
          <w:rFonts w:ascii="Times New Roman" w:hAnsi="Times New Roman"/>
          <w:b/>
          <w:sz w:val="20"/>
        </w:rPr>
        <w:t>21.</w:t>
      </w:r>
    </w:p>
    <w:p>
      <w:pPr>
        <w:pStyle w:val="TextBody"/>
        <w:spacing w:before="0" w:after="203"/>
        <w:jc w:val="left"/>
        <w:rPr>
          <w:rFonts w:ascii="Times New Roman;serif" w:hAnsi="Times New Roman;serif"/>
          <w:b/>
          <w:sz w:val="20"/>
        </w:rPr>
      </w:pPr>
      <w:r>
        <w:rPr>
          <w:rFonts w:ascii="Times New Roman;serif" w:hAnsi="Times New Roman;serif"/>
          <w:b/>
          <w:sz w:val="20"/>
        </w:rPr>
        <w:t>Net loss attributable to common stockholders per share</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sets forth the computation of the Company’s basic and diluted net loss attributable to common stockholders per share for the three months ended March 31, 2023 and 2022 (in thousands except share and per share data):</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52"/>
        <w:gridCol w:w="146"/>
        <w:gridCol w:w="211"/>
        <w:gridCol w:w="1141"/>
        <w:gridCol w:w="166"/>
        <w:gridCol w:w="146"/>
        <w:gridCol w:w="211"/>
        <w:gridCol w:w="1141"/>
        <w:gridCol w:w="591"/>
      </w:tblGrid>
      <w:tr>
        <w:trPr/>
        <w:tc>
          <w:tcPr>
            <w:tcW w:w="64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4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firstLine="200"/>
              <w:jc w:val="center"/>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net loss allocated to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591" w:type="dxa"/>
            <w:tcBorders/>
            <w:shd w:fill="auto" w:val="clear"/>
            <w:vAlign w:val="center"/>
          </w:tcPr>
          <w:p>
            <w:pPr>
              <w:pStyle w:val="TableContents"/>
              <w:spacing w:before="0" w:after="0"/>
              <w:ind w:left="0" w:right="0" w:firstLine="100"/>
              <w:jc w:val="left"/>
              <w:rPr/>
            </w:pPr>
            <w:r>
              <w:rPr/>
              <w:t> </w:t>
            </w:r>
          </w:p>
        </w:tc>
      </w:tr>
      <w:tr>
        <w:trPr/>
        <w:tc>
          <w:tcPr>
            <w:tcW w:w="6452" w:type="dxa"/>
            <w:tcBorders/>
            <w:shd w:fill="auto" w:val="clear"/>
            <w:vAlign w:val="center"/>
          </w:tcPr>
          <w:p>
            <w:pPr>
              <w:pStyle w:val="TableContents"/>
              <w:spacing w:before="0" w:after="283"/>
              <w:ind w:left="0" w:right="0" w:firstLine="1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52"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 attributable to common stockholders,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 attributable to common stockholders,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135,489,194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133,902,523</w:t>
            </w:r>
          </w:p>
        </w:tc>
        <w:tc>
          <w:tcPr>
            <w:tcW w:w="591" w:type="dxa"/>
            <w:tcBorders/>
            <w:shd w:fill="auto" w:val="cle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employee stock plans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45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shares outstanding, attributable to common stockholders,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135,489,194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133,902,523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2"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4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common stockholders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both"/>
        <w:rPr>
          <w:rFonts w:ascii="Times New Roman" w:hAnsi="Times New Roman"/>
          <w:sz w:val="20"/>
        </w:rPr>
      </w:pPr>
      <w:r>
        <w:rPr>
          <w:rFonts w:ascii="Times New Roman;serif" w:hAnsi="Times New Roman;serif"/>
          <w:b w:val="false"/>
          <w:sz w:val="20"/>
        </w:rPr>
        <w:t>Share-based compensation awards of approximately 4.6</w:t>
      </w:r>
      <w:r>
        <w:rPr>
          <w:rFonts w:ascii="Times New Roman" w:hAnsi="Times New Roman"/>
          <w:sz w:val="20"/>
        </w:rPr>
        <w:t xml:space="preserve"> </w:t>
      </w:r>
      <w:r>
        <w:rPr>
          <w:rFonts w:ascii="Times New Roman;serif" w:hAnsi="Times New Roman;serif"/>
          <w:b w:val="false"/>
          <w:sz w:val="20"/>
        </w:rPr>
        <w:t>million and 3.2</w:t>
      </w:r>
      <w:r>
        <w:rPr>
          <w:rFonts w:ascii="Times New Roman" w:hAnsi="Times New Roman"/>
          <w:sz w:val="20"/>
        </w:rPr>
        <w:t xml:space="preserve"> </w:t>
      </w:r>
      <w:r>
        <w:rPr>
          <w:rFonts w:ascii="Times New Roman;serif" w:hAnsi="Times New Roman;serif"/>
          <w:b w:val="false"/>
          <w:sz w:val="20"/>
        </w:rPr>
        <w:t>million shares for the three months ended March 31, 2023 and 2022, respectively, were outstanding but were not included in the computation of diluted net loss per share attributable to common stockholders because the effect of including such shares would have been anti-dilutive in the periods presented.</w:t>
      </w:r>
    </w:p>
    <w:p>
      <w:pPr>
        <w:pStyle w:val="TextBody"/>
        <w:spacing w:before="0" w:after="0"/>
        <w:jc w:val="left"/>
        <w:rPr/>
      </w:pPr>
      <w:r>
        <w:rPr/>
        <w:t> </w:t>
      </w:r>
    </w:p>
    <w:p>
      <w:pPr>
        <w:pStyle w:val="TextBody"/>
        <w:spacing w:before="120" w:after="120"/>
        <w:jc w:val="left"/>
        <w:rPr>
          <w:rFonts w:ascii="Times New Roman" w:hAnsi="Times New Roman"/>
          <w:b/>
          <w:sz w:val="20"/>
        </w:rPr>
      </w:pPr>
      <w:r>
        <w:rPr>
          <w:rFonts w:ascii="Times New Roman" w:hAnsi="Times New Roman"/>
          <w:b/>
          <w:sz w:val="20"/>
        </w:rPr>
        <w:t>22.</w:t>
      </w:r>
    </w:p>
    <w:p>
      <w:pPr>
        <w:pStyle w:val="TextBody"/>
        <w:spacing w:before="120" w:after="120"/>
        <w:jc w:val="left"/>
        <w:rPr>
          <w:rFonts w:ascii="Times New Roman;serif" w:hAnsi="Times New Roman;serif"/>
          <w:b/>
          <w:sz w:val="20"/>
        </w:rPr>
      </w:pPr>
      <w:r>
        <w:rPr>
          <w:rFonts w:ascii="Times New Roman;serif" w:hAnsi="Times New Roman;serif"/>
          <w:b/>
          <w:sz w:val="20"/>
        </w:rPr>
        <w:t xml:space="preserve">Geographic areas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 xml:space="preserve">The Company sells its products worldwide and attributes revenue to the geography where the product is delivered. The geographical distribution of revenue for the three months ended March 31, 2023 and 2022 was as follows (in thousands): </w:t>
      </w:r>
    </w:p>
    <w:tbl>
      <w:tblPr>
        <w:tblW w:w="4280" w:type="dxa"/>
        <w:jc w:val="left"/>
        <w:tblInd w:w="0" w:type="dxa"/>
        <w:tblCellMar>
          <w:top w:w="28" w:type="dxa"/>
          <w:left w:w="28" w:type="dxa"/>
          <w:bottom w:w="28" w:type="dxa"/>
          <w:right w:w="28" w:type="dxa"/>
        </w:tblCellMar>
      </w:tblPr>
      <w:tblGrid>
        <w:gridCol w:w="1591"/>
        <w:gridCol w:w="146"/>
        <w:gridCol w:w="240"/>
        <w:gridCol w:w="770"/>
        <w:gridCol w:w="166"/>
        <w:gridCol w:w="166"/>
        <w:gridCol w:w="240"/>
        <w:gridCol w:w="770"/>
        <w:gridCol w:w="191"/>
      </w:tblGrid>
      <w:tr>
        <w:trPr/>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19,839</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20,325</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EMEA</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10,031</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8,684</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APAC</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6,222</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5,011</w:t>
            </w:r>
          </w:p>
        </w:tc>
        <w:tc>
          <w:tcPr>
            <w:tcW w:w="191"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val="false"/>
          <w:sz w:val="20"/>
        </w:rPr>
        <w:t>EMEA includes Europe, the Middle East and Africa; APAC includes Asia and the Pacific countries; Other includes Canada and Latin America.</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For the three months ended March 31, 2023 and 2022, the Company had no major customers.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val="false"/>
          <w:sz w:val="20"/>
        </w:rPr>
        <w:t>As of March 31, 2023 and December 31, 2022, the Company’s long-lived assets by geographic area were as follows (in thousands):</w:t>
      </w:r>
      <w:r>
        <w:rPr>
          <w:rFonts w:ascii="Times New Roman" w:hAnsi="Times New Roman"/>
          <w:sz w:val="20"/>
        </w:rPr>
        <w:t xml:space="preserve"> </w:t>
      </w:r>
    </w:p>
    <w:tbl>
      <w:tblPr>
        <w:tblW w:w="3812" w:type="dxa"/>
        <w:jc w:val="left"/>
        <w:tblInd w:w="0" w:type="dxa"/>
        <w:tblCellMar>
          <w:top w:w="28" w:type="dxa"/>
          <w:left w:w="28" w:type="dxa"/>
          <w:bottom w:w="28" w:type="dxa"/>
          <w:right w:w="28" w:type="dxa"/>
        </w:tblCellMar>
      </w:tblPr>
      <w:tblGrid>
        <w:gridCol w:w="1201"/>
        <w:gridCol w:w="146"/>
        <w:gridCol w:w="211"/>
        <w:gridCol w:w="676"/>
        <w:gridCol w:w="146"/>
        <w:gridCol w:w="146"/>
        <w:gridCol w:w="260"/>
        <w:gridCol w:w="835"/>
        <w:gridCol w:w="191"/>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6,426</w:t>
            </w:r>
          </w:p>
        </w:tc>
        <w:tc>
          <w:tcPr>
            <w:tcW w:w="191"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APAC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7,256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120"/>
        <w:jc w:val="left"/>
        <w:rPr>
          <w:rFonts w:ascii="Times New Roman" w:hAnsi="Times New Roman"/>
          <w:sz w:val="20"/>
        </w:rPr>
      </w:pPr>
      <w:r>
        <w:rPr>
          <w:rFonts w:ascii="Times New Roman;serif" w:hAnsi="Times New Roman;serif"/>
          <w:b w:val="false"/>
          <w:sz w:val="20"/>
        </w:rPr>
        <w:t>As of March 31, 2023</w:t>
      </w:r>
      <w:r>
        <w:rPr>
          <w:rFonts w:ascii="Times New Roman" w:hAnsi="Times New Roman"/>
          <w:sz w:val="20"/>
        </w:rPr>
        <w:t xml:space="preserve"> </w:t>
      </w:r>
      <w:r>
        <w:rPr>
          <w:rFonts w:ascii="Times New Roman;serif" w:hAnsi="Times New Roman;serif"/>
          <w:b w:val="false"/>
          <w:sz w:val="20"/>
        </w:rPr>
        <w:t>and December 31, 2022, substantially all of the Company’s long-lived assets were located in the United States and in Wuxi, China.</w:t>
      </w:r>
      <w:r>
        <w:rPr>
          <w:rFonts w:ascii="Times New Roman" w:hAnsi="Times New Roman"/>
          <w:sz w:val="20"/>
        </w:rPr>
        <w:t xml:space="preserve"> </w:t>
      </w:r>
    </w:p>
    <w:p>
      <w:pPr>
        <w:pStyle w:val="TextBody"/>
        <w:spacing w:before="120" w:after="120"/>
        <w:jc w:val="left"/>
        <w:rPr>
          <w:rFonts w:ascii="Times New Roman;serif" w:hAnsi="Times New Roman;serif"/>
          <w:b/>
          <w:sz w:val="20"/>
        </w:rPr>
      </w:pPr>
      <w:r>
        <w:rPr>
          <w:rFonts w:ascii="Times New Roman;serif" w:hAnsi="Times New Roman;serif"/>
          <w:b/>
          <w:sz w:val="20"/>
        </w:rPr>
        <w:t>23. Related party transactions</w:t>
      </w:r>
    </w:p>
    <w:p>
      <w:pPr>
        <w:pStyle w:val="TextBody"/>
        <w:spacing w:before="120" w:after="120"/>
        <w:jc w:val="left"/>
        <w:rPr>
          <w:rFonts w:ascii="Times New Roman" w:hAnsi="Times New Roman"/>
          <w:sz w:val="20"/>
        </w:rPr>
      </w:pPr>
      <w:r>
        <w:rPr>
          <w:rFonts w:ascii="Times New Roman;serif" w:hAnsi="Times New Roman;serif"/>
          <w:b w:val="false"/>
          <w:sz w:val="20"/>
        </w:rPr>
        <w:t>On May 7, 2022, the Company’s wholly-owned Hong Kong subsidiary (“Cytek HK”) completed an investment of $1.6</w:t>
      </w:r>
      <w:r>
        <w:rPr>
          <w:rFonts w:ascii="Times New Roman" w:hAnsi="Times New Roman"/>
          <w:sz w:val="20"/>
        </w:rPr>
        <w:t xml:space="preserve"> </w:t>
      </w:r>
      <w:r>
        <w:rPr>
          <w:rFonts w:ascii="Times New Roman;serif" w:hAnsi="Times New Roman;serif"/>
          <w:b w:val="false"/>
          <w:sz w:val="20"/>
        </w:rPr>
        <w:t>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An entity affiliated with Northern Light Venture Capital (“NLVC”) has a significant ownership interest in DeepCyto and has a representative serving on the DeepCyto board of directors. The founding managing partner of NLVC served as a member of the Company’s board of directors until June 1, 2022.</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20" w:after="203"/>
        <w:jc w:val="left"/>
        <w:rPr>
          <w:rFonts w:ascii="Times New Roman" w:hAnsi="Times New Roman"/>
          <w:sz w:val="20"/>
        </w:rPr>
      </w:pPr>
      <w:bookmarkStart w:id="14" w:name="item7"/>
      <w:bookmarkEnd w:id="14"/>
      <w:r>
        <w:rPr>
          <w:rFonts w:ascii="Times New Roman;serif" w:hAnsi="Times New Roman;serif"/>
          <w:b/>
          <w:sz w:val="20"/>
        </w:rPr>
        <w:t>Item 2. Management's D</w:t>
      </w:r>
      <w:bookmarkStart w:id="15" w:name="item_2_mda"/>
      <w:bookmarkEnd w:id="15"/>
      <w:r>
        <w:rPr>
          <w:rFonts w:ascii="Times New Roman;serif" w:hAnsi="Times New Roman;serif"/>
          <w:b/>
          <w:sz w:val="20"/>
        </w:rPr>
        <w:t>iscussion and Analysis of Financial Condition and Results of Operations</w:t>
      </w:r>
    </w:p>
    <w:p>
      <w:pPr>
        <w:pStyle w:val="TextBody"/>
        <w:spacing w:before="120" w:after="120"/>
        <w:jc w:val="both"/>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2022 and the related Management’s Discussion and Analysis of Financial Condition and Results of Operations, both of which are contained in our Annual Report on Form 10-K filed with the Securities and Exchange Commission (the “SEC”) on March 1, 2023. Unless the context requires otherwise, references in this Quarterly Report on Form 10-Q to “we,” “us” and “our” refer to Cytek Biosciences, Inc.</w:t>
      </w:r>
    </w:p>
    <w:p>
      <w:pPr>
        <w:pStyle w:val="TextBody"/>
        <w:spacing w:before="120" w:after="120"/>
        <w:jc w:val="both"/>
        <w:rPr>
          <w:rFonts w:ascii="Times New Roman" w:hAnsi="Times New Roman"/>
          <w:sz w:val="20"/>
        </w:rPr>
      </w:pPr>
      <w:r>
        <w:rPr>
          <w:rFonts w:ascii="Times New Roman;serif" w:hAnsi="Times New Roman;serif"/>
          <w:b/>
          <w:i/>
          <w:sz w:val="20"/>
        </w:rPr>
        <w:t>Forward-Looking Statements</w:t>
      </w:r>
      <w:r>
        <w:rPr>
          <w:rFonts w:ascii="Times New Roman;serif" w:hAnsi="Times New Roman;serif"/>
          <w:b w:val="false"/>
          <w:i/>
          <w:sz w:val="20"/>
        </w:rPr>
        <w:br/>
      </w:r>
      <w:r>
        <w:rPr>
          <w:rFonts w:ascii="Times New Roman" w:hAnsi="Times New Roman"/>
          <w:sz w:val="20"/>
        </w:rPr>
        <w:t> </w:t>
      </w:r>
    </w:p>
    <w:p>
      <w:pPr>
        <w:pStyle w:val="TextBody"/>
        <w:spacing w:before="120" w:after="120"/>
        <w:jc w:val="both"/>
        <w:rPr>
          <w:rFonts w:ascii="Times New Roman;serif" w:hAnsi="Times New Roman;serif"/>
          <w:b w:val="false"/>
          <w:i/>
          <w:sz w:val="20"/>
        </w:rPr>
      </w:pPr>
      <w:r>
        <w:rPr>
          <w:rFonts w:ascii="Times New Roman;serif" w:hAnsi="Times New Roman;serif"/>
          <w:b w:val="false"/>
          <w:i/>
          <w:sz w:val="20"/>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pStyle w:val="TextBody"/>
        <w:spacing w:before="120" w:after="120"/>
        <w:jc w:val="both"/>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1,766 Cytek instruments—primarily comprised of our Aurora and Northern Lights systems—to customers around the world, including the largest pharmaceutical companies, over 200 biopharma companies, leading academic research centers, and clinical research organizations (“CROs”). In June 2021, we began shipping the Aurora cell sorter (“Aurora CS”), which uses our FSP technology to further broaden our potential applications across cell analysis.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On February 28, 2023, we completed the acquisition of the flow cytometry and imaging (“FCI”) business unit of Luminex Corporation (“Luminex”), including relating to the business of manufacturing, marketing, selling, servicing and maintaining Amnis-, CellStream-, Guava- and Muse-branded instruments, and flow cytometry reagent products and services.</w:t>
      </w:r>
    </w:p>
    <w:p>
      <w:pPr>
        <w:pStyle w:val="TextBody"/>
        <w:spacing w:before="120" w:after="120"/>
        <w:jc w:val="both"/>
        <w:rPr>
          <w:rFonts w:ascii="Times New Roman" w:hAnsi="Times New Roman"/>
          <w:sz w:val="20"/>
        </w:rPr>
      </w:pPr>
      <w:r>
        <w:rPr>
          <w:rFonts w:ascii="Times New Roman;serif" w:hAnsi="Times New Roman;serif"/>
          <w:b w:val="false"/>
          <w:sz w:val="20"/>
        </w:rPr>
        <w:t>We manufacture our instruments in our facilities in Fremont, California, Seattle, Washington and in Wuxi, China. We have designed our operating model to be capital efficient and to scale efficiently as our product volumes grow.</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Total revenue for the three months ended March 31, 2023 was $37.1 million, a 6% increase compared to the three months ended March 31, 2022. This included $3.4 million of revenue from the FCI business unit. Excluding revenue from the FCI business unit, organic revenue was $33.7 million, a 4% decline compared to the same period of the prior year. The decline in organic revenue was primarily related to weakness in sales to pharmaceutical and biotech customers in the United States, which was partially offset by stronger revenue growth across the EMEA and APAC regions.</w:t>
      </w:r>
    </w:p>
    <w:p>
      <w:pPr>
        <w:pStyle w:val="TextBody"/>
        <w:spacing w:before="120" w:after="120"/>
        <w:jc w:val="both"/>
        <w:rPr>
          <w:rFonts w:ascii="Times New Roman" w:hAnsi="Times New Roman"/>
          <w:sz w:val="20"/>
        </w:rPr>
      </w:pPr>
      <w:r>
        <w:rPr>
          <w:rFonts w:ascii="Times New Roman;serif" w:hAnsi="Times New Roman;serif"/>
          <w:b w:val="false"/>
          <w:sz w:val="20"/>
        </w:rPr>
        <w:t>To date, we have adopted a direct sales model in North America, Europe, China, and several other countries in the Asia-Pacific region, and also sell our products through third-party distributors in certain countries in China, Europe, Latin America, the Middle East, Africa and the Asia-Pacific region. Revenue from direct sales represented 69% and 88% of total revenue for the three months ended March 31, 2023 and 2022, respectively, and revenue from distributors represented 31% and 12% of total revenue for the three months ended March 31, 2023 and 2022. If our sales in region outside United States increase, we expect revenue from our distribution channel to increase.</w:t>
        <w:br/>
      </w:r>
      <w:r>
        <w:rPr>
          <w:rFonts w:ascii="Times New Roman" w:hAnsi="Times New Roman"/>
          <w:sz w:val="20"/>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$10.0 million and $8.0 million for the three months ended March 31, 2023 and 2022, respectively. We intend to continue to make significant investments in research and development in the future.</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expect to continue to invest in our commercial infrastructure through hiring additional employees with strong scientific and technical backgrounds to support growth in sales of our Aurora, Northern Lights and Aurora CS systems, as well as our planned expansion of reagents offerings and panel design capabilities. We also plan to continue to invest in sales, marketing and business development across the globe to drive commercialization of our products. We incurred sales and marketing expenses of $11.1 million and $7.0 million for the three months ended March 31, 2023 and 2022, respectively.</w:t>
      </w:r>
    </w:p>
    <w:p>
      <w:pPr>
        <w:pStyle w:val="TextBody"/>
        <w:spacing w:before="120" w:after="120"/>
        <w:jc w:val="both"/>
        <w:rPr>
          <w:rFonts w:ascii="Times New Roman" w:hAnsi="Times New Roman"/>
          <w:sz w:val="20"/>
        </w:rPr>
      </w:pPr>
      <w:r>
        <w:rPr>
          <w:rFonts w:ascii="Times New Roman;serif" w:hAnsi="Times New Roman;serif"/>
          <w:b w:val="false"/>
          <w:sz w:val="20"/>
        </w:rPr>
        <w:t>Since our inception in 2014, we have financed our operations primarily through sales of our securities and revenue from the sale of our products and services.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Our net loss was $6.8 million for the three months ended March 31, 2023, and net loss was $2.2 million for the three months ended March 31, 2022. The change for the three months ended March 31, 2023 compared to the three months ended March 31, 2022 resulted primarily from expenses driven by an increase in headcount and salaries and efforts in research and development and marketing initiatives.</w:t>
      </w:r>
    </w:p>
    <w:p>
      <w:pPr>
        <w:pStyle w:val="TextBody"/>
        <w:spacing w:before="120" w:after="120"/>
        <w:jc w:val="both"/>
        <w:rPr>
          <w:rFonts w:ascii="Times New Roman" w:hAnsi="Times New Roman"/>
          <w:sz w:val="20"/>
        </w:rPr>
      </w:pPr>
      <w:r>
        <w:rPr>
          <w:rFonts w:ascii="Times New Roman;serif" w:hAnsi="Times New Roman;serif"/>
          <w:b w:val="false"/>
          <w:sz w:val="20"/>
        </w:rPr>
        <w:t>We expect our expenses will increase substantially in connection with our ongoing activities, as we: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attract, hire and retain qualified personnel;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invest in processes, commercial infrastructure and supporting functions to scale our business and introduce new products and services;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support our research and development efforts;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continue to expand geographically;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protect and defend our intellectual property; and </w:t>
      </w:r>
    </w:p>
    <w:p>
      <w:pPr>
        <w:pStyle w:val="TextBody"/>
        <w:spacing w:before="120" w:after="120"/>
        <w:jc w:val="both"/>
        <w:rPr/>
      </w:pPr>
      <w:r>
        <w:rPr/>
        <w:t>•</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 xml:space="preserve">make strategic investments in complementary businesses, services, products or technologies. </w:t>
      </w:r>
    </w:p>
    <w:p>
      <w:pPr>
        <w:pStyle w:val="TextBody"/>
        <w:spacing w:before="120" w:after="120"/>
        <w:jc w:val="both"/>
        <w:rPr>
          <w:rFonts w:ascii="Times New Roman" w:hAnsi="Times New Roman"/>
          <w:sz w:val="20"/>
        </w:rPr>
      </w:pPr>
      <w:r>
        <w:rPr>
          <w:rFonts w:ascii="Times New Roman;serif" w:hAnsi="Times New Roman;serif"/>
          <w:b/>
          <w:sz w:val="20"/>
        </w:rPr>
        <w:t>Key factors affecting our results of operations and future performance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Global customer adoption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headcount in our direct sales organization and commercial support functions as of March 31, 2023 increased by approximately 92%, including additional personnel hired in connection with the acquisition of the FCI business unit, as compared to March 31, 2022. We intend to continue increasing our workforce in line with our growth.</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Recurring revenues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Revenue mix and gross margin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revenue is primarily derived from sales of our instruments and services with our instruments recognizing higher gross margins than our services. Although we expect sales of our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Expansion into new markets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Northern Lights CLC system was certified under the European Union In Vitro Diagnostic Medical Devices Directive in September 2020 and is registered as an in vitro diagnostic medical device under Northern Lights Clinical Flow Cytometer. The certification enables the Northern Lights CLC system to be sold into in vitro diagnostic laboratories in the European Union and in other countries around the world that accept this specific certification. The Northern Lights CLC system is also certified for in vitro diagnostic use as a Class II device in China.</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sz w:val="20"/>
        </w:rPr>
        <w:t>Key business metrics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r>
        <w:rPr>
          <w:rFonts w:ascii="Times New Roman" w:hAnsi="Times New Roman"/>
          <w:sz w:val="20"/>
        </w:rPr>
        <w:t xml:space="preserve"> </w:t>
      </w:r>
    </w:p>
    <w:tbl>
      <w:tblPr>
        <w:tblW w:w="8553" w:type="dxa"/>
        <w:jc w:val="left"/>
        <w:tblInd w:w="0" w:type="dxa"/>
        <w:tblCellMar>
          <w:top w:w="28" w:type="dxa"/>
          <w:left w:w="28" w:type="dxa"/>
          <w:bottom w:w="28" w:type="dxa"/>
          <w:right w:w="28" w:type="dxa"/>
        </w:tblCellMar>
      </w:tblPr>
      <w:tblGrid>
        <w:gridCol w:w="4036"/>
        <w:gridCol w:w="146"/>
        <w:gridCol w:w="240"/>
        <w:gridCol w:w="770"/>
        <w:gridCol w:w="166"/>
        <w:gridCol w:w="166"/>
        <w:gridCol w:w="240"/>
        <w:gridCol w:w="770"/>
        <w:gridCol w:w="146"/>
        <w:gridCol w:w="146"/>
        <w:gridCol w:w="293"/>
        <w:gridCol w:w="877"/>
        <w:gridCol w:w="166"/>
        <w:gridCol w:w="391"/>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5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0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Dollar Change</w:t>
            </w:r>
          </w:p>
        </w:tc>
        <w:tc>
          <w:tcPr>
            <w:tcW w:w="16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Sales channel mix</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 sales channel</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25,453</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Distributor channel</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Customer mix</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Academia and government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15,197</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790</w:t>
            </w:r>
          </w:p>
        </w:tc>
        <w:tc>
          <w:tcPr>
            <w:tcW w:w="16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036" w:type="dxa"/>
            <w:tcBorders/>
            <w:shd w:fill="auto" w:val="clear"/>
            <w:vAlign w:val="center"/>
          </w:tcPr>
          <w:p>
            <w:pPr>
              <w:pStyle w:val="TableContents"/>
              <w:spacing w:before="0" w:after="0"/>
              <w:ind w:left="200" w:right="0" w:hanging="0"/>
              <w:jc w:val="left"/>
              <w:rPr/>
            </w:pPr>
            <w:r>
              <w:rPr/>
              <w:t> </w:t>
            </w:r>
            <w:r>
              <w:rPr>
                <w:rFonts w:ascii="Times New Roman;serif" w:hAnsi="Times New Roman;serif"/>
                <w:b w:val="false"/>
                <w:sz w:val="20"/>
              </w:rPr>
              <w:t>Biotechnology, pharmaceutical, distributor and</w:t>
              <w:br/>
              <w:t>   CRO</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21,891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shd w:fill="auto" w:val="clear"/>
            <w:vAlign w:val="center"/>
          </w:tcPr>
          <w:p>
            <w:pPr>
              <w:pStyle w:val="TableContents"/>
              <w:spacing w:before="0" w:after="0"/>
              <w:ind w:left="0" w:right="0" w:hanging="0"/>
              <w:jc w:val="righ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120" w:after="120"/>
        <w:jc w:val="both"/>
        <w:rPr>
          <w:rFonts w:ascii="Times New Roman" w:hAnsi="Times New Roman"/>
          <w:sz w:val="20"/>
        </w:rPr>
      </w:pPr>
      <w:r>
        <w:rPr>
          <w:rFonts w:ascii="Times New Roman;serif" w:hAnsi="Times New Roman;serif"/>
          <w:b w:val="false"/>
          <w:sz w:val="20"/>
        </w:rPr>
        <w:t>Distributors typically sell to end customers identified in other customer categories.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sz w:val="20"/>
        </w:rPr>
        <w:t>Known Trends, Events and Uncertainties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recent trends towards rising inflation may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or future public health crises, the ongoing conflict between Russia and Ukraine, or liquidity concerns at, and failure of, banks and other financial institutions.</w:t>
      </w:r>
    </w:p>
    <w:p>
      <w:pPr>
        <w:pStyle w:val="TextBody"/>
        <w:spacing w:before="120" w:after="120"/>
        <w:jc w:val="both"/>
        <w:rPr>
          <w:rFonts w:ascii="Times New Roman" w:hAnsi="Times New Roman"/>
          <w:sz w:val="20"/>
        </w:rPr>
      </w:pPr>
      <w:r>
        <w:rPr>
          <w:rFonts w:ascii="Times New Roman;serif" w:hAnsi="Times New Roman;serif"/>
          <w:b w:val="false"/>
          <w:sz w:val="20"/>
        </w:rPr>
        <w:t>Many of our pharmaceutical and biotech customers based in the United States have been impacted by macro-economic uncertainties related to the weakening economy, liquidity concerns in the broader financial services industry, such as those caused by recent banking failures, disruptions to and volatility in the credit and equity markets, and rising interest rates. We believe these factors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contributed to longer sales cycles, which adversely impacted our operating results for the three months ended March 31, 2023, and may adversely affect our operating results in the future.</w:t>
      </w:r>
    </w:p>
    <w:p>
      <w:pPr>
        <w:pStyle w:val="TextBody"/>
        <w:spacing w:before="120" w:after="12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Total revenue, net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currently generate our total revenue, net from product revenue and service revenue.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Product</w:t>
      </w:r>
      <w:r>
        <w:rPr>
          <w:rFonts w:ascii="Times New Roman;serif" w:hAnsi="Times New Roman;serif"/>
          <w:b w:val="false"/>
          <w:sz w:val="20"/>
        </w:rPr>
        <w:t>. Our product revenue primarily consists of sales of our instruments, including the Aurora, Northern Lights and Aurora CS systems, instrument accessories, such as loaders, and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i/>
          <w:sz w:val="20"/>
        </w:rPr>
        <w:t>Service</w:t>
      </w:r>
      <w:r>
        <w:rPr>
          <w:rFonts w:ascii="Times New Roman;serif" w:hAnsi="Times New Roman;serif"/>
          <w:b w:val="false"/>
          <w:sz w:val="20"/>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expect our revenue to increase in absolute dollars as we expand our sales organization and sales territories, broaden our customer base, and expand awareness of our products with new and existing customers. Our revenue was $37.1 million and $35.1 million for the three months ended March 31, 2023 and 2022, respectively.</w:t>
      </w:r>
    </w:p>
    <w:p>
      <w:pPr>
        <w:pStyle w:val="TextBody"/>
        <w:spacing w:before="120" w:after="120"/>
        <w:jc w:val="both"/>
        <w:rPr>
          <w:rFonts w:ascii="Times New Roman" w:hAnsi="Times New Roman"/>
          <w:sz w:val="20"/>
        </w:rPr>
      </w:pPr>
      <w:r>
        <w:rPr>
          <w:rFonts w:ascii="Times New Roman;serif" w:hAnsi="Times New Roman;serif"/>
          <w:b/>
          <w:i/>
          <w:sz w:val="20"/>
        </w:rPr>
        <w:t>Total cost of sales, gross profit and gross margin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total cost of sales is comprised of product cost of sales and service cost of sales.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 xml:space="preserve">Product. </w:t>
      </w:r>
      <w:r>
        <w:rPr>
          <w:rFonts w:ascii="Times New Roman;serif" w:hAnsi="Times New Roman;serif"/>
          <w:b w:val="false"/>
          <w:sz w:val="20"/>
        </w:rPr>
        <w:t>Cost of sales associated with our products primarily consist of manufacturing-related costs incurred in the production process, inventory write-downs, warranty costs, third party royalty costs, personnel and related costs, costs of component materials, overhead, packaging and delivery and depreciation expense.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Service</w:t>
      </w:r>
      <w:r>
        <w:rPr>
          <w:rFonts w:ascii="Times New Roman;serif" w:hAnsi="Times New Roman;serif"/>
          <w:b w:val="false"/>
          <w:sz w:val="20"/>
        </w:rPr>
        <w:t>. Cost of sales associated with our services primarily consists of personnel and related costs, expenses related to product replacements, product updates and qualification validation of our products and depreciation expense.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expect our total cost of sales to increase in absolute dollars in future periods, corresponding to our anticipated growth in revenue and employee headcount to support our manufacturing, operations, field service team and support organizations.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operating expenses are primarily comprised of research and development, sales and marketing, and general and administrative expenses, depreciation and amortization, and related overhead.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Research and development</w:t>
      </w:r>
      <w:r>
        <w:rPr>
          <w:rFonts w:ascii="Times New Roman;serif" w:hAnsi="Times New Roman;serif"/>
          <w:b w:val="false"/>
          <w:sz w:val="20"/>
        </w:rPr>
        <w:t>. Our research and development expenses primarily consist of salaries, benefits, stock-based compensation costs for employees in our research and development department, independent contractor costs, laboratory supplies, equipment maintenance and materials expenses.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Sales and marketing</w:t>
      </w:r>
      <w:r>
        <w:rPr>
          <w:rFonts w:ascii="Times New Roman;serif" w:hAnsi="Times New Roman;serif"/>
          <w:b w:val="false"/>
          <w:sz w:val="20"/>
        </w:rPr>
        <w:t>. Our sales and marketing expenses consist primarily of salaries, benefits, and stock-based compensation costs for employees in 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General and administrative</w:t>
      </w:r>
      <w:r>
        <w:rPr>
          <w:rFonts w:ascii="Times New Roman;serif" w:hAnsi="Times New Roman;serif"/>
          <w:b w:val="false"/>
          <w:sz w:val="20"/>
        </w:rPr>
        <w:t>. Our general and administrative expenses primarily consist of salaries, benefits, and stock-based compensation costs for 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expect these expenses to vary from period to period as a percentage of revenue.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r>
        <w:rPr>
          <w:rFonts w:ascii="Times New Roman;serif" w:hAnsi="Times New Roman;serif"/>
          <w:b w:val="false"/>
          <w:sz w:val="20"/>
        </w:rPr>
        <w:t>Interest expense consists primarily of accretion of the present value of the litigation settlement liability. See Note 11 to our unaudited interim consolidated financial statements included elsewhere in this Quarterly Report on Form 10-Q for further details regarding the settlement.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 xml:space="preserve">Interest income. </w:t>
      </w:r>
      <w:r>
        <w:rPr>
          <w:rFonts w:ascii="Times New Roman;serif" w:hAnsi="Times New Roman;serif"/>
          <w:b w:val="false"/>
          <w:sz w:val="20"/>
        </w:rPr>
        <w:t>Our interest income consists primarily of interest earned on our cash and cash equivalents which are invested in cash deposits and in money market funds.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i/>
          <w:sz w:val="20"/>
        </w:rPr>
        <w:t xml:space="preserve">Other income (expense), net. </w:t>
      </w:r>
      <w:r>
        <w:rPr>
          <w:rFonts w:ascii="Times New Roman;serif" w:hAnsi="Times New Roman;serif"/>
          <w:b w:val="false"/>
          <w:sz w:val="20"/>
        </w:rPr>
        <w:t>Our other income (expense), net consists primarily of foreign exchange gains and losses.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Comparison of the three months ended March 31, 2023 and 2022</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results of operations presented below should be reviewed in conjunction with the unaudited interim consolidated financial statements and related notes included elsewhere in this Quarterly Report on Form 10-Q.</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sets forth our consolidated results of operations and comprehensive income data for the periods presented:</w:t>
      </w:r>
      <w:r>
        <w:rPr>
          <w:rFonts w:ascii="Times New Roman" w:hAnsi="Times New Roman"/>
          <w:sz w:val="20"/>
        </w:rPr>
        <w:t xml:space="preserve"> </w:t>
      </w:r>
    </w:p>
    <w:tbl>
      <w:tblPr>
        <w:tblW w:w="7027" w:type="dxa"/>
        <w:jc w:val="left"/>
        <w:tblInd w:w="0" w:type="dxa"/>
        <w:tblCellMar>
          <w:top w:w="28" w:type="dxa"/>
          <w:left w:w="28" w:type="dxa"/>
          <w:bottom w:w="28" w:type="dxa"/>
          <w:right w:w="28" w:type="dxa"/>
        </w:tblCellMar>
      </w:tblPr>
      <w:tblGrid>
        <w:gridCol w:w="4216"/>
        <w:gridCol w:w="146"/>
        <w:gridCol w:w="231"/>
        <w:gridCol w:w="808"/>
        <w:gridCol w:w="182"/>
        <w:gridCol w:w="160"/>
        <w:gridCol w:w="231"/>
        <w:gridCol w:w="742"/>
        <w:gridCol w:w="31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9"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973"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right"/>
              <w:rPr/>
            </w:pPr>
            <w:r>
              <w:rPr/>
              <w:t> </w:t>
            </w:r>
          </w:p>
        </w:tc>
      </w:tr>
      <w:tr>
        <w:trPr/>
        <w:tc>
          <w:tcPr>
            <w:tcW w:w="42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net:</w:t>
            </w:r>
          </w:p>
        </w:tc>
        <w:tc>
          <w:tcPr>
            <w:tcW w:w="146" w:type="dxa"/>
            <w:tcBorders/>
            <w:shd w:fill="auto" w:val="clear"/>
            <w:vAlign w:val="center"/>
          </w:tcPr>
          <w:p>
            <w:pPr>
              <w:pStyle w:val="TableContents"/>
              <w:spacing w:before="0" w:after="0"/>
              <w:ind w:left="0" w:right="0" w:hanging="0"/>
              <w:jc w:val="left"/>
              <w:rPr/>
            </w:pPr>
            <w:r>
              <w:rPr/>
              <w:t> </w:t>
            </w:r>
          </w:p>
        </w:tc>
        <w:tc>
          <w:tcPr>
            <w:tcW w:w="1039" w:type="dxa"/>
            <w:gridSpan w:val="2"/>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973"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31,172</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31,481</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Service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5,916</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revenue, net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1039" w:type="dxa"/>
            <w:gridSpan w:val="2"/>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973"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12,677</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11,767</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Service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3,373</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cost of sales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16,050</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14,887</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21,038</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20,177</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39" w:type="dxa"/>
            <w:gridSpan w:val="2"/>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973"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9,974</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8,025</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11,145</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6,960</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12,081</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7,549</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33,200</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22,534</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(12,162</w:t>
            </w:r>
          </w:p>
        </w:tc>
        <w:tc>
          <w:tcPr>
            <w:tcW w:w="1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(2,357</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039" w:type="dxa"/>
            <w:gridSpan w:val="2"/>
            <w:tcBorders/>
            <w:shd w:fill="auto" w:val="clear"/>
            <w:vAlign w:val="center"/>
          </w:tcPr>
          <w:p>
            <w:pPr>
              <w:pStyle w:val="TableContents"/>
              <w:spacing w:before="0" w:after="0"/>
              <w:ind w:left="0" w:right="0" w:hanging="0"/>
              <w:jc w:val="right"/>
              <w:rPr/>
            </w:pPr>
            <w:r>
              <w:rPr/>
              <w:t> </w:t>
            </w:r>
          </w:p>
        </w:tc>
        <w:tc>
          <w:tcPr>
            <w:tcW w:w="182" w:type="dxa"/>
            <w:tcBorders/>
            <w:shd w:fill="auto" w:val="clear"/>
            <w:vAlign w:val="center"/>
          </w:tcPr>
          <w:p>
            <w:pPr>
              <w:pStyle w:val="TableContents"/>
              <w:spacing w:before="0" w:after="0"/>
              <w:ind w:left="0" w:right="0" w:hanging="0"/>
              <w:jc w:val="righ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973"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firstLine="100"/>
              <w:jc w:val="right"/>
              <w:rPr/>
            </w:pPr>
            <w:r>
              <w:rPr/>
              <w:t> </w:t>
            </w:r>
          </w:p>
        </w:tc>
      </w:tr>
      <w:tr>
        <w:trPr/>
        <w:tc>
          <w:tcPr>
            <w:tcW w:w="42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1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182" w:type="dxa"/>
            <w:tcBorders/>
            <w:shd w:fill="auto" w:val="clear"/>
            <w:vAlign w:val="center"/>
          </w:tcPr>
          <w:p>
            <w:pPr>
              <w:pStyle w:val="TableContents"/>
              <w:spacing w:before="0" w:after="0"/>
              <w:ind w:left="0" w:right="0" w:hanging="0"/>
              <w:jc w:val="left"/>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1,652</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(9,040</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(3,303</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(2,233</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currency translation adjustment, net of tax</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74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21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comprehensive loss</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(6,697</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(2,144</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 w:hAnsi="Times New Roman"/>
          <w:sz w:val="20"/>
        </w:rPr>
      </w:pPr>
      <w:r>
        <w:rPr>
          <w:rFonts w:ascii="Times New Roman;serif" w:hAnsi="Times New Roman;serif"/>
          <w:b/>
          <w:i/>
          <w:sz w:val="20"/>
        </w:rPr>
        <w:t>Total revenue, net</w:t>
      </w:r>
      <w:r>
        <w:rPr>
          <w:rFonts w:ascii="Times New Roman" w:hAnsi="Times New Roman"/>
          <w:sz w:val="20"/>
        </w:rPr>
        <w:t xml:space="preserve"> </w:t>
      </w:r>
    </w:p>
    <w:tbl>
      <w:tblPr>
        <w:tblW w:w="7273" w:type="dxa"/>
        <w:jc w:val="left"/>
        <w:tblInd w:w="0" w:type="dxa"/>
        <w:tblCellMar>
          <w:top w:w="28" w:type="dxa"/>
          <w:left w:w="28" w:type="dxa"/>
          <w:bottom w:w="28" w:type="dxa"/>
          <w:right w:w="28" w:type="dxa"/>
        </w:tblCellMar>
      </w:tblPr>
      <w:tblGrid>
        <w:gridCol w:w="2611"/>
        <w:gridCol w:w="146"/>
        <w:gridCol w:w="240"/>
        <w:gridCol w:w="770"/>
        <w:gridCol w:w="166"/>
        <w:gridCol w:w="166"/>
        <w:gridCol w:w="240"/>
        <w:gridCol w:w="770"/>
        <w:gridCol w:w="146"/>
        <w:gridCol w:w="146"/>
        <w:gridCol w:w="211"/>
        <w:gridCol w:w="571"/>
        <w:gridCol w:w="166"/>
        <w:gridCol w:w="146"/>
        <w:gridCol w:w="146"/>
        <w:gridCol w:w="316"/>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net</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01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31,172</w:t>
            </w:r>
          </w:p>
        </w:tc>
        <w:tc>
          <w:tcPr>
            <w:tcW w:w="16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Service</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 net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 w:hAnsi="Times New Roman"/>
          <w:sz w:val="20"/>
        </w:rPr>
      </w:pPr>
      <w:r>
        <w:rPr>
          <w:rFonts w:ascii="Times New Roman;serif" w:hAnsi="Times New Roman;serif"/>
          <w:b w:val="false"/>
          <w:sz w:val="20"/>
        </w:rPr>
        <w:t>Total revenue, net increased by $2.0 million, or 6%, for the three months ended March 31, 2023 as compared to the three months ended March 31, 2022. The increase in revenue was driven by revenue of $3.4 million from the FCI business unit acquired on February 28, 2023. During the three months ended March 31, 2023, service revenue increased by $2.3 million, or 65%, to $5.9 million, compared to the three months ended March 31, 2022 due to more instruments coming off warranty offset partially by a decrease in product revenue of $0.3 million or 1.0%, to $31.2 million, for the three months ended March 31, 2023 as compared to the three months ended March 31, 2022. The decrease in product revenue was primarily driven by fewer than expected sales of the Cytek Aurora and Northern Lights cell analyzers and the Aurora CS cell sorter.</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Total cost of sales, gross profit and gross margin</w:t>
      </w:r>
      <w:r>
        <w:rPr>
          <w:rFonts w:ascii="Times New Roman" w:hAnsi="Times New Roman"/>
          <w:sz w:val="20"/>
        </w:rPr>
        <w:t xml:space="preserve"> </w:t>
      </w:r>
    </w:p>
    <w:tbl>
      <w:tblPr>
        <w:tblW w:w="7272" w:type="dxa"/>
        <w:jc w:val="left"/>
        <w:tblInd w:w="0" w:type="dxa"/>
        <w:tblCellMar>
          <w:top w:w="28" w:type="dxa"/>
          <w:left w:w="28" w:type="dxa"/>
          <w:bottom w:w="28" w:type="dxa"/>
          <w:right w:w="28" w:type="dxa"/>
        </w:tblCellMar>
      </w:tblPr>
      <w:tblGrid>
        <w:gridCol w:w="2611"/>
        <w:gridCol w:w="146"/>
        <w:gridCol w:w="226"/>
        <w:gridCol w:w="726"/>
        <w:gridCol w:w="291"/>
        <w:gridCol w:w="156"/>
        <w:gridCol w:w="226"/>
        <w:gridCol w:w="726"/>
        <w:gridCol w:w="271"/>
        <w:gridCol w:w="146"/>
        <w:gridCol w:w="211"/>
        <w:gridCol w:w="571"/>
        <w:gridCol w:w="146"/>
        <w:gridCol w:w="146"/>
        <w:gridCol w:w="146"/>
        <w:gridCol w:w="211"/>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12,677</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Service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cost of sales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16,050</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14,887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21,038</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20,177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Total cost of sales increased by $1.2 million, or 8%, for the three months ended March 31, 2023 as compared to the three months ended March 31, 2022. The increase in cost of sales was driven by increases in service revenue, primarily due to increased material costs for the three months ended March 31, 2023 as compared to the three months ended March 31, 2022.</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Total gross profit margin was 57% and 58% as a percent of total revenue for the three months ended March 31, 2023 and 2022, respectively. Gross profit margin depends on many factors, including market conditions that might affect our pricing; services; product mix changes between instrument configurations; excess and obsolete inventories; our cost structure for manufacturing operations relative to volume, freight costs and product support.</w:t>
      </w:r>
    </w:p>
    <w:tbl>
      <w:tblPr>
        <w:tblW w:w="7562" w:type="dxa"/>
        <w:jc w:val="left"/>
        <w:tblInd w:w="0" w:type="dxa"/>
        <w:tblCellMar>
          <w:top w:w="28" w:type="dxa"/>
          <w:left w:w="28" w:type="dxa"/>
          <w:bottom w:w="28" w:type="dxa"/>
          <w:right w:w="28" w:type="dxa"/>
        </w:tblCellMar>
      </w:tblPr>
      <w:tblGrid>
        <w:gridCol w:w="2611"/>
        <w:gridCol w:w="146"/>
        <w:gridCol w:w="226"/>
        <w:gridCol w:w="726"/>
        <w:gridCol w:w="291"/>
        <w:gridCol w:w="156"/>
        <w:gridCol w:w="226"/>
        <w:gridCol w:w="726"/>
        <w:gridCol w:w="271"/>
        <w:gridCol w:w="146"/>
        <w:gridCol w:w="211"/>
        <w:gridCol w:w="631"/>
        <w:gridCol w:w="166"/>
        <w:gridCol w:w="146"/>
        <w:gridCol w:w="146"/>
        <w:gridCol w:w="421"/>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Product:</w:t>
            </w:r>
          </w:p>
        </w:tc>
        <w:tc>
          <w:tcPr>
            <w:tcW w:w="14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31,172</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31,481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12,677</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11,767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gross profit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18,495</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19,714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righ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Service:</w:t>
            </w:r>
          </w:p>
        </w:tc>
        <w:tc>
          <w:tcPr>
            <w:tcW w:w="14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952"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6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5,916</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Cost of sales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gross profit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2,543</w:t>
            </w:r>
          </w:p>
        </w:tc>
        <w:tc>
          <w:tcPr>
            <w:tcW w:w="291" w:type="dxa"/>
            <w:tcBorders/>
            <w:shd w:fill="auto" w:val="clear"/>
            <w:vAlign w:val="center"/>
          </w:tcPr>
          <w:p>
            <w:pPr>
              <w:pStyle w:val="TableContents"/>
              <w:spacing w:before="0" w:after="0"/>
              <w:ind w:left="0" w:right="0" w:hanging="0"/>
              <w:jc w:val="left"/>
              <w:rPr/>
            </w:pPr>
            <w:r>
              <w:rPr/>
              <w:t> </w:t>
            </w:r>
          </w:p>
        </w:tc>
        <w:tc>
          <w:tcPr>
            <w:tcW w:w="15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Gross margin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Product gross profit and product revenue for three months ended March 31, 2023 decreased 6% and 1%, respectively, as compared to the three months ended March 31, 2022. Product cost of sales for the three months ended March 31, 2023 increased by 8% as compared to the same period in 2022. The lower product gross margins in the three months ended March 31, 2023 compared to the three months ended March 31, 2022 were driven primarily by higher material costs and by less favorable instrument product mix.</w:t>
      </w:r>
    </w:p>
    <w:p>
      <w:pPr>
        <w:pStyle w:val="TextBody"/>
        <w:spacing w:before="120" w:after="120"/>
        <w:jc w:val="both"/>
        <w:rPr>
          <w:rFonts w:ascii="Times New Roman" w:hAnsi="Times New Roman"/>
          <w:sz w:val="20"/>
        </w:rPr>
      </w:pPr>
      <w:r>
        <w:rPr>
          <w:rFonts w:ascii="Times New Roman;serif" w:hAnsi="Times New Roman;serif"/>
          <w:b w:val="false"/>
          <w:sz w:val="20"/>
        </w:rPr>
        <w:t>Service gross profit and service revenue for the three months ended March 31, 2023 increased 449% and 65%, respectively, as compared to the three months ended March 31, 2022. Service cost of sales for the three months ended March 31, 2023 increased by 8% as compared to the same period in 2022. The higher service gross margins in the three months ended March 31, 2023 compared to the three months ended March 31, 2022 were mainly driven by continued growth in the instruments installed base with more instrument coming off warranty.</w:t>
        <w:br/>
      </w:r>
      <w:r>
        <w:rPr>
          <w:rFonts w:ascii="Times New Roman" w:hAnsi="Times New Roman"/>
          <w:sz w:val="20"/>
        </w:rPr>
        <w:t> </w:t>
      </w:r>
    </w:p>
    <w:p>
      <w:pPr>
        <w:pStyle w:val="TextBody"/>
        <w:spacing w:before="120" w:after="120"/>
        <w:jc w:val="both"/>
        <w:rPr>
          <w:rFonts w:ascii="Times New Roman;serif" w:hAnsi="Times New Roman;serif"/>
          <w:b/>
          <w:i/>
          <w:sz w:val="20"/>
        </w:rPr>
      </w:pPr>
      <w:r>
        <w:rPr>
          <w:rFonts w:ascii="Times New Roman;serif" w:hAnsi="Times New Roman;serif"/>
          <w:b/>
          <w:i/>
          <w:sz w:val="20"/>
        </w:rPr>
        <w:t>Operating expenses</w:t>
      </w:r>
    </w:p>
    <w:p>
      <w:pPr>
        <w:pStyle w:val="TextBody"/>
        <w:spacing w:before="120" w:after="120"/>
        <w:jc w:val="both"/>
        <w:rPr>
          <w:rFonts w:ascii="Times New Roman" w:hAnsi="Times New Roman"/>
          <w:sz w:val="20"/>
        </w:rPr>
      </w:pPr>
      <w:r>
        <w:rPr>
          <w:rFonts w:ascii="Times New Roman;serif" w:hAnsi="Times New Roman;serif"/>
          <w:b w:val="false"/>
          <w:i/>
          <w:sz w:val="20"/>
        </w:rPr>
        <w:t>Research and development</w:t>
      </w:r>
      <w:r>
        <w:rPr>
          <w:rFonts w:ascii="Times New Roman" w:hAnsi="Times New Roman"/>
          <w:sz w:val="20"/>
        </w:rPr>
        <w:t xml:space="preserve"> </w:t>
      </w:r>
    </w:p>
    <w:tbl>
      <w:tblPr>
        <w:tblW w:w="7253" w:type="dxa"/>
        <w:jc w:val="left"/>
        <w:tblInd w:w="0" w:type="dxa"/>
        <w:tblCellMar>
          <w:top w:w="28" w:type="dxa"/>
          <w:left w:w="28" w:type="dxa"/>
          <w:bottom w:w="28" w:type="dxa"/>
          <w:right w:w="28" w:type="dxa"/>
        </w:tblCellMar>
      </w:tblPr>
      <w:tblGrid>
        <w:gridCol w:w="2611"/>
        <w:gridCol w:w="146"/>
        <w:gridCol w:w="267"/>
        <w:gridCol w:w="724"/>
        <w:gridCol w:w="185"/>
        <w:gridCol w:w="185"/>
        <w:gridCol w:w="267"/>
        <w:gridCol w:w="724"/>
        <w:gridCol w:w="146"/>
        <w:gridCol w:w="146"/>
        <w:gridCol w:w="211"/>
        <w:gridCol w:w="571"/>
        <w:gridCol w:w="146"/>
        <w:gridCol w:w="146"/>
        <w:gridCol w:w="146"/>
        <w:gridCol w:w="316"/>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9,974</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Research and development expenses were $10.0 million for the three months ended March 31, 2023 as compared to $8.0 million for the three months ended March 31, 2022. The increase of $1.9 million in research and development expenses was primarily due to an increase in headcount and personnel-related expenses of $2.1 million, including stock-based compensation of $0.2 million.</w:t>
      </w:r>
    </w:p>
    <w:p>
      <w:pPr>
        <w:pStyle w:val="TextBody"/>
        <w:spacing w:before="120" w:after="120"/>
        <w:jc w:val="both"/>
        <w:rPr>
          <w:rFonts w:ascii="Times New Roman" w:hAnsi="Times New Roman"/>
          <w:sz w:val="20"/>
        </w:rPr>
      </w:pPr>
      <w:r>
        <w:rPr>
          <w:rFonts w:ascii="Times New Roman;serif" w:hAnsi="Times New Roman;serif"/>
          <w:b w:val="false"/>
          <w:sz w:val="20"/>
        </w:rPr>
        <w:t>We expect our research and development expense to increase in absolute dollars as we continue to develop new products and enhance existing instruments and technologies.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Sales and marketing</w:t>
      </w:r>
      <w:r>
        <w:rPr>
          <w:rFonts w:ascii="Times New Roman" w:hAnsi="Times New Roman"/>
          <w:sz w:val="20"/>
        </w:rPr>
        <w:t xml:space="preserve"> </w:t>
      </w:r>
    </w:p>
    <w:tbl>
      <w:tblPr>
        <w:tblW w:w="7255" w:type="dxa"/>
        <w:jc w:val="left"/>
        <w:tblInd w:w="0" w:type="dxa"/>
        <w:tblCellMar>
          <w:top w:w="28" w:type="dxa"/>
          <w:left w:w="28" w:type="dxa"/>
          <w:bottom w:w="28" w:type="dxa"/>
          <w:right w:w="28" w:type="dxa"/>
        </w:tblCellMar>
      </w:tblPr>
      <w:tblGrid>
        <w:gridCol w:w="2611"/>
        <w:gridCol w:w="146"/>
        <w:gridCol w:w="253"/>
        <w:gridCol w:w="812"/>
        <w:gridCol w:w="175"/>
        <w:gridCol w:w="175"/>
        <w:gridCol w:w="253"/>
        <w:gridCol w:w="686"/>
        <w:gridCol w:w="146"/>
        <w:gridCol w:w="146"/>
        <w:gridCol w:w="211"/>
        <w:gridCol w:w="571"/>
        <w:gridCol w:w="146"/>
        <w:gridCol w:w="146"/>
        <w:gridCol w:w="146"/>
        <w:gridCol w:w="316"/>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11,145</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 w:hAnsi="Times New Roman"/>
          <w:sz w:val="20"/>
        </w:rPr>
      </w:pPr>
      <w:r>
        <w:rPr>
          <w:rFonts w:ascii="Times New Roman;serif" w:hAnsi="Times New Roman;serif"/>
          <w:b w:val="false"/>
          <w:sz w:val="20"/>
        </w:rPr>
        <w:t>Sales and marketing expenses were $11.1 million for the three months ended March 31, 2023 as compared to $7.0 million for the three months ended March 31, 2022. The increase of $4.2 million in sales and marketing expenses was primarily due to an increase in headcount and personnel-related expenses of $2.8 million, including stock-based compensation of $0.2 million.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General and administrative</w:t>
      </w:r>
      <w:r>
        <w:rPr>
          <w:rFonts w:ascii="Times New Roman" w:hAnsi="Times New Roman"/>
          <w:sz w:val="20"/>
        </w:rPr>
        <w:t xml:space="preserve"> </w:t>
      </w:r>
    </w:p>
    <w:tbl>
      <w:tblPr>
        <w:tblW w:w="7255" w:type="dxa"/>
        <w:jc w:val="left"/>
        <w:tblInd w:w="0" w:type="dxa"/>
        <w:tblCellMar>
          <w:top w:w="28" w:type="dxa"/>
          <w:left w:w="28" w:type="dxa"/>
          <w:bottom w:w="28" w:type="dxa"/>
          <w:right w:w="28" w:type="dxa"/>
        </w:tblCellMar>
      </w:tblPr>
      <w:tblGrid>
        <w:gridCol w:w="2611"/>
        <w:gridCol w:w="146"/>
        <w:gridCol w:w="253"/>
        <w:gridCol w:w="812"/>
        <w:gridCol w:w="175"/>
        <w:gridCol w:w="175"/>
        <w:gridCol w:w="253"/>
        <w:gridCol w:w="686"/>
        <w:gridCol w:w="146"/>
        <w:gridCol w:w="146"/>
        <w:gridCol w:w="211"/>
        <w:gridCol w:w="571"/>
        <w:gridCol w:w="146"/>
        <w:gridCol w:w="146"/>
        <w:gridCol w:w="146"/>
        <w:gridCol w:w="316"/>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12,081</w:t>
            </w:r>
          </w:p>
        </w:tc>
        <w:tc>
          <w:tcPr>
            <w:tcW w:w="175" w:type="dxa"/>
            <w:tcBorders/>
            <w:shd w:fill="auto" w:val="clear"/>
            <w:vAlign w:val="center"/>
          </w:tcPr>
          <w:p>
            <w:pPr>
              <w:pStyle w:val="TableContents"/>
              <w:spacing w:before="0" w:after="0"/>
              <w:ind w:left="0" w:right="0" w:hanging="0"/>
              <w:jc w:val="left"/>
              <w:rPr/>
            </w:pPr>
            <w:r>
              <w:rPr/>
              <w:t> </w:t>
            </w:r>
          </w:p>
        </w:tc>
        <w:tc>
          <w:tcPr>
            <w:tcW w:w="175" w:type="dxa"/>
            <w:tcBorders/>
            <w:shd w:fill="auto" w:val="clear"/>
            <w:vAlign w:val="center"/>
          </w:tcPr>
          <w:p>
            <w:pPr>
              <w:pStyle w:val="TableContents"/>
              <w:spacing w:before="0" w:after="0"/>
              <w:ind w:left="0" w:right="0" w:hanging="0"/>
              <w:jc w:val="left"/>
              <w:rPr/>
            </w:pPr>
            <w:r>
              <w:rPr/>
              <w:t> </w:t>
            </w:r>
          </w:p>
        </w:tc>
        <w:tc>
          <w:tcPr>
            <w:tcW w:w="25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General and administrative expenses were $12.1 million for the three months ended March 31, 2023 as compared to $7.5 million for the three months ended March 31, 2022. The increase of $4.5 million in general and administrative expenses was primarily due to an increase in general corporate personnel-related costs of $2.1 million, including stock-based compensation of $0.6 million, and infrastructure services to support the growth of our overall operations.</w:t>
      </w:r>
    </w:p>
    <w:p>
      <w:pPr>
        <w:pStyle w:val="TextBody"/>
        <w:spacing w:before="120" w:after="120"/>
        <w:jc w:val="both"/>
        <w:rPr>
          <w:rFonts w:ascii="Times New Roman" w:hAnsi="Times New Roman"/>
          <w:sz w:val="20"/>
        </w:rPr>
      </w:pPr>
      <w:r>
        <w:rPr>
          <w:rFonts w:ascii="Times New Roman;serif" w:hAnsi="Times New Roman;serif"/>
          <w:b w:val="false"/>
          <w:sz w:val="20"/>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Interest expense</w:t>
      </w:r>
      <w:r>
        <w:rPr>
          <w:rFonts w:ascii="Times New Roman" w:hAnsi="Times New Roman"/>
          <w:sz w:val="20"/>
        </w:rPr>
        <w:t xml:space="preserve"> </w:t>
      </w:r>
    </w:p>
    <w:tbl>
      <w:tblPr>
        <w:tblW w:w="7204" w:type="dxa"/>
        <w:jc w:val="left"/>
        <w:tblInd w:w="0" w:type="dxa"/>
        <w:tblCellMar>
          <w:top w:w="28" w:type="dxa"/>
          <w:left w:w="28" w:type="dxa"/>
          <w:bottom w:w="28" w:type="dxa"/>
          <w:right w:w="28" w:type="dxa"/>
        </w:tblCellMar>
      </w:tblPr>
      <w:tblGrid>
        <w:gridCol w:w="2611"/>
        <w:gridCol w:w="146"/>
        <w:gridCol w:w="293"/>
        <w:gridCol w:w="668"/>
        <w:gridCol w:w="230"/>
        <w:gridCol w:w="202"/>
        <w:gridCol w:w="293"/>
        <w:gridCol w:w="668"/>
        <w:gridCol w:w="166"/>
        <w:gridCol w:w="146"/>
        <w:gridCol w:w="193"/>
        <w:gridCol w:w="498"/>
        <w:gridCol w:w="166"/>
        <w:gridCol w:w="146"/>
        <w:gridCol w:w="146"/>
        <w:gridCol w:w="316"/>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2" w:type="dxa"/>
            <w:tcBorders/>
            <w:shd w:fill="auto" w:val="clear"/>
            <w:vAlign w:val="center"/>
          </w:tcPr>
          <w:p>
            <w:pPr>
              <w:pStyle w:val="TableContents"/>
              <w:spacing w:before="0" w:after="0"/>
              <w:ind w:left="0" w:right="0" w:hanging="0"/>
              <w:jc w:val="left"/>
              <w:rPr/>
            </w:pPr>
            <w:r>
              <w:rPr/>
              <w:t> </w:t>
            </w:r>
          </w:p>
        </w:tc>
        <w:tc>
          <w:tcPr>
            <w:tcW w:w="2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93" w:type="dxa"/>
            <w:tcBorders/>
            <w:shd w:fill="auto" w:val="clear"/>
            <w:vAlign w:val="center"/>
          </w:tcPr>
          <w:p>
            <w:pPr>
              <w:pStyle w:val="TableContents"/>
              <w:spacing w:before="0" w:after="0"/>
              <w:ind w:left="0" w:right="0" w:hanging="0"/>
              <w:jc w:val="left"/>
              <w:rPr/>
            </w:pPr>
            <w:r>
              <w:rPr/>
              <w:t> </w:t>
            </w:r>
          </w:p>
        </w:tc>
        <w:tc>
          <w:tcPr>
            <w:tcW w:w="4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Interest expense was $0.7 million for the three months ended March 31, 2023 as compared to $0.6 million for the three months ended March 31, 2022. The increase was mainly due to the accretion of the present value discount related to the settlement agreement with Becton, Dickinson and Company (“BD”). See Note 11 to our unaudited interim consolidated financial statements included elsewhere in this Quarterly Report on Form 10-Q for further details.</w:t>
      </w:r>
    </w:p>
    <w:p>
      <w:pPr>
        <w:pStyle w:val="TextBody"/>
        <w:spacing w:before="120" w:after="120"/>
        <w:jc w:val="both"/>
        <w:rPr>
          <w:rFonts w:ascii="Times New Roman" w:hAnsi="Times New Roman"/>
          <w:sz w:val="20"/>
        </w:rPr>
      </w:pPr>
      <w:r>
        <w:rPr>
          <w:rFonts w:ascii="Times New Roman;serif" w:hAnsi="Times New Roman;serif"/>
          <w:b/>
          <w:i/>
          <w:sz w:val="20"/>
        </w:rPr>
        <w:t>Interest income</w:t>
      </w:r>
      <w:r>
        <w:rPr>
          <w:rFonts w:ascii="Times New Roman" w:hAnsi="Times New Roman"/>
          <w:sz w:val="20"/>
        </w:rPr>
        <w:t xml:space="preserve"> </w:t>
      </w:r>
    </w:p>
    <w:tbl>
      <w:tblPr>
        <w:tblW w:w="7504" w:type="dxa"/>
        <w:jc w:val="left"/>
        <w:tblInd w:w="0" w:type="dxa"/>
        <w:tblCellMar>
          <w:top w:w="28" w:type="dxa"/>
          <w:left w:w="28" w:type="dxa"/>
          <w:bottom w:w="28" w:type="dxa"/>
          <w:right w:w="28" w:type="dxa"/>
        </w:tblCellMar>
      </w:tblPr>
      <w:tblGrid>
        <w:gridCol w:w="2611"/>
        <w:gridCol w:w="146"/>
        <w:gridCol w:w="310"/>
        <w:gridCol w:w="840"/>
        <w:gridCol w:w="214"/>
        <w:gridCol w:w="214"/>
        <w:gridCol w:w="310"/>
        <w:gridCol w:w="465"/>
        <w:gridCol w:w="146"/>
        <w:gridCol w:w="146"/>
        <w:gridCol w:w="146"/>
        <w:gridCol w:w="571"/>
        <w:gridCol w:w="146"/>
        <w:gridCol w:w="146"/>
        <w:gridCol w:w="146"/>
        <w:gridCol w:w="631"/>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214"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3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11806</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 w:hAnsi="Times New Roman"/>
          <w:sz w:val="20"/>
        </w:rPr>
      </w:pPr>
      <w:r>
        <w:rPr>
          <w:rFonts w:ascii="Times New Roman;serif" w:hAnsi="Times New Roman;serif"/>
          <w:b w:val="false"/>
          <w:sz w:val="20"/>
        </w:rPr>
        <w:t>Interest income was $2.1 million and $18,000 for the three months ended March 31, 2023 and 2022, respectively. The increase in interest income was the result of higher interest earned on our cash and cash equivalents due to an increase in interest rates as compared to 2022.</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tbl>
      <w:tblPr>
        <w:tblW w:w="7373" w:type="dxa"/>
        <w:jc w:val="left"/>
        <w:tblInd w:w="0" w:type="dxa"/>
        <w:tblCellMar>
          <w:top w:w="28" w:type="dxa"/>
          <w:left w:w="28" w:type="dxa"/>
          <w:bottom w:w="28" w:type="dxa"/>
          <w:right w:w="28" w:type="dxa"/>
        </w:tblCellMar>
      </w:tblPr>
      <w:tblGrid>
        <w:gridCol w:w="2611"/>
        <w:gridCol w:w="146"/>
        <w:gridCol w:w="281"/>
        <w:gridCol w:w="761"/>
        <w:gridCol w:w="194"/>
        <w:gridCol w:w="194"/>
        <w:gridCol w:w="281"/>
        <w:gridCol w:w="641"/>
        <w:gridCol w:w="166"/>
        <w:gridCol w:w="146"/>
        <w:gridCol w:w="146"/>
        <w:gridCol w:w="571"/>
        <w:gridCol w:w="146"/>
        <w:gridCol w:w="146"/>
        <w:gridCol w:w="146"/>
        <w:gridCol w:w="481"/>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1,652</w:t>
            </w:r>
          </w:p>
        </w:tc>
        <w:tc>
          <w:tcPr>
            <w:tcW w:w="194" w:type="dxa"/>
            <w:tcBorders/>
            <w:shd w:fill="auto" w:val="clear"/>
            <w:vAlign w:val="center"/>
          </w:tcPr>
          <w:p>
            <w:pPr>
              <w:pStyle w:val="TableContents"/>
              <w:spacing w:before="0" w:after="0"/>
              <w:ind w:left="0" w:right="0" w:hanging="0"/>
              <w:jc w:val="left"/>
              <w:rPr/>
            </w:pPr>
            <w:r>
              <w:rPr/>
              <w:t> </w:t>
            </w:r>
          </w:p>
        </w:tc>
        <w:tc>
          <w:tcPr>
            <w:tcW w:w="194"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Other income, net was $1.7 million for the three months ended March 31, 2023 as compared to other expense, net of $0.4 million for the three months ended March 31, 2022, respectively. The income was primarily from the short term investment.</w:t>
      </w:r>
    </w:p>
    <w:p>
      <w:pPr>
        <w:pStyle w:val="TextBody"/>
        <w:spacing w:before="120" w:after="120"/>
        <w:jc w:val="both"/>
        <w:rPr>
          <w:rFonts w:ascii="Times New Roman;serif" w:hAnsi="Times New Roman;serif"/>
          <w:b/>
          <w:i/>
          <w:sz w:val="20"/>
        </w:rPr>
      </w:pPr>
      <w:r>
        <w:rPr>
          <w:rFonts w:ascii="Times New Roman;serif" w:hAnsi="Times New Roman;serif"/>
          <w:b/>
          <w:i/>
          <w:sz w:val="20"/>
        </w:rPr>
        <w:t>Income Taxes</w:t>
      </w:r>
    </w:p>
    <w:tbl>
      <w:tblPr>
        <w:tblW w:w="7289" w:type="dxa"/>
        <w:jc w:val="left"/>
        <w:tblInd w:w="0" w:type="dxa"/>
        <w:tblCellMar>
          <w:top w:w="28" w:type="dxa"/>
          <w:left w:w="28" w:type="dxa"/>
          <w:bottom w:w="28" w:type="dxa"/>
          <w:right w:w="28" w:type="dxa"/>
        </w:tblCellMar>
      </w:tblPr>
      <w:tblGrid>
        <w:gridCol w:w="2611"/>
        <w:gridCol w:w="146"/>
        <w:gridCol w:w="249"/>
        <w:gridCol w:w="744"/>
        <w:gridCol w:w="195"/>
        <w:gridCol w:w="172"/>
        <w:gridCol w:w="249"/>
        <w:gridCol w:w="744"/>
        <w:gridCol w:w="166"/>
        <w:gridCol w:w="146"/>
        <w:gridCol w:w="146"/>
        <w:gridCol w:w="631"/>
        <w:gridCol w:w="166"/>
        <w:gridCol w:w="146"/>
        <w:gridCol w:w="146"/>
        <w:gridCol w:w="316"/>
        <w:gridCol w:w="316"/>
      </w:tblGrid>
      <w:tr>
        <w:trPr/>
        <w:tc>
          <w:tcPr>
            <w:tcW w:w="26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 except percentages)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Benefit from income taxes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(2,233</w:t>
            </w:r>
          </w:p>
        </w:tc>
        <w:tc>
          <w:tcPr>
            <w:tcW w:w="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2"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serif" w:hAnsi="Times New Roman;serif"/>
          <w:b w:val="false"/>
          <w:sz w:val="20"/>
        </w:rPr>
      </w:pPr>
      <w:r>
        <w:rPr>
          <w:rFonts w:ascii="Times New Roman;serif" w:hAnsi="Times New Roman;serif"/>
          <w:b w:val="false"/>
          <w:sz w:val="20"/>
        </w:rPr>
        <w:t>Benefit from income tax was $2.2 million and $1.1 million for the three months ended March 31, 2023 and 2022, respectively. The net change of $1.1 million for the three months ended March 31, 2023 was primarily a result of a larger loss in the current year.</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sz w:val="20"/>
        </w:rPr>
      </w:pPr>
      <w:r>
        <w:rPr>
          <w:rFonts w:ascii="Times New Roman;serif" w:hAnsi="Times New Roman;serif"/>
          <w:b/>
          <w:sz w:val="20"/>
        </w:rPr>
        <w:t>Non-GAAP Financial Measure</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To supplement our unaudited interim consolidated financial statements presented in accordance with generally accepted accounting principles, we use constant currency revenue, which is a non-GAAP financial measure. We believe the presentation of revenue on a constant currency basis, in addition to results reported in accordance with U.S. GAAP, provides useful information about our operating performance because the constant currency presentation excludes the effects of foreign currency volatility and highlights our core operating results. The presentation of revenue on a constant currency basis should be considered in addition to, but not as a substitute for, measures of financial performance reported in accordance with U.S. GAAP. Revenue on a constant currency basis, as we present it, may not be comparable to similarly titled measures used by other companies.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The FX Impact is calculated as the difference between the current year amounts and the current year amounts translated at prior period average exchange rates. The FX Impact % represents the percentage change on a period-over-period basis adjusted for foreign currency impacts.</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presents a reconciliation of constant currency revenue to our reported net revenue for the periods indicated (in thousands, except percentages):</w:t>
      </w:r>
      <w:r>
        <w:rPr>
          <w:rFonts w:ascii="Times New Roman;serif" w:hAnsi="Times New Roman;serif"/>
          <w:b/>
          <w:sz w:val="20"/>
        </w:rPr>
        <w:br/>
      </w:r>
      <w:r>
        <w:rPr>
          <w:rFonts w:ascii="Times New Roman" w:hAnsi="Times New Roman"/>
          <w:sz w:val="20"/>
        </w:rPr>
        <w:t> </w:t>
      </w:r>
    </w:p>
    <w:tbl>
      <w:tblPr>
        <w:tblW w:w="6520" w:type="dxa"/>
        <w:jc w:val="left"/>
        <w:tblInd w:w="0" w:type="dxa"/>
        <w:tblCellMar>
          <w:top w:w="28" w:type="dxa"/>
          <w:left w:w="28" w:type="dxa"/>
          <w:bottom w:w="28" w:type="dxa"/>
          <w:right w:w="28" w:type="dxa"/>
        </w:tblCellMar>
      </w:tblPr>
      <w:tblGrid>
        <w:gridCol w:w="2521"/>
        <w:gridCol w:w="146"/>
        <w:gridCol w:w="277"/>
        <w:gridCol w:w="1283"/>
        <w:gridCol w:w="271"/>
        <w:gridCol w:w="146"/>
        <w:gridCol w:w="277"/>
        <w:gridCol w:w="1283"/>
        <w:gridCol w:w="316"/>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Revenue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Three months ended</w:t>
              <w:b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Three months ended</w:t>
              <w:br/>
              <w:t>March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0"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As reported</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37,088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35,064</w:t>
            </w:r>
          </w:p>
        </w:tc>
        <w:tc>
          <w:tcPr>
            <w:tcW w:w="316"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Non-GAAP constant currency</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38,073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35,496</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Impact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316"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FX Impact [%]</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7" w:type="dxa"/>
            <w:tcBorders/>
            <w:shd w:fill="auto" w:val="clear"/>
            <w:vAlign w:val="center"/>
          </w:tcPr>
          <w:p>
            <w:pPr>
              <w:pStyle w:val="TableContents"/>
              <w:spacing w:before="0" w:after="0"/>
              <w:ind w:left="0" w:right="0" w:hanging="0"/>
              <w:jc w:val="left"/>
              <w:rPr/>
            </w:pPr>
            <w:r>
              <w:rPr/>
              <w:t> </w:t>
            </w:r>
          </w:p>
        </w:tc>
        <w:tc>
          <w:tcPr>
            <w:tcW w:w="12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pPr>
      <w:r>
        <w:rPr/>
        <w:t> </w:t>
      </w:r>
    </w:p>
    <w:p>
      <w:pPr>
        <w:pStyle w:val="TextBody"/>
        <w:spacing w:before="120" w:after="120"/>
        <w:jc w:val="both"/>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To date, our primary sources of capital have been through sales of our securities and revenue from the sale of our products and services. As of March 31, 2023 and December 31, 2022, we had approximately $129.5 million and $296.6 million, respectively, in cash and cash equivalents, which were primarily held in U.S. short-term bank deposit accounts and money market funds.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Funding and material cash requirements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pStyle w:val="TextBody"/>
        <w:spacing w:before="120" w:after="120"/>
        <w:jc w:val="both"/>
        <w:rPr>
          <w:rFonts w:ascii="Times New Roman" w:hAnsi="Times New Roman"/>
          <w:sz w:val="20"/>
        </w:rPr>
      </w:pPr>
      <w:r>
        <w:rPr>
          <w:rFonts w:ascii="Times New Roman;serif" w:hAnsi="Times New Roman;serif"/>
          <w:b w:val="false"/>
          <w:sz w:val="20"/>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In addition, we lease certain office facilities under operating lease arrangements that expire on various dates through fiscal year 2027. Under the terms of the leases, we are responsible for certain expenses related to operations, maintenance, repairs and management fees. Future minimum lease payments under non-cancelable operating leases totaled $15.6 million as of March 31, 2023.</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pStyle w:val="TextBody"/>
        <w:spacing w:before="120" w:after="120"/>
        <w:jc w:val="both"/>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following table summarizes our cash flows for the periods presented:</w:t>
      </w:r>
      <w:r>
        <w:rPr>
          <w:rFonts w:ascii="Times New Roman" w:hAnsi="Times New Roman"/>
          <w:sz w:val="20"/>
        </w:rPr>
        <w:t xml:space="preserve"> </w:t>
      </w:r>
    </w:p>
    <w:tbl>
      <w:tblPr>
        <w:tblW w:w="9221" w:type="dxa"/>
        <w:jc w:val="left"/>
        <w:tblInd w:w="0" w:type="dxa"/>
        <w:tblCellMar>
          <w:top w:w="28" w:type="dxa"/>
          <w:left w:w="28" w:type="dxa"/>
          <w:bottom w:w="28" w:type="dxa"/>
          <w:right w:w="28" w:type="dxa"/>
        </w:tblCellMar>
      </w:tblPr>
      <w:tblGrid>
        <w:gridCol w:w="6331"/>
        <w:gridCol w:w="146"/>
        <w:gridCol w:w="225"/>
        <w:gridCol w:w="898"/>
        <w:gridCol w:w="177"/>
        <w:gridCol w:w="155"/>
        <w:gridCol w:w="225"/>
        <w:gridCol w:w="673"/>
        <w:gridCol w:w="391"/>
      </w:tblGrid>
      <w:tr>
        <w:trPr/>
        <w:tc>
          <w:tcPr>
            <w:tcW w:w="6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3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shd w:fill="auto" w:val="clear"/>
            <w:vAlign w:val="center"/>
          </w:tcPr>
          <w:p>
            <w:pPr>
              <w:pStyle w:val="TableContents"/>
              <w:spacing w:before="0" w:after="0"/>
              <w:ind w:left="0" w:right="0" w:hanging="0"/>
              <w:jc w:val="left"/>
              <w:rPr/>
            </w:pPr>
            <w:r>
              <w:rPr/>
              <w:t> </w:t>
            </w:r>
          </w:p>
        </w:tc>
        <w:tc>
          <w:tcPr>
            <w:tcW w:w="1123" w:type="dxa"/>
            <w:gridSpan w:val="2"/>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898"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63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2,858</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(168,874</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pPr>
            <w:r>
              <w:rPr/>
              <w:t>—</w:t>
            </w:r>
          </w:p>
        </w:tc>
        <w:tc>
          <w:tcPr>
            <w:tcW w:w="177"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391" w:type="dxa"/>
            <w:tcBorders/>
            <w:shd w:fill="auto" w:val="clear"/>
            <w:vAlign w:val="center"/>
          </w:tcPr>
          <w:p>
            <w:pPr>
              <w:pStyle w:val="TableContents"/>
              <w:spacing w:before="0" w:after="0"/>
              <w:ind w:left="0" w:right="0" w:firstLine="200"/>
              <w:jc w:val="left"/>
              <w:rPr/>
            </w:pPr>
            <w:r>
              <w:rPr/>
              <w:t> </w:t>
            </w:r>
          </w:p>
        </w:tc>
      </w:tr>
      <w:tr>
        <w:trPr/>
        <w:tc>
          <w:tcPr>
            <w:tcW w:w="63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exchange rate changes on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(167,106</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120"/>
        <w:jc w:val="both"/>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Net cash provided by operating activities for the three months ended March 31, 2023 was $2.9 million including net loss of $6.8 million. We also incurred non-cash provision for excess and obsolete inventory, stock-based compensation expense, depreciation and amortization, amortization of right-of-use assets, and interest expenses for accretion of the legal settlement liabilities of $0.5 million, $4.7 million, $1.0 million, $0.8 million, and $0.5 million, respectively. Usage of cash included an increase of inventories of $3.2 million, an decrease in lease liability of $0.7 million and a decrease in the legal settlement liability of $0.4 million. This was partially offset by a decrease of trade accounts receivable of $6.1 million due to seasonality with our first quarter typically being lower than our fourth quarter due to marketing campaign closing activity, a decrease in prepaid expenses and other assets of $0.1 million, an increase in accrued expenses and other liabilities of $1.8 million, and an increase of trade accounts payables of $0.3 million.</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Net cash used in operating activities for the three months ended March 31, 2022 was $1.5 million. We incurred non-cash stock-based compensation expense, depreciation and amortization, amortization of right-of-use assets, and interest expenses for accretion of the legal settlement liabilities of $3.8 million, $0.8 million, $0.7 million, and $0.5 million, respectively. Usage of cash included an increase of inventories of $5.9 million, an increase of trade accounts receivable of $1.0 million due to an increase in sales, and an increase in prepaid expenses and other assets of $4.2 million. This was partially offset by an increase of trade accounts payables of $2.8 million, an increase in deferred revenue of $2.6 million, an increase in the legal settlement liability of $0.5 million, and an increase in accrued expenses and other liabilities of $0.6 million..</w:t>
      </w:r>
    </w:p>
    <w:p>
      <w:pPr>
        <w:pStyle w:val="TextBody"/>
        <w:spacing w:before="120" w:after="120"/>
        <w:jc w:val="both"/>
        <w:rPr>
          <w:rFonts w:ascii="Times New Roman" w:hAnsi="Times New Roman"/>
          <w:sz w:val="20"/>
        </w:rPr>
      </w:pPr>
      <w:r>
        <w:rPr>
          <w:rFonts w:ascii="Times New Roman;serif" w:hAnsi="Times New Roman;serif"/>
          <w:b/>
          <w:i/>
          <w:sz w:val="20"/>
        </w:rPr>
        <w:t>Investing activities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Net cash used in investing activities during the three months ended March 31, 2023 was $168.9 million driven by purchases of marketable securities of $123.2 million, purchases of business of $44.9 million, purchases of property and equipment of $0.5 million, and payment of additional investments in Cytek Japan of $0.2 million.</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Net cash used in investing activities during the three months ended March 31, 2022 was $0.8 million driven by purchases of property and equipment of $0.8 million.</w:t>
      </w:r>
    </w:p>
    <w:p>
      <w:pPr>
        <w:pStyle w:val="TextBody"/>
        <w:spacing w:before="120" w:after="120"/>
        <w:jc w:val="both"/>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Financing activities during the three months ended March 31, 2023 contains issuance of our common stock under our equity incentive plans, offset by repayment of loan.</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Net cash provided by financing activities during the three months ended March 31, 2022 was $0.4 million driven by the issuance of common stock upon option exercises.</w:t>
      </w:r>
    </w:p>
    <w:p>
      <w:pPr>
        <w:pStyle w:val="TextBody"/>
        <w:spacing w:before="120" w:after="120"/>
        <w:jc w:val="both"/>
        <w:rPr>
          <w:rFonts w:ascii="Times New Roman;serif" w:hAnsi="Times New Roman;serif"/>
          <w:b/>
          <w:sz w:val="20"/>
        </w:rPr>
      </w:pPr>
      <w:r>
        <w:rPr>
          <w:rFonts w:ascii="Times New Roman;serif" w:hAnsi="Times New Roman;serif"/>
          <w:b/>
          <w:sz w:val="20"/>
        </w:rPr>
        <w:t>Contractual Obligations and Commitments</w:t>
      </w:r>
    </w:p>
    <w:p>
      <w:pPr>
        <w:pStyle w:val="TextBody"/>
        <w:spacing w:before="120" w:after="240"/>
        <w:jc w:val="both"/>
        <w:rPr>
          <w:rFonts w:ascii="Times New Roman" w:hAnsi="Times New Roman"/>
          <w:sz w:val="20"/>
        </w:rPr>
      </w:pPr>
      <w:r>
        <w:rPr>
          <w:rFonts w:ascii="Times New Roman;serif" w:hAnsi="Times New Roman;serif"/>
          <w:b w:val="false"/>
          <w:sz w:val="20"/>
        </w:rPr>
        <w:t>During the three months ended March 31, 2023, there were no material changes to our contractual obligations and commitments from those described under “Management’s Discussion and Analysis of Financial Condition” which is contained in our 10-K and filed with the SEC on March 1, 2023.</w:t>
        <w:br/>
      </w:r>
      <w:r>
        <w:rPr>
          <w:rFonts w:ascii="Times New Roman" w:hAnsi="Times New Roman"/>
          <w:sz w:val="20"/>
        </w:rPr>
        <w:t> </w:t>
      </w:r>
    </w:p>
    <w:p>
      <w:pPr>
        <w:pStyle w:val="TextBody"/>
        <w:spacing w:before="120" w:after="240"/>
        <w:jc w:val="both"/>
        <w:rPr>
          <w:rFonts w:ascii="Times New Roman;serif" w:hAnsi="Times New Roman;serif"/>
          <w:b/>
          <w:sz w:val="20"/>
        </w:rPr>
      </w:pPr>
      <w:r>
        <w:rPr>
          <w:rFonts w:ascii="Times New Roman;serif" w:hAnsi="Times New Roman;serif"/>
          <w:b/>
          <w:sz w:val="20"/>
        </w:rPr>
        <w:t>Off-balance sheet arrangements</w:t>
      </w:r>
    </w:p>
    <w:p>
      <w:pPr>
        <w:pStyle w:val="TextBody"/>
        <w:spacing w:before="120" w:after="240"/>
        <w:jc w:val="both"/>
        <w:rPr>
          <w:rFonts w:ascii="Times New Roman;serif" w:hAnsi="Times New Roman;serif"/>
          <w:b w:val="false"/>
          <w:sz w:val="20"/>
        </w:rPr>
      </w:pPr>
      <w:r>
        <w:rPr>
          <w:rFonts w:ascii="Times New Roman;serif" w:hAnsi="Times New Roman;serif"/>
          <w:b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120" w:after="120"/>
        <w:jc w:val="left"/>
        <w:rPr>
          <w:rFonts w:ascii="Times New Roman;serif" w:hAnsi="Times New Roman;serif"/>
          <w:b/>
          <w:sz w:val="20"/>
        </w:rPr>
      </w:pPr>
      <w:r>
        <w:rPr>
          <w:rFonts w:ascii="Times New Roman;serif" w:hAnsi="Times New Roman;serif"/>
          <w:b/>
          <w:sz w:val="20"/>
        </w:rPr>
        <w:t>Critical accounting policies, significant judgments and use of estimates</w:t>
      </w:r>
    </w:p>
    <w:p>
      <w:pPr>
        <w:pStyle w:val="TextBody"/>
        <w:spacing w:before="120" w:after="120"/>
        <w:jc w:val="both"/>
        <w:rPr>
          <w:rFonts w:ascii="Times New Roman" w:hAnsi="Times New Roman"/>
          <w:sz w:val="20"/>
        </w:rPr>
      </w:pPr>
      <w:r>
        <w:rPr>
          <w:rFonts w:ascii="Times New Roman;serif" w:hAnsi="Times New Roman;serif"/>
          <w:b w:val="false"/>
          <w:sz w:val="20"/>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2022 included in our Annual Report on Form 10-K filed with the SEC on March 1, 2023. There were no material changes to our critical accounting policies during the three months ended March 31, 2023.</w:t>
        <w:br/>
      </w:r>
      <w:r>
        <w:rPr>
          <w:rFonts w:ascii="Times New Roman" w:hAnsi="Times New Roman"/>
          <w:sz w:val="20"/>
        </w:rPr>
        <w:t> </w:t>
      </w:r>
    </w:p>
    <w:p>
      <w:pPr>
        <w:pStyle w:val="TextBody"/>
        <w:spacing w:before="120" w:after="120"/>
        <w:jc w:val="both"/>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 xml:space="preserve">Information with respect to this item may be found in Note 2, </w:t>
      </w:r>
      <w:r>
        <w:rPr>
          <w:rFonts w:ascii="Times New Roman;serif" w:hAnsi="Times New Roman;serif"/>
          <w:b w:val="false"/>
          <w:i/>
          <w:sz w:val="20"/>
        </w:rPr>
        <w:t>Basis of presentation and summary of significant accounting policies</w:t>
      </w:r>
      <w:r>
        <w:rPr>
          <w:rFonts w:ascii="Times New Roman;serif" w:hAnsi="Times New Roman;serif"/>
          <w:b w:val="false"/>
          <w:sz w:val="20"/>
        </w:rPr>
        <w:t>, in our notes to unaudited interim consolidated financial statements included in Part I, Item 1, of this Quarterly Report on Form 10-Q, which information is incorporated herein by reference.</w:t>
      </w:r>
    </w:p>
    <w:p>
      <w:pPr>
        <w:pStyle w:val="TextBody"/>
        <w:spacing w:before="120" w:after="120"/>
        <w:jc w:val="left"/>
        <w:rPr>
          <w:rFonts w:ascii="Times New Roman" w:hAnsi="Times New Roman"/>
          <w:sz w:val="20"/>
        </w:rPr>
      </w:pPr>
      <w:bookmarkStart w:id="16" w:name="item3_quantitativerisk"/>
      <w:bookmarkEnd w:id="16"/>
      <w:r>
        <w:rPr>
          <w:rFonts w:ascii="Times New Roman;serif" w:hAnsi="Times New Roman;serif"/>
          <w:b/>
          <w:sz w:val="20"/>
        </w:rPr>
        <w:t xml:space="preserve">Item 3. Quantitative and </w:t>
      </w:r>
      <w:bookmarkStart w:id="17" w:name="item7a"/>
      <w:bookmarkEnd w:id="17"/>
      <w:r>
        <w:rPr>
          <w:rFonts w:ascii="Times New Roman;serif" w:hAnsi="Times New Roman;serif"/>
          <w:b/>
          <w:sz w:val="20"/>
        </w:rPr>
        <w:t>Qualitative Disclosures about Market Risk.</w:t>
      </w:r>
    </w:p>
    <w:p>
      <w:pPr>
        <w:pStyle w:val="TextBody"/>
        <w:spacing w:before="120" w:after="120"/>
        <w:jc w:val="both"/>
        <w:rPr>
          <w:rFonts w:ascii="Times New Roman" w:hAnsi="Times New Roman"/>
          <w:sz w:val="20"/>
        </w:rPr>
      </w:pPr>
      <w:r>
        <w:rPr>
          <w:rFonts w:ascii="Times New Roman;serif" w:hAnsi="Times New Roman;serif"/>
          <w:b w:val="false"/>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market risk inherent in our financial instruments and in our financial condition represents the potential loss arising from adverse changes in interest rates or exchange rates. As of March 31, 2023, we had cash and cash equivalents of $129.5 million, which consisted primarily of money market funds and bank deposits. The primary objective of our investment is to preserve principal and provide liquidity. These money market funds and bank deposits generate interest income at variable rates.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therefore do not believe we are exposed to, nor do we anticipate being in the near future exposed to, material risk due to changes in interest rates because of the short-term nature of our cash and cash equivalents.</w:t>
      </w:r>
    </w:p>
    <w:p>
      <w:pPr>
        <w:pStyle w:val="TextBody"/>
        <w:spacing w:before="120" w:after="120"/>
        <w:jc w:val="left"/>
        <w:rPr>
          <w:rFonts w:ascii="Times New Roman" w:hAnsi="Times New Roman"/>
          <w:sz w:val="20"/>
        </w:rPr>
      </w:pPr>
      <w:r>
        <w:rPr>
          <w:rFonts w:ascii="Times New Roman;serif" w:hAnsi="Times New Roman;serif"/>
          <w:b/>
          <w:i/>
          <w:sz w:val="20"/>
        </w:rPr>
        <w:t>Foreign currency risk</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do not believe that either inflation or foreign currency risk had a material effect on our business, financial condition, or results of operations during the periods presented. Please see the section entitled “Management's Discussion and Analysis of Financial Condition and Results of Operations— Non-GAAP Financial Measure” for a presentation of revenue on a constant currency basis, which provides information regarding our operating performance excluding the effects of foreign currency volatility.</w:t>
      </w:r>
    </w:p>
    <w:p>
      <w:pPr>
        <w:pStyle w:val="TextBody"/>
        <w:spacing w:before="0" w:after="0"/>
        <w:jc w:val="left"/>
        <w:rPr>
          <w:rFonts w:ascii="Times New Roman;serif" w:hAnsi="Times New Roman;serif"/>
          <w:b/>
          <w:sz w:val="20"/>
        </w:rPr>
      </w:pPr>
      <w:bookmarkStart w:id="18" w:name="item4controls"/>
      <w:bookmarkEnd w:id="18"/>
      <w:r>
        <w:rPr>
          <w:rFonts w:ascii="Times New Roman;serif" w:hAnsi="Times New Roman;serif"/>
          <w:b/>
          <w:sz w:val="20"/>
        </w:rPr>
        <w:t>Item 4. Controls and Procedures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March 31, 2023.</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i/>
          <w:sz w:val="20"/>
        </w:rPr>
        <w:t>Material Weaknesses</w:t>
      </w: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In connection with our financial statement close process for the year ended December 31, 2022, we identified deficiencies in the control environment and control activities components of the Committee of Sponsoring Organizations (“COSO”) framework that constitute material weaknesses, either individually or in the aggregate.</w:t>
        <w:br/>
      </w:r>
      <w:r>
        <w:rPr>
          <w:rFonts w:ascii="Times New Roman" w:hAnsi="Times New Roman"/>
          <w:sz w:val="20"/>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Control environment – Management did not maintain an effective control environment based on the criteria established in the COSO framework and identified deficiencies in the principles associated with the control environment of the COSO framework. Specifically, the Company does not have a sufficient number of qualified resources within our accounting and IT function with the appropriate level of technical accounting or other requisite knowledge to (1) timely identify and assess accounting implications of transactions and (2) perform assigned responsibilities and have appropriate accountability for the design and operation of internal control over financial reporting.</w:t>
        <w:br/>
      </w:r>
      <w:r>
        <w:rPr/>
        <w:t> </w:t>
      </w:r>
    </w:p>
    <w:p>
      <w:pPr>
        <w:pStyle w:val="TextBody"/>
        <w:spacing w:before="120" w:after="0"/>
        <w:jc w:val="left"/>
        <w:rPr/>
      </w:pPr>
      <w:r>
        <w:rPr/>
        <w:t>•</w:t>
      </w:r>
    </w:p>
    <w:p>
      <w:pPr>
        <w:pStyle w:val="TextBody"/>
        <w:spacing w:before="120" w:after="283"/>
        <w:jc w:val="left"/>
        <w:rPr/>
      </w:pPr>
      <w:r>
        <w:rPr>
          <w:rFonts w:ascii="Times New Roman;serif" w:hAnsi="Times New Roman;serif"/>
          <w:b w:val="false"/>
          <w:sz w:val="20"/>
        </w:rPr>
        <w:t>Control activities – Management did not design and implement effective control activities based on the criteria established in the COSO framework and identified deficiencies in the principles associated with the control activities component of the COSO framework. Specifically, these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w:t>
        <w:br/>
        <w:br/>
        <w:t>The following material weaknesses were contributing factors: (i) inadequate general information technology controls (GITCs) in the areas of access security and program change-management over certain information technology systems that support the Company’s financial reporting processes. Some of our business process controls (automated and manual) are dependent on the affected GITCs; they too were deemed ineffective because they could have been adversely impacted; and (ii) ineffective design and/or review procedures for journal entries and balance sheet account reconciliations.</w:t>
        <w:br/>
      </w:r>
      <w:r>
        <w:rPr/>
        <w:t> </w:t>
      </w:r>
    </w:p>
    <w:p>
      <w:pPr>
        <w:pStyle w:val="TextBody"/>
        <w:spacing w:before="0" w:after="0"/>
        <w:jc w:val="left"/>
        <w:rPr>
          <w:rFonts w:ascii="Times New Roman" w:hAnsi="Times New Roman"/>
          <w:sz w:val="20"/>
        </w:rPr>
      </w:pPr>
      <w:r>
        <w:rPr>
          <w:rFonts w:ascii="Times New Roman;serif" w:hAnsi="Times New Roman;serif"/>
          <w:b w:val="false"/>
          <w:sz w:val="20"/>
        </w:rPr>
        <w:br/>
        <w:br/>
        <w:br/>
      </w:r>
      <w:r>
        <w:rPr>
          <w:rFonts w:ascii="Times New Roman;serif" w:hAnsi="Times New Roman;serif"/>
          <w:b/>
          <w:i/>
          <w:sz w:val="20"/>
        </w:rPr>
        <w:t>Remediation Plan and Status</w:t>
      </w: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We are committed to remediating the control deficiencies that constituted the above material weaknesses by implementing changes to our internal control over financial reporting. Management has implemented, and continues to implement, measures designed to ensure that control deficiencies contributing to the material weaknesses are remediated, such that these controls are designed, implemented and operating effectively. During 2022 and the three months ended March 31, 2023, we executed and will continue to execute the following steps intended to remediate the material weaknesses described above and strengthen our internal</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control over financial reporting:</w:t>
        <w:br/>
      </w:r>
      <w:r>
        <w:rPr>
          <w:rFonts w:ascii="Times New Roman" w:hAnsi="Times New Roman"/>
          <w:sz w:val="20"/>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With support from external consultants, we will revise and improve the design of our controls, implement reviews and monitor the effectiveness of our system of internal controls, including GITCs.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We will identify and assign qualified personnel to implement appropriate accountability for the design and operation of internal control over financial reporting and monitor the progress of remediation.</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We are committed to adding qualified personnel within our accounting and information technology functions.</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We will continue to revise and enhance the design of existing controls and implement new controls, update documentation, expand education and training, and strengthen supervisory reviews by our management.</w:t>
        <w:br/>
      </w:r>
      <w:r>
        <w:rPr/>
        <w:t> </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We strengthened, and will continue to strengthen, GITCs related to financial accounting and reporting systems including implementing monitoring controls as appropriate.</w:t>
        <w:br/>
      </w:r>
      <w:r>
        <w:rPr/>
        <w:t> </w:t>
      </w:r>
    </w:p>
    <w:p>
      <w:pPr>
        <w:pStyle w:val="TextBody"/>
        <w:spacing w:before="120" w:after="120"/>
        <w:jc w:val="left"/>
        <w:rPr/>
      </w:pPr>
      <w:r>
        <w:rPr/>
        <w:t>•</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We will continue to automate workflows and enhance oversight over the execution and review of manual journal entry controls and account reconciliations, and will continue to provide training for such enhanced oversight and review.</w:t>
      </w:r>
    </w:p>
    <w:p>
      <w:pPr>
        <w:pStyle w:val="TextBody"/>
        <w:spacing w:before="0" w:after="0"/>
        <w:jc w:val="left"/>
        <w:rPr>
          <w:rFonts w:ascii="Times New Roman" w:hAnsi="Times New Roman"/>
          <w:sz w:val="20"/>
        </w:rPr>
      </w:pPr>
      <w:r>
        <w:rPr>
          <w:rFonts w:ascii="Times New Roman;serif" w:hAnsi="Times New Roman;serif"/>
          <w:b w:val="false"/>
          <w:sz w:val="20"/>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i/>
          <w:sz w:val="20"/>
        </w:rPr>
        <w:t xml:space="preserve">Changes in Internal Control over Financial Reporting </w:t>
      </w: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taking actions to remediate the material weaknesses relating to our internal control over financial reporting. Other than the changes intended to remediate the material weaknesses noted above, there was no change in our internal control over financial reporting that occurred during the three months ended March 31, 2023 that materially affected, or were reasonably likely to materially affect, our internal control over financial reporting.</w:t>
      </w:r>
    </w:p>
    <w:p>
      <w:pPr>
        <w:pStyle w:val="TextBody"/>
        <w:spacing w:before="120" w:after="120"/>
        <w:jc w:val="center"/>
        <w:rPr>
          <w:rFonts w:ascii="Times New Roman;serif" w:hAnsi="Times New Roman;serif"/>
          <w:b/>
          <w:sz w:val="20"/>
        </w:rPr>
      </w:pPr>
      <w:r>
        <w:rPr>
          <w:rFonts w:ascii="Times New Roman;serif" w:hAnsi="Times New Roman;serif"/>
          <w:b/>
          <w:sz w:val="20"/>
        </w:rPr>
        <w:t>PART II -- OTHER INFORMATION</w:t>
      </w:r>
    </w:p>
    <w:p>
      <w:pPr>
        <w:pStyle w:val="TextBody"/>
        <w:spacing w:before="120" w:after="120"/>
        <w:jc w:val="left"/>
        <w:rPr>
          <w:rFonts w:ascii="Times New Roman" w:hAnsi="Times New Roman"/>
          <w:sz w:val="20"/>
        </w:rPr>
      </w:pPr>
      <w:bookmarkStart w:id="19" w:name="item1legalproceedings"/>
      <w:bookmarkEnd w:id="19"/>
      <w:r>
        <w:rPr>
          <w:rFonts w:ascii="Times New Roman;serif" w:hAnsi="Times New Roman;serif"/>
          <w:b/>
          <w:sz w:val="20"/>
        </w:rPr>
        <w:t xml:space="preserve">Item 1. Legal </w:t>
      </w:r>
      <w:bookmarkStart w:id="20" w:name="item3"/>
      <w:bookmarkEnd w:id="20"/>
      <w:r>
        <w:rPr>
          <w:rFonts w:ascii="Times New Roman;serif" w:hAnsi="Times New Roman;serif"/>
          <w:b/>
          <w:sz w:val="20"/>
        </w:rPr>
        <w:t>Proceedings.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We are not currently engaged in any material pending legal proceedings. From time to time, we may be subject to legal proceedings and claims arising in the ordinary course of business.</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2192" w:type="dxa"/>
        <w:jc w:val="left"/>
        <w:tblInd w:w="0" w:type="dxa"/>
        <w:tblCellMar>
          <w:top w:w="28" w:type="dxa"/>
          <w:left w:w="28" w:type="dxa"/>
          <w:bottom w:w="28" w:type="dxa"/>
          <w:right w:w="28" w:type="dxa"/>
        </w:tblCellMar>
      </w:tblPr>
      <w:tblGrid>
        <w:gridCol w:w="976"/>
        <w:gridCol w:w="1216"/>
      </w:tblGrid>
      <w:tr>
        <w:trPr/>
        <w:tc>
          <w:tcPr>
            <w:tcW w:w="97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r>
      <w:tr>
        <w:trPr/>
        <w:tc>
          <w:tcPr>
            <w:tcW w:w="976" w:type="dxa"/>
            <w:tcBorders/>
            <w:shd w:fill="auto" w:val="clear"/>
            <w:vAlign w:val="center"/>
          </w:tcPr>
          <w:p>
            <w:pPr>
              <w:pStyle w:val="TableContents"/>
              <w:spacing w:before="120" w:after="120"/>
              <w:ind w:left="0" w:right="0" w:hanging="0"/>
              <w:jc w:val="left"/>
              <w:rPr>
                <w:rFonts w:ascii="Times New Roman;serif" w:hAnsi="Times New Roman;serif"/>
                <w:b/>
                <w:sz w:val="20"/>
              </w:rPr>
            </w:pPr>
            <w:r>
              <w:rPr>
                <w:rFonts w:ascii="Times New Roman;serif" w:hAnsi="Times New Roman;serif"/>
                <w:b/>
                <w:sz w:val="20"/>
              </w:rPr>
              <w:t>ITEM 1A.</w:t>
            </w:r>
          </w:p>
        </w:tc>
        <w:tc>
          <w:tcPr>
            <w:tcW w:w="1216" w:type="dxa"/>
            <w:tcBorders/>
            <w:shd w:fill="auto" w:val="clear"/>
            <w:vAlign w:val="center"/>
          </w:tcPr>
          <w:p>
            <w:pPr>
              <w:pStyle w:val="TableContents"/>
              <w:spacing w:before="120" w:after="120"/>
              <w:ind w:left="0" w:right="0" w:hanging="0"/>
              <w:jc w:val="left"/>
              <w:rPr>
                <w:rFonts w:ascii="Times New Roman;serif" w:hAnsi="Times New Roman;serif"/>
                <w:b/>
                <w:sz w:val="20"/>
              </w:rPr>
            </w:pPr>
            <w:bookmarkStart w:id="21" w:name="item_1a_risk_factors"/>
            <w:bookmarkEnd w:id="21"/>
            <w:r>
              <w:rPr>
                <w:rFonts w:ascii="Times New Roman;serif" w:hAnsi="Times New Roman;serif"/>
                <w:b/>
                <w:sz w:val="20"/>
              </w:rPr>
              <w:t>Risk Factors</w:t>
            </w:r>
          </w:p>
        </w:tc>
      </w:tr>
    </w:tbl>
    <w:p>
      <w:pPr>
        <w:pStyle w:val="TextBody"/>
        <w:spacing w:before="120" w:after="120"/>
        <w:jc w:val="both"/>
        <w:rPr>
          <w:rFonts w:ascii="Times New Roman;serif" w:hAnsi="Times New Roman;serif"/>
          <w:b w:val="false"/>
          <w:i/>
          <w:sz w:val="20"/>
        </w:rPr>
      </w:pPr>
      <w:r>
        <w:rPr>
          <w:rFonts w:ascii="Times New Roman;serif" w:hAnsi="Times New Roman;serif"/>
          <w:b w:val="false"/>
          <w:i/>
          <w:sz w:val="20"/>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pStyle w:val="TextBody"/>
        <w:spacing w:before="120" w:after="120"/>
        <w:jc w:val="both"/>
        <w:rPr>
          <w:rFonts w:ascii="Times New Roman;serif" w:hAnsi="Times New Roman;serif"/>
          <w:b/>
          <w:sz w:val="20"/>
        </w:rPr>
      </w:pPr>
      <w:r>
        <w:rPr>
          <w:rFonts w:ascii="Times New Roman;serif" w:hAnsi="Times New Roman;serif"/>
          <w:b/>
          <w:sz w:val="20"/>
        </w:rPr>
        <w:t>Summary Risk Factors</w:t>
      </w:r>
    </w:p>
    <w:p>
      <w:pPr>
        <w:pStyle w:val="TextBody"/>
        <w:spacing w:before="120" w:after="120"/>
        <w:jc w:val="both"/>
        <w:rPr>
          <w:rFonts w:ascii="Times New Roman" w:hAnsi="Times New Roman"/>
          <w:sz w:val="20"/>
        </w:rPr>
      </w:pPr>
      <w:r>
        <w:rPr>
          <w:rFonts w:ascii="Times New Roman;serif" w:hAnsi="Times New Roman;serif"/>
          <w:b w:val="false"/>
          <w:sz w:val="20"/>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have a limited operating history and only recently launched our commercial products, which may make it difficult to evaluate the prospects for our future viability and predict our future performance. We have limited experience marketing and selling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results of operations will be harmed if we are unable to accurately forecast customer demand for our products and manage our inventory.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If we are unable to manufacture our products in high-quality commercial quantities successfully and consistently to meet demand, our growth will be limited.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Concentration of ownership of our common stock among our executive officers, directors, principal stockholders and their respective affiliates may prevent new investors from influencing significant corporate decisions. Based on shares outstanding as of March 31, 2023, our executive officers, directors, holders of 5% or more of our common stock and their respective affiliates, in the aggregate, own approximately 39.6% of our common stock. These stockholders, acting together,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120" w:after="0"/>
        <w:jc w:val="both"/>
        <w:rPr/>
      </w:pPr>
      <w:r>
        <w:rPr>
          <w:rFonts w:ascii="Times New Roman;serif" w:hAnsi="Times New Roman;serif"/>
          <w:b w:val="false"/>
          <w:sz w:val="20"/>
        </w:rPr>
        <w:t>will be able to significantly influence all matters requiring stockholder approval, including the election and removal of directors and any merger or other significant corporate transaction.</w:t>
      </w:r>
      <w:r>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business currently depends significantly on research and development spending by academic institutions and government-owned institutions, a reduction in which could limit demand for our solutions and adversely affect our business and operating results.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International operations and expansion of our international business exposes us to business, regulatory, political, operational, financial and economic risks associated with doing business outside of the United States.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If our products do not perform as expected, our operating results, reputation and business will suffer.</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may acquire other businesses or form other joint ventures or make investments in other companies or technologies that could negatively affect our operating results, dilute our stockholders’ ownership, increase our debt or cause us to incur significant expense.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If we are unable to expand or leverage the number of peer-reviewed articles published using data generated by our products or otherwise increase brand awareness, the demand for our products and our business may be adversely affected.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have increased the size of our organization and expect to further increase it in the future, and we may experience difficulties in managing our growth. If we are unable to manage the anticipated growth of our business, our future revenue and operating results may be harmed.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We may need to raise additional capital to fund our existing operations, develop our products and/or expand our operations.</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costs of our products and services, limit their use or adoption, and otherwise negatively affect our operating results and business. </w:t>
      </w:r>
    </w:p>
    <w:p>
      <w:pPr>
        <w:pStyle w:val="TextBody"/>
        <w:spacing w:before="120" w:after="120"/>
        <w:jc w:val="both"/>
        <w:rPr>
          <w:rFonts w:ascii="Times New Roman" w:hAnsi="Times New Roman"/>
          <w:sz w:val="20"/>
        </w:rPr>
      </w:pPr>
      <w:r>
        <w:rPr>
          <w:rFonts w:ascii="Times New Roman;serif" w:hAnsi="Times New Roman;serif"/>
          <w:b/>
          <w:sz w:val="20"/>
        </w:rPr>
        <w:t>Risks Related to Our Business and Strategy</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have a limited operating history and only recently launched our commercial products, which may make it difficult to evaluate the prospects for our future viability and predict our future performance. We have limited experience marketing and selling our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our business, are incorrect or change, or if we do not address these risks successfully, our results of operations could differ materially from our expectations, and our business, financial condition and results of operations could be materially and adversely affected.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are highly dependent on a limited number of product offerings. Our revenue has been primarily generated from sale of our core Aurora and Northern Lights systems, which require a substantial sales cycle and are prone to quarterly fluctuations in revenue.</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Aurora system was commercially launched in June 2017, our Northern Lights system was commercially launched in October 2018 and our Aurora CS was first commercially shipped in June 2021. Sales of the Aurora, Northern Lights and Aurora CS systems together accounted for a substantial portion of our revenue for the periods presented. We expect that, for at least the foreseeable future, sales of our Aurora, Northern Lights and Aurora CS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the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Supply interruptions have in the past arisen and could arise in the future from effects of infectious disease outbreaks, shortages of raw materials, labor disputes or weather conditions affecting products or shipments, transportation disruptions, adjustments to our inventory levels or other factors within and beyond our control, and such supply interruption risk is increased by the limited number of</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Our results of operations will be harmed if we are unable to accurately forecast customer demand for our products and manage our inventory.</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infectious disease outbreaks, seasonal demands, regulatory matters, inflation or weakening of general economic conditions.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have limited experience manufacturing our products and if we are unable to manufacture our products in high-quality commercial quantities successfully and consistently to meet demand, our growth will be limited.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have limited experience manufacturing our products. We currently manufacture our instruments and reagents at our manufacturing facilities in Fremont, California, Seattle, Washington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r>
        <w:rPr>
          <w:rFonts w:ascii="Times New Roman" w:hAnsi="Times New Roman"/>
          <w:sz w:val="20"/>
        </w:rPr>
        <w:t xml:space="preserve"> </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Our future success is dependent upon our ability to increase penetration in our existing markets and expand into adjacent markets.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customer base includes academic and government institutions, pharmaceutical and biotechnology companies, clinical research organizations and clinical laboratories focused on cell analysis. Approximately 41% and 40% of our revenue came from sales to academic and government-owned institutions and 59% and 60% of our revenue came from sales to pharmaceutical and biotechnology companies, distributors and CROs in the three months ended March 31, 2023 and 2022,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sz w:val="20"/>
        </w:rPr>
        <w:t>de novo</w:t>
      </w:r>
      <w:r>
        <w:rPr>
          <w:rFonts w:ascii="Times New Roman" w:hAnsi="Times New Roman"/>
          <w:sz w:val="20"/>
        </w:rPr>
        <w:t xml:space="preserve"> </w:t>
      </w:r>
      <w:r>
        <w:rPr>
          <w:rFonts w:ascii="Times New Roman;serif" w:hAnsi="Times New Roman;serif"/>
          <w:b w:val="false"/>
          <w:sz w:val="20"/>
        </w:rPr>
        <w:t>classification, or approval of a pre-market approval application from the FDA. Our failure to further expand in adjacent markets and attract new customers could adversely affect our ability to improve our operating results.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inadequate recruiting or training of talented sales force in existing and new markets to facilitate outreach and further adoption and awareness of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lack of experience with our products for cell analysis;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perceived inadequacy of evidence supporting benefits or cost-effectiveness of our products over existing alternatives;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liability risks generally associated with the use of new products and processes;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training required to use new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decrease or delay in the research and development activities using our products as a result of the COVID-19 pandemic;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competing products and alternatives;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introduction of other novel alternative products for cell analysis. </w:t>
      </w:r>
    </w:p>
    <w:p>
      <w:pPr>
        <w:pStyle w:val="TextBody"/>
        <w:spacing w:before="120" w:after="203"/>
        <w:jc w:val="both"/>
        <w:rPr>
          <w:rFonts w:ascii="Times New Roman" w:hAnsi="Times New Roman"/>
          <w:sz w:val="20"/>
        </w:rPr>
      </w:pPr>
      <w:r>
        <w:rPr>
          <w:rFonts w:ascii="Times New Roman;serif" w:hAnsi="Times New Roman;serif"/>
          <w:b w:val="false"/>
          <w:sz w:val="20"/>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Our business currently depends significantly on research and development spending by academic and government-owned institutions, a reduction in which could limit demand for our solutions and adversely affect our business and operating results.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Approximately 41% and 40% of our revenue came from sales to academic and government-owned institutions in the three months ended March 31, 2023 and 2022,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decreases in government funding of research and development;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to programs that provide funding to research laboratories, hospitals and related institutions, including changes in the amount of funds allocated to different areas of research or changes that have the effect of increasing the length of the funding process;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macroeconomic conditions and the political climate;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scientists’ and customers’ opinions of the utility of new products or services;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the regulatory environment;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differences in budgetary cycles;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competitor product offerings or pricing;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market-driven pressures to consolidate operations and reduce costs;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market acceptance of relatively new technologies, such as ours. </w:t>
      </w:r>
    </w:p>
    <w:p>
      <w:pPr>
        <w:pStyle w:val="TextBody"/>
        <w:spacing w:before="120" w:after="203"/>
        <w:jc w:val="both"/>
        <w:rPr>
          <w:rFonts w:ascii="Times New Roman" w:hAnsi="Times New Roman"/>
          <w:sz w:val="20"/>
        </w:rPr>
      </w:pPr>
      <w:r>
        <w:rPr>
          <w:rFonts w:ascii="Times New Roman;serif" w:hAnsi="Times New Roman;serif"/>
          <w:b w:val="false"/>
          <w:sz w:val="20"/>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International operations and expansion of our international business exposes us to business, regulatory, political, operational, financial and economic risks associated with doing business outside of the United States.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multiple, conflicting and changing laws and regulations such as privacy regulations, tax laws, export and import restrictions, tariffs, economic sanctions and embargoes, employment laws, regulatory requirements and other governmental approvals, permits and licenses;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failure by us or our distributors to obtain approvals to conduct our business in various countries;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differing intellectual property rights;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complexities and difficulties in obtaining intellectual property protection, enforcing our intellectual property and defending against third party intellectual property claims;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difficulties in staffing and managing foreign operations;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logistics and regulations associated with shipping systems and parts and components for our products, as well as transportation delays;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travel restrictions that limit the ability of marketing, presales, sales, services and support teams to service customers, including those resulting from the COVID-19 pandemic;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financial risks, such as longer payment cycles, difficulty collecting accounts receivable, the impact of local and regional financial crises on demand and payment for our products and exposure to foreign currency exchange rate fluctuations;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international trade disputes that could result in tariffs and other protective measures;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natural disasters, political and economic instability, including wars, terrorism and political unrest such as the ongoing war in Ukraine, outbreak of disease, boycotts, curtailment of trade and other business restrictions;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regulatory and compliance risks that relate to maintaining accurate information and control over sales and distributors’ activities that may fall within the purview of the U.S. Foreign Corrupt Practices Act (the “FCPA”), its books and records provisions, or its anti-bribery provisions. </w:t>
      </w:r>
    </w:p>
    <w:p>
      <w:pPr>
        <w:pStyle w:val="TextBody"/>
        <w:spacing w:before="120" w:after="203"/>
        <w:jc w:val="both"/>
        <w:rPr>
          <w:rFonts w:ascii="Times New Roman" w:hAnsi="Times New Roman"/>
          <w:sz w:val="20"/>
        </w:rPr>
      </w:pPr>
      <w:r>
        <w:rPr>
          <w:rFonts w:ascii="Times New Roman;serif" w:hAnsi="Times New Roman;serif"/>
          <w:b w:val="false"/>
          <w:sz w:val="20"/>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The market for cell analysis technologies and life sciences tools, including flow cytometry, is highly competitive, and if we cannot compete successfully with our competitors, we may be unable to increase or sustain our revenue, or achieve and sustain profitability.</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face significant competition in the cell analysis and life sciences tools markets. We currently compete with both established and early stage life sciences and in vitro diagnostics (“IVD”) companies that design, manufacture and market flow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quality and regulatory staff or more established marketing and sales forces.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competitors and potential competitors may enjoy a number of competitive advantages over us,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longer operating histories;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larger customer bases;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greater brand recognition and market penetration;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greater financial resources and capabilities;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greater technological and research and development resources;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larger intellectual property portfolios;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better system reliability and robustness;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greater selling and marketing capabilities;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better established, larger scale and lower cost manufacturing capabilities. </w:t>
      </w:r>
    </w:p>
    <w:p>
      <w:pPr>
        <w:pStyle w:val="TextBody"/>
        <w:spacing w:before="120" w:after="203"/>
        <w:jc w:val="both"/>
        <w:rPr>
          <w:rFonts w:ascii="Times New Roman" w:hAnsi="Times New Roman"/>
          <w:sz w:val="20"/>
        </w:rPr>
      </w:pPr>
      <w:r>
        <w:rPr>
          <w:rFonts w:ascii="Times New Roman;serif" w:hAnsi="Times New Roman;serif"/>
          <w:b w:val="false"/>
          <w:sz w:val="20"/>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Our future success depends on our ability to develop and successfully introduce new and enhanced products that meet the needs of our customers.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New product development involves a lengthy and complex process and we may be unable to develop or commercialize products on a timely basis, or at all.</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conduct substantial research and development;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obtain necessary regulatory approval;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further develop and scale our laboratory, engineering and manufacturing processes to accommodate different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source and enter into agreements with new suppliers;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further develop and scale our infrastructure. </w:t>
      </w:r>
    </w:p>
    <w:p>
      <w:pPr>
        <w:pStyle w:val="TextBody"/>
        <w:spacing w:before="120" w:after="203"/>
        <w:jc w:val="both"/>
        <w:rPr>
          <w:rFonts w:ascii="Times New Roman" w:hAnsi="Times New Roman"/>
          <w:sz w:val="20"/>
        </w:rPr>
      </w:pPr>
      <w:r>
        <w:rPr>
          <w:rFonts w:ascii="Times New Roman;serif" w:hAnsi="Times New Roman;serif"/>
          <w:b w:val="false"/>
          <w:sz w:val="20"/>
        </w:rPr>
        <w:t>Our product development processes involve a high degree of risk, and these efforts may be delayed or fail for many reasons, including failure of the product to perform as expected and failure to reliably demonstrate the advantages of the product.</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loss of customers or orders;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increased costs of warranty expenses;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damage to our brand reputation;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failure to attract new customers;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diversion of development, engineering and manufacturing resources;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regulatory actions by governmental authorities; and </w:t>
      </w:r>
    </w:p>
    <w:p>
      <w:pPr>
        <w:pStyle w:val="TextBody"/>
        <w:spacing w:before="120" w:after="203"/>
        <w:jc w:val="both"/>
        <w:rPr/>
      </w:pPr>
      <w:r>
        <w:rPr/>
        <w:t>•</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 xml:space="preserve">legal actions by our customers. </w:t>
      </w:r>
    </w:p>
    <w:p>
      <w:pPr>
        <w:pStyle w:val="TextBody"/>
        <w:spacing w:before="120" w:after="203"/>
        <w:jc w:val="both"/>
        <w:rPr>
          <w:rFonts w:ascii="Times New Roman" w:hAnsi="Times New Roman"/>
          <w:sz w:val="20"/>
        </w:rPr>
      </w:pPr>
      <w:r>
        <w:rPr>
          <w:rFonts w:ascii="Times New Roman;serif" w:hAnsi="Times New Roman;serif"/>
          <w:b w:val="false"/>
          <w:sz w:val="20"/>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March 31, 2023, we had accrued approximately $2.6 million in expenses relating to product warranty accruals. Substantial amounts of warranty claims could have an adverse effect on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r>
        <w:rPr>
          <w:rFonts w:ascii="Times New Roman" w:hAnsi="Times New Roman"/>
          <w:sz w:val="20"/>
        </w:rPr>
        <w:t xml:space="preserve"> </w:t>
      </w:r>
    </w:p>
    <w:p>
      <w:pPr>
        <w:pStyle w:val="TextBody"/>
        <w:spacing w:before="120" w:after="120"/>
        <w:jc w:val="both"/>
        <w:rPr>
          <w:rFonts w:ascii="Times New Roman;serif" w:hAnsi="Times New Roman;serif"/>
          <w:b/>
          <w:i/>
          <w:sz w:val="20"/>
        </w:rPr>
      </w:pPr>
      <w:r>
        <w:rPr>
          <w:rFonts w:ascii="Times New Roman;serif" w:hAnsi="Times New Roman;serif"/>
          <w:b/>
          <w:i/>
          <w:sz w:val="20"/>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From time to time, we may pursue acquisitions of businesses and assets. For example, in February 2023, we entered into an asset purchase agreement with Luminex Corporation (“Luminex”) and acquired certain assets related to the flow cytometry and imaging (“FCI”) business unit of Luminex (the “FCI Acquisition”). We may choose to further expand our business by acquiring additional businesses or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We may not be able to integrate acquisitions, including the recent FCI Acquisition, successfully into our existing business, and in certain cases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pStyle w:val="TextBody"/>
        <w:spacing w:before="120" w:after="120"/>
        <w:jc w:val="both"/>
        <w:rPr>
          <w:rFonts w:ascii="Times New Roman" w:hAnsi="Times New Roman"/>
          <w:sz w:val="20"/>
        </w:rPr>
      </w:pPr>
      <w:r>
        <w:rPr>
          <w:rFonts w:ascii="Times New Roman;serif" w:hAnsi="Times New Roman;serif"/>
          <w:b/>
          <w:i/>
          <w:sz w:val="20"/>
        </w:rPr>
        <w:t>Shipping is a critical part of our business and any changes in our shipping arrangements or damages or losses sustained during shipping could adversely affect our business, financial condition, results of operations and prospects.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Seattle, Washington, and Wuxi, China require global shipping services which are subject to certain factors outside of our control, such as increased costs due to fuel surcharges or otherwise, delays passing through customs and disruptions to global shipping routes. We experienced shipping delays and difficulties due to the COVID-19 pandemic and may again experience such delays or difficulties due to future pandemics,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pStyle w:val="TextBody"/>
        <w:spacing w:before="120" w:after="120"/>
        <w:jc w:val="both"/>
        <w:rPr>
          <w:rFonts w:ascii="Times New Roman" w:hAnsi="Times New Roman"/>
          <w:sz w:val="20"/>
        </w:rPr>
      </w:pPr>
      <w:r>
        <w:rPr>
          <w:rFonts w:ascii="Times New Roman;serif" w:hAnsi="Times New Roman;serif"/>
          <w:b/>
          <w:i/>
          <w:sz w:val="20"/>
        </w:rPr>
        <w:t>If we are unable to successfully expand our commercial operations, including hiring additional qualified sales representatives, technical applications specialists and customer support staff, our business may be adversely affected.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If we are unable to expand or leverage the number of peer-reviewed articles published using data generated by our products or otherwise increase brand awareness, the demand for our products and our business may be adversely affected.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rely on a significant base of peer-reviewed publications to showcase and validate the importance and application of our technology in academic and clinical research settings. As of March 31, 2023, there have been more than 1,150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are highly dependent on our senior management team and key personnel and our business could be harmed if we are unable to attract and retain personnel necessary for our success.</w:t>
      </w:r>
      <w:r>
        <w:rPr>
          <w:rFonts w:ascii="Times New Roman" w:hAnsi="Times New Roman"/>
          <w:sz w:val="20"/>
        </w:rPr>
        <w:t xml:space="preserve"> </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pStyle w:val="TextBody"/>
        <w:spacing w:before="120" w:after="203"/>
        <w:jc w:val="both"/>
        <w:rPr>
          <w:rFonts w:ascii="Times New Roman" w:hAnsi="Times New Roman"/>
          <w:sz w:val="20"/>
        </w:rPr>
      </w:pPr>
      <w:r>
        <w:rPr>
          <w:rFonts w:ascii="Times New Roman;serif" w:hAnsi="Times New Roman;serif"/>
          <w:b w:val="false"/>
          <w:sz w:val="20"/>
        </w:rPr>
        <w:t>Competition for skilled personnel in our market is intense and has recently intensified further due to macro-economic conditions and industry trends in many areas where our employees are located. This may limit our ability to hire and retain highly qualified</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As of March 31, 2023, we had 682 full-time employees. As our sales and marketing strategies develop, we expect to need additional managerial, operational, sales, marketing, financial and other personnel. Future growth would impose significant added responsibilities on members of management,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identifying, recruiting, integrating, maintaining and motivating additional employees;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managing our internal development efforts effectively, while complying with our contractual obligations to contractors and other third parties;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improving our operational, financial and management controls, reporting systems and procedures. </w:t>
      </w:r>
    </w:p>
    <w:p>
      <w:pPr>
        <w:pStyle w:val="TextBody"/>
        <w:spacing w:before="120" w:after="203"/>
        <w:jc w:val="both"/>
        <w:rPr>
          <w:rFonts w:ascii="Times New Roman" w:hAnsi="Times New Roman"/>
          <w:sz w:val="20"/>
        </w:rPr>
      </w:pPr>
      <w:r>
        <w:rPr>
          <w:rFonts w:ascii="Times New Roman;serif" w:hAnsi="Times New Roman;serif"/>
          <w:b w:val="false"/>
          <w:sz w:val="20"/>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connection with our financial statement close process for the year ended December 31, 2022, we identified deficiencies in the control environment and control activities components of the Committee of Sponsoring Organizations (“COSO”) framework that constitute material weaknesses, either individually or in the aggregate. Deficiencies in the control environment related to (i) the lack of a sufficient number of qualified resources within our accounting and IT functions with the appropriate level of technical accounting or</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other requisite knowledge to (a) timely identify and assess accounting implications of transactions; and (b) perform assigned responsibilities and have appropriate accountability for the design and operation of internal control over financial reporting. Deficiencies related to control activities related to (i) selecting and developing control activities that contribute to the mitigation of risks and support achievement of objectives; (ii) selecting and developing general control activities over technology to support the achievement of objectives; and (iii) deploying control activities through policies that establish what is expected and procedures that put policies into action and relate to substantially all financial statement accounts and disclosures Please see the section entitled “Item 4. Controls and Procedures" for additional information.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We currently do not have an internal audit group, and we will need to hire additional accounting and finance staff and consultants with appropriate public company experience and technical accounting knowledge to remediate the control deficiencies.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Failure to remedy any material weakness or significant deficiency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need to raise additional capital to fund our existing operations, develop our products and/or expand our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present and future funding requirements will depend on many factors, some of which are beyond our control,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achieve and maintain revenue growth;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of expanding our operations, including our sales and marketing efforts;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rate of progress in launching and commercializing new products, and the cost of the sales and marketing activities associated with, establishing adoption of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rate of progress in, and cost of research and development activities associated with, products in research and development;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effect of competing technological and market developments;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potential cost of and delays in product development as a result of any regulatory oversight applicable to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costs associated with any product recall that may occur;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costs related to domestic and international expansion;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costs of attaining, defending and enforcing our intellectual property rights; and </w:t>
      </w:r>
    </w:p>
    <w:p>
      <w:pPr>
        <w:pStyle w:val="TextBody"/>
        <w:spacing w:before="120" w:after="203"/>
        <w:jc w:val="both"/>
        <w:rPr/>
      </w:pPr>
      <w:r>
        <w:rPr/>
        <w:t>•</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 xml:space="preserve">the terms and timing of any other collaborative, licensing and other arrangements that we may establish. </w:t>
      </w:r>
    </w:p>
    <w:p>
      <w:pPr>
        <w:pStyle w:val="TextBody"/>
        <w:spacing w:before="120" w:after="120"/>
        <w:jc w:val="both"/>
        <w:rPr>
          <w:rFonts w:ascii="Times New Roman" w:hAnsi="Times New Roman"/>
          <w:sz w:val="20"/>
        </w:rPr>
      </w:pPr>
      <w:r>
        <w:rPr>
          <w:rFonts w:ascii="Times New Roman;serif" w:hAnsi="Times New Roman;serif"/>
          <w:b w:val="false"/>
          <w:sz w:val="20"/>
        </w:rPr>
        <w:t>Additional funding may not be available on acceptable terms, or at all. Weakness and volatility in the capital markets and the economy in general could limit our access to the capital markets and increase our cost of borrowing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addition, our ability to raise additional funds may be adversely impacted by potential worsening global economic conditions and the disruptions to, and volatility in, the credit and financial markets in the United States and worldwide resulting from the COVID-19 pandemic, geopolitical tensions, such as the ongoing war in Ukraine, inflation, rising interest rates and liquidity concerns at, and failures of, banks and other financial institutions.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Our operating results may fluctuate significantly, which makes our future operating results difficult to predict and could cause our operating results to fall below expectations or any guidance we may provide.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level of demand for any of our products, which may vary significantly;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timing and cost of, and level of investment in, research, development, manufacturing, regulatory approval and commercialization activities relating to our products, which may change from time to time;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size, seasonality and customer mix of the cell analysis market;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sales and marketing efforts and expenses;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rate at which we grow our sales force and the speed at which newly-hired salespeople become effective;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the productivity of our sales force;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effectiveness of our distribution partners in selling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positive or negative coverage in the media or publications of our products or competitive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cost of manufacturing our products, which may vary depending on the quantity of production and the terms of our arrangements with our suppliers;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degree of competition in our industry and any change in the competitive landscape of our industry, including the introduction of new products or enhancements or technologies by us or others in the cell analysis market and competition-related pricing pressures;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governmental regulations or in the status of our regulatory approvals or applications;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future accounting pronouncements or changes in our accounting policies;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general economic conditions, both domestically and internationally, as well as economic conditions specifically affecting the industry in which we do business, including those related to the COVID-19 pandemic or other widespread health crises;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future global financial crises and economic downturns, including those caused by widespread public health crises;</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economic factors, including changes in inflation, interest rates, foreign currency rates, liquidity concerns at, and failures of, banks and other financial institutions and the potential effect of such factors on revenues and expenses; and</w:t>
      </w:r>
    </w:p>
    <w:p>
      <w:pPr>
        <w:pStyle w:val="TextBody"/>
        <w:spacing w:before="120" w:after="203"/>
        <w:jc w:val="both"/>
        <w:rPr/>
      </w:pPr>
      <w:r>
        <w:rPr/>
        <w:t>•</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 xml:space="preserve">general market conditions and other factors, including factors unrelated to our operating performance or the operating performance of our competitors. </w:t>
      </w:r>
    </w:p>
    <w:p>
      <w:pPr>
        <w:pStyle w:val="TextBody"/>
        <w:spacing w:before="120" w:after="120"/>
        <w:jc w:val="both"/>
        <w:rPr>
          <w:rFonts w:ascii="Times New Roman" w:hAnsi="Times New Roman"/>
          <w:sz w:val="20"/>
        </w:rPr>
      </w:pPr>
      <w:r>
        <w:rPr>
          <w:rFonts w:ascii="Times New Roman;serif" w:hAnsi="Times New Roman;serif"/>
          <w:b w:val="false"/>
          <w:sz w:val="20"/>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analysts or investors, the price of our common stock could decline substantially. Such a stock price decline could occur even when we have met any previously publicly stated guidance we may provide.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The sizes of the markets for our products may be smaller than we estimate.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 xml:space="preserve">Within the life sciences technology market, flow cytometry technologies currently provide solutions largely within cell proliferation, cell counting, cell identification, cell quality control and single-cell applications, representing an initial total addressable market (“TAM”) of nearly $12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Times New Roman;serif" w:hAnsi="Times New Roman;serif"/>
          <w:b w:val="false"/>
          <w:i/>
          <w:sz w:val="20"/>
        </w:rPr>
        <w:t>de novo</w:t>
      </w:r>
      <w:r>
        <w:rPr>
          <w:rFonts w:ascii="Times New Roman" w:hAnsi="Times New Roman"/>
          <w:sz w:val="20"/>
        </w:rPr>
        <w:t xml:space="preserve"> </w:t>
      </w:r>
      <w:r>
        <w:rPr>
          <w:rFonts w:ascii="Times New Roman;serif" w:hAnsi="Times New Roman;serif"/>
          <w:b w:val="false"/>
          <w:sz w:val="20"/>
        </w:rPr>
        <w:t>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If we were to be sued for product liability, we could face substantial liabilities that exceed our resources, limit sales of our existing products and limit commercialization of any products that we may develop.</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substantial litigation costs;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distraction of management’s attention from our primary business;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inability to commercialize our products or new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decreased demand for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damage to our business reputation;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product recalls or withdrawals from the market;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loss of sales; or </w:t>
      </w:r>
    </w:p>
    <w:p>
      <w:pPr>
        <w:pStyle w:val="TextBody"/>
        <w:spacing w:before="120" w:after="203"/>
        <w:jc w:val="both"/>
        <w:rPr/>
      </w:pPr>
      <w:r>
        <w:rPr/>
        <w:t>•</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 xml:space="preserve">termination of existing agreements by our partners and potential partners failing to partner with us. </w:t>
      </w:r>
    </w:p>
    <w:p>
      <w:pPr>
        <w:pStyle w:val="TextBody"/>
        <w:spacing w:before="120" w:after="120"/>
        <w:jc w:val="both"/>
        <w:rPr>
          <w:rFonts w:ascii="Times New Roman" w:hAnsi="Times New Roman"/>
          <w:sz w:val="20"/>
        </w:rPr>
      </w:pPr>
      <w:r>
        <w:rPr>
          <w:rFonts w:ascii="Times New Roman;serif" w:hAnsi="Times New Roman;serif"/>
          <w:b w:val="false"/>
          <w:sz w:val="20"/>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val="false"/>
          <w:sz w:val="20"/>
        </w:rPr>
        <w:t>liability that may result. Such recalls and withdrawals may also harm our reputation with customers, which could negatively affect our business, financial condition and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Litigation and other legal proceedings may harm our business.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If our information technology systems or data, or those of third parties on which we rely, are compromised now, or in the future, we could experience adverse consequences resulting from such a compromise, including but not limited to regulatory investigations or</w:t>
        <w:br/>
        <w:t>actions; litigation; fines and penalties; disruptions of our business operations; reputational harm; loss of revenue or profits; loss</w:t>
        <w:br/>
        <w:t>of customers or sales; and other adverse consequences.</w:t>
        <w:br/>
      </w:r>
      <w:r>
        <w:rPr>
          <w:rFonts w:ascii="Times New Roman" w:hAnsi="Times New Roman"/>
          <w:sz w:val="20"/>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In the ordinary course of our business, we and the third parties upon which we rely, collect, use, store, safeguard, disclose, share, transfer, secure and otherwise process (collectively, “Process” or “Processing”) proprietary, confidential and sensitive data, including personal information (such as key-coded data, health information and other special categories of personal information), intellectual property, trade secrets and proprietary business information owned or controlled by ourselves, our customers and other parties (collectively “Sensitive Information”). We rely upon third parties (such as service providers) for our data processing–related activities and share or receive Sensitive Information with or from third parties.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face a variety of evolving threats, which could cause security incidents. 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becoming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and other similar threats. In particular, severe ransomware attacks, including those perpetrated by organized criminal threat actors, nation-states, and nation-state-supported actors, are becoming increasingly prevalent and severe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Additionally, employees working from home, while in transit and in public locations poses increased risks to our information technology systems and data when utilizing network connections, computers, and devices outside our premises or network.</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data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Sensitive Information. While we have implemented security measures designed to protect against security incidents, there can be no assurance that these measures will be effective. We take steps to detect and remediate vulnerabilities, but we may not be able to detect and remediate all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a material risk to our business.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information);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Further,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spacing w:before="120" w:after="120"/>
        <w:jc w:val="both"/>
        <w:rPr>
          <w:rFonts w:ascii="Times New Roman" w:hAnsi="Times New Roman"/>
          <w:sz w:val="20"/>
        </w:rPr>
      </w:pPr>
      <w:r>
        <w:rPr>
          <w:rFonts w:ascii="Times New Roman;serif" w:hAnsi="Times New Roman;serif"/>
          <w:b/>
          <w:i/>
          <w:sz w:val="20"/>
        </w:rPr>
        <w:t>Business disruptions could seriously harm our future revenue and financial condition and increase our costs and expenses.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manufacture our products at our manufacturing facilities located in Fremont and San Diego, California, Seattle, Washington,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20" w:after="120"/>
        <w:jc w:val="both"/>
        <w:rPr>
          <w:rFonts w:ascii="Times New Roman" w:hAnsi="Times New Roman"/>
          <w:sz w:val="20"/>
        </w:rPr>
      </w:pPr>
      <w:r>
        <w:rPr>
          <w:rFonts w:ascii="Times New Roman;serif" w:hAnsi="Times New Roman;serif"/>
          <w:b/>
          <w:i/>
          <w:sz w:val="20"/>
        </w:rPr>
        <w:t>Our insurance policies are expensive and protect us only from some business risks, which leaves us exposed to significant uninsured liabilities.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pStyle w:val="TextBody"/>
        <w:spacing w:before="120" w:after="120"/>
        <w:jc w:val="both"/>
        <w:rPr>
          <w:rFonts w:ascii="Times New Roman" w:hAnsi="Times New Roman"/>
          <w:sz w:val="20"/>
        </w:rPr>
      </w:pPr>
      <w:r>
        <w:rPr>
          <w:rFonts w:ascii="Times New Roman;serif" w:hAnsi="Times New Roman;serif"/>
          <w:b w:val="false"/>
          <w:sz w:val="20"/>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r>
        <w:rPr>
          <w:rFonts w:ascii="Times New Roman" w:hAnsi="Times New Roman"/>
          <w:sz w:val="20"/>
        </w:rPr>
        <w:t xml:space="preserve"> </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pStyle w:val="TextBody"/>
        <w:spacing w:before="120" w:after="120"/>
        <w:jc w:val="both"/>
        <w:rPr>
          <w:rFonts w:ascii="Times New Roman" w:hAnsi="Times New Roman"/>
          <w:sz w:val="20"/>
        </w:rPr>
      </w:pPr>
      <w:r>
        <w:rPr>
          <w:rFonts w:ascii="Times New Roman;serif" w:hAnsi="Times New Roman;serif"/>
          <w:b/>
          <w:i/>
          <w:sz w:val="20"/>
        </w:rPr>
        <w:t>We are subject to foreign currency exchange risk.</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 substantial amount of our revenues is derived from international operations, and we anticipate that a significant portion of our sales will continue to come from outside the United States in the future. As we have experienced in the three months ended March 31, 2023, where our prices are denominated in U.S. dollars, our sales and revenues could be adversely affected by declines in foreign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currencies relative to the U.S. dollar.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sz w:val="20"/>
        </w:rPr>
        <w:t>Risks Related to Government Regulation and Our Industry</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i/>
          <w:sz w:val="20"/>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Currently, our Northern Lights CLC system is available for clinical use in only China and the European Union. Our Aurora and Northern Lights systems are otherwise available to customers as research use 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and our suppliers are subject to ongoing regulatory obligations and continued regulatory review, which may result in significant additional expense and subject us to penalties if we fail to comply with applicable regulatory requirements.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FDA and other regulatory bodies, or the failure to timely and adequately respond to any adverse inspectional observations or product safety issues, could result in, among other things, any of the following enforcement actions: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untitled letters, warning letters, fines, injunctions, consent decrees and civil penalties;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unanticipated expenditures to address or defend such actions;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customer notifications for repair, replacement or refunds;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recall, detention or seizure of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operating restrictions or partial suspension or total shutdown of production;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refusing or delaying our requests for 510(k) clearance or PMA approval of new products or modified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withdrawal of 510(k) clearances on PMA approvals that have already been granted;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refusal to grant export approval for our products; or </w:t>
      </w:r>
    </w:p>
    <w:p>
      <w:pPr>
        <w:pStyle w:val="TextBody"/>
        <w:spacing w:before="120" w:after="203"/>
        <w:jc w:val="both"/>
        <w:rPr/>
      </w:pPr>
      <w:r>
        <w:rPr/>
        <w:t>•</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 xml:space="preserve">criminal prosecution. </w:t>
      </w:r>
    </w:p>
    <w:p>
      <w:pPr>
        <w:pStyle w:val="TextBody"/>
        <w:spacing w:before="120" w:after="203"/>
        <w:jc w:val="both"/>
        <w:rPr>
          <w:rFonts w:ascii="Times New Roman" w:hAnsi="Times New Roman"/>
          <w:sz w:val="20"/>
        </w:rPr>
      </w:pPr>
      <w:r>
        <w:rPr>
          <w:rFonts w:ascii="Times New Roman;serif" w:hAnsi="Times New Roman;serif"/>
          <w:b w:val="false"/>
          <w:sz w:val="20"/>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Changes in tariffs or other government trade policies may materially adversely affect our business and results of operations, including by reducing demand for our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are subject to governmental export controls that could impair our ability to compete in international markets due to licensing requirements and subject us to liability if we are not in compliance with applicable laws.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We are subject to stringent and changing U.S. and foreign data privacy and security laws, regulations, rules, and standards as well as policies, contractual obligations, and other obligations related to data privacy and security. Our actual or perceived failure to comply with such obligations could lead to government regulatory investigations or enforcement actions (that could include fines and penalties), a disruption of our business or commercialization of our products, private litigation, harm to our reputation, loss of revenue or profits, and other adverse effects on our business or prospects.</w:t>
      </w:r>
      <w:r>
        <w:rPr>
          <w:rFonts w:ascii="Times New Roman" w:hAnsi="Times New Roman"/>
          <w:sz w:val="20"/>
        </w:rPr>
        <w:t xml:space="preserve"> </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In the course of our operations, we collect, receive, store, process, generate, use, transfer, disclose, make accessible, protect, secure, dispose of, transmit, and share sensitive, confidential, and proprietary information, including personal information, business data, trade secrets, intellectual property, and sensitive third-party data.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In the United States, federal, state, and local governments have enacted numerous data privacy and security laws, including data breach notification laws, personal information privacy and security laws, and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(“CCPA”) applies to personal information of consumers, business representatives, and employees, and requires businesses to provide specific disclosures in privacy notices and honor requests of California residents to exercise certain rights related to their personal information. The CCPA allows for statutory fines for noncompliance (up to $7,500 per violation) and allows private litigants affected by certain data breaches to recover significant statutory damages. In addition, the California Privacy Rights Act of 2020 (“CPRA”) expands the CCPA’s requirements, including by adding a new right for individuals to correct their personal information and establishing a new regulatory agency, the California Privacy Protection Agency, to implement and enforce the law, which could increase the risk of an enforcement action. Other states, such as Virginia, Colorado, Utah, and Connecticut, have enacted data privacy and security laws. Similar laws are being considered in several other states, as well as at the federal and local levels.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 increasing legal risk and compliances costs for us and the third parties upon whom we rely.</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Outside the United States, an increasing number of laws, regulations, and industry standards apply to data privacy and security. For example, the European Union’s General Data Protection Regulation (“EU GDPR”) and the United Kingdom’s General Data Protection Regulation (“UK GDPR”) impose strict requirements for processing the personal information of individuals located, respectively within the European Economic Area (“EEA”) and the United Kingdom (“UK”). For example, violations of the EU and UK GDPR can result in, temporary or definitive bans on data processing and other corrective actions; fines of up to 20 million Euros (£17.5 million for the UK GDPR) or 4% of annual global revenue, whichever is greater; or private litigation related to processing of personal information brought by classes of data subjects or consumer protection organizations authorized at law to represent their interests.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Personal Information Protection Law (“PIPL”) broadly regulates data privacy and security practices and imposes strict requirements for processing personal information. As another example, Canada has enacted the Personal Information Protection and Electronic Documents Act and Canada’s Anti-Spam Legislation, which broadly regulate the Processing of personal information and impose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pStyle w:val="TextBody"/>
        <w:spacing w:before="120" w:after="203"/>
        <w:jc w:val="both"/>
        <w:rPr>
          <w:rFonts w:ascii="Times New Roman" w:hAnsi="Times New Roman"/>
          <w:sz w:val="20"/>
        </w:rPr>
      </w:pPr>
      <w:r>
        <w:rPr>
          <w:rFonts w:ascii="Times New Roman;serif" w:hAnsi="Times New Roman;serif"/>
          <w:b w:val="false"/>
          <w:sz w:val="20"/>
        </w:rPr>
        <w:t>In addition, many jurisdictions have enacted data localization laws and cross-border persona information transfer laws. These laws may make it more difficult for us to transfer personal information across jurisdictions, which could impede our business. For example, absent appropriate safeguards or other circumstances, the EU GDPR generally restricts the transfer of personal information to countries outside of the EEA, such as the United States, which the European Commission does not consider to provide an adequate level of data privacy and security. The European Commission released a set of Standard Contractual Clauses that are designed to be a mechanism by which entities can transfer personal information out of the EEA to jurisdictions that the European Commission has not found to provide an adequate level of protection. Currently, these Standard Contractual clauses are a valid mechanism to transfer personal information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information. Moreover, due to potential legal challenges, there exists some uncertainty regarding whether the Standard Contractual Clauses will remain a valid mechanism for transfers of personal information out of the EEA, and there is no assurance that we can satisfy or rely on these measures to lawfully transfer personal information to the United States or other countries. In addition, laws in Switzerland and the UK similarly restrict transfers of personal information outside of those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jurisdictions to countries such as the United States of America that do not provide an adequate level of personal information protection. In addition to European restrictions on cross-border transfers of personal information, other jurisdictions have enacted or are considering similar cross-border personal information transfer laws and local personal information residency laws,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information from Europe or elsewhere. The inability to import personal information to the United States could significantly and negatively impact our business operations, including by limiting our ability to collaborate with parties that are subject to European and other data privacy and security laws, requiring us to increase our personal information processing capabilities in Europe and/or elsewhere at significant expense; increased exposure to regulatory actions; and substantial fines and penalties.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In addition to data privacy and security laws, privacy advocates and industry groups have proposed, and may propose in the future, standards with which we are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 DSS can result in penalties ranging from $5,000 to $100,000 per month by credit card companies, litigation, damage to our reputation, and revenue losses. We may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data privacy and security laws, such as the EU/UK GDPR and the CCPA, require us to impose specific contractual restrictions on our service providers. 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spacing w:before="120" w:after="203"/>
        <w:jc w:val="both"/>
        <w:rPr>
          <w:rFonts w:ascii="Times New Roman" w:hAnsi="Times New Roman"/>
          <w:sz w:val="20"/>
        </w:rPr>
      </w:pPr>
      <w:r>
        <w:rPr>
          <w:rFonts w:ascii="Times New Roman;serif" w:hAnsi="Times New Roman;serif"/>
          <w:b w:val="false"/>
          <w:sz w:val="20"/>
        </w:rPr>
        <w:t>Our obligations related to data privacy and security are quickly changing in an increasingly stringent fashion and creating regulatory uncertainty.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which may necessitate changes to our information technologies, systems, and practices and to those of any third parties that process personal information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and business operations. If we or the third parties on which we rely fail, or are perceived to have failed, to address or comply with applicable data privacy and security obligations, we could face significant consequences. These consequences may include, but are not limited to, government enforcement actions (e.g., investigations, fines, penalties, audits, inspections, and similar); litigation (including class-action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revision or restructuring of our business model or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are subject to U.S. and certain foreign anti-corruption and anti-money laundering laws and regulations. We can face criminal liability and other serious consequences for violations, which can harm our business.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If we fail to comply with U.S. federal and state fraud and abuse and other healthcare laws and regulations, including those relating to kickbacks and false claims, we could face substantial penalties and our business operations and financial condition could be harmed.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physician assistants, nurse practitioners, clinical nurse specialists, certified nurse anesthetists and certified nurse-midwives;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 </w:t>
      </w:r>
    </w:p>
    <w:p>
      <w:pPr>
        <w:pStyle w:val="TextBody"/>
        <w:spacing w:before="120" w:after="100"/>
        <w:jc w:val="both"/>
        <w:rPr>
          <w:rFonts w:ascii="Times New Roman" w:hAnsi="Times New Roman"/>
          <w:sz w:val="20"/>
        </w:rPr>
      </w:pPr>
      <w:r>
        <w:rPr>
          <w:rFonts w:ascii="Times New Roman;serif" w:hAnsi="Times New Roman;serif"/>
          <w:b w:val="false"/>
          <w:sz w:val="20"/>
        </w:rPr>
        <w:t>State and federal regulatory and enforcement agencies continue to actively investigate violations of healthcare laws and regulations, and the U.S. Congress continues to strengthen the arsenal of enforcement tools.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sz w:val="20"/>
        </w:rPr>
        <w:t>Risks Related to Our Intellectual Property</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i/>
          <w:sz w:val="20"/>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applications in the United States and other jurisdictions are typically not published until 18 months after filing, or in some cases not at all. Therefore, we cannot be certain that we were the first to file for patent protection of such inventions.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As of March 31, 2023, we own 12 issued U.S. utility patents, two issued Japan utility patents, one issued European utility patent and one issued China utility patent. We have 43 pending utility patent applications, including 25 utility patent applications in the United States, five utility patent applications in the European Union, five utility patent applications in China and four utility patent applications in Japan. In connection with the acquisition of the FCI business unit, we acquired rights to 22 issued U.S. utility patents, 29 foreign utility patents and 2 pending utility patent applications, including one U.S. utility patent application and one European Union utility patent application.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March 31, 2023, our Shanghai subsidiary owns 15 issued utility patents and one issued invention patent and has ten pending invention patent applications and one pending utility patent application, and our Wuxi subsidiary owns 36 issued patents and has ten pending patent applications, including two pending utility model patent applications and eight pending invention patent applications.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protection provided by the patents we hold or pursue with respect to our current and any future products is challenged, it could dissuade companies from collaborating with us to develop, or threaten our ability to commercialize, our current and any future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rely substantially on our trademarks and trade names. If our trademarks and trade names are not adequately protected, then we may not be able to build name recognition in our markets of interest and our business may be harmed.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val="false"/>
          <w:sz w:val="20"/>
        </w:rPr>
        <w:t>We have limited intellectual property rights outside the United States, selected countries in the European Union, Japan and China. Filing, prosecuting and defending patents or trademarks on our current and any future products in all countries throughout the world</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120" w:after="0"/>
        <w:jc w:val="both"/>
        <w:rPr>
          <w:rFonts w:ascii="Times New Roman" w:hAnsi="Times New Roman"/>
          <w:sz w:val="20"/>
        </w:rPr>
      </w:pPr>
      <w:r>
        <w:rPr>
          <w:rFonts w:ascii="Times New Roman;serif" w:hAnsi="Times New Roman;serif"/>
          <w:b w:val="false"/>
          <w:sz w:val="20"/>
        </w:rPr>
        <w:t>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Changes in U.S. patent law could diminish the value of patents in general, thereby impairing our ability to protect our current and any future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Third-party claims of intellectual property infringement, misappropriation or other violation against us, the joint-owners of our intellectual property, or our collaborators may prevent or delay the sale and marketing of our current and any future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become involved in lawsuits to protect or enforce our patents and other intellectual property rights, which could be expensive, time-consuming and unsuccessful.</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i/>
          <w:sz w:val="20"/>
        </w:rPr>
        <w:t>Failure of a key information technology system, process, or site could have an adverse effect on our business.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71</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use of open source software could compromise our ability to offer our services and subject us to possible litigation.</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0"/>
        </w:rPr>
        <w:t>Risks Related to Ownership of Our Common Stock</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Times New Roman;serif" w:hAnsi="Times New Roman;serif"/>
          <w:b/>
          <w:i/>
          <w:sz w:val="20"/>
        </w:rPr>
        <w:t>Our stock price may be volatile, and the value of our common stock may decline.</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degree and rate of market adoption of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variance in our financial performance from expectations of securities analysts or investors;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actual or anticipated fluctuations in our financial condition and results of operations, including as a result of anticipated or unanticipated demand based on seasonal factors;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our projected operating and financial results;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developments or disputes concerning our intellectual property or other proprietary rights;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significant lawsuits, including patent or stockholder litigation;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negative publicity associated with issues related to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senior management or key personnel;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future sales of our common stock or other securities, by us or our stockholders, as well as the anticipation of lock-up releases;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trading volume of our common stock;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ability to obtain and maintain regulatory approvals for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laws or regulations applicable to our products;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adverse developments concerning any of our third-party distribution partners and suppliers, including our single and sole-source suppliers;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announcements by us or our competitors of significant business developments, acquisitions, or new offerings;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our inability to engage additional distribution partners and establish collaborations, if needed;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performance or news releases by other companies in our industry including about adverse developments related to safety, effectiveness, accuracy and usability of their products, reputational concerns, regulatory compliance, and product recalls;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general economic, regulatory and market conditions, including economic recessions or slowdowns, the COVID-19 pandemic, the ongoing war in Ukraine and the general inflationary environment;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other events or factors, many of which are beyond our control. </w:t>
      </w:r>
    </w:p>
    <w:p>
      <w:pPr>
        <w:pStyle w:val="TextBody"/>
        <w:spacing w:before="120" w:after="203"/>
        <w:jc w:val="both"/>
        <w:rPr>
          <w:rFonts w:ascii="Times New Roman" w:hAnsi="Times New Roman"/>
          <w:sz w:val="20"/>
        </w:rPr>
      </w:pPr>
      <w:r>
        <w:rPr>
          <w:rFonts w:ascii="Times New Roman;serif" w:hAnsi="Times New Roman;serif"/>
          <w:b w:val="false"/>
          <w:sz w:val="20"/>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72</w:t>
      </w:r>
    </w:p>
    <w:p>
      <w:pPr>
        <w:pStyle w:val="HorizontalLine"/>
        <w:rPr/>
      </w:pPr>
      <w:r>
        <w:rPr/>
      </w:r>
    </w:p>
    <w:p>
      <w:pPr>
        <w:pStyle w:val="TextBody"/>
        <w:spacing w:before="0" w:after="0"/>
        <w:jc w:val="left"/>
        <w:rPr/>
      </w:pPr>
      <w:r>
        <w:rPr/>
        <w:t> </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pStyle w:val="TextBody"/>
        <w:spacing w:before="0" w:after="0"/>
        <w:jc w:val="both"/>
        <w:rPr>
          <w:rFonts w:ascii="Times New Roman" w:hAnsi="Times New Roman"/>
          <w:sz w:val="20"/>
        </w:rPr>
      </w:pPr>
      <w:r>
        <w:rPr>
          <w:rFonts w:ascii="Times New Roman;serif" w:hAnsi="Times New Roman;serif"/>
          <w:b/>
          <w:i/>
          <w:sz w:val="20"/>
        </w:rPr>
        <w:t>We have broad discretion in the use of our cash and may invest or spend the funds in ways with which you do not agree and in ways that may not yield a return.</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Substantial future sales of shares of our common stock or securities convertible into our common stock will result in additional dilution of the percentage of ownership of our stockholders and could cause the market price of our common stock to decline.</w:t>
      </w:r>
      <w:r>
        <w:rPr>
          <w:rFonts w:ascii="Times New Roman" w:hAnsi="Times New Roman"/>
          <w:sz w:val="20"/>
        </w:rPr>
        <w:t xml:space="preserve"> </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In addition, we may offer and sell up to $150 million shares of common stock registered under our universal shelf registration statement on Form S-3 pursuant to the Sales Agreement with Piper in one or more “at the market” offerings. To date, we have not made any sales of common stock pursuant to the Sales Agreement. The extent to which we utilize the Sales Agreement with Piper as a source of funding will depend on a number of factors, including the prevailing market price of our common stock, general market conditions and other restrictions and the extent to which we are able to secure funds from other sources.</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pStyle w:val="TextBody"/>
        <w:spacing w:before="120" w:after="203"/>
        <w:jc w:val="both"/>
        <w:rPr>
          <w:rFonts w:ascii="Times New Roman;serif" w:hAnsi="Times New Roman;serif"/>
          <w:b w:val="false"/>
          <w:sz w:val="20"/>
        </w:rPr>
      </w:pPr>
      <w:r>
        <w:rPr>
          <w:rFonts w:ascii="Times New Roman;serif" w:hAnsi="Times New Roman;serif"/>
          <w:b w:val="false"/>
          <w:sz w:val="20"/>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pStyle w:val="TextBody"/>
        <w:spacing w:before="0" w:after="0"/>
        <w:jc w:val="both"/>
        <w:rPr>
          <w:rFonts w:ascii="Times New Roman" w:hAnsi="Times New Roman"/>
          <w:sz w:val="20"/>
        </w:rPr>
      </w:pPr>
      <w:r>
        <w:rPr>
          <w:rFonts w:ascii="Times New Roman;serif" w:hAnsi="Times New Roman;serif"/>
          <w:b/>
          <w:i/>
          <w:sz w:val="20"/>
        </w:rPr>
        <w:t>Concentration of ownership of our common stock among our executive officers, directors and principal stockholders may prevent new investors from influencing significant corporate decisions.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Based on the number of shares of common stock outstanding as of March 31, 2023, our executive officers, directors, holders of 5% or more of our common stock and their respective affiliates, in the aggregate, own approximately 39.6%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do not intend to pay dividends for the foreseeable future and, as a result, your ability to achieve a return on your investment will depend on appreciation in the price of our common stock.</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73</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We are subject to the periodic reporting requirements of the Securities Exchange Act of 1934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 board of directors divided into three classes serving staggered three-year terms, such that not all members of the board will be elected at one time;</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prohibition on stockholder action through written consent, which requires that all stockholder actions be taken at a meeting of our stockholders;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requirement that special meetings of stockholders be called only by the chairman of the board of directors, the chief executive officer, the president, or by a majority of the total number of authorized directors;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advance notice requirements for stockholder proposals and nominations for election to our board of directors;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a requirement of approval of not less than two-thirds of all outstanding shares of our voting stock to amend any bylaws by stockholder action or to amend specific provisions of our certificate of incorporation;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 </w:t>
      </w:r>
    </w:p>
    <w:p>
      <w:pPr>
        <w:pStyle w:val="TextBody"/>
        <w:spacing w:before="120" w:after="203"/>
        <w:jc w:val="both"/>
        <w:rPr>
          <w:rFonts w:ascii="Times New Roman" w:hAnsi="Times New Roman"/>
          <w:sz w:val="20"/>
        </w:rPr>
      </w:pPr>
      <w:r>
        <w:rPr>
          <w:rFonts w:ascii="Times New Roman;serif" w:hAnsi="Times New Roman;serif"/>
          <w:b w:val="false"/>
          <w:sz w:val="20"/>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74</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These provisions would not apply to suits brought to enforce a duty or liability created by the Exchange Act. Furthermore, Section 22 of the Securities Act of 1933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sz w:val="20"/>
        </w:rPr>
        <w:t>General Risk Factors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could be subject to securities class action litigation.</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We will incur increased costs as a result of operating as a public company, and our management will be required to devote substantial time to compliance with our public company responsibilities and corporate governance practices.</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As a public company, we have incurred and will continue to incur significant legal, accounting, and other expenses that we did not incur as a private company. We expect such expenses to further increase as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w:t>
      </w:r>
      <w:r>
        <w:rPr>
          <w:rFonts w:ascii="Times New Roman" w:hAnsi="Times New Roman"/>
          <w:sz w:val="20"/>
        </w:rPr>
        <w:t xml:space="preserve">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75</w:t>
      </w:r>
    </w:p>
    <w:p>
      <w:pPr>
        <w:pStyle w:val="HorizontalLine"/>
        <w:rPr/>
      </w:pPr>
      <w:r>
        <w:rPr/>
      </w:r>
    </w:p>
    <w:p>
      <w:pPr>
        <w:pStyle w:val="TextBody"/>
        <w:spacing w:before="0" w:after="0"/>
        <w:jc w:val="left"/>
        <w:rPr/>
      </w:pPr>
      <w:r>
        <w:rPr/>
        <w:t> </w:t>
      </w:r>
    </w:p>
    <w:p>
      <w:pPr>
        <w:pStyle w:val="TextBody"/>
        <w:spacing w:before="120" w:after="203"/>
        <w:jc w:val="both"/>
        <w:rPr>
          <w:rFonts w:ascii="Times New Roman" w:hAnsi="Times New Roman"/>
          <w:sz w:val="20"/>
        </w:rPr>
      </w:pPr>
      <w:r>
        <w:rPr>
          <w:rFonts w:ascii="Times New Roman;serif" w:hAnsi="Times New Roman;serif"/>
          <w:b w:val="false"/>
          <w:sz w:val="20"/>
        </w:rPr>
        <w:t>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i/>
          <w:sz w:val="20"/>
        </w:rPr>
        <w:t>Our failure to meet Nasdaq’s continued listing requirements could result in a delisting of our common stock.</w:t>
      </w:r>
      <w:r>
        <w:rPr>
          <w:rFonts w:ascii="Times New Roman" w:hAnsi="Times New Roman"/>
          <w:sz w:val="20"/>
        </w:rPr>
        <w:t xml:space="preserve"> </w:t>
      </w:r>
    </w:p>
    <w:p>
      <w:pPr>
        <w:pStyle w:val="TextBody"/>
        <w:spacing w:before="120" w:after="203"/>
        <w:jc w:val="both"/>
        <w:rPr>
          <w:rFonts w:ascii="Times New Roman" w:hAnsi="Times New Roman"/>
          <w:sz w:val="20"/>
        </w:rPr>
      </w:pPr>
      <w:r>
        <w:rPr>
          <w:rFonts w:ascii="Times New Roman;serif" w:hAnsi="Times New Roman;serif"/>
          <w:b w:val="false"/>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i/>
          <w:sz w:val="20"/>
        </w:rPr>
        <w:t>If securities or industry analysts do not publish research or publish unfavorable or inaccurate research about our business, our common stock price and trading volume could decline.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Our ability to use our net operating losses (“NOLs”) to offset future taxable income may be subject to certain limitations.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As of December 31, 2022, we had no federal and state NOL carryforwards. Certain state NOLs will begin to expire in the calendar year 2036, unless previously utilized. Certain NOL carryforwards subject to expiration could expire unused and be unavailable to offset future income tax liabilities.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Under the 2017 Tax Cuts and Jobs Act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Separately, under Section 382 of the Internal Revenue Code of 1986, as amended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2022, we had not experienced an ownership change subsequent to the ownership change on July 23, 2021. In addition, we may in the future experience ownership changes, as a result of changes in our stock ownership (some of which are not in our control). If an ownership change occurs, our ability to utilize our NOL carryforwards and other tax attributes to reduce future tax liabilities may be limited. Many states have provisions similar to Code Section 382. Annual limitations may result in the expiration of the state net operating loss carryforwards before utilization.</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Changes in our effective tax rate or tax liability may have an adverse effect on our results of operations.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Our effective tax rate could increase due to several factors, including:</w:t>
      </w:r>
      <w:r>
        <w:rPr>
          <w:rFonts w:ascii="Times New Roman" w:hAnsi="Times New Roman"/>
          <w:sz w:val="20"/>
        </w:rPr>
        <w:t xml:space="preserve">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in the relative amounts of income before taxes in the various jurisdictions in which we operate that have differing statutory tax rates;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changes in tax laws, tax treaties, and regulations or the interpretation of them;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76</w:t>
      </w:r>
    </w:p>
    <w:p>
      <w:pPr>
        <w:pStyle w:val="HorizontalLine"/>
        <w:rPr/>
      </w:pPr>
      <w:r>
        <w:rPr/>
      </w:r>
    </w:p>
    <w:p>
      <w:pPr>
        <w:pStyle w:val="TextBody"/>
        <w:spacing w:before="0" w:after="0"/>
        <w:jc w:val="left"/>
        <w:rPr/>
      </w:pPr>
      <w:r>
        <w:rPr/>
        <w:t>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changes to our assessment about our ability to realize our deferred tax assets that are based on estimates of our future results, the prudence and feasibility of possible tax planning strategies, and the economic and political environments in which we do business;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outcome of current and future tax audits, examinations, or administrative appeals; and </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 xml:space="preserve">limitations or adverse findings regarding our ability to do business in some jurisdictions. </w:t>
      </w:r>
    </w:p>
    <w:p>
      <w:pPr>
        <w:pStyle w:val="TextBody"/>
        <w:spacing w:before="120" w:after="120"/>
        <w:jc w:val="both"/>
        <w:rPr>
          <w:rFonts w:ascii="Times New Roman" w:hAnsi="Times New Roman"/>
          <w:sz w:val="20"/>
        </w:rPr>
      </w:pPr>
      <w:r>
        <w:rPr>
          <w:rFonts w:ascii="Times New Roman;serif" w:hAnsi="Times New Roman;serif"/>
          <w:b w:val="false"/>
          <w:sz w:val="20"/>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r>
        <w:rPr>
          <w:rFonts w:ascii="Times New Roman" w:hAnsi="Times New Roman"/>
          <w:sz w:val="20"/>
        </w:rPr>
        <w:t xml:space="preserve"> </w:t>
      </w:r>
    </w:p>
    <w:p>
      <w:pPr>
        <w:pStyle w:val="TextBody"/>
        <w:spacing w:before="120" w:after="120"/>
        <w:jc w:val="both"/>
        <w:rPr>
          <w:rFonts w:ascii="Times New Roman;serif" w:hAnsi="Times New Roman;serif"/>
          <w:b/>
          <w:i/>
          <w:sz w:val="20"/>
        </w:rPr>
      </w:pPr>
      <w:r>
        <w:rPr>
          <w:rFonts w:ascii="Times New Roman;serif" w:hAnsi="Times New Roman;serif"/>
          <w:b/>
          <w:i/>
          <w:sz w:val="20"/>
        </w:rPr>
        <w:t>Changes in tax law and regulations may have a material adverse effect on our business, financial condition and results of operations.</w:t>
      </w:r>
    </w:p>
    <w:p>
      <w:pPr>
        <w:pStyle w:val="TextBody"/>
        <w:spacing w:before="120" w:after="120"/>
        <w:jc w:val="both"/>
        <w:rPr>
          <w:rFonts w:ascii="Times New Roman" w:hAnsi="Times New Roman"/>
          <w:sz w:val="20"/>
        </w:rPr>
      </w:pPr>
      <w:r>
        <w:rPr>
          <w:rFonts w:ascii="Times New Roman;serif" w:hAnsi="Times New Roman;serif"/>
          <w:b w:val="false"/>
          <w:sz w:val="20"/>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i/>
          <w:sz w:val="20"/>
        </w:rPr>
        <w:t>Changes and uncertainties in the tax system in the countries in which we have operations, could materially adversely affect our financial condition and results of operations, and reduce net returns to our shareholders.</w:t>
      </w:r>
      <w:r>
        <w:rPr>
          <w:rFonts w:ascii="Times New Roman" w:hAnsi="Times New Roman"/>
          <w:sz w:val="20"/>
        </w:rPr>
        <w:t xml:space="preserve"> </w:t>
      </w:r>
    </w:p>
    <w:p>
      <w:pPr>
        <w:pStyle w:val="TextBody"/>
        <w:spacing w:before="120" w:after="120"/>
        <w:jc w:val="both"/>
        <w:rPr>
          <w:rFonts w:ascii="Times New Roman" w:hAnsi="Times New Roman"/>
          <w:sz w:val="20"/>
        </w:rPr>
      </w:pPr>
      <w:r>
        <w:rPr>
          <w:rFonts w:ascii="Times New Roman;serif" w:hAnsi="Times New Roman;serif"/>
          <w:b w:val="false"/>
          <w:sz w:val="20"/>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r>
        <w:rPr>
          <w:rFonts w:ascii="Times New Roman" w:hAnsi="Times New Roman"/>
          <w:sz w:val="20"/>
        </w:rPr>
        <w:t xml:space="preserve"> </w:t>
      </w:r>
    </w:p>
    <w:p>
      <w:pPr>
        <w:pStyle w:val="TextBody"/>
        <w:spacing w:before="0" w:after="0"/>
        <w:jc w:val="left"/>
        <w:rPr>
          <w:rFonts w:ascii="Times New Roman;serif" w:hAnsi="Times New Roman;serif"/>
          <w:b/>
          <w:sz w:val="20"/>
        </w:rPr>
      </w:pPr>
      <w:bookmarkStart w:id="22" w:name="item2unregistered"/>
      <w:bookmarkEnd w:id="22"/>
      <w:r>
        <w:rPr>
          <w:rFonts w:ascii="Times New Roman;serif" w:hAnsi="Times New Roman;serif"/>
          <w:b/>
          <w:sz w:val="20"/>
        </w:rPr>
        <w:t>ITEM 2. UNREGISTERED SALES OF EQUITY SECURITIES AND USE OF PROCEEDS.</w:t>
      </w:r>
    </w:p>
    <w:p>
      <w:pPr>
        <w:pStyle w:val="TextBody"/>
        <w:spacing w:before="0" w:after="0"/>
        <w:jc w:val="left"/>
        <w:rPr/>
      </w:pPr>
      <w:r>
        <w:rPr/>
        <w:t> </w:t>
      </w:r>
    </w:p>
    <w:p>
      <w:pPr>
        <w:pStyle w:val="TextBody"/>
        <w:spacing w:before="0" w:after="0"/>
        <w:jc w:val="left"/>
        <w:rPr>
          <w:rFonts w:ascii="Times New Roman;serif" w:hAnsi="Times New Roman;serif"/>
          <w:b/>
          <w:i/>
          <w:sz w:val="20"/>
        </w:rPr>
      </w:pPr>
      <w:r>
        <w:rPr>
          <w:rFonts w:ascii="Times New Roman;serif" w:hAnsi="Times New Roman;serif"/>
          <w:b/>
          <w:i/>
          <w:sz w:val="20"/>
        </w:rPr>
        <w:t>Unregistered Sales of Equity Securities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i/>
          <w:sz w:val="20"/>
        </w:rPr>
        <w:t>Issuer Purchases of Equity Securities</w:t>
      </w:r>
      <w:r>
        <w:rPr>
          <w:rFonts w:ascii="Times New Roman;serif" w:hAnsi="Times New Roman;serif"/>
          <w:b w:val="false"/>
          <w:sz w:val="20"/>
        </w:rPr>
        <w:br/>
      </w:r>
      <w:r>
        <w:rPr>
          <w:rFonts w:ascii="Times New Roman" w:hAnsi="Times New Roman"/>
          <w:sz w:val="20"/>
        </w:rPr>
        <w:t> </w:t>
      </w:r>
    </w:p>
    <w:p>
      <w:pPr>
        <w:pStyle w:val="TextBody"/>
        <w:spacing w:before="0" w:after="0"/>
        <w:jc w:val="left"/>
        <w:rPr>
          <w:rFonts w:ascii="Times New Roman" w:hAnsi="Times New Roman"/>
          <w:sz w:val="20"/>
        </w:rPr>
      </w:pPr>
      <w:r>
        <w:rPr>
          <w:rFonts w:ascii="Times New Roman;serif" w:hAnsi="Times New Roman;serif"/>
          <w:b w:val="false"/>
          <w:sz w:val="20"/>
        </w:rPr>
        <w:t>None.</w:t>
        <w:br/>
      </w:r>
      <w:r>
        <w:rPr>
          <w:rFonts w:ascii="Times New Roman" w:hAnsi="Times New Roman"/>
          <w:sz w:val="20"/>
        </w:rPr>
        <w:t> </w:t>
      </w:r>
    </w:p>
    <w:p>
      <w:pPr>
        <w:pStyle w:val="TextBody"/>
        <w:spacing w:before="0" w:after="0"/>
        <w:jc w:val="left"/>
        <w:rPr>
          <w:rFonts w:ascii="Times New Roman" w:hAnsi="Times New Roman"/>
          <w:sz w:val="20"/>
        </w:rPr>
      </w:pPr>
      <w:r>
        <w:rPr>
          <w:rFonts w:ascii="Times New Roman;serif" w:hAnsi="Times New Roman;serif"/>
          <w:b/>
          <w:i/>
          <w:sz w:val="20"/>
        </w:rPr>
        <w:t>Use of Proceeds</w:t>
      </w: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 w:hAnsi="Times New Roman"/>
          <w:sz w:val="20"/>
        </w:rPr>
      </w:pPr>
      <w:bookmarkStart w:id="23" w:name="item3defaultsuponseniorsecurities"/>
      <w:bookmarkEnd w:id="23"/>
      <w:r>
        <w:rPr>
          <w:rFonts w:ascii="Times New Roman;serif" w:hAnsi="Times New Roman;serif"/>
          <w:b w:val="false"/>
          <w:sz w:val="20"/>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br/>
        <w:br/>
        <w:br/>
        <w:br/>
      </w:r>
      <w:r>
        <w:rPr>
          <w:rFonts w:ascii="Times New Roman;serif" w:hAnsi="Times New Roman;serif"/>
          <w:b/>
          <w:sz w:val="20"/>
        </w:rPr>
        <w:t>ITEM 3.</w:t>
      </w:r>
      <w:r>
        <w:rPr>
          <w:rFonts w:ascii="Times New Roman;serif" w:hAnsi="Times New Roman;serif"/>
          <w:b w:val="false"/>
          <w:sz w:val="20"/>
        </w:rPr>
        <w:br/>
      </w:r>
      <w:r>
        <w:rPr>
          <w:rFonts w:ascii="Times New Roman;serif" w:hAnsi="Times New Roman;serif"/>
          <w:b/>
          <w:sz w:val="20"/>
        </w:rPr>
        <w:t>DEFAULTS UPON SENIOR SECURITIES.</w:t>
      </w:r>
      <w:r>
        <w:rPr>
          <w:rFonts w:ascii="Times New Roman;serif" w:hAnsi="Times New Roman;serif"/>
          <w:b w:val="false"/>
          <w:sz w:val="20"/>
        </w:rPr>
        <w:br/>
      </w:r>
      <w:r>
        <w:rPr>
          <w:rFonts w:ascii="Times New Roman" w:hAnsi="Times New Roman"/>
          <w:sz w:val="20"/>
        </w:rPr>
        <w:t> </w:t>
      </w:r>
    </w:p>
    <w:p>
      <w:pPr>
        <w:pStyle w:val="TextBody"/>
        <w:spacing w:before="0" w:after="0"/>
        <w:jc w:val="left"/>
        <w:rPr>
          <w:rFonts w:ascii="Times New Roman" w:hAnsi="Times New Roman"/>
          <w:sz w:val="20"/>
        </w:rPr>
      </w:pPr>
      <w:r>
        <w:rPr>
          <w:rFonts w:ascii="Times New Roman;serif" w:hAnsi="Times New Roman;serif"/>
          <w:b w:val="false"/>
          <w:sz w:val="20"/>
        </w:rPr>
        <w:t>None.</w:t>
        <w:br/>
        <w:br/>
        <w:br/>
        <w:br/>
        <w:br/>
      </w:r>
      <w:r>
        <w:rPr>
          <w:rFonts w:ascii="Times New Roman" w:hAnsi="Times New Roman"/>
          <w:sz w:val="20"/>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24" w:name="item4minesafety"/>
      <w:bookmarkEnd w:id="24"/>
      <w:r>
        <w:rPr>
          <w:rFonts w:ascii="Times New Roman;serif" w:hAnsi="Times New Roman;serif"/>
          <w:b w:val="false"/>
          <w:sz w:val="20"/>
        </w:rPr>
        <w:br/>
      </w:r>
      <w:r>
        <w:rPr>
          <w:rFonts w:ascii="Times New Roman;serif" w:hAnsi="Times New Roman;serif"/>
          <w:b/>
          <w:sz w:val="20"/>
        </w:rPr>
        <w:t>ITEM 4.</w:t>
        <w:br/>
        <w:t>MINE SAFETY DISCLOSURES.</w:t>
      </w:r>
      <w:r>
        <w:rPr>
          <w:rFonts w:ascii="Times New Roman;serif" w:hAnsi="Times New Roman;serif"/>
          <w:b w:val="false"/>
          <w:sz w:val="20"/>
        </w:rPr>
        <w:br/>
      </w:r>
      <w:r>
        <w:rPr>
          <w:rFonts w:ascii="Times New Roman" w:hAnsi="Times New Roman"/>
          <w:sz w:val="20"/>
        </w:rPr>
        <w:t> </w:t>
      </w:r>
    </w:p>
    <w:p>
      <w:pPr>
        <w:pStyle w:val="TextBody"/>
        <w:spacing w:before="0" w:after="0"/>
        <w:jc w:val="left"/>
        <w:rPr>
          <w:rFonts w:ascii="Times New Roman" w:hAnsi="Times New Roman"/>
          <w:sz w:val="20"/>
        </w:rPr>
      </w:pPr>
      <w:bookmarkStart w:id="25" w:name="item5otherinformation"/>
      <w:bookmarkEnd w:id="25"/>
      <w:r>
        <w:rPr>
          <w:rFonts w:ascii="Times New Roman;serif" w:hAnsi="Times New Roman;serif"/>
          <w:b w:val="false"/>
          <w:sz w:val="20"/>
        </w:rPr>
        <w:t>Not applicable.</w:t>
        <w:br/>
        <w:br/>
        <w:br/>
        <w:br/>
        <w:br/>
      </w:r>
      <w:r>
        <w:rPr>
          <w:rFonts w:ascii="Times New Roman;serif" w:hAnsi="Times New Roman;serif"/>
          <w:b/>
          <w:sz w:val="20"/>
        </w:rPr>
        <w:t>ITEM 5.</w:t>
        <w:br/>
        <w:t>OTHER INFORMATION.</w:t>
      </w:r>
      <w:r>
        <w:rPr>
          <w:rFonts w:ascii="Times New Roman;serif" w:hAnsi="Times New Roman;serif"/>
          <w:b w:val="false"/>
          <w:sz w:val="20"/>
        </w:rPr>
        <w:br/>
      </w:r>
      <w:r>
        <w:rPr>
          <w:rFonts w:ascii="Times New Roman" w:hAnsi="Times New Roman"/>
          <w:sz w:val="20"/>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78</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tbl>
      <w:tblPr>
        <w:tblW w:w="1697" w:type="dxa"/>
        <w:jc w:val="left"/>
        <w:tblInd w:w="0" w:type="dxa"/>
        <w:tblCellMar>
          <w:top w:w="28" w:type="dxa"/>
          <w:left w:w="28" w:type="dxa"/>
          <w:bottom w:w="28" w:type="dxa"/>
          <w:right w:w="28" w:type="dxa"/>
        </w:tblCellMar>
      </w:tblPr>
      <w:tblGrid>
        <w:gridCol w:w="841"/>
        <w:gridCol w:w="856"/>
      </w:tblGrid>
      <w:tr>
        <w:trPr/>
        <w:tc>
          <w:tcPr>
            <w:tcW w:w="84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841" w:type="dxa"/>
            <w:tcBorders/>
            <w:shd w:fill="auto" w:val="cle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ITEM 6.</w:t>
            </w:r>
          </w:p>
        </w:tc>
        <w:tc>
          <w:tcPr>
            <w:tcW w:w="856" w:type="dxa"/>
            <w:tcBorders/>
            <w:shd w:fill="auto" w:val="clear"/>
            <w:vAlign w:val="center"/>
          </w:tcPr>
          <w:p>
            <w:pPr>
              <w:pStyle w:val="TableContents"/>
              <w:spacing w:before="120" w:after="0"/>
              <w:ind w:left="0" w:right="0" w:hanging="0"/>
              <w:jc w:val="left"/>
              <w:rPr>
                <w:rFonts w:ascii="Times New Roman;serif" w:hAnsi="Times New Roman;serif"/>
                <w:b/>
                <w:sz w:val="20"/>
              </w:rPr>
            </w:pPr>
            <w:bookmarkStart w:id="26" w:name="item_15_exhibits"/>
            <w:bookmarkEnd w:id="26"/>
            <w:r>
              <w:rPr>
                <w:rFonts w:ascii="Times New Roman;serif" w:hAnsi="Times New Roman;serif"/>
                <w:b/>
                <w:sz w:val="20"/>
              </w:rPr>
              <w:t>Exhibits</w:t>
            </w:r>
            <w:bookmarkStart w:id="27" w:name="item15"/>
            <w:bookmarkEnd w:id="27"/>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26"/>
        <w:gridCol w:w="146"/>
        <w:gridCol w:w="5367"/>
        <w:gridCol w:w="146"/>
        <w:gridCol w:w="586"/>
        <w:gridCol w:w="730"/>
        <w:gridCol w:w="736"/>
        <w:gridCol w:w="735"/>
        <w:gridCol w:w="933"/>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787" w:type="dxa"/>
            <w:gridSpan w:val="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c>
          <w:tcPr>
            <w:tcW w:w="933"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82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Number</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367"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 Title</w:t>
            </w:r>
          </w:p>
        </w:tc>
        <w:tc>
          <w:tcPr>
            <w:tcW w:w="146"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58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Form</w:t>
            </w:r>
          </w:p>
        </w:tc>
        <w:tc>
          <w:tcPr>
            <w:tcW w:w="730"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File No.</w:t>
            </w:r>
          </w:p>
        </w:tc>
        <w:tc>
          <w:tcPr>
            <w:tcW w:w="73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tc>
        <w:tc>
          <w:tcPr>
            <w:tcW w:w="735"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Filing</w:t>
              <w:br/>
              <w:t>Date</w:t>
            </w:r>
          </w:p>
        </w:tc>
        <w:tc>
          <w:tcPr>
            <w:tcW w:w="933"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Filed</w:t>
              <w:br/>
              <w:t>Herewith</w:t>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30" w:type="dxa"/>
            <w:tcBorders/>
            <w:shd w:fill="auto" w:val="clear"/>
            <w:vAlign w:val="center"/>
          </w:tcPr>
          <w:p>
            <w:pPr>
              <w:pStyle w:val="TableContents"/>
              <w:spacing w:before="0" w:after="0"/>
              <w:ind w:left="0" w:right="0" w:hanging="0"/>
              <w:jc w:val="center"/>
              <w:rPr/>
            </w:pPr>
            <w:hyperlink r:id="rId3">
              <w:r>
                <w:rPr>
                  <w:rStyle w:val="InternetLink"/>
                  <w:rFonts w:ascii="Times New Roman;serif" w:hAnsi="Times New Roman;serif"/>
                  <w:b w:val="false"/>
                  <w:sz w:val="20"/>
                  <w:u w:val="single"/>
                </w:rPr>
                <w:t>001-40632</w:t>
              </w:r>
            </w:hyperlink>
          </w:p>
        </w:tc>
        <w:tc>
          <w:tcPr>
            <w:tcW w:w="736" w:type="dxa"/>
            <w:tcBorders/>
            <w:shd w:fill="auto" w:val="clear"/>
            <w:vAlign w:val="center"/>
          </w:tcPr>
          <w:p>
            <w:pPr>
              <w:pStyle w:val="TableContents"/>
              <w:spacing w:before="0" w:after="0"/>
              <w:ind w:left="0" w:right="0" w:hanging="0"/>
              <w:jc w:val="center"/>
              <w:rPr/>
            </w:pPr>
            <w:hyperlink r:id="rId4">
              <w:r>
                <w:rPr>
                  <w:rStyle w:val="InternetLink"/>
                  <w:rFonts w:ascii="Times New Roman;serif" w:hAnsi="Times New Roman;serif"/>
                  <w:b w:val="false"/>
                  <w:sz w:val="20"/>
                  <w:u w:val="single"/>
                </w:rPr>
                <w:t>3.1</w:t>
              </w:r>
            </w:hyperlink>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07/27/2021</w:t>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Amended and Restated Bylaws</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30" w:type="dxa"/>
            <w:tcBorders/>
            <w:shd w:fill="auto" w:val="clear"/>
            <w:vAlign w:val="center"/>
          </w:tcPr>
          <w:p>
            <w:pPr>
              <w:pStyle w:val="TableContents"/>
              <w:spacing w:before="0" w:after="0"/>
              <w:ind w:left="0" w:right="0" w:hanging="0"/>
              <w:jc w:val="center"/>
              <w:rPr/>
            </w:pPr>
            <w:hyperlink r:id="rId6">
              <w:r>
                <w:rPr>
                  <w:rStyle w:val="InternetLink"/>
                  <w:rFonts w:ascii="Times New Roman;serif" w:hAnsi="Times New Roman;serif"/>
                  <w:b w:val="false"/>
                  <w:sz w:val="20"/>
                  <w:u w:val="single"/>
                </w:rPr>
                <w:t>001-40632</w:t>
              </w:r>
            </w:hyperlink>
          </w:p>
        </w:tc>
        <w:tc>
          <w:tcPr>
            <w:tcW w:w="736" w:type="dxa"/>
            <w:tcBorders/>
            <w:shd w:fill="auto" w:val="clear"/>
            <w:vAlign w:val="center"/>
          </w:tcPr>
          <w:p>
            <w:pPr>
              <w:pStyle w:val="TableContents"/>
              <w:spacing w:before="0" w:after="0"/>
              <w:ind w:left="0" w:right="0" w:hanging="0"/>
              <w:jc w:val="center"/>
              <w:rPr/>
            </w:pPr>
            <w:hyperlink r:id="rId7">
              <w:r>
                <w:rPr>
                  <w:rStyle w:val="InternetLink"/>
                  <w:rFonts w:ascii="Times New Roman;serif" w:hAnsi="Times New Roman;serif"/>
                  <w:b w:val="false"/>
                  <w:sz w:val="20"/>
                  <w:u w:val="single"/>
                </w:rPr>
                <w:t>3.2</w:t>
              </w:r>
            </w:hyperlink>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07/27/2021</w:t>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5367" w:type="dxa"/>
            <w:tcBorders/>
            <w:shd w:fill="auto" w:val="clear"/>
            <w:vAlign w:val="center"/>
          </w:tcPr>
          <w:p>
            <w:pPr>
              <w:pStyle w:val="TableContents"/>
              <w:spacing w:before="0" w:after="0"/>
              <w:ind w:left="0" w:right="0" w:hanging="0"/>
              <w:jc w:val="left"/>
              <w:rPr/>
            </w:pPr>
            <w:hyperlink w:anchor="ctkb-ex10_1.htm">
              <w:r>
                <w:rPr>
                  <w:rStyle w:val="InternetLink"/>
                  <w:rFonts w:ascii="Times New Roman;serif" w:hAnsi="Times New Roman;serif"/>
                  <w:b w:val="false"/>
                  <w:sz w:val="20"/>
                  <w:u w:val="single"/>
                </w:rPr>
                <w:t>Offer letter, by and between Cytek Biosciences, Inc. and Valerie Barnett, dated January 12, 2021</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pPr>
            <w:r>
              <w:rPr/>
              <w:t> </w:t>
            </w:r>
          </w:p>
        </w:tc>
        <w:tc>
          <w:tcPr>
            <w:tcW w:w="730" w:type="dxa"/>
            <w:tcBorders/>
            <w:shd w:fill="auto" w:val="clear"/>
            <w:vAlign w:val="center"/>
          </w:tcPr>
          <w:p>
            <w:pPr>
              <w:pStyle w:val="TableContents"/>
              <w:spacing w:before="0" w:after="0"/>
              <w:ind w:left="0" w:right="0" w:hanging="0"/>
              <w:jc w:val="center"/>
              <w:rPr/>
            </w:pPr>
            <w:r>
              <w:rPr/>
              <w:t> </w:t>
            </w:r>
          </w:p>
        </w:tc>
        <w:tc>
          <w:tcPr>
            <w:tcW w:w="736" w:type="dxa"/>
            <w:tcBorders/>
            <w:shd w:fill="auto" w:val="clear"/>
            <w:vAlign w:val="center"/>
          </w:tcPr>
          <w:p>
            <w:pPr>
              <w:pStyle w:val="TableContents"/>
              <w:spacing w:before="0" w:after="0"/>
              <w:ind w:left="0" w:right="0" w:hanging="0"/>
              <w:jc w:val="center"/>
              <w:rPr/>
            </w:pPr>
            <w:r>
              <w:rPr/>
              <w:t> </w:t>
            </w:r>
          </w:p>
        </w:tc>
        <w:tc>
          <w:tcPr>
            <w:tcW w:w="735" w:type="dxa"/>
            <w:tcBorders/>
            <w:shd w:fill="auto" w:val="clear"/>
            <w:vAlign w:val="center"/>
          </w:tcPr>
          <w:p>
            <w:pPr>
              <w:pStyle w:val="TableContents"/>
              <w:spacing w:before="0" w:after="0"/>
              <w:ind w:left="0" w:right="0" w:hanging="0"/>
              <w:jc w:val="center"/>
              <w:rPr/>
            </w:pPr>
            <w:r>
              <w:rPr/>
              <w:t> </w:t>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5367" w:type="dxa"/>
            <w:tcBorders/>
            <w:shd w:fill="auto" w:val="clear"/>
            <w:vAlign w:val="center"/>
          </w:tcPr>
          <w:p>
            <w:pPr>
              <w:pStyle w:val="TableContents"/>
              <w:spacing w:before="0" w:after="0"/>
              <w:ind w:left="0" w:right="0" w:hanging="0"/>
              <w:jc w:val="left"/>
              <w:rPr/>
            </w:pPr>
            <w:hyperlink r:id="rId8">
              <w:r>
                <w:rPr>
                  <w:rStyle w:val="InternetLink"/>
                  <w:rFonts w:ascii="Times New Roman;serif" w:hAnsi="Times New Roman;serif"/>
                  <w:b w:val="false"/>
                  <w:sz w:val="20"/>
                  <w:u w:val="single"/>
                </w:rPr>
                <w:t>Asset Purchase Agreement, dated February 13, 2023, by and between Cytek Biosciences, Inc. and Luminex Corporation.</w:t>
              </w:r>
            </w:hyperlink>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10-K</w:t>
            </w:r>
          </w:p>
        </w:tc>
        <w:tc>
          <w:tcPr>
            <w:tcW w:w="730" w:type="dxa"/>
            <w:tcBorders/>
            <w:shd w:fill="auto" w:val="clear"/>
            <w:vAlign w:val="center"/>
          </w:tcPr>
          <w:p>
            <w:pPr>
              <w:pStyle w:val="TableContents"/>
              <w:spacing w:before="0" w:after="0"/>
              <w:ind w:left="0" w:right="0" w:hanging="0"/>
              <w:jc w:val="center"/>
              <w:rPr/>
            </w:pPr>
            <w:hyperlink r:id="rId9">
              <w:r>
                <w:rPr>
                  <w:rStyle w:val="InternetLink"/>
                  <w:rFonts w:ascii="Times New Roman;serif" w:hAnsi="Times New Roman;serif"/>
                  <w:b w:val="false"/>
                  <w:sz w:val="20"/>
                  <w:u w:val="single"/>
                </w:rPr>
                <w:t>001-40632</w:t>
              </w:r>
            </w:hyperlink>
          </w:p>
        </w:tc>
        <w:tc>
          <w:tcPr>
            <w:tcW w:w="736" w:type="dxa"/>
            <w:tcBorders/>
            <w:shd w:fill="auto" w:val="clear"/>
            <w:vAlign w:val="center"/>
          </w:tcPr>
          <w:p>
            <w:pPr>
              <w:pStyle w:val="TableContents"/>
              <w:spacing w:before="0" w:after="0"/>
              <w:ind w:left="0" w:right="0" w:hanging="0"/>
              <w:jc w:val="center"/>
              <w:rPr/>
            </w:pPr>
            <w:hyperlink r:id="rId10">
              <w:r>
                <w:rPr>
                  <w:rStyle w:val="InternetLink"/>
                  <w:rFonts w:ascii="Times New Roman;serif" w:hAnsi="Times New Roman;serif"/>
                  <w:b w:val="false"/>
                  <w:sz w:val="20"/>
                  <w:u w:val="single"/>
                </w:rPr>
                <w:t>10.16</w:t>
              </w:r>
            </w:hyperlink>
          </w:p>
        </w:tc>
        <w:tc>
          <w:tcPr>
            <w:tcW w:w="7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03/01/2023</w:t>
            </w:r>
          </w:p>
        </w:tc>
        <w:tc>
          <w:tcPr>
            <w:tcW w:w="933" w:type="dxa"/>
            <w:tcBorders/>
            <w:shd w:fill="auto" w:val="clear"/>
            <w:vAlign w:val="center"/>
          </w:tcPr>
          <w:p>
            <w:pPr>
              <w:pStyle w:val="TableContents"/>
              <w:spacing w:before="0" w:after="0"/>
              <w:ind w:left="0" w:right="0" w:hanging="0"/>
              <w:jc w:val="center"/>
              <w:rPr/>
            </w:pPr>
            <w:r>
              <w:rPr/>
              <w:t> </w:t>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pPr>
            <w:hyperlink w:anchor="ctkb-ex31_1.htm">
              <w:r>
                <w:rPr>
                  <w:rStyle w:val="InternetLink"/>
                  <w:rFonts w:ascii="Times New Roman;serif" w:hAnsi="Times New Roman;serif"/>
                  <w:b w:val="false"/>
                  <w:sz w:val="20"/>
                  <w:u w:val="single"/>
                </w:rPr>
                <w:t>Certification of Principal Executive Officer required by Rules 13a-14(a) and 15d-14(a) under the Securities Exchange Act of 1934, as adopted pursuant to Section 302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pPr>
            <w:hyperlink w:anchor="ctkb-ex31_2.htm">
              <w:r>
                <w:rPr>
                  <w:rStyle w:val="InternetLink"/>
                  <w:rFonts w:ascii="Times New Roman;serif" w:hAnsi="Times New Roman;serif"/>
                  <w:b w:val="false"/>
                  <w:sz w:val="20"/>
                  <w:u w:val="single"/>
                </w:rPr>
                <w:t>Certification of Principal Financial Officer required by Rule 13a-14(a) or Rule 15d-14(a) of the Securities Exchange Act of 1934, as adopted pursuant to Section 302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pPr>
            <w:hyperlink w:anchor="ctkb-ex32_1.htm">
              <w:r>
                <w:rPr>
                  <w:rStyle w:val="InternetLink"/>
                  <w:rFonts w:ascii="Times New Roman;serif" w:hAnsi="Times New Roman;serif"/>
                  <w:b w:val="false"/>
                  <w:sz w:val="20"/>
                  <w:u w:val="single"/>
                </w:rPr>
                <w:t>Certification of Chief Executive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pPr>
            <w:hyperlink w:anchor="ctkb-ex32_2.htm">
              <w:r>
                <w:rPr>
                  <w:rStyle w:val="InternetLink"/>
                  <w:rFonts w:ascii="Times New Roman;serif" w:hAnsi="Times New Roman;serif"/>
                  <w:b w:val="false"/>
                  <w:sz w:val="20"/>
                  <w:u w:val="single"/>
                </w:rPr>
                <w:t>Certification of Chief Financial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r>
        <w:trPr/>
        <w:tc>
          <w:tcPr>
            <w:tcW w:w="8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283"/>
              <w:ind w:left="0" w:right="0" w:hanging="0"/>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3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Exhibits 101).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730" w:type="dxa"/>
            <w:tcBorders/>
            <w:shd w:fill="auto" w:val="clear"/>
            <w:vAlign w:val="center"/>
          </w:tcPr>
          <w:p>
            <w:pPr>
              <w:pStyle w:val="TableContents"/>
              <w:spacing w:before="0" w:after="283"/>
              <w:ind w:left="0" w:right="0" w:hanging="0"/>
              <w:rPr>
                <w:sz w:val="4"/>
                <w:szCs w:val="4"/>
              </w:rPr>
            </w:pPr>
            <w:r>
              <w:rPr>
                <w:sz w:val="4"/>
                <w:szCs w:val="4"/>
              </w:rPr>
            </w:r>
          </w:p>
        </w:tc>
        <w:tc>
          <w:tcPr>
            <w:tcW w:w="736" w:type="dxa"/>
            <w:tcBorders/>
            <w:shd w:fill="auto" w:val="clear"/>
            <w:vAlign w:val="center"/>
          </w:tcPr>
          <w:p>
            <w:pPr>
              <w:pStyle w:val="TableContents"/>
              <w:spacing w:before="0" w:after="283"/>
              <w:ind w:left="0" w:right="0" w:hanging="0"/>
              <w:rPr>
                <w:sz w:val="4"/>
                <w:szCs w:val="4"/>
              </w:rPr>
            </w:pPr>
            <w:r>
              <w:rPr>
                <w:sz w:val="4"/>
                <w:szCs w:val="4"/>
              </w:rPr>
            </w:r>
          </w:p>
        </w:tc>
        <w:tc>
          <w:tcPr>
            <w:tcW w:w="735" w:type="dxa"/>
            <w:tcBorders/>
            <w:shd w:fill="auto" w:val="clear"/>
            <w:vAlign w:val="center"/>
          </w:tcPr>
          <w:p>
            <w:pPr>
              <w:pStyle w:val="TableContents"/>
              <w:spacing w:before="0" w:after="283"/>
              <w:ind w:left="0" w:right="0" w:hanging="0"/>
              <w:rPr>
                <w:sz w:val="4"/>
                <w:szCs w:val="4"/>
              </w:rPr>
            </w:pPr>
            <w:r>
              <w:rPr>
                <w:sz w:val="4"/>
                <w:szCs w:val="4"/>
              </w:rPr>
            </w:r>
          </w:p>
        </w:tc>
        <w:tc>
          <w:tcPr>
            <w:tcW w:w="933"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r>
    </w:tbl>
    <w:p>
      <w:pPr>
        <w:pStyle w:val="TextBody"/>
        <w:spacing w:before="0" w:after="0"/>
        <w:jc w:val="left"/>
        <w:rPr>
          <w:rFonts w:ascii="Times New Roman;serif" w:hAnsi="Times New Roman;serif"/>
          <w:b w:val="false"/>
          <w:sz w:val="20"/>
        </w:rPr>
      </w:pPr>
      <w:r>
        <w:rPr>
          <w:rFonts w:ascii="Times New Roman;serif" w:hAnsi="Times New Roman;serif"/>
          <w:b w:val="false"/>
          <w:sz w:val="20"/>
        </w:rPr>
        <w:t>______________________________________</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 Pursuant to Item 601(b)(10) of Regulation S-K, portions of this exhibit have been omitted as the Registrant has determined that the omitted information is both not material and is the type that the Registrant treats as private and confidential.</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 As contemplated by SEC Release No. 33-8212, these exhibits are furnished with this Quarterly Report on Form 10-Q and are not deemed filed with the SEC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79</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8" w:name="signatures"/>
      <w:bookmarkEnd w:id="28"/>
      <w:r>
        <w:rPr>
          <w:rFonts w:ascii="Times New Roman;serif" w:hAnsi="Times New Roman;serif"/>
          <w:b/>
          <w:sz w:val="20"/>
        </w:rPr>
        <w:t>SIGNATURES</w:t>
      </w:r>
    </w:p>
    <w:p>
      <w:pPr>
        <w:pStyle w:val="TextBody"/>
        <w:spacing w:before="240" w:after="0"/>
        <w:jc w:val="both"/>
        <w:rPr>
          <w:rFonts w:ascii="Times New Roman;serif" w:hAnsi="Times New Roman;serif"/>
          <w:b w:val="false"/>
          <w:sz w:val="20"/>
        </w:rPr>
      </w:pPr>
      <w:r>
        <w:rPr>
          <w:rFonts w:ascii="Times New Roman;serif" w:hAnsi="Times New Roman;serif"/>
          <w:b w:val="false"/>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6059" w:type="dxa"/>
        <w:jc w:val="left"/>
        <w:tblInd w:w="0" w:type="dxa"/>
        <w:tblCellMar>
          <w:top w:w="28" w:type="dxa"/>
          <w:left w:w="28" w:type="dxa"/>
          <w:bottom w:w="28" w:type="dxa"/>
          <w:right w:w="28" w:type="dxa"/>
        </w:tblCellMar>
      </w:tblPr>
      <w:tblGrid>
        <w:gridCol w:w="1636"/>
        <w:gridCol w:w="146"/>
        <w:gridCol w:w="406"/>
        <w:gridCol w:w="387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277"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Cytek Biosciences, Inc.</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871"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Wenbin Jiang</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Wenbin Jiang, Ph.D.</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center"/>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center"/>
              <w:rPr/>
            </w:pPr>
            <w:r>
              <w:rPr/>
              <w:t> </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3871" w:type="dxa"/>
            <w:tcBorders/>
            <w:shd w:fill="auto" w:val="clear"/>
            <w:vAlign w:val="center"/>
          </w:tcPr>
          <w:p>
            <w:pPr>
              <w:pStyle w:val="TableContents"/>
              <w:spacing w:before="0" w:after="0"/>
              <w:ind w:left="0" w:right="0" w:hanging="0"/>
              <w:jc w:val="center"/>
              <w:rPr/>
            </w:pPr>
            <w:r>
              <w:rPr/>
              <w:t> </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Patrik Jeanmonod</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Patrik Jeanmonod</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3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spacing w:before="0" w:after="0"/>
        <w:jc w:val="left"/>
        <w:rPr/>
      </w:pPr>
      <w:r>
        <w:rPr/>
        <w:t> </w:t>
      </w:r>
    </w:p>
    <w:p>
      <w:pPr>
        <w:pStyle w:val="TextBody"/>
        <w:spacing w:before="0" w:after="0"/>
        <w:jc w:val="left"/>
        <w:rPr/>
      </w:pPr>
      <w:r>
        <w:rPr/>
        <w:t> </w:t>
      </w:r>
    </w:p>
    <w:p>
      <w:pPr>
        <w:pStyle w:val="TextBody"/>
        <w:spacing w:before="160" w:after="0"/>
        <w:jc w:val="center"/>
        <w:rPr>
          <w:rFonts w:ascii="Times New Roman;serif" w:hAnsi="Times New Roman;serif"/>
          <w:b w:val="false"/>
          <w:sz w:val="20"/>
        </w:rPr>
      </w:pPr>
      <w:r>
        <w:rPr>
          <w:rFonts w:ascii="Times New Roman;serif" w:hAnsi="Times New Roman;serif"/>
          <w:b w:val="false"/>
          <w:sz w:val="20"/>
        </w:rPr>
        <w:t>80</w:t>
      </w:r>
    </w:p>
    <w:p>
      <w:pPr>
        <w:pStyle w:val="HorizontalLine"/>
        <w:rPr/>
      </w:pPr>
      <w:r>
        <w:rPr/>
      </w:r>
      <w:r>
        <w:br w:type="page"/>
      </w:r>
    </w:p>
    <w:p>
      <w:pPr>
        <w:pStyle w:val="TextBody"/>
        <w:spacing w:before="0" w:after="0"/>
        <w:jc w:val="left"/>
        <w:rPr/>
      </w:pPr>
      <w:bookmarkStart w:id="29" w:name="ctkb-ex10_1.htm"/>
      <w:bookmarkStart w:id="30" w:name="ksctkbex10_1"/>
      <w:bookmarkEnd w:id="29"/>
      <w:bookmarkEnd w:id="30"/>
      <w:r>
        <w:rPr/>
        <w:drawing>
          <wp:inline distT="0" distB="0" distL="0" distR="0">
            <wp:extent cx="150495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504950" cy="542925"/>
                    </a:xfrm>
                    <a:prstGeom prst="rect">
                      <a:avLst/>
                    </a:prstGeom>
                  </pic:spPr>
                </pic:pic>
              </a:graphicData>
            </a:graphic>
          </wp:inline>
        </w:drawing>
      </w:r>
      <w:r>
        <w:rPr/>
        <w:t> </w:t>
      </w:r>
    </w:p>
    <w:p>
      <w:pPr>
        <w:pStyle w:val="TextBody"/>
        <w:spacing w:before="56" w:after="0"/>
        <w:jc w:val="left"/>
        <w:rPr>
          <w:rFonts w:ascii="Calibri;sans-serif" w:hAnsi="Calibri;sans-serif"/>
          <w:b w:val="false"/>
          <w:sz w:val="22"/>
        </w:rPr>
      </w:pPr>
      <w:r>
        <w:rPr>
          <w:rFonts w:ascii="Calibri;sans-serif" w:hAnsi="Calibri;sans-serif"/>
          <w:b w:val="false"/>
          <w:sz w:val="22"/>
        </w:rPr>
        <w:t>January 12, 2021</w:t>
      </w:r>
    </w:p>
    <w:p>
      <w:pPr>
        <w:pStyle w:val="TextBody"/>
        <w:spacing w:before="0" w:after="0"/>
        <w:jc w:val="left"/>
        <w:rPr/>
      </w:pPr>
      <w:r>
        <w:rPr/>
        <w:t> </w:t>
      </w:r>
    </w:p>
    <w:p>
      <w:pPr>
        <w:pStyle w:val="TextBody"/>
        <w:spacing w:before="1" w:after="0"/>
        <w:jc w:val="left"/>
        <w:rPr>
          <w:rFonts w:ascii="Times New Roman" w:hAnsi="Times New Roman"/>
          <w:sz w:val="20"/>
        </w:rPr>
      </w:pPr>
      <w:r>
        <w:rPr>
          <w:rFonts w:ascii="Calibri;sans-serif" w:hAnsi="Calibri;sans-serif"/>
          <w:b w:val="false"/>
          <w:sz w:val="22"/>
        </w:rPr>
        <w:t>Valerie Barnett</w:t>
      </w:r>
      <w:r>
        <w:rPr>
          <w:rFonts w:ascii="Times New Roman" w:hAnsi="Times New Roman"/>
          <w:sz w:val="20"/>
        </w:rPr>
        <w:t xml:space="preserve"> </w:t>
      </w:r>
    </w:p>
    <w:p>
      <w:pPr>
        <w:pStyle w:val="TextBody"/>
        <w:spacing w:before="5" w:after="0"/>
        <w:jc w:val="left"/>
        <w:rPr/>
      </w:pPr>
      <w:r>
        <w:rPr/>
        <w:t> </w:t>
      </w:r>
    </w:p>
    <w:p>
      <w:pPr>
        <w:pStyle w:val="TextBody"/>
        <w:spacing w:before="56" w:after="0"/>
        <w:jc w:val="left"/>
        <w:rPr>
          <w:rFonts w:ascii="Calibri;sans-serif" w:hAnsi="Calibri;sans-serif"/>
          <w:b w:val="false"/>
          <w:sz w:val="22"/>
        </w:rPr>
      </w:pPr>
      <w:r>
        <w:rPr>
          <w:rFonts w:ascii="Calibri;sans-serif" w:hAnsi="Calibri;sans-serif"/>
          <w:b w:val="false"/>
          <w:sz w:val="22"/>
        </w:rPr>
        <w:t>Dear Valerie,</w:t>
      </w:r>
    </w:p>
    <w:p>
      <w:pPr>
        <w:pStyle w:val="TextBody"/>
        <w:spacing w:before="3"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CYTEK BIOSCIENCES INC. ("Cytek" or the "Company") is pleased to offer you the position of General Counsel - Vice President of Legal.</w:t>
      </w:r>
    </w:p>
    <w:p>
      <w:pPr>
        <w:pStyle w:val="TextBody"/>
        <w:spacing w:before="1"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You will report to WenBin Jiang, CEO, on your duties at Cytek. You will work from 46107 Landing Pkwy, Fremont, CA 94538. The Company may change your position, duties, and work location from time to time as it deems necessary.</w:t>
      </w:r>
    </w:p>
    <w:p>
      <w:pPr>
        <w:pStyle w:val="TextBody"/>
        <w:spacing w:before="2"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Your annual base compensation will be $225,000 less payroll deductions and all required withholdings. You are eligible to participate in Cytek’s Annual Bonus Program. Your target bonus is 30% of your annual base salary. Actual payout is dependent on your performance and company’s overall performance and is subject to the Board of Director’s approval. You will be paid semi-monthly and you will be eligible for the following standard company benefits:</w:t>
      </w:r>
    </w:p>
    <w:p>
      <w:pPr>
        <w:pStyle w:val="TextBody"/>
        <w:spacing w:before="11"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Medical Flexible account (HSA, FSA)</w:t>
      </w:r>
    </w:p>
    <w:p>
      <w:pPr>
        <w:pStyle w:val="TextBody"/>
        <w:spacing w:before="1" w:after="0"/>
        <w:jc w:val="left"/>
        <w:rPr>
          <w:rFonts w:ascii="Calibri;sans-serif" w:hAnsi="Calibri;sans-serif"/>
          <w:b w:val="false"/>
          <w:sz w:val="22"/>
        </w:rPr>
      </w:pPr>
      <w:r>
        <w:rPr>
          <w:rFonts w:ascii="Calibri;sans-serif" w:hAnsi="Calibri;sans-serif"/>
          <w:b w:val="false"/>
          <w:sz w:val="22"/>
        </w:rPr>
        <w:t>Dental PTO</w:t>
      </w:r>
    </w:p>
    <w:p>
      <w:pPr>
        <w:pStyle w:val="TextBody"/>
        <w:spacing w:before="0" w:after="0"/>
        <w:jc w:val="left"/>
        <w:rPr>
          <w:rFonts w:ascii="Calibri;sans-serif" w:hAnsi="Calibri;sans-serif"/>
          <w:b w:val="false"/>
          <w:sz w:val="22"/>
        </w:rPr>
      </w:pPr>
      <w:r>
        <w:rPr>
          <w:rFonts w:ascii="Calibri;sans-serif" w:hAnsi="Calibri;sans-serif"/>
          <w:b w:val="false"/>
          <w:sz w:val="22"/>
        </w:rPr>
        <w:t>Vision 9 Holidays</w:t>
      </w:r>
    </w:p>
    <w:p>
      <w:pPr>
        <w:pStyle w:val="TextBody"/>
        <w:spacing w:before="0" w:after="0"/>
        <w:jc w:val="left"/>
        <w:rPr>
          <w:rFonts w:ascii="Calibri;sans-serif" w:hAnsi="Calibri;sans-serif"/>
          <w:b w:val="false"/>
          <w:sz w:val="22"/>
        </w:rPr>
      </w:pPr>
      <w:r>
        <w:rPr>
          <w:rFonts w:ascii="Calibri;sans-serif" w:hAnsi="Calibri;sans-serif"/>
          <w:b w:val="false"/>
          <w:sz w:val="22"/>
        </w:rPr>
        <w:t>Life insurance 401K plan</w:t>
      </w:r>
    </w:p>
    <w:p>
      <w:pPr>
        <w:pStyle w:val="TextBody"/>
        <w:spacing w:before="1"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In addition, the company will grant you 100,000 stock option shares of the Company, subject to board approval and the terms set forth in a stock purchase agreement with the Company. In the event of a change of control, balance of outstanding stock vesting may accelerate with terms and conditions subjecting to BOD approval.</w:t>
      </w:r>
    </w:p>
    <w:p>
      <w:pPr>
        <w:pStyle w:val="TextBody"/>
        <w:spacing w:before="11"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The company may modify your compensation and benefits from time to time as it deems necessary. Additional information about company benefits can be provided upon request.</w:t>
      </w:r>
    </w:p>
    <w:p>
      <w:pPr>
        <w:pStyle w:val="TextBody"/>
        <w:spacing w:before="1"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As a Cytek employee, you will be expected to abide by Company rules and regulations and sign and comply with the Proprietary Information and Inventions Agreement which prohibits unauthorized use or disclosure of Company proprietary information.</w:t>
      </w:r>
    </w:p>
    <w:p>
      <w:pPr>
        <w:pStyle w:val="TextBody"/>
        <w:spacing w:before="11" w:after="0"/>
        <w:jc w:val="left"/>
        <w:rPr/>
      </w:pPr>
      <w:r>
        <w:rPr/>
        <w:t> </w:t>
      </w:r>
    </w:p>
    <w:p>
      <w:pPr>
        <w:pStyle w:val="TextBody"/>
        <w:spacing w:before="0" w:after="0"/>
        <w:jc w:val="left"/>
        <w:rPr>
          <w:rFonts w:ascii="Times New Roman" w:hAnsi="Times New Roman"/>
          <w:sz w:val="20"/>
        </w:rPr>
      </w:pPr>
      <w:r>
        <w:rPr>
          <w:rFonts w:ascii="Calibri;sans-serif" w:hAnsi="Calibri;sans-serif"/>
          <w:b w:val="false"/>
          <w:sz w:val="22"/>
        </w:rPr>
        <w:t xml:space="preserve">Normal working hours are from </w:t>
      </w:r>
      <w:r>
        <w:rPr>
          <w:rFonts w:ascii="Calibri;sans-serif" w:hAnsi="Calibri;sans-serif"/>
          <w:b/>
          <w:sz w:val="22"/>
          <w:u w:val="single"/>
        </w:rPr>
        <w:t>8:30 a.m.</w:t>
      </w:r>
      <w:r>
        <w:rPr>
          <w:rFonts w:ascii="Times New Roman" w:hAnsi="Times New Roman"/>
          <w:sz w:val="20"/>
        </w:rPr>
        <w:t xml:space="preserve"> </w:t>
      </w:r>
      <w:r>
        <w:rPr>
          <w:rFonts w:ascii="Calibri;sans-serif" w:hAnsi="Calibri;sans-serif"/>
          <w:b w:val="false"/>
          <w:sz w:val="22"/>
        </w:rPr>
        <w:t xml:space="preserve">to </w:t>
      </w:r>
      <w:r>
        <w:rPr>
          <w:rFonts w:ascii="Calibri;sans-serif" w:hAnsi="Calibri;sans-serif"/>
          <w:b/>
          <w:sz w:val="22"/>
          <w:u w:val="single"/>
        </w:rPr>
        <w:t>5:30 p.m</w:t>
      </w:r>
      <w:r>
        <w:rPr>
          <w:rFonts w:ascii="Calibri;sans-serif" w:hAnsi="Calibri;sans-serif"/>
          <w:b/>
          <w:sz w:val="22"/>
        </w:rPr>
        <w:t>.</w:t>
      </w:r>
      <w:r>
        <w:rPr>
          <w:rFonts w:ascii="Calibri;sans-serif" w:hAnsi="Calibri;sans-serif"/>
          <w:b w:val="false"/>
          <w:sz w:val="22"/>
        </w:rPr>
        <w:t>, Monday through Friday. As an exempt employee, you may be asked to work additional hours as required by the nature of your work assignments.</w:t>
      </w:r>
    </w:p>
    <w:p>
      <w:pPr>
        <w:pStyle w:val="TextBody"/>
        <w:spacing w:before="1"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We expect that you will start performing the duties of your new position on January 19, 2021.</w:t>
      </w:r>
    </w:p>
    <w:p>
      <w:pPr>
        <w:pStyle w:val="TextBody"/>
        <w:spacing w:before="0" w:after="0"/>
        <w:jc w:val="left"/>
        <w:rPr/>
      </w:pPr>
      <w:r>
        <w:rPr/>
        <w:t> </w:t>
      </w:r>
    </w:p>
    <w:p>
      <w:pPr>
        <w:pStyle w:val="TextBody"/>
        <w:spacing w:before="1" w:after="0"/>
        <w:jc w:val="left"/>
        <w:rPr>
          <w:rFonts w:ascii="Calibri;sans-serif" w:hAnsi="Calibri;sans-serif"/>
          <w:b w:val="false"/>
          <w:sz w:val="22"/>
        </w:rPr>
      </w:pPr>
      <w:r>
        <w:rPr>
          <w:rFonts w:ascii="Calibri;sans-serif" w:hAnsi="Calibri;sans-serif"/>
          <w:b w:val="false"/>
          <w:sz w:val="22"/>
        </w:rPr>
        <w:t>You may terminate your employment with Company at any time and for any reason whatsoever simply by notifying the Company. Likewise, the Company may terminate your employment at any time and for any reason whatsoever, with or without cause or advance notice. This at-will employment relationship cannot be changed except in writing signed by a company officer.</w:t>
      </w:r>
    </w:p>
    <w:p>
      <w:pPr>
        <w:pStyle w:val="TextBody"/>
        <w:spacing w:before="0" w:after="0"/>
        <w:jc w:val="left"/>
        <w:rPr/>
      </w:pPr>
      <w:r>
        <w:rPr/>
        <w:t> </w:t>
      </w:r>
    </w:p>
    <w:p>
      <w:pPr>
        <w:pStyle w:val="HorizontalLine"/>
        <w:rPr/>
      </w:pPr>
      <w:r>
        <w:rPr/>
      </w:r>
    </w:p>
    <w:p>
      <w:pPr>
        <w:pStyle w:val="TextBody"/>
        <w:spacing w:before="0" w:after="0"/>
        <w:jc w:val="left"/>
        <w:rPr/>
      </w:pPr>
      <w:r>
        <w:rPr/>
        <w:drawing>
          <wp:inline distT="0" distB="0" distL="0" distR="0">
            <wp:extent cx="1504950"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504950" cy="542925"/>
                    </a:xfrm>
                    <a:prstGeom prst="rect">
                      <a:avLst/>
                    </a:prstGeom>
                  </pic:spPr>
                </pic:pic>
              </a:graphicData>
            </a:graphic>
          </wp:inline>
        </w:drawing>
      </w:r>
      <w:r>
        <w:rPr/>
        <w:t> </w:t>
      </w:r>
    </w:p>
    <w:p>
      <w:pPr>
        <w:pStyle w:val="TextBody"/>
        <w:spacing w:before="2" w:after="0"/>
        <w:jc w:val="left"/>
        <w:rPr/>
      </w:pPr>
      <w:r>
        <w:rPr/>
        <w:t> </w:t>
      </w:r>
    </w:p>
    <w:p>
      <w:pPr>
        <w:pStyle w:val="TextBody"/>
        <w:spacing w:before="56" w:after="0"/>
        <w:jc w:val="left"/>
        <w:rPr>
          <w:rFonts w:ascii="Calibri;sans-serif" w:hAnsi="Calibri;sans-serif"/>
          <w:b w:val="false"/>
          <w:sz w:val="22"/>
        </w:rPr>
      </w:pPr>
      <w:r>
        <w:rPr>
          <w:rFonts w:ascii="Calibri;sans-serif" w:hAnsi="Calibri;sans-serif"/>
          <w:b w:val="false"/>
          <w:sz w:val="22"/>
        </w:rPr>
        <w:t>The employment terms in this letter supersede any other agreements or promises made to you by anyone, whether oral or written. As required by law, this offer is subject to satisfactory proof of your right to work in the United States.</w:t>
      </w:r>
    </w:p>
    <w:p>
      <w:pPr>
        <w:pStyle w:val="TextBody"/>
        <w:spacing w:before="11"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We look forward to a productive and enjoyable working relationship. Please sign and date this offer as soon as possible.</w:t>
      </w:r>
    </w:p>
    <w:p>
      <w:pPr>
        <w:pStyle w:val="TextBody"/>
        <w:spacing w:before="0" w:after="0"/>
        <w:jc w:val="left"/>
        <w:rPr/>
      </w:pPr>
      <w:r>
        <w:rPr/>
        <w:t> </w:t>
      </w:r>
    </w:p>
    <w:p>
      <w:pPr>
        <w:pStyle w:val="TextBody"/>
        <w:spacing w:before="1" w:after="0"/>
        <w:jc w:val="left"/>
        <w:rPr>
          <w:rFonts w:ascii="Calibri;sans-serif" w:hAnsi="Calibri;sans-serif"/>
          <w:b w:val="false"/>
          <w:sz w:val="22"/>
        </w:rPr>
      </w:pPr>
      <w:r>
        <w:rPr>
          <w:rFonts w:ascii="Calibri;sans-serif" w:hAnsi="Calibri;sans-serif"/>
          <w:b w:val="false"/>
          <w:sz w:val="22"/>
        </w:rPr>
        <w:t>Sincerely,</w:t>
      </w:r>
    </w:p>
    <w:p>
      <w:pPr>
        <w:pStyle w:val="TextBody"/>
        <w:spacing w:before="0" w:after="0"/>
        <w:jc w:val="left"/>
        <w:rPr/>
      </w:pPr>
      <w:r>
        <w:rPr/>
        <w:t> </w:t>
      </w:r>
    </w:p>
    <w:p>
      <w:pPr>
        <w:pStyle w:val="TextBody"/>
        <w:spacing w:before="0" w:after="0"/>
        <w:jc w:val="left"/>
        <w:rPr>
          <w:rFonts w:ascii="Times New Roman" w:hAnsi="Times New Roman"/>
          <w:sz w:val="20"/>
        </w:rPr>
      </w:pPr>
      <w:r>
        <w:rPr>
          <w:rFonts w:ascii="Calibri;sans-serif" w:hAnsi="Calibri;sans-serif"/>
          <w:b w:val="false"/>
          <w:sz w:val="22"/>
        </w:rPr>
        <w:t>/s/ Christina Wong</w:t>
      </w:r>
      <w:r>
        <w:rPr>
          <w:rFonts w:ascii="Times New Roman" w:hAnsi="Times New Roman"/>
          <w:sz w:val="20"/>
        </w:rPr>
        <w:t xml:space="preserve"> </w:t>
      </w:r>
    </w:p>
    <w:p>
      <w:pPr>
        <w:pStyle w:val="TextBody"/>
        <w:spacing w:before="0" w:after="0"/>
        <w:jc w:val="left"/>
        <w:rPr>
          <w:rFonts w:ascii="Calibri;sans-serif" w:hAnsi="Calibri;sans-serif"/>
          <w:b w:val="false"/>
          <w:sz w:val="22"/>
        </w:rPr>
      </w:pPr>
      <w:r>
        <w:rPr>
          <w:rFonts w:ascii="Calibri;sans-serif" w:hAnsi="Calibri;sans-serif"/>
          <w:b w:val="false"/>
          <w:sz w:val="22"/>
        </w:rPr>
        <w:t>HR Manager</w:t>
      </w:r>
    </w:p>
    <w:p>
      <w:pPr>
        <w:pStyle w:val="TextBody"/>
        <w:spacing w:before="0" w:after="0"/>
        <w:jc w:val="left"/>
        <w:rPr>
          <w:rFonts w:ascii="Calibri;sans-serif" w:hAnsi="Calibri;sans-serif"/>
          <w:b w:val="false"/>
          <w:sz w:val="22"/>
        </w:rPr>
      </w:pPr>
      <w:r>
        <w:rPr>
          <w:rFonts w:ascii="Calibri;sans-serif" w:hAnsi="Calibri;sans-serif"/>
          <w:b w:val="false"/>
          <w:sz w:val="22"/>
        </w:rPr>
        <w:t>Cytek Biosciences, Inc.</w:t>
      </w:r>
    </w:p>
    <w:p>
      <w:pPr>
        <w:pStyle w:val="TextBody"/>
        <w:spacing w:before="0"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Accepted:</w:t>
      </w:r>
    </w:p>
    <w:p>
      <w:pPr>
        <w:pStyle w:val="TextBody"/>
        <w:spacing w:before="0" w:after="0"/>
        <w:jc w:val="left"/>
        <w:rPr/>
      </w:pPr>
      <w:r>
        <w:rPr/>
        <w:t> </w:t>
      </w:r>
    </w:p>
    <w:p>
      <w:pPr>
        <w:pStyle w:val="TextBody"/>
        <w:spacing w:before="0" w:after="0"/>
        <w:jc w:val="left"/>
        <w:rPr>
          <w:rFonts w:ascii="Calibri;sans-serif" w:hAnsi="Calibri;sans-serif"/>
          <w:b w:val="false"/>
          <w:sz w:val="22"/>
        </w:rPr>
      </w:pPr>
      <w:r>
        <w:rPr>
          <w:rFonts w:ascii="Calibri;sans-serif" w:hAnsi="Calibri;sans-serif"/>
          <w:b w:val="false"/>
          <w:sz w:val="22"/>
        </w:rPr>
        <w:t>/s/ Valerie Barnett Date: January 12, 2021</w:t>
      </w:r>
    </w:p>
    <w:p>
      <w:pPr>
        <w:pStyle w:val="TextBody"/>
        <w:spacing w:before="6" w:after="0"/>
        <w:jc w:val="left"/>
        <w:rPr/>
      </w:pPr>
      <w:r>
        <w:rPr/>
        <w:t> </w:t>
      </w:r>
    </w:p>
    <w:p>
      <w:pPr>
        <w:pStyle w:val="HorizontalLine"/>
        <w:rPr/>
      </w:pPr>
      <w:r>
        <w:rPr/>
      </w:r>
      <w:r>
        <w:br w:type="page"/>
      </w:r>
    </w:p>
    <w:p>
      <w:pPr>
        <w:pStyle w:val="TextBody"/>
        <w:spacing w:before="0" w:after="0"/>
        <w:jc w:val="left"/>
        <w:rPr/>
      </w:pPr>
      <w:bookmarkStart w:id="31" w:name="ctkb-ex31_1.htm"/>
      <w:bookmarkStart w:id="32" w:name="ksctkbex31_1"/>
      <w:bookmarkEnd w:id="31"/>
      <w:bookmarkEnd w:id="32"/>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Wenbin Jiang, Ph.D., certify that: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Cytek Biosciences, Inc.;</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rFonts w:ascii="Times New Roman" w:hAnsi="Times New Roman"/>
          <w:sz w:val="20"/>
        </w:rPr>
      </w:pPr>
      <w:r>
        <w:rPr>
          <w:rFonts w:ascii="Times New Roman;serif" w:hAnsi="Times New Roman;serif"/>
          <w:b w:val="false"/>
          <w:sz w:val="20"/>
        </w:rPr>
        <w:t xml:space="preserve">Date: May 9, 2023 By: </w:t>
      </w:r>
      <w:r>
        <w:rPr>
          <w:rFonts w:ascii="Times New Roman;serif" w:hAnsi="Times New Roman;serif"/>
          <w:b w:val="false"/>
          <w:sz w:val="20"/>
          <w:u w:val="single"/>
        </w:rPr>
        <w:t>/s/ Wenbin Jiang, Ph.D.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Wenbin Jiang, Ph.D.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Executive Officer)</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3" w:name="ctkb-ex31_2.htm"/>
      <w:bookmarkStart w:id="34" w:name="ksctkbex31_2"/>
      <w:bookmarkEnd w:id="33"/>
      <w:bookmarkEnd w:id="34"/>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Patrik Jeanmonod, certify that: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Cytek Biosciences, Inc.;</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13a-15(r) and 15d-15(r))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rFonts w:ascii="Times New Roman" w:hAnsi="Times New Roman"/>
          <w:sz w:val="20"/>
        </w:rPr>
      </w:pPr>
      <w:r>
        <w:rPr>
          <w:rFonts w:ascii="Times New Roman;serif" w:hAnsi="Times New Roman;serif"/>
          <w:b w:val="false"/>
          <w:sz w:val="20"/>
        </w:rPr>
        <w:t xml:space="preserve">Date: May 9, 2023 By: </w:t>
      </w:r>
      <w:r>
        <w:rPr>
          <w:rFonts w:ascii="Times New Roman;serif" w:hAnsi="Times New Roman;serif"/>
          <w:b w:val="false"/>
          <w:sz w:val="20"/>
          <w:u w:val="single"/>
        </w:rPr>
        <w:t>/s/ Patrik Jeanmonod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Patrik Jeanmonod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Chief Financial Officer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Financial Officer)</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5" w:name="ctkb-ex32_1.htm"/>
      <w:bookmarkStart w:id="36" w:name="ksctkbex32_1"/>
      <w:bookmarkEnd w:id="35"/>
      <w:bookmarkEnd w:id="3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0" w:after="0"/>
        <w:jc w:val="center"/>
        <w:rPr>
          <w:rFonts w:ascii="Times New Roman" w:hAnsi="Times New Roman"/>
          <w:sz w:val="20"/>
        </w:rPr>
      </w:pPr>
      <w:r>
        <w:rPr>
          <w:rFonts w:ascii="Times New Roman;serif" w:hAnsi="Times New Roman;serif"/>
          <w:b/>
          <w:sz w:val="20"/>
        </w:rPr>
        <w:t>CERTIFICATION PURSUANT TO 18 U.S.C. SECTION 1350,</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 connection with the Quarterly Report on Form 10-Q of Cytek Biosciences, Inc. (the “Company”) for the period ended March 31, 2023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pStyle w:val="TextBody"/>
        <w:spacing w:before="120" w:after="0"/>
        <w:jc w:val="both"/>
        <w:rPr>
          <w:rFonts w:ascii="Times New Roman" w:hAnsi="Times New Roman"/>
          <w:b w:val="false"/>
          <w:sz w:val="20"/>
        </w:rPr>
      </w:pPr>
      <w:r>
        <w:rPr>
          <w:rFonts w:ascii="Times New Roman" w:hAnsi="Times New Roman"/>
          <w:b w:val="false"/>
          <w:sz w:val="20"/>
        </w:rPr>
        <w:t>(1)</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Exchange Act; and</w:t>
      </w:r>
    </w:p>
    <w:p>
      <w:pPr>
        <w:pStyle w:val="TextBody"/>
        <w:spacing w:before="120" w:after="0"/>
        <w:jc w:val="both"/>
        <w:rPr>
          <w:rFonts w:ascii="Times New Roman" w:hAnsi="Times New Roman"/>
          <w:b w:val="false"/>
          <w:sz w:val="20"/>
        </w:rPr>
      </w:pPr>
      <w:r>
        <w:rPr>
          <w:rFonts w:ascii="Times New Roman" w:hAnsi="Times New Roman"/>
          <w:b w:val="false"/>
          <w:sz w:val="20"/>
        </w:rPr>
        <w:t>(2)</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Date: May 9, 2023 By: </w:t>
      </w:r>
      <w:r>
        <w:rPr>
          <w:rFonts w:ascii="Times New Roman;serif" w:hAnsi="Times New Roman;serif"/>
          <w:b w:val="false"/>
          <w:sz w:val="20"/>
          <w:u w:val="single"/>
        </w:rPr>
        <w:t>/s/ Wenbin Jiang, Ph.D.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Wenbin Jiang, Ph.D.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Executive Officer)</w:t>
      </w:r>
    </w:p>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7" w:name="ctkb-ex32_2.htm"/>
      <w:bookmarkStart w:id="38" w:name="ksctkbex32_2"/>
      <w:bookmarkEnd w:id="37"/>
      <w:bookmarkEnd w:id="38"/>
      <w:r>
        <w:rPr/>
        <w:t> </w:t>
      </w:r>
    </w:p>
    <w:p>
      <w:pPr>
        <w:pStyle w:val="TextBody"/>
        <w:spacing w:before="0" w:after="160"/>
        <w:jc w:val="right"/>
        <w:rPr>
          <w:rFonts w:ascii="Times New Roman;serif" w:hAnsi="Times New Roman;serif"/>
          <w:b/>
          <w:sz w:val="20"/>
        </w:rPr>
      </w:pPr>
      <w:r>
        <w:rPr>
          <w:rFonts w:ascii="Times New Roman;serif" w:hAnsi="Times New Roman;serif"/>
          <w:b/>
          <w:sz w:val="20"/>
        </w:rPr>
        <w:t>Exhibit 32.2</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Cytek Biosciences, Inc. (the “Company”) for the period ended March 31, 2023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Exchange Act; and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 xml:space="preserve">Date: May 9, 2023 By: </w:t>
      </w:r>
      <w:r>
        <w:rPr>
          <w:rFonts w:ascii="Times New Roman;serif" w:hAnsi="Times New Roman;serif"/>
          <w:b w:val="false"/>
          <w:sz w:val="20"/>
          <w:u w:val="single"/>
        </w:rPr>
        <w:t>/s/ Patrik Jeanmonod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Patrik Jeanmonod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Chief Financial Officer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Financial Officer)</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1915/000119312521225716/d183956dex31.htm" TargetMode="External"/><Relationship Id="rId3" Type="http://schemas.openxmlformats.org/officeDocument/2006/relationships/hyperlink" Target="https://www.sec.gov/Archives/edgar/data/1831915/000119312521225716/d183956dex31.htm" TargetMode="External"/><Relationship Id="rId4" Type="http://schemas.openxmlformats.org/officeDocument/2006/relationships/hyperlink" Target="https://www.sec.gov/Archives/edgar/data/1831915/000119312521225716/d183956dex31.htm" TargetMode="External"/><Relationship Id="rId5" Type="http://schemas.openxmlformats.org/officeDocument/2006/relationships/hyperlink" Target="https://www.sec.gov/Archives/edgar/data/1831915/000119312521225716/d183956dex32.htm" TargetMode="External"/><Relationship Id="rId6" Type="http://schemas.openxmlformats.org/officeDocument/2006/relationships/hyperlink" Target="https://www.sec.gov/Archives/edgar/data/1831915/000119312521225716/d183956dex32.htm" TargetMode="External"/><Relationship Id="rId7" Type="http://schemas.openxmlformats.org/officeDocument/2006/relationships/hyperlink" Target="https://www.sec.gov/Archives/edgar/data/1831915/000119312521225716/d183956dex32.htm" TargetMode="External"/><Relationship Id="rId8" Type="http://schemas.openxmlformats.org/officeDocument/2006/relationships/hyperlink" Target="https://www.sec.gov/Archives/edgar/data/1831915/000095017023005610/ctkb-ex10_16.htm" TargetMode="External"/><Relationship Id="rId9" Type="http://schemas.openxmlformats.org/officeDocument/2006/relationships/hyperlink" Target="https://www.sec.gov/Archives/edgar/data/1831915/000095017023005610/ctkb-ex10_16.htm" TargetMode="External"/><Relationship Id="rId10" Type="http://schemas.openxmlformats.org/officeDocument/2006/relationships/hyperlink" Target="https://www.sec.gov/Archives/edgar/data/1831915/000095017023005610/ctkb-ex10_16.htm" TargetMode="External"/><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58808</Words>
  <CharactersWithSpaces>388875</CharactersWithSpaces>
  <Paragraphs>6663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