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Cytek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Integrated Core Strategies (US)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7,162,923.00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7,162,923.00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7,162,923.00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9,338,010.00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9,338,010.00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9,338,010.00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Group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9,338,010.00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9,338,010.00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9,338,010.00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Israel A. Englander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9,338,010.00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9,338,010.00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9,338,010.00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Cytek Biosciences,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47215 Lakeview Boulevard, Fremont, California 94538</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Integrated Core Strategies (US) LLC Millennium Management LLC Millennium Group Management LLC Israel A. Englander</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Integrated Core Strategies (US) LLC c/o Millennium Management LLC 399 Park Avenue New York, New York 10022 Millennium Management LLC 399 Park Avenue New York, New York 10022 Millennium Group Management LLC 399 Park Avenue New York, New York 10022 Israel A. Englander c/o Millennium Management LLC 399 Park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Integrated Core Strategies (US) LLC - Delaware Millennium Management LLC - Delaware Millennium Group Management LLC - Delaware Israel A. Englander - United States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30" w:type="dxa"/>
        <w:jc w:val="left"/>
        <w:tblInd w:w="0" w:type="dxa"/>
        <w:tblLayout w:type="fixed"/>
        <w:tblCellMar>
          <w:top w:w="28" w:type="dxa"/>
          <w:left w:w="28" w:type="dxa"/>
          <w:bottom w:w="28" w:type="dxa"/>
          <w:right w:w="28" w:type="dxa"/>
        </w:tblCellMar>
      </w:tblPr>
      <w:tblGrid>
        <w:gridCol w:w="3765"/>
        <w:gridCol w:w="3765"/>
      </w:tblGrid>
      <w:tr>
        <w:trPr/>
        <w:tc>
          <w:tcPr>
            <w:tcW w:w="3765" w:type="dxa"/>
            <w:tcBorders/>
            <w:vAlign w:val="center"/>
          </w:tcPr>
          <w:p>
            <w:pPr>
              <w:pStyle w:val="TableContents"/>
              <w:bidi w:val="0"/>
              <w:spacing w:before="0" w:after="0"/>
              <w:jc w:val="left"/>
              <w:rPr/>
            </w:pPr>
            <w:r>
              <w:rPr/>
              <w:t> </w:t>
            </w:r>
          </w:p>
          <w:tbl>
            <w:tblPr>
              <w:tblW w:w="3661" w:type="dxa"/>
              <w:jc w:val="left"/>
              <w:tblInd w:w="0" w:type="dxa"/>
              <w:tblLayout w:type="fixed"/>
              <w:tblCellMar>
                <w:top w:w="28" w:type="dxa"/>
                <w:left w:w="28" w:type="dxa"/>
                <w:bottom w:w="28" w:type="dxa"/>
                <w:right w:w="28" w:type="dxa"/>
              </w:tblCellMar>
            </w:tblPr>
            <w:tblGrid>
              <w:gridCol w:w="3661"/>
            </w:tblGrid>
            <w:tr>
              <w:trPr/>
              <w:tc>
                <w:tcPr>
                  <w:tcW w:w="3661" w:type="dxa"/>
                  <w:tcBorders/>
                  <w:vAlign w:val="center"/>
                </w:tcPr>
                <w:p>
                  <w:pPr>
                    <w:pStyle w:val="TableContents"/>
                    <w:bidi w:val="0"/>
                    <w:spacing w:before="0" w:after="0"/>
                    <w:jc w:val="left"/>
                    <w:rPr/>
                  </w:pPr>
                  <w:r>
                    <w:rPr/>
                    <w:t>Integrated Core Strategies (US) LLC</w:t>
                  </w:r>
                </w:p>
              </w:tc>
            </w:tr>
          </w:tbl>
          <w:p>
            <w:pPr>
              <w:pStyle w:val="TableContents"/>
              <w:bidi w:val="0"/>
              <w:spacing w:before="0" w:after="283"/>
              <w:jc w:val="left"/>
              <w:rPr/>
            </w:pPr>
            <w:r>
              <w:rPr/>
            </w:r>
          </w:p>
        </w:tc>
        <w:tc>
          <w:tcPr>
            <w:tcW w:w="37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Millennium Management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7854" w:type="dxa"/>
        <w:jc w:val="left"/>
        <w:tblInd w:w="0" w:type="dxa"/>
        <w:tblLayout w:type="fixed"/>
        <w:tblCellMar>
          <w:top w:w="28" w:type="dxa"/>
          <w:left w:w="28" w:type="dxa"/>
          <w:bottom w:w="28" w:type="dxa"/>
          <w:right w:w="28" w:type="dxa"/>
        </w:tblCellMar>
      </w:tblPr>
      <w:tblGrid>
        <w:gridCol w:w="3927"/>
        <w:gridCol w:w="3927"/>
      </w:tblGrid>
      <w:tr>
        <w:trPr/>
        <w:tc>
          <w:tcPr>
            <w:tcW w:w="3927" w:type="dxa"/>
            <w:tcBorders/>
            <w:vAlign w:val="center"/>
          </w:tcPr>
          <w:p>
            <w:pPr>
              <w:pStyle w:val="TableContents"/>
              <w:bidi w:val="0"/>
              <w:spacing w:before="0" w:after="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0"/>
                    <w:jc w:val="left"/>
                    <w:rPr/>
                  </w:pPr>
                  <w:r>
                    <w:rPr/>
                    <w:t>Millennium Group Management LLC</w:t>
                  </w:r>
                </w:p>
              </w:tc>
            </w:tr>
          </w:tbl>
          <w:p>
            <w:pPr>
              <w:pStyle w:val="TableContents"/>
              <w:bidi w:val="0"/>
              <w:spacing w:before="0" w:after="283"/>
              <w:jc w:val="left"/>
              <w:rPr/>
            </w:pPr>
            <w:r>
              <w:rPr/>
            </w:r>
          </w:p>
        </w:tc>
        <w:tc>
          <w:tcPr>
            <w:tcW w:w="3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Israel A. Englander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Israel A. Englander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Israel A. Englander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INTEGRATED CORE STRATEGIES (US) LLC By: Integrated Holding Group LP, its Managing Member By: Millennium Management LLC, its General Partner</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 Joint Filing Agreement, dated as of August 5, 2026, by and among Integrated Core Strategies (US) LLC, Millennium Management LLC, Millennium Group Management LLC and Israel A. Englander.</w:t>
            </w:r>
          </w:p>
        </w:tc>
      </w:tr>
    </w:tbl>
    <w:p>
      <w:pPr>
        <w:pStyle w:val="TextBody"/>
        <w:bidi w:val="0"/>
        <w:jc w:val="left"/>
        <w:rPr/>
      </w:pPr>
      <w:bookmarkStart w:id="28" w:name="tm2622465d1_ex-i.htm"/>
      <w:bookmarkStart w:id="29" w:name="kstm2622465d1_exi"/>
      <w:bookmarkEnd w:id="28"/>
      <w:bookmarkEnd w:id="29"/>
      <w:r>
        <w:rPr/>
        <w:t>  </w:t>
      </w:r>
      <w:r>
        <w:br w:type="page"/>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confirm the agreement by and among the undersigned that the Schedule 13G filed with the Securities and Exchange Commission on or about the date hereof with respect to the beneficial ownership by the undersigned of the Common Stock, par value $0.001 per share, of Cytek Biosciences,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5, 2026</w:t>
      </w:r>
    </w:p>
    <w:p>
      <w:pPr>
        <w:pStyle w:val="TextBody"/>
        <w:bidi w:val="0"/>
        <w:spacing w:before="0" w:after="283"/>
        <w:jc w:val="left"/>
        <w:rPr/>
      </w:pPr>
      <w:r>
        <w:rPr/>
        <w:t> </w:t>
      </w:r>
    </w:p>
    <w:tbl>
      <w:tblPr>
        <w:tblW w:w="3920" w:type="dxa"/>
        <w:jc w:val="left"/>
        <w:tblInd w:w="0" w:type="dxa"/>
        <w:tblLayout w:type="fixed"/>
        <w:tblCellMar>
          <w:top w:w="0" w:type="dxa"/>
          <w:left w:w="0" w:type="dxa"/>
          <w:bottom w:w="0" w:type="dxa"/>
          <w:right w:w="0" w:type="dxa"/>
        </w:tblCellMar>
      </w:tblPr>
      <w:tblGrid>
        <w:gridCol w:w="75"/>
        <w:gridCol w:w="3845"/>
      </w:tblGrid>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INTEGRATED CORE STRATEGIES (US) LLC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Integrated Holding Group LP,</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its Managing Member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Millennium Management LLC,</w:t>
            </w:r>
          </w:p>
          <w:p>
            <w:pPr>
              <w:pStyle w:val="TableContents"/>
              <w:bidi w:val="0"/>
              <w:spacing w:before="0" w:after="0"/>
              <w:ind w:left="0" w:right="0" w:firstLine="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its General Partner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Gil Raviv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Gil Raviv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Global General Counsel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MILLENNIUM MANAGEMENT LLC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Gil Raviv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Gil Raviv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Global General Counsel</w:t>
            </w:r>
          </w:p>
          <w:p>
            <w:pPr>
              <w:pStyle w:val="TableContents"/>
              <w:bidi w:val="0"/>
              <w:spacing w:before="0" w:after="0"/>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MILLENNIUM GROUP MANAGEMENT LLC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Gil Raviv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Gil Raviv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Global General Counsel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Israel A. Englander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 A. Englander</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1581</Words>
  <Characters>8283</Characters>
  <CharactersWithSpaces>9876</CharactersWithSpaces>
  <Paragraphs>346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