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460" w:right="780" w:hanging="434"/>
        <w:spacing w:after="0" w:line="286" w:lineRule="auto"/>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001-40632</w:t>
      </w:r>
    </w:p>
    <w:p>
      <w:pPr>
        <w:spacing w:after="0" w:line="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CYTEK BIOSCIENCES,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9"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47-2547526</w:t>
            </w:r>
          </w:p>
        </w:tc>
      </w:tr>
      <w:tr>
        <w:trPr>
          <w:trHeight w:val="198"/>
        </w:trPr>
        <w:tc>
          <w:tcPr>
            <w:tcW w:w="5020" w:type="dxa"/>
            <w:vAlign w:val="bottom"/>
          </w:tcPr>
          <w:p>
            <w:pPr>
              <w:jc w:val="center"/>
              <w:ind w:right="1686"/>
              <w:spacing w:after="0"/>
              <w:rPr>
                <w:sz w:val="20"/>
                <w:szCs w:val="20"/>
                <w:color w:val="auto"/>
              </w:rPr>
            </w:pPr>
            <w:r>
              <w:rPr>
                <w:rFonts w:ascii="Times New Roman" w:cs="Times New Roman" w:eastAsia="Times New Roman" w:hAnsi="Times New Roman"/>
                <w:sz w:val="13"/>
                <w:szCs w:val="13"/>
                <w:color w:val="auto"/>
                <w:w w:val="96"/>
              </w:rPr>
              <w:t>(State or other jurisdiction of</w:t>
            </w:r>
          </w:p>
        </w:tc>
        <w:tc>
          <w:tcPr>
            <w:tcW w:w="2700" w:type="dxa"/>
            <w:vAlign w:val="bottom"/>
          </w:tcPr>
          <w:p>
            <w:pPr>
              <w:jc w:val="center"/>
              <w:ind w:left="1686"/>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2700" w:type="dxa"/>
            <w:vAlign w:val="bottom"/>
          </w:tcPr>
          <w:p>
            <w:pPr>
              <w:jc w:val="center"/>
              <w:ind w:left="1686"/>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59"/>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8"/>
                <w:szCs w:val="18"/>
                <w:b w:val="1"/>
                <w:bCs w:val="1"/>
                <w:color w:val="auto"/>
                <w:w w:val="99"/>
              </w:rPr>
              <w:t>47215 Lakeview Blvd. Fremont, California</w:t>
            </w:r>
          </w:p>
        </w:tc>
        <w:tc>
          <w:tcPr>
            <w:tcW w:w="2700" w:type="dxa"/>
            <w:vAlign w:val="bottom"/>
          </w:tcPr>
          <w:p>
            <w:pPr>
              <w:jc w:val="right"/>
              <w:ind w:right="166"/>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186"/>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00" w:type="dxa"/>
            <w:vAlign w:val="bottom"/>
          </w:tcPr>
          <w:p>
            <w:pPr>
              <w:jc w:val="center"/>
              <w:ind w:left="1706"/>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(877) 922-9835</w:t>
      </w:r>
    </w:p>
    <w:p>
      <w:pPr>
        <w:spacing w:after="0" w:line="4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20" w:type="dxa"/>
            <w:vAlign w:val="bottom"/>
            <w:gridSpan w:val="2"/>
          </w:tcPr>
          <w:p>
            <w:pPr>
              <w:ind w:left="1640"/>
              <w:spacing w:after="0"/>
              <w:rPr>
                <w:sz w:val="20"/>
                <w:szCs w:val="20"/>
                <w:color w:val="auto"/>
              </w:rPr>
            </w:pPr>
            <w:r>
              <w:rPr>
                <w:rFonts w:ascii="Times New Roman" w:cs="Times New Roman" w:eastAsia="Times New Roman" w:hAnsi="Times New Roman"/>
                <w:sz w:val="14"/>
                <w:szCs w:val="14"/>
                <w:color w:val="auto"/>
              </w:rPr>
              <w:t>Title of each class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02"/>
        </w:trPr>
        <w:tc>
          <w:tcPr>
            <w:tcW w:w="44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 par value $0.001 per share</w:t>
            </w:r>
          </w:p>
        </w:tc>
        <w:tc>
          <w:tcPr>
            <w:tcW w:w="24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8"/>
              </w:rPr>
              <w:t>CTKB</w:t>
            </w:r>
          </w:p>
        </w:tc>
        <w:tc>
          <w:tcPr>
            <w:tcW w:w="4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r>
    </w:tbl>
    <w:p>
      <w:pPr>
        <w:spacing w:after="0" w:line="93" w:lineRule="exact"/>
        <w:rPr>
          <w:sz w:val="24"/>
          <w:szCs w:val="24"/>
          <w:color w:val="auto"/>
        </w:rPr>
      </w:pPr>
    </w:p>
    <w:p>
      <w:pPr>
        <w:ind w:right="12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3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500" w:type="dxa"/>
            <w:vAlign w:val="bottom"/>
            <w:vMerge w:val="restart"/>
          </w:tcPr>
          <w:p>
            <w:pPr>
              <w:ind w:left="820"/>
              <w:spacing w:after="0"/>
              <w:rPr>
                <w:sz w:val="20"/>
                <w:szCs w:val="20"/>
                <w:color w:val="auto"/>
              </w:rPr>
            </w:pPr>
            <w:r>
              <w:rPr>
                <w:rFonts w:ascii="Wingdings" w:cs="Wingdings" w:eastAsia="Wingdings" w:hAnsi="Wingdings"/>
                <w:sz w:val="15"/>
                <w:szCs w:val="15"/>
                <w:b w:val="1"/>
                <w:bCs w:val="1"/>
                <w:color w:val="auto"/>
              </w:rPr>
              <w:t>o</w:t>
            </w:r>
          </w:p>
        </w:tc>
        <w:tc>
          <w:tcPr>
            <w:tcW w:w="4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Accelerated filer</w:t>
            </w:r>
          </w:p>
        </w:tc>
        <w:tc>
          <w:tcPr>
            <w:tcW w:w="1660" w:type="dxa"/>
            <w:vAlign w:val="bottom"/>
            <w:vMerge w:val="restart"/>
          </w:tcPr>
          <w:p>
            <w:pPr>
              <w:jc w:val="right"/>
              <w:spacing w:after="0"/>
              <w:rPr>
                <w:sz w:val="20"/>
                <w:szCs w:val="20"/>
                <w:color w:val="auto"/>
              </w:rPr>
            </w:pPr>
            <w:r>
              <w:rPr>
                <w:rFonts w:ascii="Wingdings" w:cs="Wingdings" w:eastAsia="Wingdings" w:hAnsi="Wingdings"/>
                <w:sz w:val="15"/>
                <w:szCs w:val="15"/>
                <w:b w:val="1"/>
                <w:bCs w:val="1"/>
                <w:color w:val="auto"/>
              </w:rPr>
              <w:t>x</w:t>
            </w: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23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500" w:type="dxa"/>
            <w:vAlign w:val="bottom"/>
            <w:vMerge w:val="restart"/>
          </w:tcPr>
          <w:p>
            <w:pPr>
              <w:ind w:left="820"/>
              <w:spacing w:after="0"/>
              <w:rPr>
                <w:sz w:val="20"/>
                <w:szCs w:val="20"/>
                <w:color w:val="auto"/>
              </w:rPr>
            </w:pPr>
            <w:r>
              <w:rPr>
                <w:rFonts w:ascii="Wingdings" w:cs="Wingdings" w:eastAsia="Wingdings" w:hAnsi="Wingdings"/>
                <w:sz w:val="15"/>
                <w:szCs w:val="15"/>
                <w:b w:val="1"/>
                <w:bCs w:val="1"/>
                <w:color w:val="auto"/>
              </w:rPr>
              <w:t>o</w:t>
            </w:r>
          </w:p>
        </w:tc>
        <w:tc>
          <w:tcPr>
            <w:tcW w:w="4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660" w:type="dxa"/>
            <w:vAlign w:val="bottom"/>
            <w:vMerge w:val="restart"/>
          </w:tcPr>
          <w:p>
            <w:pPr>
              <w:jc w:val="right"/>
              <w:spacing w:after="0"/>
              <w:rPr>
                <w:sz w:val="20"/>
                <w:szCs w:val="20"/>
                <w:color w:val="auto"/>
              </w:rPr>
            </w:pPr>
            <w:r>
              <w:rPr>
                <w:rFonts w:ascii="Wingdings" w:cs="Wingdings" w:eastAsia="Wingdings" w:hAnsi="Wingdings"/>
                <w:sz w:val="15"/>
                <w:szCs w:val="15"/>
                <w:b w:val="1"/>
                <w:bCs w:val="1"/>
                <w:color w:val="auto"/>
              </w:rPr>
              <w:t>o</w:t>
            </w: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Emerging growth company</w:t>
      </w:r>
    </w:p>
    <w:p>
      <w:pPr>
        <w:ind w:left="3140"/>
        <w:spacing w:after="0"/>
        <w:rPr>
          <w:sz w:val="20"/>
          <w:szCs w:val="20"/>
          <w:color w:val="auto"/>
        </w:rPr>
      </w:pPr>
      <w:r>
        <w:rPr>
          <w:rFonts w:ascii="Wingdings" w:cs="Wingdings" w:eastAsia="Wingdings" w:hAnsi="Wingdings"/>
          <w:sz w:val="15"/>
          <w:szCs w:val="15"/>
          <w:b w:val="1"/>
          <w:bCs w:val="1"/>
          <w:color w:val="auto"/>
        </w:rPr>
        <w:t>o</w:t>
      </w:r>
    </w:p>
    <w:p>
      <w:pPr>
        <w:spacing w:after="0" w:line="124" w:lineRule="exact"/>
        <w:rPr>
          <w:sz w:val="24"/>
          <w:szCs w:val="24"/>
          <w:color w:val="auto"/>
        </w:rPr>
      </w:pPr>
    </w:p>
    <w:p>
      <w:pPr>
        <w:ind w:right="520"/>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ind w:right="37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Registrant’s Common Stock outstanding as of April 30, 2026 was 129,142,587.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60" w:type="dxa"/>
            <w:vAlign w:val="bottom"/>
            <w:gridSpan w:val="3"/>
            <w:vMerge w:val="continue"/>
          </w:tcPr>
          <w:p>
            <w:pPr>
              <w:spacing w:after="0"/>
              <w:rPr>
                <w:sz w:val="19"/>
                <w:szCs w:val="19"/>
                <w:color w:val="auto"/>
              </w:rPr>
            </w:pPr>
          </w:p>
        </w:tc>
        <w:tc>
          <w:tcPr>
            <w:tcW w:w="8700" w:type="dxa"/>
            <w:vAlign w:val="bottom"/>
            <w:gridSpan w:val="17"/>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300" w:type="dxa"/>
            <w:vAlign w:val="bottom"/>
            <w:gridSpan w:val="6"/>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40" w:type="dxa"/>
            <w:vAlign w:val="bottom"/>
            <w:tcBorders>
              <w:top w:val="single" w:sz="8" w:color="0000FF"/>
            </w:tcBorders>
            <w:gridSpan w:val="3"/>
          </w:tcPr>
          <w:p>
            <w:pPr>
              <w:spacing w:after="0"/>
              <w:rPr>
                <w:sz w:val="20"/>
                <w:szCs w:val="20"/>
                <w:color w:val="auto"/>
              </w:rPr>
            </w:pPr>
          </w:p>
        </w:tc>
        <w:tc>
          <w:tcPr>
            <w:tcW w:w="4040" w:type="dxa"/>
            <w:vAlign w:val="bottom"/>
            <w:gridSpan w:val="2"/>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560" w:type="dxa"/>
            <w:vAlign w:val="bottom"/>
            <w:gridSpan w:val="7"/>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920" w:type="dxa"/>
            <w:vAlign w:val="bottom"/>
            <w:gridSpan w:val="11"/>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0"/>
                <w:szCs w:val="20"/>
                <w:color w:val="auto"/>
              </w:rPr>
            </w:pPr>
          </w:p>
        </w:tc>
        <w:tc>
          <w:tcPr>
            <w:tcW w:w="7380" w:type="dxa"/>
            <w:vAlign w:val="bottom"/>
            <w:gridSpan w:val="13"/>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60" w:type="dxa"/>
            <w:vAlign w:val="bottom"/>
            <w:gridSpan w:val="4"/>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380" w:type="dxa"/>
            <w:vAlign w:val="bottom"/>
            <w:gridSpan w:val="9"/>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12"/>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0" w:type="dxa"/>
            <w:vAlign w:val="bottom"/>
            <w:gridSpan w:val="14"/>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1"/>
        </w:trPr>
        <w:tc>
          <w:tcPr>
            <w:tcW w:w="10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3"/>
          </w:tcPr>
          <w:p>
            <w:pPr>
              <w:ind w:left="40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226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Pr>
          <w:p>
            <w:pPr>
              <w:spacing w:after="0"/>
              <w:rPr>
                <w:sz w:val="17"/>
                <w:szCs w:val="17"/>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90,853</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170,676</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62,509</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48,428</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391,996</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16,821</w:t>
            </w:r>
          </w:p>
        </w:tc>
      </w:tr>
      <w:tr>
        <w:trPr>
          <w:trHeight w:val="25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r>
      <w:tr>
        <w:trPr>
          <w:trHeight w:val="250"/>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449,113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461,542</w:t>
            </w:r>
          </w:p>
        </w:tc>
      </w:tr>
      <w:tr>
        <w:trPr>
          <w:trHeight w:val="21"/>
        </w:trPr>
        <w:tc>
          <w:tcPr>
            <w:tcW w:w="7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settlement liability, current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28,504</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77,804</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 liability, noncurrent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43"/>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119,803</w:t>
            </w:r>
          </w:p>
        </w:tc>
      </w:tr>
      <w:tr>
        <w:trPr>
          <w:trHeight w:val="24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8"/>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1,000,000,000 authorized shares as of March 31, 2026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74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31, 2025, respectively; 129,142,587 and 128,550,136 issued and outstanding shares as of</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129</w:t>
            </w:r>
          </w:p>
        </w:tc>
      </w:tr>
      <w:tr>
        <w:trPr>
          <w:trHeight w:val="241"/>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441,107</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(101,738)</w:t>
            </w:r>
          </w:p>
        </w:tc>
      </w:tr>
      <w:tr>
        <w:trPr>
          <w:trHeight w:val="25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50"/>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327,644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341,739</w:t>
            </w:r>
          </w:p>
        </w:tc>
      </w:tr>
      <w:tr>
        <w:trPr>
          <w:trHeight w:val="250"/>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449,113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461,542</w:t>
            </w:r>
          </w:p>
        </w:tc>
      </w:tr>
      <w:tr>
        <w:trPr>
          <w:trHeight w:val="27"/>
        </w:trPr>
        <w:tc>
          <w:tcPr>
            <w:tcW w:w="7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ectPr>
          <w:pgSz w:w="11900" w:h="16838" w:orient="portrait"/>
          <w:cols w:equalWidth="0" w:num="1">
            <w:col w:w="10920"/>
          </w:cols>
          <w:pgMar w:left="320" w:top="121" w:right="6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680" w:type="dxa"/>
            <w:vAlign w:val="bottom"/>
          </w:tcPr>
          <w:p>
            <w:pPr>
              <w:spacing w:after="0"/>
              <w:rPr>
                <w:sz w:val="18"/>
                <w:szCs w:val="18"/>
                <w:color w:val="auto"/>
              </w:rPr>
            </w:pPr>
          </w:p>
        </w:tc>
        <w:tc>
          <w:tcPr>
            <w:tcW w:w="2120" w:type="dxa"/>
            <w:vAlign w:val="bottom"/>
          </w:tcPr>
          <w:p>
            <w:pPr>
              <w:jc w:val="right"/>
              <w:ind w:right="11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jc w:val="right"/>
              <w:ind w:right="11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6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28,779</w:t>
            </w:r>
          </w:p>
        </w:tc>
        <w:tc>
          <w:tcPr>
            <w:tcW w:w="1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w:t>
            </w: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6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6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6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22,881</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21,254</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0" w:type="dxa"/>
            <w:vAlign w:val="bottom"/>
          </w:tcPr>
          <w:p>
            <w:pPr>
              <w:spacing w:after="0"/>
              <w:rPr>
                <w:sz w:val="1"/>
                <w:szCs w:val="1"/>
                <w:color w:val="auto"/>
              </w:rPr>
            </w:pPr>
          </w:p>
        </w:tc>
      </w:tr>
      <w:tr>
        <w:trPr>
          <w:trHeight w:val="25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39,717</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6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6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basic and diluted</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520" w:type="dxa"/>
            <w:vAlign w:val="bottom"/>
            <w:gridSpan w:val="2"/>
            <w:vMerge w:val="continue"/>
          </w:tcPr>
          <w:p>
            <w:pPr>
              <w:spacing w:after="0"/>
              <w:rPr>
                <w:sz w:val="20"/>
                <w:szCs w:val="20"/>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gridSpan w:val="2"/>
            <w:vMerge w:val="continue"/>
          </w:tcPr>
          <w:p>
            <w:pPr>
              <w:spacing w:after="0"/>
              <w:rPr>
                <w:sz w:val="20"/>
                <w:szCs w:val="20"/>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calculating net loss per share, basic</w:t>
            </w:r>
          </w:p>
        </w:tc>
        <w:tc>
          <w:tcPr>
            <w:tcW w:w="68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128,704,934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128,339,481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calculating net loss per share, diluted</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gridSpan w:val="2"/>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128,704,934</w:t>
            </w: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128,339,481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6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1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6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6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comprehensive loss</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200" w:type="dxa"/>
            <w:vAlign w:val="bottom"/>
          </w:tcPr>
          <w:p>
            <w:pPr>
              <w:spacing w:after="0"/>
              <w:rPr>
                <w:sz w:val="2"/>
                <w:szCs w:val="2"/>
                <w:color w:val="auto"/>
              </w:rPr>
            </w:pPr>
          </w:p>
        </w:tc>
        <w:tc>
          <w:tcPr>
            <w:tcW w:w="11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vMerge w:val="restart"/>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20" w:type="dxa"/>
            <w:vAlign w:val="bottom"/>
          </w:tcPr>
          <w:p>
            <w:pPr>
              <w:spacing w:after="0"/>
              <w:rPr>
                <w:sz w:val="12"/>
                <w:szCs w:val="12"/>
                <w:color w:val="auto"/>
              </w:rPr>
            </w:pPr>
          </w:p>
        </w:tc>
        <w:tc>
          <w:tcPr>
            <w:tcW w:w="900" w:type="dxa"/>
            <w:vAlign w:val="bottom"/>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11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2"/>
                <w:szCs w:val="12"/>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2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2"/>
                <w:szCs w:val="12"/>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December 31, 2025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128,550,136</w:t>
            </w:r>
          </w:p>
        </w:tc>
        <w:tc>
          <w:tcPr>
            <w:tcW w:w="4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441,107</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(101,738)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341,739</w:t>
            </w:r>
          </w:p>
        </w:tc>
        <w:tc>
          <w:tcPr>
            <w:tcW w:w="0" w:type="dxa"/>
            <w:vAlign w:val="bottom"/>
          </w:tcPr>
          <w:p>
            <w:pPr>
              <w:spacing w:after="0"/>
              <w:rPr>
                <w:sz w:val="1"/>
                <w:szCs w:val="1"/>
                <w:color w:val="auto"/>
              </w:rPr>
            </w:pPr>
          </w:p>
        </w:tc>
      </w:tr>
      <w:tr>
        <w:trPr>
          <w:trHeight w:val="17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647,968</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(55,517)</w:t>
            </w:r>
          </w:p>
        </w:tc>
        <w:tc>
          <w:tcPr>
            <w:tcW w:w="4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8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340" w:type="dxa"/>
            <w:vAlign w:val="bottom"/>
            <w:gridSpan w:val="2"/>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4,861</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4,861</w:t>
            </w: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7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(18,866)</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(18,866)</w:t>
            </w:r>
          </w:p>
        </w:tc>
        <w:tc>
          <w:tcPr>
            <w:tcW w:w="0" w:type="dxa"/>
            <w:vAlign w:val="bottom"/>
          </w:tcPr>
          <w:p>
            <w:pPr>
              <w:spacing w:after="0"/>
              <w:rPr>
                <w:sz w:val="1"/>
                <w:szCs w:val="1"/>
                <w:color w:val="auto"/>
              </w:rPr>
            </w:pPr>
          </w:p>
        </w:tc>
      </w:tr>
      <w:tr>
        <w:trPr>
          <w:trHeight w:val="16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Balances at March 31, 2026</w:t>
            </w: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129,142,587</w:t>
            </w:r>
          </w:p>
        </w:tc>
        <w:tc>
          <w:tcPr>
            <w:tcW w:w="42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445,750</w:t>
            </w: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(120,604)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2,369</w:t>
            </w: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327,644</w:t>
            </w: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vMerge w:val="restart"/>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200" w:type="dxa"/>
            <w:vAlign w:val="bottom"/>
          </w:tcPr>
          <w:p>
            <w:pPr>
              <w:spacing w:after="0"/>
              <w:rPr>
                <w:sz w:val="2"/>
                <w:szCs w:val="2"/>
                <w:color w:val="auto"/>
              </w:rPr>
            </w:pPr>
          </w:p>
        </w:tc>
        <w:tc>
          <w:tcPr>
            <w:tcW w:w="11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1"/>
                <w:szCs w:val="11"/>
                <w:color w:val="auto"/>
              </w:rPr>
            </w:pPr>
          </w:p>
        </w:tc>
        <w:tc>
          <w:tcPr>
            <w:tcW w:w="11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2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11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December 31, 2024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129,205,901</w:t>
            </w:r>
          </w:p>
        </w:tc>
        <w:tc>
          <w:tcPr>
            <w:tcW w:w="42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430,791</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(35,199)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395,737</w:t>
            </w:r>
          </w:p>
        </w:tc>
        <w:tc>
          <w:tcPr>
            <w:tcW w:w="0" w:type="dxa"/>
            <w:vAlign w:val="bottom"/>
          </w:tcPr>
          <w:p>
            <w:pPr>
              <w:spacing w:after="0"/>
              <w:rPr>
                <w:sz w:val="1"/>
                <w:szCs w:val="1"/>
                <w:color w:val="auto"/>
              </w:rPr>
            </w:pPr>
          </w:p>
        </w:tc>
      </w:tr>
      <w:tr>
        <w:trPr>
          <w:trHeight w:val="17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500,830</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(29,006)</w:t>
            </w:r>
          </w:p>
        </w:tc>
        <w:tc>
          <w:tcPr>
            <w:tcW w:w="4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8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340" w:type="dxa"/>
            <w:vAlign w:val="bottom"/>
            <w:gridSpan w:val="2"/>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(2,078,583)</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(10,625)</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(10,627)</w:t>
            </w:r>
          </w:p>
        </w:tc>
        <w:tc>
          <w:tcPr>
            <w:tcW w:w="0" w:type="dxa"/>
            <w:vAlign w:val="bottom"/>
          </w:tcPr>
          <w:p>
            <w:pPr>
              <w:spacing w:after="0"/>
              <w:rPr>
                <w:sz w:val="1"/>
                <w:szCs w:val="1"/>
                <w:color w:val="auto"/>
              </w:rPr>
            </w:pPr>
          </w:p>
        </w:tc>
      </w:tr>
      <w:tr>
        <w:trPr>
          <w:trHeight w:val="191"/>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6,630</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6,630</w:t>
            </w:r>
          </w:p>
        </w:tc>
        <w:tc>
          <w:tcPr>
            <w:tcW w:w="0" w:type="dxa"/>
            <w:vAlign w:val="bottom"/>
          </w:tcPr>
          <w:p>
            <w:pPr>
              <w:spacing w:after="0"/>
              <w:rPr>
                <w:sz w:val="1"/>
                <w:szCs w:val="1"/>
                <w:color w:val="auto"/>
              </w:rPr>
            </w:pPr>
          </w:p>
        </w:tc>
      </w:tr>
      <w:tr>
        <w:trPr>
          <w:trHeight w:val="17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0" w:type="dxa"/>
            <w:vAlign w:val="bottom"/>
          </w:tcPr>
          <w:p>
            <w:pPr>
              <w:spacing w:after="0"/>
              <w:rPr>
                <w:sz w:val="1"/>
                <w:szCs w:val="1"/>
                <w:color w:val="auto"/>
              </w:rPr>
            </w:pPr>
          </w:p>
        </w:tc>
      </w:tr>
      <w:tr>
        <w:trPr>
          <w:trHeight w:val="17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(11,402)</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(11,402)</w:t>
            </w:r>
          </w:p>
        </w:tc>
        <w:tc>
          <w:tcPr>
            <w:tcW w:w="0" w:type="dxa"/>
            <w:vAlign w:val="bottom"/>
          </w:tcPr>
          <w:p>
            <w:pPr>
              <w:spacing w:after="0"/>
              <w:rPr>
                <w:sz w:val="1"/>
                <w:szCs w:val="1"/>
                <w:color w:val="auto"/>
              </w:rPr>
            </w:pPr>
          </w:p>
        </w:tc>
      </w:tr>
      <w:tr>
        <w:trPr>
          <w:trHeight w:val="30"/>
        </w:trPr>
        <w:tc>
          <w:tcPr>
            <w:tcW w:w="3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March 31, 2025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127,599,142</w:t>
            </w:r>
          </w:p>
        </w:tc>
        <w:tc>
          <w:tcPr>
            <w:tcW w:w="42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426,705</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(46,601)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379,623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60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29"/>
        </w:trPr>
        <w:tc>
          <w:tcPr>
            <w:tcW w:w="81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9"/>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(18,866)</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operating lease-right-of use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investments, accretion, and amortization, net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expenses for accretion of the legal settlement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non-cash expense (income), net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Trade 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Legal settlement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7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(95,598)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(60,161)</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70,431</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81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9,452</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Repayment of loan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taxes related to net share settlement of equity awards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plans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line of credit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Payments for repurchase of shares</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(10,627)</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(11,545)</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90,853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98,745</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65,665</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95,299</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Cash paid for taxes, net of refunds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received on tax refunds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asset purchases in accounts payable or accrued purchase at period end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Intangible asset in accounts payable or accrued expenses at period end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gridSpan w:val="2"/>
            <w:vMerge w:val="continue"/>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w:t>
      </w:r>
    </w:p>
    <w:p>
      <w:pPr>
        <w:spacing w:after="0" w:line="121" w:lineRule="exact"/>
        <w:rPr>
          <w:sz w:val="20"/>
          <w:szCs w:val="20"/>
          <w:color w:val="auto"/>
        </w:rPr>
      </w:pPr>
    </w:p>
    <w:p>
      <w:pPr>
        <w:jc w:val="both"/>
        <w:ind w:firstLine="486"/>
        <w:spacing w:after="0" w:line="231" w:lineRule="auto"/>
        <w:rPr>
          <w:sz w:val="20"/>
          <w:szCs w:val="20"/>
          <w:color w:val="auto"/>
        </w:rPr>
      </w:pPr>
      <w:r>
        <w:rPr>
          <w:rFonts w:ascii="Times New Roman" w:cs="Times New Roman" w:eastAsia="Times New Roman" w:hAnsi="Times New Roman"/>
          <w:sz w:val="18"/>
          <w:szCs w:val="18"/>
          <w:color w:val="auto"/>
        </w:rPr>
        <w:t>Cytek Biosciences, Inc. (“Cytek” or the “Company”) is a leading cell analysis solutions company advancing the next generation of cell analysis tools with its novel technical approach of leveraging the full spectrum of fluorescence signatures from multiple lasers to distinguish fluorescent tags on single cells (“Full Spectrum Profiling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 “FSP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technology). The Company is focused on becoming the premier cell analysis company through continued innovation that facilitates scientific advances in biomedical research and clinical applications.</w:t>
      </w:r>
    </w:p>
    <w:p>
      <w:pPr>
        <w:spacing w:after="0" w:line="79" w:lineRule="exact"/>
        <w:rPr>
          <w:sz w:val="20"/>
          <w:szCs w:val="20"/>
          <w:color w:val="auto"/>
        </w:rPr>
      </w:pPr>
    </w:p>
    <w:p>
      <w:pPr>
        <w:jc w:val="both"/>
        <w:ind w:firstLine="486"/>
        <w:spacing w:after="0" w:line="235" w:lineRule="auto"/>
        <w:rPr>
          <w:sz w:val="20"/>
          <w:szCs w:val="20"/>
          <w:color w:val="auto"/>
        </w:rPr>
      </w:pPr>
      <w:r>
        <w:rPr>
          <w:rFonts w:ascii="Times New Roman" w:cs="Times New Roman" w:eastAsia="Times New Roman" w:hAnsi="Times New Roman"/>
          <w:sz w:val="18"/>
          <w:szCs w:val="18"/>
          <w:color w:val="auto"/>
        </w:rPr>
        <w:t>The Company has successfully developed and manufactured its full spectrum flow cytometry platform (“instrument(s)” or “product(s)”). The Company’s FSP cell analyzers, the Cytek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Aurora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Northern Lights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Cytek Aurora Evo systems, deliver high-resolution, high-content and high-sensitivity cell analysis. The Company also launched its Cytek Aurora cell sorter (“Aurora CS system”),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spacing w:after="0" w:line="78" w:lineRule="exact"/>
        <w:rPr>
          <w:sz w:val="20"/>
          <w:szCs w:val="20"/>
          <w:color w:val="auto"/>
        </w:rPr>
      </w:pPr>
    </w:p>
    <w:p>
      <w:pPr>
        <w:jc w:val="both"/>
        <w:ind w:firstLine="486"/>
        <w:spacing w:after="0" w:line="217"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-and Guava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-branded instruments, and flow cytometry reagent products and services (the “FCI Business”). The acquired FCI Business includes conventional flow and image-based flow cytometry instrumentation and related products and services (the “FCI Products”).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Cytek Biosciences, Inc., its wholly-owned subsidiaries, Cytek Biosciences B.V. (Netherlands), Cytek Biosciences GmbH (Germany), Cytek Biosciences Ltd (UK), Cytek Biosciences Pte. Ltd. (Singapore), Cytek Biosciences S.A.S. (France), Cytek Limited (Hong Kong), Cytek Japan Corporation (“Cytek Japan”), Cytek (Shanghai) Biosciences Co., Ltd., and Cytek (Wuxi) Biosciences Co., Ltd. (“Cytek Wuxi”), and Cytek Biosciences Canada Ltd. (Canada). All intercompany accounts and transactions have been eliminated in consolidation.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and voting interest entities</w:t>
      </w:r>
    </w:p>
    <w:p>
      <w:pPr>
        <w:spacing w:after="0" w:line="121" w:lineRule="exact"/>
        <w:rPr>
          <w:sz w:val="20"/>
          <w:szCs w:val="20"/>
          <w:color w:val="auto"/>
        </w:rPr>
      </w:pPr>
    </w:p>
    <w:p>
      <w:pPr>
        <w:jc w:val="both"/>
        <w:ind w:firstLine="486"/>
        <w:spacing w:after="0" w:line="243" w:lineRule="auto"/>
        <w:rPr>
          <w:sz w:val="20"/>
          <w:szCs w:val="20"/>
          <w:color w:val="auto"/>
        </w:rPr>
      </w:pPr>
      <w:r>
        <w:rPr>
          <w:rFonts w:ascii="Times New Roman" w:cs="Times New Roman" w:eastAsia="Times New Roman" w:hAnsi="Times New Roman"/>
          <w:sz w:val="18"/>
          <w:szCs w:val="18"/>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entity model (“VOE”) or other applicable GAAP metric.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conformity with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loss have been translated at the average exchange rate for the year or the reporting period. Translation gains and losses are recorded in accumulated other comprehensive (loss)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(loss)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cash and cash equivalents consist of money held in demand depository accounts and money market funds. The carrying amount of cash and cash equivalents was $65.7 million and $90.9 million as of March 31, 2026 and December 31, 2025,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March 31, 2026.</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cash and cash equivalents on the unaudited interim consolidated balance sheets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as presented on the unaudited interim consolidated statements of cash flows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90,853</w:t>
            </w:r>
          </w:p>
        </w:tc>
      </w:tr>
      <w:tr>
        <w:trPr>
          <w:trHeight w:val="27"/>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Company classifies restricted cash as current on the accompanying unaudited interim consolidated balance sheets based on the expected timing of the release of the restrictions. There was no restricted cash as of March 31, 2026 and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The Company’s investments may consist of U.S. treasury and U.S. government agency securities, corporate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bonds, commercial paper, and money market funds. The Company has designated all investments as available-for-sale and, therefore, such investments are reported at fair value, with unrealized gains and losses recorded in accumulated other comprehensive (loss) income.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unaudited interim consolidated statements of operations and comprehensive loss. Investments with remaining maturities at date of purchase greater than 90 days and remaining maturities as of the reporting period less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one year are classified as short-term investments. Investments with remaining maturities greater than one year are classified as long-term investments.</w:t>
      </w:r>
    </w:p>
    <w:p>
      <w:pPr>
        <w:spacing w:after="0" w:line="11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Company’s equity investments consist of non-marketable equity investments in a privately held company.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unaudited interim consolidated balance sheets and adjustments to their carrying amounts are recorded in other income, net in the unaudited interim consolidated statements of operations and comprehensive loss. There were no material events or circumstances impacting the carrying amount of our strategic investments during the three months ended March 31,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principally of amounts due related to product sales of instrument systems, reagents and accessories, as well as installation and repair services. These receivables are generally due within 30 to 90 days of the period in which the corresponding sales occur, do not bear interest and are classified as trade accounts receivable, net on the unaudited interim consolidated balance sheets. Trade accounts receivable are reported at their estimated net realizable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is based on the Company’s assessment of the collectibility of customer accounts. The Company regularly reviews the allowance by considering factors such as historical experience, credit quality, age of the accounts receivable balances, and current economic conditions that may affect a customer’s ability to pay.</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arrangements that would require an allowance for credit losses in accordance with this accounting standard.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allowance for credit losses for the three months ended March 31, 2026 were as follows (in thousands):</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63"/>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Utilization of allowance for credit losses</w:t>
            </w:r>
          </w:p>
        </w:tc>
        <w:tc>
          <w:tcPr>
            <w:tcW w:w="2020" w:type="dxa"/>
            <w:vAlign w:val="bottom"/>
            <w:shd w:val="clear" w:color="auto" w:fill="CCEEFF"/>
          </w:tcPr>
          <w:p>
            <w:pPr>
              <w:spacing w:after="0"/>
              <w:rPr>
                <w:sz w:val="22"/>
                <w:szCs w:val="22"/>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7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020" w:type="dxa"/>
            <w:vAlign w:val="bottom"/>
            <w:tcBorders>
              <w:bottom w:val="single" w:sz="8" w:color="auto"/>
            </w:tcBorders>
            <w:shd w:val="clear" w:color="auto" w:fill="CCEEFF"/>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Depreciation is recorded using the straight-line method based on the estimated useful lives of the depreciable property or, for leasehold improvements,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remaining term of the lease, whichever is shorter. Assets not yet placed in use are not depreciated. The Company’s estimated useful lives of its property and equipment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674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7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674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20 years</w:t>
            </w:r>
          </w:p>
        </w:tc>
      </w:tr>
      <w:tr>
        <w:trPr>
          <w:trHeight w:val="25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74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7"/>
              </w:rPr>
              <w:t>5 - 7 years</w:t>
            </w: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67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5 - 10 years</w:t>
            </w:r>
          </w:p>
        </w:tc>
      </w:tr>
      <w:tr>
        <w:trPr>
          <w:trHeight w:val="26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674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7"/>
              </w:rPr>
              <w:t>3 - 5 years</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74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Shorter of expected lease term or estimated useful life</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Upon sale or retirement of the assets, the cost and related accumulated depreciation are removed from the accounts and the resulting gain or loss is recognized in the unaudited interim consolidated statements of operations and comprehensive loss. Expenditures for general maintenance and repairs are expensed as incurred.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Pr>
          <w:p>
            <w:pPr>
              <w:spacing w:after="0"/>
              <w:rPr>
                <w:sz w:val="21"/>
                <w:szCs w:val="21"/>
                <w:color w:val="auto"/>
              </w:rPr>
            </w:pP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6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64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20 years</w:t>
            </w: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10 years</w:t>
            </w:r>
          </w:p>
        </w:tc>
      </w:tr>
      <w:tr>
        <w:trPr>
          <w:trHeight w:val="25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64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2 - 15 years</w:t>
            </w: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FCI developed technology</w:t>
            </w: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1 - 6 years</w:t>
            </w:r>
          </w:p>
        </w:tc>
      </w:tr>
      <w:tr>
        <w:trPr>
          <w:trHeight w:val="26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w:t>
            </w:r>
          </w:p>
        </w:tc>
        <w:tc>
          <w:tcPr>
            <w:tcW w:w="64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7"/>
              </w:rPr>
              <w:t>7 - 9 years</w:t>
            </w:r>
          </w:p>
        </w:tc>
      </w:tr>
      <w:tr>
        <w:trPr>
          <w:trHeight w:val="25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Reagent licenses</w:t>
            </w:r>
          </w:p>
        </w:tc>
        <w:tc>
          <w:tcPr>
            <w:tcW w:w="64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5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64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impairment of long-lived assets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Long-lived assets with finite lives include property and equipment, as well as acquired finite-lived intangible assets. The Company evaluates long-lived assets, including acquired finite-lived intangible assets, for impairment whenever events or changes in circumstances indicate that the carrying amount of an asset may not be recoverable. Recoverability of assets held and used is measured by comparing the carrying amount of an asset or an asset group to the estimated undiscounted future net cash flows expected to be generated by the asset or asset group. If the carrying amount of an asset exceeds these estimated future cash flows, an impairment charge is recognized for the amount by which the carrying amount of the asset exceeds the fair value of the asset or asset group.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indicates the carrying value of the reporting unit exceeds its fair value, in which case an impairment charge is recorded to goodwill to the extent the carrying value exceeds the fair value, limited to the amount of goodwill. The Company did not recognize any impairment of goodwill and indefinite-lived intangible assets for all periods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interim consolidated balance sheets for cash and cash equivalents, trade accounts receivable, net, trade accounts payable, and accrued expenses approximate their fair values due to their short maturities.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product revenue consists of sales of its instrument systems, reagents and accessories. The Company recognizes product revenue at the point in time when control of the product is transferred to the customer.</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Invoicing for products occurs upon shipment and is adjusted based on the applicable International Commercial Terms, and payment terms are 30 to 90 days. Service contracts are invoiced upfront and payment terms are generally 30 days. For those arrangements that have terms longer than one year, any payments received upfront are for reasons other than financing. Revenue is recognized only to the extent that it is probable that a significant reversal of the cumulative amount recognized will not occur in future periods. The Company does not typically offer discounts, rebates, incentives, or rights of return. Variable consideration is not material.</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unaudited interim consolidated balance sheets. Deferred revenue that is expected to be recognized during the following 12 months is recorded as a current liability and the remaining portion is recorded as noncurrent.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Assurance-type product warranties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cost of advertising, marketing and media is expensed as incurred. For the three months ended March 31, 2026 and 2025, advertising, marketing and media expenses were $0.9 million and $1.2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Expected Volatility—Expected volatility is estimated by analyzing the historical volatility of the Company’s historical market data for the assessment corresponds to the expected term of the awards.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Expected Term—Expected term represents the period that the Company’s stock-based awards are expected to be outstanding and is determined using the simplified method.</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Dividend Yield— The expected dividend yield is zero as the Company has never declared or paid cash dividends and has no current plans to do so in the foreseeable future.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U.S. Treasury zero-coupon issued in effect at the time of grant for periods corresponding with the expected term of the option.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unaudited interim consolidated statements of operations and comprehensive loss. Accrued interest and penalties, if any, are included in accrued expenses in the unaudited interim consolidated balance sheet.</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federal,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Basic net loss per share and diluted net loss per share are computed using the weighted-average number of shares of common stock outstanding for the period. Net loss per share is calculated using the two-class method, which is an earnings allocation formula that determines net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per share gives effect to all potentially dilutive common stock equivalents, including outstanding options and redeemable convertible preferred stock.</w:t>
      </w:r>
    </w:p>
    <w:p>
      <w:pPr>
        <w:spacing w:after="0" w:line="72" w:lineRule="exact"/>
        <w:rPr>
          <w:sz w:val="20"/>
          <w:szCs w:val="20"/>
          <w:color w:val="auto"/>
        </w:rPr>
      </w:pPr>
    </w:p>
    <w:p>
      <w:pPr>
        <w:ind w:right="2140" w:firstLine="486"/>
        <w:spacing w:after="0" w:line="374" w:lineRule="auto"/>
        <w:rPr>
          <w:sz w:val="20"/>
          <w:szCs w:val="20"/>
          <w:color w:val="auto"/>
        </w:rPr>
      </w:pPr>
      <w:r>
        <w:rPr>
          <w:rFonts w:ascii="Times New Roman" w:cs="Times New Roman" w:eastAsia="Times New Roman" w:hAnsi="Times New Roman"/>
          <w:sz w:val="18"/>
          <w:szCs w:val="18"/>
          <w:color w:val="auto"/>
        </w:rPr>
        <w:t xml:space="preserve">Common stock equivalents are excluded from the computation of diluted net loss per share if their effect is antidilutive. </w:t>
      </w:r>
      <w:r>
        <w:rPr>
          <w:rFonts w:ascii="Times New Roman" w:cs="Times New Roman" w:eastAsia="Times New Roman" w:hAnsi="Times New Roman"/>
          <w:sz w:val="18"/>
          <w:szCs w:val="18"/>
          <w:b w:val="1"/>
          <w:bCs w:val="1"/>
          <w:i w:val="1"/>
          <w:iCs w:val="1"/>
          <w:color w:val="auto"/>
        </w:rPr>
        <w:t>Business Combinations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acquisition method of accounting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Each acquired company’s operating results are included in the Company’s unaudited interim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Amounts allocated to assets and liabilities are based upon their estimated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Company adopted ASU 2023-09 during the fourth quarter of 2025 on a prospective basis. The standard did not have a material impact on the Company’s audited consolidated financial statements. Refer to Note 15 for more information.</w:t>
      </w:r>
    </w:p>
    <w:p>
      <w:pPr>
        <w:spacing w:after="0" w:line="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which provides a practical expedient and an accounting policy election related to the estimation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for current accounts receivable and current contract assets. ASU 2025-05 is effective for annual periods beginning after December 15, 2025, including interim periods within those annual periods. The Company adopted ASU 2025-05 effective January 1, 2026, on a prospective basis. In connection with this adoption, the Company elected to apply the practical expedient permitted by the standard, which assumes that current conditions as of the balance sheet date do not change for the remaining life of the assets. The adoption of ASU 2025-05 did not have a material impact on the Company’s unaudited interim consolidated financial statements and related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xml:space="preserve">), and in January 2025 issued ASU 2025-01, </w:t>
      </w:r>
      <w:r>
        <w:rPr>
          <w:rFonts w:ascii="Times New Roman" w:cs="Times New Roman" w:eastAsia="Times New Roman" w:hAnsi="Times New Roman"/>
          <w:sz w:val="18"/>
          <w:szCs w:val="18"/>
          <w:i w:val="1"/>
          <w:iCs w:val="1"/>
          <w:color w:val="auto"/>
        </w:rPr>
        <w:t>Clarifying the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2025-01</w:t>
      </w:r>
      <w:r>
        <w:rPr>
          <w:rFonts w:ascii="Times New Roman" w:cs="Times New Roman" w:eastAsia="Times New Roman" w:hAnsi="Times New Roman"/>
          <w:sz w:val="18"/>
          <w:szCs w:val="18"/>
          <w:color w:val="auto"/>
        </w:rPr>
        <w:t>”) to provide clarification as to the effective date.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as amended by ASU 2025-01, is effective for annual reporting periods beginning after December 15, 2026, and interim reporting periods within fiscal years beginning after December 15, 2027. ASU 2024-03 can be applied on a prospective basis. Early adoption is permitted. The Company is currently in the process of evaluating the impact of this pronouncement on its related disclosures.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which modernizes the accounting for internal-use software costs. ASU 2025-06 is effective for annual periods beginning after December 15, 2027, with early adoption permitted as of the beginning of an annual period. The Company is currently in the process of evaluating the impact of this pronouncement on its unaudited interim consolidated financial statements and related disclosures.</w:t>
      </w:r>
    </w:p>
    <w:p>
      <w:pPr>
        <w:spacing w:after="0" w:line="200" w:lineRule="exact"/>
        <w:rPr>
          <w:sz w:val="20"/>
          <w:szCs w:val="20"/>
          <w:color w:val="auto"/>
        </w:rPr>
      </w:pP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Concentrations of credit risk and other risks and uncertainties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pacing w:after="0" w:line="6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depicts the disaggregation of revenue by sales channel mix and customer mix as defined by the nature of workflows (in thousands):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3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8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6"/>
        </w:trPr>
        <w:tc>
          <w:tcPr>
            <w:tcW w:w="5380" w:type="dxa"/>
            <w:vAlign w:val="bottom"/>
          </w:tcPr>
          <w:p>
            <w:pPr>
              <w:spacing w:after="0"/>
              <w:rPr>
                <w:sz w:val="16"/>
                <w:szCs w:val="16"/>
                <w:color w:val="auto"/>
              </w:rPr>
            </w:pPr>
          </w:p>
        </w:tc>
        <w:tc>
          <w:tcPr>
            <w:tcW w:w="17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80" w:type="dxa"/>
            <w:vAlign w:val="bottom"/>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3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17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5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sales channel</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30,269</w:t>
            </w:r>
          </w:p>
        </w:tc>
        <w:tc>
          <w:tcPr>
            <w:tcW w:w="160" w:type="dxa"/>
            <w:vAlign w:val="bottom"/>
          </w:tcPr>
          <w:p>
            <w:pPr>
              <w:spacing w:after="0"/>
              <w:rPr>
                <w:sz w:val="21"/>
                <w:szCs w:val="21"/>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29,970</w:t>
            </w:r>
          </w:p>
        </w:tc>
      </w:tr>
      <w:tr>
        <w:trPr>
          <w:trHeight w:val="263"/>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 channel</w:t>
            </w:r>
          </w:p>
        </w:tc>
        <w:tc>
          <w:tcPr>
            <w:tcW w:w="17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6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r>
      <w:tr>
        <w:trPr>
          <w:trHeight w:val="24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760" w:type="dxa"/>
            <w:vAlign w:val="bottom"/>
            <w:tcBorders>
              <w:bottom w:val="single" w:sz="8" w:color="auto"/>
            </w:tcBorders>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57"/>
        </w:trPr>
        <w:tc>
          <w:tcPr>
            <w:tcW w:w="53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25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1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63"/>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Academia and government</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r>
      <w:tr>
        <w:trPr>
          <w:trHeight w:val="211"/>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Biotechnology, pharmaceutical, distributor and contract research</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5"/>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organizations</w:t>
            </w:r>
          </w:p>
        </w:tc>
        <w:tc>
          <w:tcPr>
            <w:tcW w:w="17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27,196</w:t>
            </w: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24,325</w:t>
            </w:r>
          </w:p>
        </w:tc>
      </w:tr>
      <w:tr>
        <w:trPr>
          <w:trHeight w:val="27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760" w:type="dxa"/>
            <w:vAlign w:val="bottom"/>
            <w:tcBorders>
              <w:bottom w:val="single" w:sz="8" w:color="auto"/>
            </w:tcBorders>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geographical markets is presented in Note 20.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revenues expected to be recognized in the future related to performance obligations that are unsatisfied (or partially satisfied) as of March 31, 2026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Greater than 1 year</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46,265</w:t>
            </w:r>
          </w:p>
        </w:tc>
      </w:tr>
      <w:tr>
        <w:trPr>
          <w:trHeight w:val="27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immaterial amounts of contract assets included within prepaid expenses and other current assets on the unaudited interim consolidated balance sheets. The following table provides information about deferred revenue from contracts with customers, and customer deposits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18,339</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Customer deposits, which are included in 'Other current liabilities'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7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provides a roll-forward of the contract liabilities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5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42,708</w:t>
            </w:r>
          </w:p>
        </w:tc>
        <w:tc>
          <w:tcPr>
            <w:tcW w:w="0" w:type="dxa"/>
            <w:vAlign w:val="bottom"/>
          </w:tcPr>
          <w:p>
            <w:pPr>
              <w:spacing w:after="0"/>
              <w:rPr>
                <w:sz w:val="1"/>
                <w:szCs w:val="1"/>
                <w:color w:val="auto"/>
              </w:rPr>
            </w:pPr>
          </w:p>
        </w:tc>
      </w:tr>
      <w:tr>
        <w:trPr>
          <w:trHeight w:val="250"/>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5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(57,106)</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58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62,310</w:t>
            </w:r>
          </w:p>
        </w:tc>
        <w:tc>
          <w:tcPr>
            <w:tcW w:w="0" w:type="dxa"/>
            <w:vAlign w:val="bottom"/>
          </w:tcPr>
          <w:p>
            <w:pPr>
              <w:spacing w:after="0"/>
              <w:rPr>
                <w:sz w:val="1"/>
                <w:szCs w:val="1"/>
                <w:color w:val="auto"/>
              </w:rPr>
            </w:pPr>
          </w:p>
        </w:tc>
      </w:tr>
      <w:tr>
        <w:trPr>
          <w:trHeight w:val="25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6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47,912</w:t>
            </w:r>
          </w:p>
        </w:tc>
        <w:tc>
          <w:tcPr>
            <w:tcW w:w="0" w:type="dxa"/>
            <w:vAlign w:val="bottom"/>
          </w:tcPr>
          <w:p>
            <w:pPr>
              <w:spacing w:after="0"/>
              <w:rPr>
                <w:sz w:val="1"/>
                <w:szCs w:val="1"/>
                <w:color w:val="auto"/>
              </w:rPr>
            </w:pPr>
          </w:p>
        </w:tc>
      </w:tr>
      <w:tr>
        <w:trPr>
          <w:trHeight w:val="263"/>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5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(15,537)</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58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6"/>
              </w:rPr>
              <w:t>16,476</w:t>
            </w:r>
          </w:p>
        </w:tc>
        <w:tc>
          <w:tcPr>
            <w:tcW w:w="0" w:type="dxa"/>
            <w:vAlign w:val="bottom"/>
          </w:tcPr>
          <w:p>
            <w:pPr>
              <w:spacing w:after="0"/>
              <w:rPr>
                <w:sz w:val="1"/>
                <w:szCs w:val="1"/>
                <w:color w:val="auto"/>
              </w:rPr>
            </w:pPr>
          </w:p>
        </w:tc>
      </w:tr>
      <w:tr>
        <w:trPr>
          <w:trHeight w:val="27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6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48,851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88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9A9A9A"/>
            </w:tcBorders>
          </w:tcPr>
          <w:p>
            <w:pPr>
              <w:spacing w:after="0"/>
              <w:rPr>
                <w:sz w:val="19"/>
                <w:szCs w:val="19"/>
                <w:color w:val="auto"/>
              </w:rPr>
            </w:pPr>
          </w:p>
        </w:tc>
        <w:tc>
          <w:tcPr>
            <w:tcW w:w="58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Balance sheet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48,428</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refund receivable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Tenant improvement receivables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warranty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product warranty analysis refer to Note 18.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other current liabilities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loan and line of credit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16,978</w:t>
            </w:r>
          </w:p>
        </w:tc>
      </w:tr>
      <w:tr>
        <w:trPr>
          <w:trHeight w:val="27"/>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81"/>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74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32,910</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32,910</w:t>
            </w:r>
          </w:p>
        </w:tc>
        <w:tc>
          <w:tcPr>
            <w:tcW w:w="8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163,790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163,790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17,398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17,398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230,418</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197,649</w:t>
            </w:r>
          </w:p>
        </w:tc>
        <w:tc>
          <w:tcPr>
            <w:tcW w:w="8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32,769</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active</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81"/>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4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45,436</w:t>
            </w:r>
          </w:p>
        </w:tc>
        <w:tc>
          <w:tcPr>
            <w:tcW w:w="80" w:type="dxa"/>
            <w:vAlign w:val="bottom"/>
          </w:tcPr>
          <w:p>
            <w:pPr>
              <w:spacing w:after="0"/>
              <w:rPr>
                <w:sz w:val="21"/>
                <w:szCs w:val="21"/>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45,436</w:t>
            </w:r>
          </w:p>
        </w:tc>
        <w:tc>
          <w:tcPr>
            <w:tcW w:w="80" w:type="dxa"/>
            <w:vAlign w:val="bottom"/>
          </w:tcPr>
          <w:p>
            <w:pPr>
              <w:spacing w:after="0"/>
              <w:rPr>
                <w:sz w:val="21"/>
                <w:szCs w:val="21"/>
                <w:color w:val="auto"/>
              </w:rPr>
            </w:pP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232,546</w:t>
            </w:r>
          </w:p>
        </w:tc>
        <w:tc>
          <w:tcPr>
            <w:tcW w:w="80" w:type="dxa"/>
            <w:vAlign w:val="bottom"/>
          </w:tcPr>
          <w:p>
            <w:pPr>
              <w:spacing w:after="0"/>
              <w:rPr>
                <w:sz w:val="21"/>
                <w:szCs w:val="21"/>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194,967</w:t>
            </w:r>
          </w:p>
        </w:tc>
        <w:tc>
          <w:tcPr>
            <w:tcW w:w="80" w:type="dxa"/>
            <w:vAlign w:val="bottom"/>
          </w:tcPr>
          <w:p>
            <w:pPr>
              <w:spacing w:after="0"/>
              <w:rPr>
                <w:sz w:val="21"/>
                <w:szCs w:val="21"/>
                <w:color w:val="auto"/>
              </w:rPr>
            </w:pP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80" w:type="dxa"/>
            <w:vAlign w:val="bottom"/>
          </w:tcPr>
          <w:p>
            <w:pPr>
              <w:spacing w:after="0"/>
              <w:rPr>
                <w:sz w:val="21"/>
                <w:szCs w:val="21"/>
                <w:color w:val="auto"/>
              </w:rPr>
            </w:pPr>
          </w:p>
        </w:tc>
        <w:tc>
          <w:tcPr>
            <w:tcW w:w="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did not have any transfers of financial assets measured at fair value on a recurring basis to or from Level 1, Level 2 or Level 3 for any of the periods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the Company’s investments in privately held equity securities. Non-marketable equity investments of $1.6 million are included within Other noncurrent assets on the unaudited interim consolidated balance sheet as of March 31, 2026.</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March 31, 2026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9"/>
                <w:szCs w:val="9"/>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163,790</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0" w:type="dxa"/>
            <w:vAlign w:val="bottom"/>
          </w:tcPr>
          <w:p>
            <w:pPr>
              <w:spacing w:after="0"/>
              <w:rPr>
                <w:sz w:val="1"/>
                <w:szCs w:val="1"/>
                <w:color w:val="auto"/>
              </w:rPr>
            </w:pPr>
          </w:p>
        </w:tc>
      </w:tr>
      <w:tr>
        <w:trPr>
          <w:trHeight w:val="25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196,617</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196,559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March 31, 2026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3"/>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196,617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196,559</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196,617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December 31, 2025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3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9"/>
                <w:szCs w:val="9"/>
                <w:color w:val="auto"/>
              </w:rPr>
            </w:pPr>
          </w:p>
        </w:tc>
        <w:tc>
          <w:tcPr>
            <w:tcW w:w="1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133,097</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0" w:type="dxa"/>
            <w:vAlign w:val="bottom"/>
          </w:tcPr>
          <w:p>
            <w:pPr>
              <w:spacing w:after="0"/>
              <w:rPr>
                <w:sz w:val="1"/>
                <w:szCs w:val="1"/>
                <w:color w:val="auto"/>
              </w:rPr>
            </w:pPr>
          </w:p>
        </w:tc>
      </w:tr>
      <w:tr>
        <w:trPr>
          <w:trHeight w:val="25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170,676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December 31, 2025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43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170,536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170,676</w:t>
            </w:r>
          </w:p>
        </w:tc>
        <w:tc>
          <w:tcPr>
            <w:tcW w:w="0" w:type="dxa"/>
            <w:vAlign w:val="bottom"/>
          </w:tcPr>
          <w:p>
            <w:pPr>
              <w:spacing w:after="0"/>
              <w:rPr>
                <w:sz w:val="1"/>
                <w:szCs w:val="1"/>
                <w:color w:val="auto"/>
              </w:rPr>
            </w:pPr>
          </w:p>
        </w:tc>
      </w:tr>
      <w:tr>
        <w:trPr>
          <w:trHeight w:val="27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80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9A9A9A"/>
            </w:tcBorders>
          </w:tcPr>
          <w:p>
            <w:pPr>
              <w:spacing w:after="0"/>
              <w:rPr>
                <w:sz w:val="19"/>
                <w:szCs w:val="19"/>
                <w:color w:val="auto"/>
              </w:rPr>
            </w:pPr>
          </w:p>
        </w:tc>
        <w:tc>
          <w:tcPr>
            <w:tcW w:w="43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property and equipment, net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5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(12,134)</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depreciation expense for the three months ended March 31, 2026 and 2025 was $1.0 million and $0.9 million, respectively.</w:t>
      </w:r>
    </w:p>
    <w:p>
      <w:pPr>
        <w:spacing w:after="0" w:line="1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Reagent license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use right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w:t>
            </w:r>
          </w:p>
        </w:tc>
      </w:tr>
      <w:tr>
        <w:trPr>
          <w:trHeight w:val="25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16,697</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amortization expense for the three months ended March 31, 2026 and 2025 was approximately $0.9 million and $0.9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there were no additions to goodwill, the minor changes were due to the impact of foreign currency.</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Legal settlement liability</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patents in question were determined to have an average useful life of 18 months. Accordingly, beginning with the second quarter of 2022, the remaining contractual payments were classified as operating expenses as they were considered deferred litigation settlement. The Company recorded $0.2 million and $0.3 million of interest expense for the three months ended March 31, 2026 and 2025,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unaudited interim consolidated balance sheets of $8.8 million and $9.3 million as of March 31, 2026 and December 31, 2025, respectively.</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components of the legal settlement liability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legal settlement liability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November 7, 2022, Cytek Wuxi entered a fixed asset loan agreement with Bank of Communications, China (the “Wuxi Loan”). The Wuxi Loan was denominated in Chinese renminbi and collateralized by Cytek Wuxi’s cash deposit to the bank. The deposit was in a separate account with Cytek Wuxi’s name, but the use of such account was restricted. The Company presented the deposit as restricted cash on the audited consolidated balance sheets as of December 31, 2022. In April 2023, the restricted cash account was released. The purchased building in Wuxi serves as collateral for the Wuxi Loan. The total loan amount was $2.9 million and the loan term is five years. As of March 31, 2026, the total outstanding loan amount is $1.0 million. The current portion of the loan, $0.6 million, is included in other current liabilities. As of March 31, 2026, the interest rate on the loan was 3.7%, which is based on the five-year Loan Prime Rate (LPR) plus a margin of 0.2%.</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October 24, 2024, the Company signed a maximum credit agreement with the Bank of China, Wuxi Branch (the “Bank of China Maximum Credit Agreement”), for 37 million Chinese renminbi (approximately US $5.2 million), which was renewed on August 26, 2025. This credit is collateralized by Cytek Wuxi’s cash deposit to the bank. The 37 million Chinese renminbi (approximately US $5.2 million) can be borrowed, as needed, as a short-term loan for normal business operation requirements. Under the renewed Bank of China Maximum Credit Agreement, the line of credit is available until August 14, 2026. During the fourth quarter of 2024, the Company withdrew 20 million Chinese renminbi (approximately US $2.8 million) to support its operational needs. During the third quarter of 2025, the Company withdrew 15 million Chinese renminbi (approximately US $2.1 million) to support its operational needs. During the fourth quarter of 2025, the Company repaid the short-term loan of 20 million Chinese renminbi (approximately US $2.8 million) and withdrew 10 million Chinese renminbi (approximately US $1.4 million). In January 2026, the Company withdrew 10 million Chinese renminbi (approximately US $1.4 million) to support its operational needs. The remaining available credit as of March 31, 2026, was 2 million Chinese renminbi (approximately US $0.3 million). The total loan amount of 37 million Chinese renminbi (approximately US $5.2 million) is included in other current liabilities.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6, 2025, Cytek (Shanghai) Biosciences Co., Ltd. signed a maximum credit agreement with the Bank of Ningbo for 10 million Chinese renminbi (approximately US $1.4 million). Collateral for the credit was provided to the bank by Cytek Wuxi. In January and March of 2025, Cytek (Shanghai) Biosciences Co., Ltd. withdrew 2.0 million Chinese renminbi (approximately US $0.3 million) and 3.0 million Chinese renminbi (approximately US $0.45 million), respectively, to support its operational needs. The interest rate was at 3.1% and 2.55%, respectively, and the lines of credit are due on January 9 and March 3, 2026, respectively. In January and March 2026, the Company repaid 2.0 million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Chinese renminbi (approximately US $0.3 million) and 3.0 million Chinese renminbi (approximately US $0.45 million) to the Bank of Ningbo, renewed its maximum credit agreement with the Bank of Ningbo for 10 million Chinese renminbi (approximately US $1.4 million), and withdrew 10 million Chinese renminbi (approximately US $1.4 million) to support its operational needs. The total loan amount of 10 million Chinese renminbi (approximately US $1.4 million) is included in other current liabilities.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11, 2025, Cytek Wuxi entered into a one-year loan agreement with Bank of Communications, China. The loan was denominated in Chinese renminbi and collateralized by the building purchased by Cytek Wuxi in November 2023. The total loan amount was 10 million Chinese renminbi (approximately US $1.4 million) and the interest rate was fixed at 2.8%. The loan effective term is June 11, 2025 to June 10, 2026. The interest expenses are paid on a monthly basis. The loan was used for operating expenses. The total loan amount of 10 million Chinese renminbi (approximately US $1.4 million) is included in other current liabilities.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9, 2026, Cytek Wuxi entered into a one-year loan agreement with China Construction Bank Corporation, Wuxi Branch for 15 million Chinese renminbi (approximately US $2.2 million) at a fixed interest rate of 2.5%, with interest payable monthly. The total loan amount of 15 million Chinese renminbi (approximately US $2.2 million) is included in other current liabilities. The loan matures on February 9, 2027 and is used to pay operating expenses.</w:t>
      </w:r>
    </w:p>
    <w:p>
      <w:pPr>
        <w:spacing w:after="0" w:line="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has authorized 1,000,000,000 shares of common stock at $0.001 par value. Holders of common stock are entitled to one vote per share, and to receive dividends, only and if declared by the Company’s Board of Directors (the “Board”)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Plans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Company had three stock-based compensation plans (the “Plans”) which are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Equity Incentive Plan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March 2015, the Board approved the 2015 Equity Incentive Plan (the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Incentive Plan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March 31, 2026, the total number of shares of common stock available for issuance under the 2021 Plan was 24,218,755 shares.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number of shares determined by the Board. As of March 31, 2026, the total number of shares of common stock available for issuance under the ESPP was 7,250,921 shares.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valuation assumptions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stock option activity during the periods indicated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62"/>
        </w:trPr>
        <w:tc>
          <w:tcPr>
            <w:tcW w:w="55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300" w:type="dxa"/>
            <w:vAlign w:val="bottom"/>
          </w:tcPr>
          <w:p>
            <w:pPr>
              <w:spacing w:after="0"/>
              <w:rPr>
                <w:sz w:val="14"/>
                <w:szCs w:val="14"/>
                <w:color w:val="auto"/>
              </w:rPr>
            </w:pP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0"/>
        </w:trPr>
        <w:tc>
          <w:tcPr>
            <w:tcW w:w="5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9,140,164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10,393,582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6,220,003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March 31, 2026 and 2025 was $2.66 and $2.72 per share, respectively.</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was $12.9 million of unrecognized stock-based compensation expense related to unvested stock options as of March 31, 2026. The unrecognized stock-based compensation expense is estimated to be recognized over a period of 2.72 years as of March 31, 2026.</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and the estimated fair value of the Company’s common stock as of March 31,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RSU awards activity during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 (in</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204"/>
        </w:trPr>
        <w:tc>
          <w:tcPr>
            <w:tcW w:w="5500" w:type="dxa"/>
            <w:vAlign w:val="bottom"/>
          </w:tcPr>
          <w:p>
            <w:pPr>
              <w:spacing w:after="0"/>
              <w:rPr>
                <w:sz w:val="17"/>
                <w:szCs w:val="17"/>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(in thousands)</w:t>
            </w:r>
          </w:p>
        </w:tc>
      </w:tr>
      <w:tr>
        <w:trPr>
          <w:trHeight w:val="23"/>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4,567,103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23,064</w:t>
            </w: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3,314,859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(123,606)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7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March 31, 2026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7,177,587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there was $34.6 million of unrecognized stock-based compensation expense related to unvested RSU awards. The unrecognized stock-based compensation expense is estimated to be recognized over a weighted-average period of approximately 3.08 years.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allocation of stock-based compensation expense related to the Company’s stock-based awards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3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18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0" w:type="dxa"/>
            <w:vAlign w:val="bottom"/>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3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0" w:type="dxa"/>
            <w:vAlign w:val="bottom"/>
            <w:shd w:val="clear" w:color="auto" w:fill="CCEEFF"/>
          </w:tcPr>
          <w:p>
            <w:pPr>
              <w:jc w:val="right"/>
              <w:ind w:right="16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6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5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75"/>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0" w:type="dxa"/>
            <w:vAlign w:val="bottom"/>
            <w:tcBorders>
              <w:bottom w:val="single" w:sz="8" w:color="auto"/>
            </w:tcBorders>
            <w:shd w:val="clear" w:color="auto" w:fill="CCEEFF"/>
          </w:tcPr>
          <w:p>
            <w:pPr>
              <w:jc w:val="right"/>
              <w:ind w:right="16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weighted-average valuation assumptions used in determining the fair value of employee stock options:</w:t>
      </w:r>
    </w:p>
    <w:p>
      <w:pPr>
        <w:spacing w:after="0" w:line="16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33655</wp:posOffset>
            </wp:positionV>
            <wp:extent cx="38404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gridSpan w:val="2"/>
          </w:tcPr>
          <w:p>
            <w:pPr>
              <w:ind w:left="6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jc w:val="right"/>
              <w:ind w:right="12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5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21"/>
                <w:szCs w:val="21"/>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6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estimating the fair value of the ESPP for the current offering period using the Black-Scholes option-pricing model:</w:t>
      </w:r>
    </w:p>
    <w:p>
      <w:pPr>
        <w:spacing w:after="0" w:line="10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33655</wp:posOffset>
            </wp:positionV>
            <wp:extent cx="38404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gridSpan w:val="2"/>
          </w:tcPr>
          <w:p>
            <w:pPr>
              <w:ind w:left="6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Pr>
          <w:p>
            <w:pPr>
              <w:jc w:val="right"/>
              <w:ind w:right="12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5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sponsors various retirement plans for its eligible U.S. and non-U.S. employees. For U.S. employees, the Company currently maintains a 401(k) retirement savings plan (“401(k) Plan”). The 401(k) Plan permits voluntary contributions by employees, a portion of which is matched by the Company. The Company’s contributions to the employee benefits plans were approximately $0.5 million and $0.4 million for the three months ended March 31, 2026, and 2025, respectively.</w:t>
      </w:r>
    </w:p>
    <w:p>
      <w:pPr>
        <w:spacing w:after="0" w:line="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unaudited interim consolidated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statements of operations and comprehensive loss. Accrued interest and penalties, if any, are included in accrued expenses in the unaudited interim consolidated balance sheet.</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effective income tax rate from continuing operations was (8.6)% and (1.1)% for the three months ended March 31, 2026 and 2025, respectively. The Company’s effective income tax rate for the three months ended March 31, 2026, is lower than the U.S. federal statutory tax rate due to valuation allowance, which derecognizes deferred tax assets and related future tax benefits, partially offset by the impact of state income taxes, naked credits related to indefinitely lived goodwill, and the Company’s mix of earnings between various taxing jurisdictions. The effective income tax rate for the three months ended March 31, 2025, was lower than the U.S. federal statutory tax rate primarily due to state income taxes, non-deductible stock-based compensation, the Company’s mix of earnings between various taxing jurisdictions, partially offset by a deduction for foreign-sourced revenue, and federal and state research credits.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maintained a valuation allowance against all deferred tax assets as Management believed these were not more likely than not to be realized. The Company continues to reassess the valuation allowance quarterly, and if future evidence allows for a partial or full release of the valuation allowance, a tax benefit will be recorded accordingly.</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July 4, 2025, legislation commonly referred to as the One Big Beautiful Bill Act (“OBBBA”) was signed into law in the U.S. The OBBBA includes significant changes to the U.S. Internal Revenue Code of 1986, as amended, including restoration of immediate deductions of domestic research and experimental expenditures and reinstatement of 100% bonus depreciation for qualifying property. The Company continues to evaluate the impact of the OBBBA on its unaudited interim consolidated financial statements, including the effects on its deferred tax assets and liabilities. The provisions of the OBBBA will allow a deduction for unamortized domestic research and development expenses of approximately $58 million in 2025, which will decrease taxable income and eliminate permanent deductions for Global Intangible Low-Taxed Income and Foreign Derived Intangible Income, causing an increase in the effective tax rate. In addition, there will be an impact in future years due to changes in these two deductions that are not expected to have a material impact to the Company.</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income tax expenses consists primarily of provision for foreign taxes. As the Company plans to expand the scale and scope of its international business activities, any changes in the United States and foreign taxation of such activities may increase the Company’s overall provision for income taxes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the benefit from income taxes for the three months ended March 31, 2026 and 2025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68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0"/>
        </w:trPr>
        <w:tc>
          <w:tcPr>
            <w:tcW w:w="5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r>
      <w:tr>
        <w:trPr>
          <w:trHeight w:val="256"/>
        </w:trPr>
        <w:tc>
          <w:tcPr>
            <w:tcW w:w="50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80" w:type="dxa"/>
            <w:vAlign w:val="bottom"/>
          </w:tcPr>
          <w:p>
            <w:pPr>
              <w:spacing w:after="0"/>
              <w:rPr>
                <w:sz w:val="19"/>
                <w:szCs w:val="19"/>
                <w:color w:val="auto"/>
              </w:rPr>
            </w:pPr>
          </w:p>
        </w:tc>
      </w:tr>
      <w:tr>
        <w:trPr>
          <w:trHeight w:val="796"/>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0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Income tax expense was $1.5 million for the three months ended March 31, 2026, as compared to an income tax expense of $0.1 million for the three months ended March 31, 2025. The net increase in expense of $1.4 million for the three months ended March 31, 2026, was primarily due to the domestic valuation allowance established in the last quarter of 2025, which negates the tax benefit from losses within the U.S. jurisdiction for the current period.</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tab/>
        <w:t>Lease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Under ASC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leases office facilities and equipment from unrelated parties under operating lease agreements that have initial terms ranging from 1 to 12 years. Some leases include one or more options to renew, generally at the Company’s sole discretion, with renewal terms that can extend the lease term up to 10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The components of lease expense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 payments on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405"/>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 of amortization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other 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14,042</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w w:val="95"/>
              </w:rPr>
              <w:t>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5"/>
              </w:rPr>
              <w:t>4.5%</w:t>
            </w:r>
          </w:p>
        </w:tc>
        <w:tc>
          <w:tcPr>
            <w:tcW w:w="0" w:type="dxa"/>
            <w:vAlign w:val="bottom"/>
          </w:tcPr>
          <w:p>
            <w:pPr>
              <w:spacing w:after="0"/>
              <w:rPr>
                <w:sz w:val="1"/>
                <w:szCs w:val="1"/>
                <w:color w:val="auto"/>
              </w:rPr>
            </w:pPr>
          </w:p>
        </w:tc>
      </w:tr>
      <w:tr>
        <w:trPr>
          <w:trHeight w:val="810"/>
        </w:trPr>
        <w:tc>
          <w:tcPr>
            <w:tcW w:w="81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 March 31, 2026 is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w:t>
            </w:r>
          </w:p>
        </w:tc>
      </w:tr>
      <w:tr>
        <w:trPr>
          <w:trHeight w:val="256"/>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w:t>
            </w:r>
          </w:p>
        </w:tc>
      </w:tr>
      <w:tr>
        <w:trPr>
          <w:trHeight w:val="244"/>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w:t>
            </w:r>
          </w:p>
        </w:tc>
      </w:tr>
      <w:tr>
        <w:trPr>
          <w:trHeight w:val="275"/>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cloud computing and other information technology services. As of March 31, 2026, future payments under these contractual obligations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and claims. On August 14, 2024, Beckman Coulter, Inc. (“Beckman Coulter”) sued the Company in federal court in the District of Delaware, alleging that the Company’s Cytek Aurora flow cytometers, Aurora CS cell sorters, and Northern Lights and Northern Lights-CLC products infringe U.S. Patent Nos. 10,330,582 and 11,703,443, each titled “Flow Cytometer.” On October 7, 2024, the Company filed an answer denying any liability and including a counterclaim against Beckman Coulter for false marking. On October 28, 2024, Beckman Coulter filed an answer to the counterclaim, denying liability. On January 9, 2025, Beckman Coulter filed a first amended complaint, further alleging that the Company’s Cytek Aurora flow cytometers, Aurora CS cell sorters, and Northern Lights and Northern Lights-CLC products also infringe U.S. Patent Nos. 12,174,106 and 12,174,107, each of which is also titled “Flow Cytometer” and related to the earlier asserted patents. On February 6, 2025, the Company filed an answer to the first amended complaint, denying any liability and including a counterclaim against Beckman Coulter for false patent marking. On February 27, 2025, Beckman Coulter filed an answer to the counterclaim, denying liability. Claim construction hearings were held on August 21, 2025 and September 17, 2025. At the second claim construction hearing, the court ordered Beckman Coulter to narrow the number of asserted claims, and Beckman Coulter has dropped all asserted claims from U.S. Patent No. 12,174,106. In March 2026, the parties stipulated to dismissal without prejudice of the counterclaim for false marking. The parties have filed summary judgment and Daubert motions, with opening briefs filed on March 13, 2026, opposition briefs filed on April 13, 2026; and reply briefs filed on April 29, 2026. A trial is scheduled for August 17, 2026. The Company intends to vigorously defend itself and pursue available remedies.</w:t>
      </w:r>
    </w:p>
    <w:p>
      <w:pPr>
        <w:spacing w:after="0" w:line="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Product warranty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activity in the product warranty accrual included in accrued expenses on the unaudited interim consolidated balance sheets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8"/>
              </w:rPr>
              <w:t>1,796</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current year warranties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left="616"/>
              <w:spacing w:after="0"/>
              <w:rPr>
                <w:sz w:val="20"/>
                <w:szCs w:val="20"/>
                <w:color w:val="auto"/>
              </w:rPr>
            </w:pPr>
            <w:r>
              <w:rPr>
                <w:rFonts w:ascii="Times New Roman" w:cs="Times New Roman" w:eastAsia="Times New Roman" w:hAnsi="Times New Roman"/>
                <w:sz w:val="18"/>
                <w:szCs w:val="18"/>
                <w:color w:val="auto"/>
                <w:w w:val="98"/>
              </w:rPr>
              <w:t>1,098</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cost incurred</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rPr>
              <w:t>(1,437)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8"/>
              </w:rPr>
              <w:t>1,457</w:t>
            </w:r>
          </w:p>
        </w:tc>
      </w:tr>
      <w:tr>
        <w:trPr>
          <w:trHeight w:val="27"/>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Net loss attributable to common stockholders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three months ended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3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8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17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80" w:type="dxa"/>
            <w:vAlign w:val="bottom"/>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7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5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tcPr>
          <w:p>
            <w:pPr>
              <w:jc w:val="right"/>
              <w:ind w:right="15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w:t>
            </w:r>
          </w:p>
        </w:tc>
      </w:tr>
      <w:tr>
        <w:trPr>
          <w:trHeight w:val="277"/>
        </w:trPr>
        <w:tc>
          <w:tcPr>
            <w:tcW w:w="54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5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57"/>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7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128,704,934</w:t>
            </w: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128,339,481</w:t>
            </w:r>
          </w:p>
        </w:tc>
      </w:tr>
      <w:tr>
        <w:trPr>
          <w:trHeight w:val="25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1760" w:type="dxa"/>
            <w:vAlign w:val="bottom"/>
          </w:tcPr>
          <w:p>
            <w:pPr>
              <w:spacing w:after="0"/>
              <w:rPr>
                <w:sz w:val="21"/>
                <w:szCs w:val="21"/>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128,704,934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128,339,481</w:t>
            </w:r>
          </w:p>
        </w:tc>
      </w:tr>
      <w:tr>
        <w:trPr>
          <w:trHeight w:val="277"/>
        </w:trPr>
        <w:tc>
          <w:tcPr>
            <w:tcW w:w="54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5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1760" w:type="dxa"/>
            <w:vAlign w:val="bottom"/>
            <w:tcBorders>
              <w:bottom w:val="single" w:sz="8" w:color="auto"/>
            </w:tcBorders>
          </w:tcPr>
          <w:p>
            <w:pPr>
              <w:jc w:val="right"/>
              <w:ind w:right="15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1760" w:type="dxa"/>
            <w:vAlign w:val="bottom"/>
            <w:tcBorders>
              <w:bottom w:val="single" w:sz="8" w:color="auto"/>
            </w:tcBorders>
            <w:shd w:val="clear" w:color="auto" w:fill="CCEEFF"/>
          </w:tcPr>
          <w:p>
            <w:pPr>
              <w:jc w:val="right"/>
              <w:ind w:right="15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Because the Company had a net loss during the three months ended March 31, 2026 and 2025, 1.6 million and 1.7 million shares for the three months ended March 31, 2026 and 2025, respectively, were dilutive, but were not included in the computation of diluted net loss per share because their inclusion would have been anti-dilutive. Of these dilutive shares, approximately 671,835 and 141,556 shares related to RSUs, 938,462 and 1,475,367 shares related to stock options, and 5,566 and 50,127 shares related to the ESPP for the three months ended March 31, 2026 and 2025, respectively. Therefore, basic net loss per share is the same as diluted net loss per share.</w:t>
      </w:r>
    </w:p>
    <w:p>
      <w:pPr>
        <w:spacing w:after="0" w:line="86" w:lineRule="exact"/>
        <w:rPr>
          <w:sz w:val="20"/>
          <w:szCs w:val="20"/>
          <w:color w:val="auto"/>
        </w:rPr>
      </w:pPr>
    </w:p>
    <w:p>
      <w:pPr>
        <w:ind w:right="7480" w:firstLine="8"/>
        <w:spacing w:after="0" w:line="370" w:lineRule="auto"/>
        <w:tabs>
          <w:tab w:leader="none" w:pos="40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and Geographic Data Segment Information</w:t>
      </w: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Company operates and manages its business activities on a consolidated basis and has one operating and reportable segment, as defined under ASC 280, Segment Reporting. Operating segments are defined as components of an enterprise where separate financial information is evaluated regularly by the Chief Operating Decision Maker (“CODM”), who decides how to allocate resources and assess performance. The Company’s Chief Executive Officer serves as the CODM and is responsible for evaluating the Company’s financial performance and allocating resources. The CODM uses net income as the measure of profit or loss to allocate resources, assess performance, and monitor budgets against actual results.</w:t>
      </w:r>
    </w:p>
    <w:p>
      <w:pPr>
        <w:spacing w:after="0" w:line="77"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Further, the CODM reviews the significant segment expenses in the table below on net loss when assessing performance and allocating resources, as well as those used for strategic decisions related to headcount and capital</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The measure of segment assets is reported on the balance sheet as total assets. The CODM does not review segment assets at a level other than that presented in the Company’s unaudited interim consolidated balance sheets.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Company’s significant segment expenses:</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8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rPr>
              <w:t>28,779</w:t>
            </w:r>
          </w:p>
        </w:tc>
        <w:tc>
          <w:tcPr>
            <w:tcW w:w="14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rPr>
              <w:t>15,356</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13"/>
              <w:spacing w:after="0"/>
              <w:rPr>
                <w:sz w:val="20"/>
                <w:szCs w:val="20"/>
                <w:color w:val="auto"/>
              </w:rPr>
            </w:pPr>
            <w:r>
              <w:rPr>
                <w:rFonts w:ascii="Times New Roman" w:cs="Times New Roman" w:eastAsia="Times New Roman" w:hAnsi="Times New Roman"/>
                <w:sz w:val="18"/>
                <w:szCs w:val="18"/>
                <w:color w:val="auto"/>
              </w:rPr>
              <w:t>44,135</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(excluding stock-based compensation)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 license &amp; IP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(excluding stock-based compensation)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(excluding stock-based compensation)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(excluding stock-based compensation)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(excluding stock-based compensation)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7"/>
              </w:rPr>
              <w:t>(18,866)</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segment items include other income (expenses) and interest income (expenses).</w:t>
      </w:r>
    </w:p>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sells its products worldwide and attributes revenue to the geography where the product is delivered. The geographical distribution of revenue for the three months ended March 31, 2026 and 2025 was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3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6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17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60" w:type="dxa"/>
            <w:vAlign w:val="bottom"/>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shd w:val="clear" w:color="auto" w:fill="CCEEFF"/>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w:t>
            </w:r>
          </w:p>
        </w:tc>
      </w:tr>
      <w:tr>
        <w:trPr>
          <w:trHeight w:val="25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7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w:t>
            </w:r>
          </w:p>
        </w:tc>
      </w:tr>
      <w:tr>
        <w:trPr>
          <w:trHeight w:val="26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7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r>
      <w:tr>
        <w:trPr>
          <w:trHeight w:val="25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7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760" w:type="dxa"/>
            <w:vAlign w:val="bottom"/>
            <w:tcBorders>
              <w:bottom w:val="single" w:sz="8" w:color="auto"/>
            </w:tcBorders>
            <w:shd w:val="clear" w:color="auto" w:fill="CCEEFF"/>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EMEA includes Europe, the Middle East and Africa; APAC includes Asia and the Pacific countries; Other includes Canada and Latin America.</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revenue, a major country is defined as a group of customers in a country with combined revenue of greater than 10% of consolidated revenue or as otherwise deemed significant. Revenue in the United States was approximately $24.4 million and $18.5 million for the three months ended March 31, 2026 and 2025, respectively. Revenue in China was approximately $3.6 million and $5.3 million for the three months ended March 31, 2026 and 2025, respectively. No other country represented greater than 10% of the Company’s consolidated net sales or was otherwise deemed significant. For the three months ended March 31, 2026 and 2025, the Company had no major customers that represented more than 10% of the Company’s total revenue. No customer represented more than 10% of net accounts receivable as of March 31, 2026 and 2025.</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and December 31, 2025, the Company’s long-lived assets by geographic area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1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6"/>
        </w:trPr>
        <w:tc>
          <w:tcPr>
            <w:tcW w:w="6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5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shd w:val="clear" w:color="auto" w:fill="CCEEFF"/>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r>
      <w:tr>
        <w:trPr>
          <w:trHeight w:val="25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5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7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w:t>
            </w:r>
          </w:p>
        </w:tc>
      </w:tr>
      <w:tr>
        <w:trPr>
          <w:trHeight w:val="25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18,009</w:t>
            </w:r>
          </w:p>
        </w:tc>
      </w:tr>
      <w:tr>
        <w:trPr>
          <w:trHeight w:val="27"/>
        </w:trPr>
        <w:tc>
          <w:tcPr>
            <w:tcW w:w="61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and December 31, 2025, most of the Company’s long-lived assets were located in the United States and in Wuxi, China.</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2025 and the related Management’s Discussion and Analysis of Financial Condition and Results of Operations, both of which are contained in our Annual Report on Form 10-K filed with the Securities and Exchange Commission (the “SEC”) on February 26, 2026. Unless the context requires otherwise, references in this Quarterly Report on Form 10-Q to “we,” “us” and “our” refer to Cytek Biosciences,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platform includes instruments, accessories, reagents, software and services to provide a comprehensive and integrated suite of cell analysis solutions for our customers.</w:t>
      </w:r>
    </w:p>
    <w:p>
      <w:pPr>
        <w:spacing w:after="0" w:line="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manufacture our instruments in our facilities in Fremont, California; Wuxi, China; Seattle, Washington; and Singapore. We have designed our operating model to be capital efficient and to scale efficiently as our product volumes grow.</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Total revenue for the three months ended March 31, 2026 was $44.1 million, representing a 6% increase compared to revenue for the three months ended March 31, 2025 of $41.5 million.</w:t>
      </w:r>
    </w:p>
    <w:p>
      <w:pPr>
        <w:spacing w:after="0" w:line="54"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69% and 72% of total revenue for the three months ended March 31, 2026 and 2025, respectively, and revenue from distributors represented 31% and 28% of total revenue for the three months ended March 31, 2026 and 2025, respectively.</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$9.6 million and $9.7 million for the three months ended March 31, 2026 and 2025, respectively. We intend to continue to make significant investments in research and development in the future.</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$11.6 million and $12.5 million for the three months ended March 31, 2026 and 2025, respectively.</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Since our inception in 2014, we have financed our operations primarily through sales of our securities and revenue from the sale of our products and services.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net loss was $18.9 million and $11.4 million for the three months ended March 31, 2026 and 2025, respectively. The change for the three months ended March 31, 2026 compared to the three months ended March 31, 2025, resulted primarily from a slight increase in revenues and gross profit, offset by higher operating expenses.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our expenses will increase substantially in connection with our ongoing activities, as we:</w:t>
      </w:r>
    </w:p>
    <w:p>
      <w:pPr>
        <w:spacing w:after="0" w:line="117"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processes, commercial infrastructure and supporting functions to scale our business and introduce new products and services;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research and development efforts;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geographically;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complementary businesses, services, products or technologies.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future performance</w:t>
      </w:r>
    </w:p>
    <w:p>
      <w:pPr>
        <w:spacing w:after="0" w:line="12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customer adoption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We intend to continue increasing our workforce in line with our growth.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mix and gross margin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revenue is primarily derived from sales of our instruments and services with our instruments recognizing higher revenue and gross profit than our services. Although we expect sales of our instruments to continue to represent the largest percentage of our revenue in the future, we expect service revenue to increase as a percentage of our total revenue and our gross margins to experience a corresponding improvement as we grow our installed base and increase our focus on leveraging our fixed manufacturing and service overhead costs. Our sales in certain regions, particularly outside of the United States, are largely realized through third-party distribution partners that typically receive discounted prices, thus resulting in lower gross margins than those recognized by our direct sales organization. Furthermore, our instrument selling prices and gross margins may fluctuate in the future due to the impact of competing products entering the market and fluctuating foreign exchange rates and as we continue to introduce new products and reduce our production costs.</w:t>
      </w:r>
    </w:p>
    <w:p>
      <w:pPr>
        <w:spacing w:after="0" w:line="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near term, we expect the continued leveraging of fixed manufacturing and service overhead costs, optimization of our manufacturing processes, and material cost fluctuations to have the greatest impact on our gross margin.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into new markets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We plan to continue to invest in new product development and enhancements to support our expansion into new markets.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Northern Lights-CLC system received CE Marking under the European Union In Vitro Diagnostic Medical Devices Directive in September 2020 and was registered in the European Union in compliance with Regulation (EU) 2017/746 on In Vitro Diagnostic Medical Devices in November 2023. The Northern Lights-CLC system was also registered as a Class II In Vitro Diagnostic Medical Device in China. These registrations enable the Northern Lights-CLC system to be marketed for clinical use in China, the European Union and in other countries around the world that accept the Certification of Free Sale issued from an EU Competent Authority.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4"/>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 sales channel</w:t>
            </w:r>
          </w:p>
        </w:tc>
        <w:tc>
          <w:tcPr>
            <w:tcW w:w="118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30,269</w:t>
            </w:r>
          </w:p>
        </w:tc>
        <w:tc>
          <w:tcPr>
            <w:tcW w:w="80" w:type="dxa"/>
            <w:vAlign w:val="bottom"/>
          </w:tcPr>
          <w:p>
            <w:pPr>
              <w:spacing w:after="0"/>
              <w:rPr>
                <w:sz w:val="22"/>
                <w:szCs w:val="22"/>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Distributor channel</w:t>
            </w:r>
          </w:p>
        </w:tc>
        <w:tc>
          <w:tcPr>
            <w:tcW w:w="1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8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2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1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Academia and government</w:t>
            </w:r>
          </w:p>
        </w:tc>
        <w:tc>
          <w:tcPr>
            <w:tcW w:w="118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80" w:type="dxa"/>
            <w:vAlign w:val="bottom"/>
          </w:tcPr>
          <w:p>
            <w:pPr>
              <w:spacing w:after="0"/>
              <w:rPr>
                <w:sz w:val="22"/>
                <w:szCs w:val="22"/>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5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Biotechnology, pharmaceutical, distributor and CRO</w:t>
            </w:r>
          </w:p>
        </w:tc>
        <w:tc>
          <w:tcPr>
            <w:tcW w:w="1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27,196</w:t>
            </w:r>
          </w:p>
        </w:tc>
        <w:tc>
          <w:tcPr>
            <w:tcW w:w="8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2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1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Distributors typically sell to end customers identified in other customer categories.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Events and Uncertainties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business, results of operation and financial condition are dependent on both domestic and global macroeconomic conditions.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Recent inflation trends may adversely affect our business and corresponding financial position and cash flows. Inflationary factors, such as increases in the cost of materials and supplies, labor and benefit costs and overhead costs may adversely affect our operating results. Although we do not believe that inflation has had a material impact on our financial position or results of operations to date, we may experience increases in the near future (especially if the rate of inflation increases) on our operating costs, including our labor costs, research and development costs and supply chain costs, due to inflationary pressures as well as supply chain constraints, consequences associated with future public health crises, and geopolitical trends, changes or events such as the ongoing conflict between Russia and Ukraine and the conflicts in the Middle East. In addition, such factors and events could also have a negative impact on demand for the Company’s products and services.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our pharmaceutical and biotech customers based in the United States have been impacted by the difficult fundraising environment for small companies and generally high interest rates. We believe these factors contributed to longer sales cycles, which adversely impacted our operating results for the three months ended March 31, 2026, and may adversely affect our operating results in the future.</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U.S. government has made and continues to signal additional changes to existing U.S. trade policies, including imposing and announcing plans for tariffs on all U.S. trading partners, including China, and renegotiating or potentially terminating existing bilateral and multi-lateral trade agreements.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Although we cannot predict the ultimate extent to which the United States or other countries will impose quotas, duties, reciprocal tariffs, taxes, or other similar restrictions upon the import or export of our products, nor can we predict future trade policy or the terms of any renegotiated trade agreements and their impact on our business, the U.S. government’s imposition of tariffs as well as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and actual retaliatory tariffs against U.S. goods may have a negative impact on our revenue and costs in the future.</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February 2026, the U.S. Supreme Court issued a ruling invalidating certain tariffs previously imposed under the International Emergency Economic Powers Act (“IEEPA”). The Company is currently evaluating whether it may be entitled to refunds related to these tariffs. As of March 31, 2026, the Company has not recognized any asset related to potential tariff refunds, as any such amounts are not expected to have a material impact on the Company’s future results of operation. The Company will continue to monitor developments and evaluate any new information as it becomes available.</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license and export controls announced by the U.S. government in January 2025 that impact exports of certain products and technology, including high-parameter and spectral flow cytometers and cell sorters and certain mass spectrometry equipment to certain countries, including China, may have a negative impact on our research and development activities, manufacturing and business operations.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Finally, changes in the U.S. National Institutes of Health (“NIH”) policy with respect to grants for academic research have impacted and may continue to impact our revenue from academic and government customers in the near term.</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a further discussion of trends, events, uncertainties and other factors that could impact our operating results, see the section titled “Risk Factors” in Item 1A of Part II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currently generate our total revenue, net from product revenue and service revenue.</w:t>
      </w:r>
    </w:p>
    <w:p>
      <w:pPr>
        <w:spacing w:after="0" w:line="11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Our product revenue primarily consists of sales of our instruments, including the Cytek Aurora, Northern Lights, Cytek Aurora Evo,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Aurora CS, Amnis and 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7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our revenue to increase in absolute dollars as we expand our sales organization and sales territories, broaden our customer base, and expand awareness of our products with new and existing customers. Our revenue was $44.1 million and $41.5 million for the three months ended March 31, 2026 and 2025, respectively.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total cost of sales is comprised of product cost of sales and service cost of sales.</w:t>
      </w:r>
    </w:p>
    <w:p>
      <w:pPr>
        <w:spacing w:after="0" w:line="11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Cost of sales associated with our products primarily consist of manufacturing-related costs incurred in the production process,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write-downs, warranty costs, third party royalty costs, personnel and related costs, costs of component materials, overhead, packaging and delivery and depreciation expense.</w:t>
      </w:r>
    </w:p>
    <w:p>
      <w:pPr>
        <w:spacing w:after="0" w:line="6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Cost of sales associated with our services primarily consists of personnel and related costs, expenses related to product replacements,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updates and qualification validation of our products and depreciation expense.</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operating expenses are primarily comprised of research and development, sales and marketing, and general and administrative expenses, depreciation and amortization, and related overhead.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primarily consist of salaries, benefits,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research and development department, independent contractor costs, laboratory supplies, equipment maintenance and materials expenses.</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Research and development expense may increase in absolute dollars in future periods due to our continuing investment in product development.</w:t>
      </w:r>
    </w:p>
    <w:p>
      <w:pPr>
        <w:spacing w:after="0" w:line="5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consist primarily of salaries, benefits, and stock-based compensation costs for employees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sales and marketing department, sales commissions, marketing material costs, travel expenses and costs related to trade shows, trainings and various workshops. Sales and marketing expense may increase in absolute dollars in future periods.</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primarily consist of salaries, benefits, and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executive, accounting and finance, legal and human resource functions, as well as professional services fees, such as consulting, audit, tax, legal, general corporate costs and allocated overhead expenses. The Company is focused on controlling its general and administrative expenses; however, these may increase in absolute dollars in future periods.</w:t>
      </w:r>
    </w:p>
    <w:p>
      <w:pPr>
        <w:spacing w:after="0" w:line="7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these expenses to vary from period to period as a percentage of revenue. As a result, our historical results of operations may not be indicative of our results of operations in future periods.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accretion of the present value of the litigation settlement liability. See Note 10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interim consolidated financial statements included elsewhere in this Quarterly Report on Form 10-Q for further details regarding the settlement.</w:t>
      </w:r>
    </w:p>
    <w:p>
      <w:pPr>
        <w:spacing w:after="0" w:line="5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consists primarily of interest earned on our cash and cash equivalents which are invested in cash deposits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funds.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Our other income, net consists primarily of foreign exchange gains and losses.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provision for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unaudited interim consolidated results of operations and comprehensive loss data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52"/>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2"/>
                <w:szCs w:val="22"/>
                <w:color w:val="auto"/>
              </w:rPr>
            </w:pPr>
          </w:p>
        </w:tc>
        <w:tc>
          <w:tcPr>
            <w:tcW w:w="106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28,779</w:t>
            </w:r>
          </w:p>
        </w:tc>
        <w:tc>
          <w:tcPr>
            <w:tcW w:w="100" w:type="dxa"/>
            <w:vAlign w:val="bottom"/>
          </w:tcPr>
          <w:p>
            <w:pPr>
              <w:spacing w:after="0"/>
              <w:rPr>
                <w:sz w:val="22"/>
                <w:szCs w:val="22"/>
                <w:color w:val="auto"/>
              </w:rPr>
            </w:pPr>
          </w:p>
        </w:tc>
        <w:tc>
          <w:tcPr>
            <w:tcW w:w="780" w:type="dxa"/>
            <w:vAlign w:val="bottom"/>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w:t>
            </w: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15,356</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4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44,135</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0" w:type="dxa"/>
            <w:vAlign w:val="bottom"/>
          </w:tcPr>
          <w:p>
            <w:pPr>
              <w:spacing w:after="0"/>
              <w:rPr>
                <w:sz w:val="1"/>
                <w:szCs w:val="1"/>
                <w:color w:val="auto"/>
              </w:rPr>
            </w:pPr>
          </w:p>
        </w:tc>
      </w:tr>
      <w:tr>
        <w:trPr>
          <w:trHeight w:val="24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15,921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4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22,881</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21,254</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9,604</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0" w:type="dxa"/>
            <w:vAlign w:val="bottom"/>
          </w:tcPr>
          <w:p>
            <w:pPr>
              <w:spacing w:after="0"/>
              <w:rPr>
                <w:sz w:val="1"/>
                <w:szCs w:val="1"/>
                <w:color w:val="auto"/>
              </w:rPr>
            </w:pPr>
          </w:p>
        </w:tc>
      </w:tr>
      <w:tr>
        <w:trPr>
          <w:trHeight w:val="250"/>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39,717</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0"/>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63"/>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4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5"/>
        </w:trPr>
        <w:tc>
          <w:tcPr>
            <w:tcW w:w="35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comprehensive loss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tc>
        <w:tc>
          <w:tcPr>
            <w:tcW w:w="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28,779</w:t>
            </w: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28,110</w:t>
            </w:r>
          </w:p>
        </w:tc>
        <w:tc>
          <w:tcPr>
            <w:tcW w:w="1060" w:type="dxa"/>
            <w:vAlign w:val="bottom"/>
            <w:gridSpan w:val="3"/>
          </w:tcPr>
          <w:p>
            <w:pPr>
              <w:jc w:val="right"/>
              <w:ind w:right="76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60"/>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15,356</w:t>
            </w:r>
          </w:p>
        </w:tc>
        <w:tc>
          <w:tcPr>
            <w:tcW w:w="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13,347</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44,135</w:t>
            </w:r>
          </w:p>
        </w:tc>
        <w:tc>
          <w:tcPr>
            <w:tcW w:w="80" w:type="dxa"/>
            <w:vAlign w:val="bottom"/>
          </w:tcPr>
          <w:p>
            <w:pPr>
              <w:spacing w:after="0"/>
              <w:rPr>
                <w:sz w:val="20"/>
                <w:szCs w:val="20"/>
                <w:color w:val="auto"/>
              </w:rPr>
            </w:pP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41,457</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revenue, net increased by $2.7 million to $44.1 million, or 6%, for the three months ended March 31, 2026 as compared to the three months ended March 31, 2025.</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Product revenue increased by $0.7 million to $28.8 million, or 2%, for the three months ended March 31, 2026, as compared to the three months ended March 31, 2025, primarily as a result of higher reagent revenue for the three months ended March 31, 2026.</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Service revenue increased $2.0 million to $15.4 million, or 15% for the three months ended March 31, 2026, as compared to the three months ended March 31, 2025. The increase was primarily due to continued growth of the installed base with the related increase in service contracts and maintenance activity.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00" w:type="dxa"/>
            <w:vAlign w:val="bottom"/>
            <w:gridSpan w:val="2"/>
            <w:vMerge w:val="continue"/>
          </w:tcPr>
          <w:p>
            <w:pPr>
              <w:spacing w:after="0"/>
              <w:rPr>
                <w:sz w:val="16"/>
                <w:szCs w:val="16"/>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1220" w:type="dxa"/>
            <w:vAlign w:val="bottom"/>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15,921</w:t>
            </w:r>
          </w:p>
        </w:tc>
        <w:tc>
          <w:tcPr>
            <w:tcW w:w="80" w:type="dxa"/>
            <w:vAlign w:val="bottom"/>
          </w:tcPr>
          <w:p>
            <w:pPr>
              <w:spacing w:after="0"/>
              <w:rPr>
                <w:sz w:val="20"/>
                <w:szCs w:val="20"/>
                <w:color w:val="auto"/>
              </w:rPr>
            </w:pPr>
          </w:p>
        </w:tc>
        <w:tc>
          <w:tcPr>
            <w:tcW w:w="1200" w:type="dxa"/>
            <w:vAlign w:val="bottom"/>
          </w:tcPr>
          <w:p>
            <w:pPr>
              <w:jc w:val="right"/>
              <w:ind w:right="10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15,529</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46"/>
        </w:trPr>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1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6,960</w:t>
            </w:r>
          </w:p>
        </w:tc>
        <w:tc>
          <w:tcPr>
            <w:tcW w:w="8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5,771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220" w:type="dxa"/>
            <w:vAlign w:val="bottom"/>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22,881</w:t>
            </w:r>
          </w:p>
        </w:tc>
        <w:tc>
          <w:tcPr>
            <w:tcW w:w="80" w:type="dxa"/>
            <w:vAlign w:val="bottom"/>
          </w:tcPr>
          <w:p>
            <w:pPr>
              <w:spacing w:after="0"/>
              <w:rPr>
                <w:sz w:val="17"/>
                <w:szCs w:val="17"/>
                <w:color w:val="auto"/>
              </w:rPr>
            </w:pPr>
          </w:p>
        </w:tc>
        <w:tc>
          <w:tcPr>
            <w:tcW w:w="1200" w:type="dxa"/>
            <w:vAlign w:val="bottom"/>
          </w:tcPr>
          <w:p>
            <w:pPr>
              <w:jc w:val="right"/>
              <w:ind w:right="10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21,300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21,254</w:t>
            </w:r>
          </w:p>
        </w:tc>
        <w:tc>
          <w:tcPr>
            <w:tcW w:w="8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cost of sales increased by $1.6 million, or 7%, for the three months ended March 31, 2026, as compared to the three months ended March 31, 2025. The increase in cost of sales was primarily driven by higher service overhead costs in the three months ended March 31, 2026. The larger installed base for the three months ended March 31, 2026 required a larger service workforce, resulting in higher compensation and travel expenses.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Total gross profit margin was 48% and 49% of total revenue for the three months ended March 31, 2026 and 2025, respectively. Gross profit margin declined slightly, primarily due to higher service costs of sales that grew faster than service revenue. Year-over-year service gross profit margin can fluctuate quarter to quarter due to uneven hiring and service engineer turnover throughout the year. Overall, gross profit margin can depend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tcPr>
          <w:p>
            <w:pPr>
              <w:spacing w:after="0"/>
              <w:rPr>
                <w:sz w:val="16"/>
                <w:szCs w:val="16"/>
                <w:color w:val="auto"/>
              </w:rPr>
            </w:pPr>
          </w:p>
        </w:tc>
      </w:tr>
      <w:tr>
        <w:trPr>
          <w:trHeight w:val="23"/>
        </w:trPr>
        <w:tc>
          <w:tcPr>
            <w:tcW w:w="3440" w:type="dxa"/>
            <w:vAlign w:val="bottom"/>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6"/>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10"/>
        </w:trPr>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1180" w:type="dxa"/>
            <w:vAlign w:val="bottom"/>
          </w:tcPr>
          <w:p>
            <w:pPr>
              <w:jc w:val="right"/>
              <w:ind w:right="100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28,779</w:t>
            </w:r>
          </w:p>
        </w:tc>
        <w:tc>
          <w:tcPr>
            <w:tcW w:w="80" w:type="dxa"/>
            <w:vAlign w:val="bottom"/>
          </w:tcPr>
          <w:p>
            <w:pPr>
              <w:spacing w:after="0"/>
              <w:rPr>
                <w:sz w:val="18"/>
                <w:szCs w:val="18"/>
                <w:color w:val="auto"/>
              </w:rPr>
            </w:pP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28,110</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15,921</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Product gross profit</w:t>
            </w:r>
          </w:p>
        </w:tc>
        <w:tc>
          <w:tcPr>
            <w:tcW w:w="1180" w:type="dxa"/>
            <w:vAlign w:val="bottom"/>
            <w:tcBorders>
              <w:top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12,858</w:t>
            </w: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12,581</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3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62"/>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10"/>
        </w:trPr>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1180" w:type="dxa"/>
            <w:vAlign w:val="bottom"/>
          </w:tcPr>
          <w:p>
            <w:pPr>
              <w:jc w:val="right"/>
              <w:ind w:right="100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15,356</w:t>
            </w:r>
          </w:p>
        </w:tc>
        <w:tc>
          <w:tcPr>
            <w:tcW w:w="80" w:type="dxa"/>
            <w:vAlign w:val="bottom"/>
          </w:tcPr>
          <w:p>
            <w:pPr>
              <w:spacing w:after="0"/>
              <w:rPr>
                <w:sz w:val="18"/>
                <w:szCs w:val="18"/>
                <w:color w:val="auto"/>
              </w:rPr>
            </w:pP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13,347</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6,960</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gross profit (loss)</w:t>
            </w:r>
          </w:p>
        </w:tc>
        <w:tc>
          <w:tcPr>
            <w:tcW w:w="1180" w:type="dxa"/>
            <w:vAlign w:val="bottom"/>
            <w:tcBorders>
              <w:top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8,396</w:t>
            </w: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7,576</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3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6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revenue for the three months ended March 31, 2026 increased by 2% as compared to the three months ended March 31, 2025. Product cost of sales for the three months ended March 31, 2026, increased by 3% as compared to the same period in 2025. Product gross profit for the three months ended March 31, 2026, increased 2% as compared to the three months ended March 31, 2025. Product gross profit margins in the three months ended March 31, 2026 were flat compared to the three months ended March 31, 2025. The effect of higher product revenue was partially offset by higher freight and duty costs for the three months ended March 31, 2026 compared to the prior year quarter.</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Service revenue for the three months ended March 31, 2026 increased 15% as compared to the three months ended March 31, 2025. Service cost of sales for the three months ended March 31, 2026 increased by 21% as compared to the same period in 2025. Service gross profit for the three months ended March 31, 2026 increased 11% as compared to the three months ended March 31, 2025. The lower service gross margins in the three months ended March 31, 2026 compared to the three months ended March 31, 2025 were mainly driven by higher service overhead costs that grew faster than service revenue year over year.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4"/>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20" w:type="dxa"/>
            <w:vAlign w:val="bottom"/>
            <w:gridSpan w:val="2"/>
            <w:vMerge w:val="continue"/>
          </w:tcPr>
          <w:p>
            <w:pPr>
              <w:spacing w:after="0"/>
              <w:rPr>
                <w:sz w:val="16"/>
                <w:szCs w:val="16"/>
                <w:color w:val="auto"/>
              </w:rPr>
            </w:pPr>
          </w:p>
        </w:tc>
        <w:tc>
          <w:tcPr>
            <w:tcW w:w="122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CEEFF"/>
          </w:tcPr>
          <w:p>
            <w:pPr>
              <w:jc w:val="right"/>
              <w:ind w:right="104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9,604</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$9.6 million for the three months ended March 31, 2026 as compared to $9.7 million for the three months ended March 31, 2025.</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00" w:type="dxa"/>
            <w:vAlign w:val="bottom"/>
            <w:gridSpan w:val="2"/>
            <w:vMerge w:val="continue"/>
          </w:tcPr>
          <w:p>
            <w:pPr>
              <w:spacing w:after="0"/>
              <w:rPr>
                <w:sz w:val="16"/>
                <w:szCs w:val="16"/>
                <w:color w:val="auto"/>
              </w:rPr>
            </w:pP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expenses were $11.6 million for the three months ended March 31, 2026 as compared to $12.5 million for the three months ended March 31, 2025. Lower sales and marketing expenses in the three months ended March 31, 2026 were primarily a result of lower compensation expenses on lower headcount in the quarter.</w:t>
      </w: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gridSpan w:val="2"/>
            <w:vMerge w:val="continue"/>
          </w:tcPr>
          <w:p>
            <w:pPr>
              <w:spacing w:after="0"/>
              <w:rPr>
                <w:sz w:val="16"/>
                <w:szCs w:val="16"/>
                <w:color w:val="auto"/>
              </w:rPr>
            </w:pP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ind w:right="8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12,898</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$18.5 million for the three months ended March 31, 2026 as compared to $12.9 million for the three months ended March 31, 2025. The increase of $5.6 million in general and administrative expenses was primarily due to higher litigation-related expenses, outside consulting expenses, and bad debt reserves.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While we are focused on controlling our general and administrative expenses, these may increase in absolute dollars in future periods to provide the infrastructure necessary to support the growth of the business.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4"/>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20" w:type="dxa"/>
            <w:vAlign w:val="bottom"/>
            <w:gridSpan w:val="2"/>
            <w:vMerge w:val="continue"/>
          </w:tcPr>
          <w:p>
            <w:pPr>
              <w:spacing w:after="0"/>
              <w:rPr>
                <w:sz w:val="16"/>
                <w:szCs w:val="16"/>
                <w:color w:val="auto"/>
              </w:rPr>
            </w:pPr>
          </w:p>
        </w:tc>
        <w:tc>
          <w:tcPr>
            <w:tcW w:w="124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3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was $0.3 million for the three months ended March 31, 2026 as compared to $0.3 million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gridSpan w:val="4"/>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gridSpan w:val="2"/>
            <w:vMerge w:val="continue"/>
          </w:tcPr>
          <w:p>
            <w:pPr>
              <w:spacing w:after="0"/>
              <w:rPr>
                <w:sz w:val="16"/>
                <w:szCs w:val="16"/>
                <w:color w:val="auto"/>
              </w:rPr>
            </w:pPr>
          </w:p>
        </w:tc>
        <w:tc>
          <w:tcPr>
            <w:tcW w:w="128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jc w:val="right"/>
              <w:ind w:right="8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income was $0.8 million for the three months ended March 31, 2026 as compared to $0.5 million for the three months ended March 31, 2025. The increase in interest income was the result of recognition of interest on the 2024 Federal Tax refund in the three months ended March 31, 2026.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4"/>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20" w:type="dxa"/>
            <w:vAlign w:val="bottom"/>
            <w:gridSpan w:val="2"/>
            <w:vMerge w:val="continue"/>
          </w:tcPr>
          <w:p>
            <w:pPr>
              <w:spacing w:after="0"/>
              <w:rPr>
                <w:sz w:val="16"/>
                <w:szCs w:val="16"/>
                <w:color w:val="auto"/>
              </w:rPr>
            </w:pPr>
          </w:p>
        </w:tc>
        <w:tc>
          <w:tcPr>
            <w:tcW w:w="128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3"/>
        </w:trPr>
        <w:tc>
          <w:tcPr>
            <w:tcW w:w="3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income, net was $0.6 million for the three months ended March 31, 2026 as compared to other income, net of $3.5 million for the three months ended March 31, 2025. The decrease in other income was primarily driven by an increase in realized and unrealized foreign exchange losses of $1.2 million in the three months ended March 31, 2026, compared with a realized and unrealized foreign exchange gain of $1.3 million in the three months ended March 31, 2025. Other factors included the year-over-year decline in interest rates and a decline in balances in marketable securities accounts.</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200" w:type="dxa"/>
            <w:vAlign w:val="bottom"/>
            <w:gridSpan w:val="4"/>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vMerge w:val="continue"/>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260" w:type="dxa"/>
            <w:vAlign w:val="bottom"/>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998 %</w:t>
            </w:r>
          </w:p>
        </w:tc>
        <w:tc>
          <w:tcPr>
            <w:tcW w:w="0" w:type="dxa"/>
            <w:vAlign w:val="bottom"/>
          </w:tcPr>
          <w:p>
            <w:pPr>
              <w:spacing w:after="0"/>
              <w:rPr>
                <w:sz w:val="1"/>
                <w:szCs w:val="1"/>
                <w:color w:val="auto"/>
              </w:rPr>
            </w:pPr>
          </w:p>
        </w:tc>
      </w:tr>
      <w:tr>
        <w:trPr>
          <w:trHeight w:val="23"/>
        </w:trPr>
        <w:tc>
          <w:tcPr>
            <w:tcW w:w="3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was $1.5 million for the three months ended March 31, 2026 as compared to a provision for income taxes of $0.1 million for the three months ended March 31, 2025. The net increase of $1.4 million for the three months ended March 31, 2026 was primarily due to the domestic valuation allowance established in the last quarter of 2025, which negates the tax benefit from losses within the U.S. jurisdiction for the current period.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date, our primary sources of capital have been through sales of our securities and revenue from the sale of our products and services. As of March 31, 2026 and December 31, 2025, we had approximately $262.2 million and $261.5 million, respectively, in cash and cash equivalents and short term investments, which were primarily held in U.S. short-term bank deposit accounts, money market funds, U.S. Treasury notes, Federal agency security notes, and short term commercial paper.</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Funding and material cash requirements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currently anticipate making additional capital expenditures during the next 12 months, which is expected to primarily include equipment to be used for manufacturing and investment in research and development.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we lease certain office facilities under operating lease arrangements that expire on various dates through fiscal year 2029. Under the terms of the leases, we are responsible for certain expenses related to operations, maintenance, repairs and management fees. Future minimum lease payments under non-cancelable operating leases totaled $20.5 million as of March 31, 2026.</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60"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r>
      <w:tr>
        <w:trPr>
          <w:trHeight w:val="257"/>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$2.7 million. The primary factors affecting our operating cash flows during the period were our net loss of $18.9 million and our non-cash charges of $7.1 million, primarily consisting of stock-based compensation expense of $4.9 million, depreciation and amortization of $1.9 million, amortization of right-of-use assets of $0.9 million, and provision for credit losses of $0.5 million, partially offset by a gain on investments, accretion and amortization, net of $1.3 million, and deferred income taxes of $0.2 million. The cash provided by changes in our operating assets and liabilities of $9.0 million in the three months ended March 31, 2026 was primarily due to a decrease in trade accounts receivable of $9.6 million due to seasonality, with our first quarter typically being lower than our fourth quarter; a decrease in prepaid expenses and other assets of $3.9 million; and an increase in deferred revenue of $1.2 million. These amounts were partially offset by cash used from changes in our operating assets and liabilities, including a decrease in accrued expenses and other liabilities of $3.9 million and an increase in inventories of $1.6 million.</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$0.1 million. The primary factors affecting our operating cash flows during the period were our net loss of $11.4 million and our non-cash charges of $8.2 million, primarily consisting of stock-based compensation expense of $6.6 million, depreciation and amortization of $1.9 million, amortization of right-of-use assets of $1.0 million, and excess and obsolete inventory of $0.3 million, partially offset by a gain on investments, accretion and amortization, net of $1.5 million, and deferred income taxes of $0.3 million. The cash provided by changes in our operating assets and liabilities of $3.0 million in the three months ended March 31, 2025 were primarily due to a decrease in trade accounts receivable of $6.4 million due to seasonality, with our first quarter typically being lower than our fourth quarter. These amounts were partially offset by cash used from changes in our operating assets and liabilities, including a decrease in accrued expenses and other liabilities of $2.1 million, an increase in inventories of $1.5 million, and a decrease in operating lease liabilities of $1.0 million.</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2026 was $27.1 million driven by purchases of marketable securities of $95.6 million and purchases of fixed assets and intangibles of approximately $2.2 million, partially offset by proceeds from maturities of marketable securities of $70.7 million.</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2025 was $9.5 million driven by proceeds from maturities of marketable securities of $70.4 million, partially offset by the purchases of marketable securities of $60.2 million, and purchase of fixed assets and intangibles of approximately $0.9 million.</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2026 was $4.0 million, primarily driven by the proceeds from a line of credit of $5.1 million, partially offset by the repayment of loans of $0.9 million.</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2025 was $11.5 million, primarily driven by payments for the repurchase of shares of $10.6 million and the repayment of loans of $1.5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contractual obligations and commitments from those described under “Management’s Discussion and Analysis of Financial Condition” which is contained in our Form 10-K and filed with the SEC on February 26, 2026.</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if different assumptions and conditions apply. A summary of our critical accounting policies is presented in our audited financial statements and notes thereto as of and for the year ended December 31, 2025 included in our Annual Report on Form 10-K filed with the SEC on February 26, 2026. There were no material changes to our critical accounting policies during the three months ended March 31, 2026.</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interim consolidated financial statements included in Part I, Item 1, of this Quarterly Report on Form 10-Q, which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condition represents the potential loss arising from adverse changes in interest rates or exchange rates. As of March 31, 2026, we had approximately $262.2 million in cash and cash equivalents and short-term investments, which were primarily held in U.S. short-term bank deposit accounts, money market funds, U.S. Treasury notes, Federal agency security notes, and short-term commercial paper. The primary objective of our investment is to preserve principal and provide liquidity. These money market funds and bank deposits generate interest income at variable rates.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do not believe that either inflation or foreign currency risk had a material effect on our business, financial condition, or results of operations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as of March 31,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quarter ended March 31, 2026 that materially affected, or were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claims. See Note 17 to our unaudited interim consolidated financial statements included elsewhere in this Quarterly Report on Form 10-Q for information regarding ongoing legal proceedings.</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75" w:lineRule="exact"/>
        <w:rPr>
          <w:sz w:val="20"/>
          <w:szCs w:val="20"/>
          <w:color w:val="auto"/>
        </w:rPr>
      </w:pPr>
    </w:p>
    <w:p>
      <w:pPr>
        <w:ind w:left="98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a limited number of product offerings. Our revenue has been primarily generated from sales of our core Cytek Aurora, Northern Lights, Cytek Aurora cell sorter (“Cytek Aurora CS”), and Cytek Aurora Evo systems, which require a substantial sales cycle and are prone to quarterly fluctuations in revenue.</w:t>
      </w:r>
    </w:p>
    <w:p>
      <w:pPr>
        <w:spacing w:after="0" w:line="6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will be harmed if we are unable to accurately forecast customer demand for our products and manage our inventory.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and expansion of our international business expose us to business, regulatory, political, operational, financial and economic risks associated with doing business outside of the United States.</w:t>
      </w:r>
    </w:p>
    <w:p>
      <w:pPr>
        <w:spacing w:after="0" w:line="189"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or other government trade policies may materially adversely affect our business and results of operations, including by reducing demand for our products.</w:t>
      </w:r>
    </w:p>
    <w:p>
      <w:pPr>
        <w:spacing w:after="0" w:line="6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controls and sanctions programs that could impair our ability to compete in international markets due to licensing requirements and subject us to liability if we are not in compliance with applicable laws.</w:t>
      </w:r>
    </w:p>
    <w:p>
      <w:pPr>
        <w:spacing w:after="0" w:line="54"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limited experience manufacturing our products, and if we are unable to manufacture our products in high-quality commercial quantities successfully and consistently to meet demand, our growth will be limited.</w:t>
      </w:r>
    </w:p>
    <w:p>
      <w:pPr>
        <w:spacing w:after="0" w:line="67" w:lineRule="exact"/>
        <w:rPr>
          <w:rFonts w:ascii="Times New Roman" w:cs="Times New Roman" w:eastAsia="Times New Roman" w:hAnsi="Times New Roman"/>
          <w:sz w:val="18"/>
          <w:szCs w:val="18"/>
          <w:b w:val="1"/>
          <w:bCs w:val="1"/>
          <w:i w:val="1"/>
          <w:iCs w:val="1"/>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dependent upon our ability to increase penetration in our existing markets and expand into adjacent markets.</w:t>
      </w:r>
    </w:p>
    <w:p>
      <w:pPr>
        <w:spacing w:after="0" w:line="103"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adoption of our products by academic and government institutions, contract research organizations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w:t>
      </w:r>
    </w:p>
    <w:p>
      <w:pPr>
        <w:spacing w:after="0" w:line="69"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40"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1"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82"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82"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54"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40"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67"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we may not be able to accurately or timely report our financial condition or results of operations.</w:t>
      </w:r>
    </w:p>
    <w:p>
      <w:pPr>
        <w:spacing w:after="0" w:line="5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our products and/or expand our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54"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with whom we work, are compromised, now or in the future, we could experience adverse consequences resulting from such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68" w:lineRule="exact"/>
        <w:rPr>
          <w:sz w:val="20"/>
          <w:szCs w:val="20"/>
          <w:color w:val="auto"/>
        </w:rPr>
      </w:pPr>
    </w:p>
    <w:p>
      <w:pPr>
        <w:jc w:val="both"/>
        <w:ind w:left="980" w:hanging="486"/>
        <w:spacing w:after="0" w:line="25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subject to more onerous regulation by the U.S. Food and Drug Administration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82"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54"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of our common stock among our executive officers, directors, and principal stockholders and their respective affiliates may prevent new investors from influencing significant corporate decisions.</w:t>
      </w:r>
    </w:p>
    <w:p>
      <w:pPr>
        <w:spacing w:after="0" w:line="40" w:lineRule="exact"/>
        <w:rPr>
          <w:rFonts w:ascii="Times New Roman" w:cs="Times New Roman" w:eastAsia="Times New Roman" w:hAnsi="Times New Roman"/>
          <w:sz w:val="18"/>
          <w:szCs w:val="18"/>
          <w:color w:val="auto"/>
        </w:rPr>
      </w:pPr>
    </w:p>
    <w:p>
      <w:pPr>
        <w:jc w:val="both"/>
        <w:ind w:left="980" w:hanging="486"/>
        <w:spacing w:after="0" w:line="24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limited operating history and may encounter unforeseen expenses, difficulties, complications, delays and other known and unknown obstacles. We launched our first core commercial product, the Cytek Aurora system, in June 2017. Our Cytek Northern Lights system was commercially launched in October 2018, our Cytek Aurora CS system was first commercially shipped in June 2021, and we launched our Cytek Aurora Evo system in May 2025.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a limited number of product offerings. Our revenue has been primarily generated from sales of our core Cytek Aurora, Northern Lights, Cytek Aurora CS, and Cytek Aurora Evo systems, which require a substantial sales cycle and are prone to quarterly fluctuations in revenue.</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Sales of the Cytek Aurora, Northern Lights, Cytek Aurora CS, and Cytek Aurora Evo systems together accounted for a substantial portion of our revenue for the periods presented in this Quarterly Report on Form 10-Q. We expect that, for at least the foreseeable future, sales of our Cytek Aurora, Northern Lights, Cytek Aurora CS, and Cytek Aurora Evo systems will continue to account for a substantial portion of our revenue. The sales cycle for our instruments is slow and can take up to six months or longer to complete. As a result of this lengthy and unpredictable sales cycle, we will be prone to quarterly fluctuations in our revenue as sales of the Cytek Aurora, Northern Lights, Cytek Aurora CS, and Cytek Aurora Evo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sourced and will continue to source certain components of the Cytek Aurora, Cytek Northern Lights, Cytek Aurora CS, and Cytek Aurora Evo systems from a limited number of suppliers and, in some cases, sole source suppliers. Key components in our products that are supplied by sole or single source suppliers include certain lasers and semiconductors that are used in our optical, electrical and fluidic subassemblies. On August 25, 2021, we and Cytek (Wuxi) Biosciences Co., Ltd, our Wuxi, China subsidiary (“Cytek Wuxi”), entered into a Supply Agreement with Coherent NA, Inc. and certain of its affiliates (collectively, “Coherent”), which was amended on August 12, 2025 by Contract Amendment No. 1 (as amended, the “Coherent Agreement”) to extend the term, update pricing, and add our Singapore subsidiary, Cytek Biosciences Pte. Ltd. (“Cytek Singapore”), as a party to the agreement. Pursuant to the Coherent Agreement, Coherent has agreed to sell and supply to us, Cytek Wuxi, and Cytek Singapore, on a non-exclusive basis, laser products manufactured by Coherent. We, Cytek Wuxi, and Cytek Singapore provide Coherent with rolling forecasts of our anticipated orders, which are non-binding. Purchase orders submitted by us, Cytek Wuxi, and Cytek Singapore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identifying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85"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3" w:lineRule="exact"/>
        <w:rPr>
          <w:sz w:val="20"/>
          <w:szCs w:val="20"/>
          <w:color w:val="auto"/>
        </w:rPr>
      </w:pPr>
    </w:p>
    <w:p>
      <w:pPr>
        <w:ind w:right="60" w:firstLine="486"/>
        <w:spacing w:after="0" w:line="234" w:lineRule="auto"/>
        <w:rPr>
          <w:sz w:val="20"/>
          <w:szCs w:val="20"/>
          <w:color w:val="auto"/>
        </w:rPr>
      </w:pPr>
      <w:r>
        <w:rPr>
          <w:rFonts w:ascii="Times New Roman" w:cs="Times New Roman" w:eastAsia="Times New Roman" w:hAnsi="Times New Roman"/>
          <w:sz w:val="18"/>
          <w:szCs w:val="18"/>
          <w:color w:val="auto"/>
        </w:rPr>
        <w:t>Supply interruptions have in the past arisen and could arise in the future as a result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For example, we are currently anticipating a potential future shortage in the supply of certain plastics used in our products and, as a result, have placed additional purchase orders to secure supply over a longer time horizon than we would typically plan. Although we do not currently anticipate a delay in the supply of such materials, we have incurred, and may continue to incur, higher procurement costs in connection with these efforts, and there can be no assurance that such proactive measures will be sufficient to avoid future supply shortages or that the costs of such materials will not continue to increase.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harmed if we are unable to accurately forecast customer demand for our products and manage our inventory.</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operations and expansion of our international business expose us to business, regulatory, political, operational, financial and economic risks associated with doing business outside of the United States.</w:t>
      </w:r>
    </w:p>
    <w:p>
      <w:pPr>
        <w:spacing w:after="0" w:line="5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the United States, China and Singapore. Doing business internationally involves a number of risks, including:</w:t>
      </w:r>
    </w:p>
    <w:p>
      <w:pPr>
        <w:spacing w:after="0" w:line="69" w:lineRule="exact"/>
        <w:rPr>
          <w:sz w:val="20"/>
          <w:szCs w:val="20"/>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4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distributors to obtain approvals to conduct our business in various countries;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rights;</w:t>
      </w:r>
    </w:p>
    <w:p>
      <w:pPr>
        <w:spacing w:after="0" w:line="11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enforcing our intellectual property and defending against third-party intellectual property claims;</w:t>
      </w:r>
    </w:p>
    <w:p>
      <w:pPr>
        <w:spacing w:after="0" w:line="5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freight costs, logistics and regulations associated with shipping and receiving systems and parts and components for our products, as well as transportation delays;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that limit the ability of marketing, presales, sales, services and support teams to service customers;</w:t>
      </w:r>
    </w:p>
    <w:p>
      <w:pPr>
        <w:spacing w:after="0" w:line="11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5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that could result in tariffs and other protective measures;</w:t>
      </w:r>
    </w:p>
    <w:p>
      <w:pPr>
        <w:spacing w:after="0" w:line="117"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such as the ongoing war in Ukraine, conflicts in the Middle East, outbreak of disease, boycotts, curtailment of trade and other business restrictions; and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6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Any of these factors could significantly harm our international operations and any future international expansion and, consequently, our business, financial condition, results of operations and prospects. In addition, certain international markets are subject to significant political and economic uncertainty.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 For more information, please see “Risks Related to Government Regulation and Our Industry” below.</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Tariffs or other government trade policies may materially adversely affect our business and results of operations, including by reducing demand for our products.</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These developments have created a dynamic and unpredictable trade landscape, which may adversely impact our business, results of operations, financial condition and prospects.</w:t>
      </w:r>
    </w:p>
    <w:p>
      <w:pPr>
        <w:spacing w:after="0" w:line="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imposition of tariffs and trade restrictions as a result of international trade disputes or changes in trade policies may adversely affect our sales and profitability. For example, our components have been subject to previously imposed or proposed tariffs, which may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contract manufacturing organizations may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this Quarterly Report on Form 10-Q.</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sanctions programs that could impair our ability to compete in international markets due to licensing requirements and subject us to liability if we are not in compliance with applicable laws.</w:t>
      </w:r>
    </w:p>
    <w:p>
      <w:pPr>
        <w:spacing w:after="0" w:line="63" w:lineRule="exact"/>
        <w:rPr>
          <w:sz w:val="20"/>
          <w:szCs w:val="20"/>
          <w:color w:val="auto"/>
        </w:rPr>
      </w:pPr>
    </w:p>
    <w:p>
      <w:pPr>
        <w:jc w:val="both"/>
        <w:ind w:firstLine="486"/>
        <w:spacing w:after="0" w:line="243" w:lineRule="auto"/>
        <w:rPr>
          <w:sz w:val="20"/>
          <w:szCs w:val="20"/>
          <w:color w:val="auto"/>
        </w:rPr>
      </w:pPr>
      <w:r>
        <w:rPr>
          <w:rFonts w:ascii="Times New Roman" w:cs="Times New Roman" w:eastAsia="Times New Roman" w:hAnsi="Times New Roman"/>
          <w:sz w:val="18"/>
          <w:szCs w:val="18"/>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78"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On January 15, 2025, the U.S. government announced new license requirements that impact exports of certain products and technology, including high-parameter and spectral flow cytometers and cell sorters and certain mass spectrometry equipment to certain countries, including China, which may have a significant negative impact on our sales, manufacturing and research and development activities. The impact of the new license requirements is difficult to quantify, and it may be challenging for us to manage our international operations and accurately forecast our operating results due to these requirements. For more information, please see “Our results of operations will be harmed if we are unable to accurately forecast customer demand for our products and manage our inventory” above.</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limited experience manufacturing our products. We currently manufacture instruments and reagents at our manufacturing facilities in Fremont, California and Wuxi, China, instruments at our facility in Singapore,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75"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is dependent upon our ability to increase penetration in our existing markets and expand into adjacent markets.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customer base includes academic and government institutions, pharmaceutical and biotechnology companies, CROs and clinical laboratories focused on cell analysis. Approximately 38% and 41% of our revenue came from sales 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academic and government-owned institutions and 62% and 59% of our revenue came from sales to pharmaceutical and biotechnology companies, distributors and CROs in the three months ended March 31, 2026 and 2025,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adoption of our products by academic and government institutions,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primary strategy to grow our revenue is to take a stepwise approach to market our products across key stakeholders in flow cytometry and cell analysis, such as academic and government institutions, CROs, pharmaceutical companies and clinical laboratories. While the number of customers using our products has increased in recent years, many academic and government institutions, CROs, pharmaceutical companies and clinical laboratories have not yet adopted our products, and such institutions and companies may choose not to adopt our products for a number of reasons, including:</w:t>
      </w:r>
    </w:p>
    <w:p>
      <w:pPr>
        <w:spacing w:after="0" w:line="72" w:lineRule="exact"/>
        <w:rPr>
          <w:sz w:val="20"/>
          <w:szCs w:val="20"/>
          <w:color w:val="auto"/>
        </w:rPr>
      </w:pPr>
    </w:p>
    <w:p>
      <w:pPr>
        <w:ind w:left="980" w:right="2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recruiting or training of talented sales force in existing and new markets to facilitate outreach and further adoption and awareness of our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for cell analysis;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inadequacy of evidence supporting benefits or cost-effectiveness of our products over existing alternatives;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processes;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training required to use new products;</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or delay in the research and development activities using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and alternatives; and</w:t>
      </w:r>
    </w:p>
    <w:p>
      <w:pPr>
        <w:spacing w:after="0" w:line="10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other novel alternative products for cell analysis.</w:t>
      </w:r>
    </w:p>
    <w:p>
      <w:pPr>
        <w:spacing w:after="0" w:line="10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educating notable industry key opinion leaders, representatives of academic and government institutions, CROs, pharmaceutical companies and clinical laboratories about the merits and benefits of our products for flow cytometry and cell analysis is one of the key elements to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Approximately 38% and 41% of our revenue came from sales to academic and government-owned institutions in the three months ended March 31, 2026 and 2025, respectively. Much of their funding was, in turn, provided by various state, federal and foreign government agencies. In the near term, we expect that a large portion of our revenue will continue to be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derived from sales to academic and government-owned institutions. As a result, the demand for our solutions may depend upon the research and development budgets of these customers, which are impacted by factors beyond our control, such as:</w:t>
      </w:r>
    </w:p>
    <w:p>
      <w:pPr>
        <w:ind w:left="980" w:right="20" w:hanging="486"/>
        <w:spacing w:after="0" w:line="243"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including any reductions in funding to the U.S. National Institutes of Health (“NIH”);</w:t>
      </w:r>
    </w:p>
    <w:p>
      <w:pPr>
        <w:spacing w:after="0" w:line="8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scientists’ and customers’ opinions of the utility of new products or services;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ours.</w:t>
      </w:r>
    </w:p>
    <w:p>
      <w:pPr>
        <w:spacing w:after="0" w:line="11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various state, federal and foreign agencies that have traditionally provided grants and other funding for basic research, research and development, and clinical testing have been and may be subject to further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Recent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For example, the current U.S. administration is seeking to reduce research funding by the NIH for medical research. If the funding is reduced for studies related to the medical indications on which we are focused or on which researchers were or may have been considering applying for federal grants, our research and development initiatives could be delayed or otherwise affected. There is no guarantee that NIH appropriations will not decrease or halt in the future. A decrease in the amount of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the cell analysis and life sciences tools markets. We currently compete with both established and early stage life sciences and in vitro diagnostics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Bio-Rad Laboratories, Standard BioTools Inc., Miltenyi Biotec, Sony Biotechnology (Sony Corporation), Thermo Fisher Scientific, and Waters Corporation.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competitors and potential competitors may enjoy a number of competitive advantages over us, including:</w:t>
      </w:r>
    </w:p>
    <w:p>
      <w:pPr>
        <w:spacing w:after="0" w:line="117"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and market penetration;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and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technological and research and development resources;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quality assurance and regulatory staff;</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intellectual property portfolios;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system reliability and robustness;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selling and marketing capabilities;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and successfully introduce new and enhanced products that meet the needs of our customers.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needs of our customers, or effectively coordinate with our suppliers, our net sales may be reduced and our business would be harmed.</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or adequately predict our customers’ needs or otherwise fail to obtain desired levels of market acceptance, our business may suffer and our operating results could be adversely affected.</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Full Spectrum Profiling (“FSP”) solutions, it could slow or stop our business growth and negatively impact our business, financial condition, results of operations and prospects.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involves a lengthy and complex process and we may be unable to develop or commercialize products on a timely basis, or at all.</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72"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regulatory approval;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engineering and manufacturing processes to accommodate different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enter into agreements with new suppliers;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provide reliable, high-quality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customers may discover defects in our products after the products have been fully installed and operated. In addition, some of our products</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 components from other vendors, which may contain latent defects. As a result, should problems occur, it may be difficult to identify the source of the problem. If we are unable to identify and fix defects or other problems, we could experience, among other things:</w:t>
      </w:r>
    </w:p>
    <w:p>
      <w:pPr>
        <w:spacing w:after="0" w:line="54"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orders;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warranty expenses;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engineering and manufacturing resources;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by governmental authorities;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March 31, 2026, we had accrued approximately $1.4 million in expenses relating to product warranty accruals. Substantial amounts of warranty claims could have an adverse effect on our business, financial condition and results of operations.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From time to time, we may pursue acquisitions of businesses and assets. For example, in February 2023, we entered into an asset purchase agreement with Luminex Corporation (“Luminex”) and acquired certain assets related to the flow cytometry and imaging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Wuxi, China; and Singapore require global shipping services which are subject to certain factors outside of our control, such as increased costs due to fuel surcharges or otherwise, delays passing through customs, </w:t>
      </w:r>
      <w:r>
        <w:rPr>
          <w:rFonts w:ascii="Times New Roman" w:cs="Times New Roman" w:eastAsia="Times New Roman" w:hAnsi="Times New Roman"/>
          <w:sz w:val="18"/>
          <w:szCs w:val="18"/>
          <w:color w:val="008080"/>
        </w:rPr>
        <w:t>d</w:t>
      </w:r>
      <w:r>
        <w:rPr>
          <w:rFonts w:ascii="Times New Roman" w:cs="Times New Roman" w:eastAsia="Times New Roman" w:hAnsi="Times New Roman"/>
          <w:sz w:val="18"/>
          <w:szCs w:val="18"/>
          <w:color w:val="000000"/>
        </w:rPr>
        <w:t>isruptions to global shipping routes and fuel scarcity. Geopolitical conflicts and/or regional instability may impact any of the foregoing; for example, fuel</w:t>
      </w:r>
      <w:r>
        <w:rPr>
          <w:rFonts w:ascii="Times New Roman" w:cs="Times New Roman" w:eastAsia="Times New Roman" w:hAnsi="Times New Roman"/>
          <w:sz w:val="18"/>
          <w:szCs w:val="18"/>
          <w:color w:val="008080"/>
        </w:rPr>
        <w:t xml:space="preserve"> </w:t>
      </w:r>
      <w:r>
        <w:rPr>
          <w:rFonts w:ascii="Times New Roman" w:cs="Times New Roman" w:eastAsia="Times New Roman" w:hAnsi="Times New Roman"/>
          <w:sz w:val="18"/>
          <w:szCs w:val="18"/>
          <w:color w:val="000000"/>
        </w:rPr>
        <w:t>surcharges have been announced and, in some cases implemented, by logistics vendors globally, in response to the ongoing and escalating conflicts in the Middle East, and such conflicts may also lead to delays or logistics difficulties in the future.</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future sales will depend, in large part, on our ability to develop and substantially expand our sales infrastructure, particularly as we enter into new markets, roll 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academic and governmental institutions, pharmaceutical and biotechnology companies, CROs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on a significant base of peer-reviewed publications to showcase and validate the importance and application of our technology in academic and clinical research settings. As of March 31, 2026, there have been more than 3,900 peer-reviewed articles published relating to our FSP products since our first commercial launch in 2017,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 diverse opportunities, better chances for career advancement and higher compensation. Some of these characteristics are more appealing to high-quality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has significantly appreciated in value, or if the exercise prices of the options that they hold are significantly below the market price of our common stock.</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we had 678 full-time employees.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17"/>
          <w:szCs w:val="17"/>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or timely report our financial condition or results of operations.</w:t>
      </w:r>
    </w:p>
    <w:p>
      <w:pPr>
        <w:spacing w:after="0" w:line="5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 These included deficiencies in the control environment, as well as deficiencies related to control activities related to</w:t>
      </w:r>
    </w:p>
    <w:p>
      <w:pPr>
        <w:spacing w:after="0" w:line="1" w:lineRule="exact"/>
        <w:rPr>
          <w:sz w:val="20"/>
          <w:szCs w:val="20"/>
          <w:color w:val="auto"/>
        </w:rPr>
      </w:pPr>
    </w:p>
    <w:p>
      <w:pPr>
        <w:jc w:val="both"/>
        <w:ind w:firstLine="8"/>
        <w:spacing w:after="0" w:line="253" w:lineRule="auto"/>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While the identified material weaknesses were remediated in fiscal year 2025, we cannot provide assurance that we will not identify additional material weaknesses in future periods or that we will be successful in remediating any future significant deficiencies or material weaknesses in internal control over financial reporting.</w:t>
      </w:r>
    </w:p>
    <w:p>
      <w:pPr>
        <w:spacing w:after="0" w:line="7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 prevented or detected on a timely basis. These deficiencies could result in additional material misstatements to our unaudited interim consolidated financial statements that could not be prevented or detected on a timely basis.</w:t>
      </w:r>
    </w:p>
    <w:p>
      <w:pPr>
        <w:spacing w:after="0" w:line="5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continuing to develop and refine our disclosure controls, internal control over financial reporting and other procedures that are designed to ensure information required to be disclosed by us in our unaudited interim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 Our current controls and any new controls we develop may become inadequate, including due to changes in our business and business conditions. Additionally, to the extent we acquire other businesses, the acquired company may not have a sufficiently robust system of internal controls and we may uncover new deficiencies as part of integration. We currently do not have an internal audit group, and we may need to hire additional accounting and finance staff and consultants with appropriate public company experience and technical accounting knowledge to appropriately maintain effective internal controls over financial reporting. If we identify any additional material weaknesses or are unable to successfully remediate any future material weaknesses in our internal control over financial reporting, the accuracy and timing of our financial reporting may be negatively impacted, we may be unable to maintain compliance with securities law requirements regarding timely filing of periodic reports and applicable stock exchange listing requirements, investors may lose confidence in our financial reporting, and our stock price may decline as a result; additionally, any of the foregoing could restrict our future access to the capital markets. In prior periods, certain filings were made pursuant to Rule 12b-25, and adjustments were made to certain line items in the related financial statements.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products and/or expand our operations.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some of which are beyond our control, including:</w:t>
      </w:r>
    </w:p>
    <w:p>
      <w:pPr>
        <w:spacing w:after="0" w:line="117"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revenue growth;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operations, including our sales and marketing efforts;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launching and commercializing new products and the cost of the sales and marketing activities associated with establishing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domestic and international expansion;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conflicts in the Middle East, government actions implemented as a result of either of the foregoing,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54"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seasonality and customer mix of the cell analysis market;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 expenses;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productivity of our sales force;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distribution partners in selling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publications of our products or competitive products;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arrangements with our suppliers;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the industry in which we do business, including those related to widespread health crises;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financial crises and economic downturns, including those caused by widespread public health crises;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changes in inflation, interest rates, foreign currency rates, liquidity concerns at, and failures of, banks and other financial institutions and the potential effect of such factors on revenues and expenses;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products may be smaller than we estimate.</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have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8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75"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costs;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 or new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agreements by our partners and potential partners failing to partner with us.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harm our business.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See Note 17 to our unaudited interim consolidated financial statements included elsewhere in this Quarterly Report on Form 10-Q for information regarding ongoing legal proceedings.</w:t>
      </w:r>
    </w:p>
    <w:p>
      <w:pPr>
        <w:spacing w:after="0" w:line="75"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and, as a result, we and the third parties upon whom we rely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(“AI”), and other similar threats. In particular, severe ransomware attacks, including those perpetrated by organized criminal threat actors, nation-states, and nation-state-supported actors, are increasingly prevalent and severe and such an attack has led to, and in the future such attacks can lead to, significant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interruptions in our operations and/or ability to provide our products or services, loss of Sensitive Information and income, reputational harm, and/or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 increased risks to our information technology systems and data when utilizing network connections, computers, and devices outside our premises or network.</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 may be, and in certain cases has been,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have not, and we may not in the future, detect, mitigate,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(and have in the past caused) a security incident or other interruption that could result, and in certain cases in the past has resulted, in unauthorized, unlawful, or accidental acquisition, modification, destruction, loss, alteration, encryption, disclosure of, or access to our Sensitive Information or our information technology systems, or those of the third parties with whom we work. For example, in November 2025, we became aware of a security incident that affected certain of our Sensitive Information, including employee personal information. A security incident or other interruption could disrupt our ability (and that of third parties with whom we work) to provide our products and services. We expend significant resources and may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of security incidents, including affected individuals, customers, regulators and investors, or to take other actions, such as providing credit monitoring and identity theft protections services, and have done so in the past. Such disclosures and related actions can be costly, and the disclosures or the failure to comply with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data (including personal information); litigation (including class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claims); indemnification obligations; negative publicity; reputational harm; monetary fund diversions; diversion of management’s attention; interruptions in our operations (including availability of data); financial loss; and other similar harms. Security incidents and attendant material consequences may cause customers to stop using our products and services, deter new customers from purchasing our products and services, and negatively impact our ability to grow and operate our business.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0" w:lineRule="exact"/>
        <w:rPr>
          <w:sz w:val="20"/>
          <w:szCs w:val="20"/>
          <w:color w:val="auto"/>
        </w:rPr>
      </w:pPr>
    </w:p>
    <w:p>
      <w:pPr>
        <w:ind w:right="40" w:firstLine="486"/>
        <w:spacing w:after="0" w:line="234" w:lineRule="auto"/>
        <w:rPr>
          <w:sz w:val="20"/>
          <w:szCs w:val="20"/>
          <w:color w:val="auto"/>
        </w:rPr>
      </w:pPr>
      <w:r>
        <w:rPr>
          <w:rFonts w:ascii="Times New Roman" w:cs="Times New Roman" w:eastAsia="Times New Roman" w:hAnsi="Times New Roman"/>
          <w:sz w:val="18"/>
          <w:szCs w:val="18"/>
          <w:color w:val="auto"/>
        </w:rPr>
        <w:t>Our operations (including our manufacturing operations) and the operations of our distribution partners could be subject to earthquakes, power shortages, telecommunications failures, water or fuel shortages, floods, hurricanes, typhoons, fires, extreme weather conditions, medical epidemics and pandemics, and other natural or man-made disasters, including those related to geopolitical conflicts,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9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manufacture our products at our manufacturing facilities located in Fremont and San Diego, California; Wuxi, China; and Singapore;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as a public company may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because our product contains metals and electronic components which are purchased from third-party vendors, we are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(the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currency exchange risk.</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Our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6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Currently, our Northern Lights-CLC system is available for clinical use in only China and the European Union. Our Cytek Aurora, Cytek Northern Lights, and Cytek Aurora Evo systems are otherwise available to customers as research use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8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part of our growth strategy, we plan to seek approval to offer one or more of our systems for clinical use in the United States and/or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Management System Regulation (“QMSR”)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QMSR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81"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applications of new products or modified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clearances on PMA applications that have already been granted;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products, including manufacturing problems, or failure to comply with regulatory requirements such as the QMSR,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ordinary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(the “CCPA”) applies to personal information of consumers, business representatives, and employees, and requires businesses to provide specific disclosures in privacy notices and honor requests of California residents to exercise certain rights related to their personal information. The CCPA provides for fines for noncompliance and allows private litigants affected by certain data breaches to recover significant statutory damages. The CCPA and other U.S. comprehensive privacy laws exempt some data processed in the context of clinical trials, but these developments increase compliance costs and potential liability with respect to other personal information we maintain about residents in these states.</w:t>
      </w:r>
    </w:p>
    <w:p>
      <w:pPr>
        <w:spacing w:after="0" w:line="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causes us to incur substantial operational costs and may require us to change our business practices, and could lead to material fines, penalties and liability.</w:t>
      </w:r>
    </w:p>
    <w:p>
      <w:pPr>
        <w:spacing w:after="0" w:line="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many jurisdictions have enacted data localization laws and cross-border data transfer restrictions. These laws may make it more difficult for us to transfer personal information across jurisdictions, which could impede our business. For example, absent appropriate safeguards or other circumstances, the GDPR generally restricts the transfer of personal information to the United States and other countries that are viewed by some regulators to not generally provide an adequate level of data privacy and security. Although there are currently various mechanisms that can be used to transfer personal information from the EEA and UK to the United States in compliance with law, such as the EU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data transfer restrictions and data residency requirements,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U.S. Department of Justice has issued a rule titled “Preventing Access to U.S. Sensitive Personal Data and Government-Related Data by Countries of Concern or Covered Persons,” which places additional restrictions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201"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Our employees and personnel use generative AI and/or automated decision-making technologies to perform their work, and the disclosure and use of personal information in AI technologies is subject to various privacy laws and other privacy obligations. Governments have passed and are likely to pass additional laws regulating AI and/or automated decision-making technologies. Our use of such technologies could result in additional compliance costs, regulatory investigations and actions, and consumer lawsuits. If we are unable to use AI and/or automated decision-making technologies, it could make our business less efficient and result in competitive disadvantages. We also use AI and machine 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spacing w:after="0" w:line="9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from funding cuts, personnel losses, regulatory reform, government shutdowns, and other developments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their ability to hire and retain key personnel and accept the payment of user fees, and statutory, regulatory, and policy changes. Average review times at the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8"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18"/>
          <w:szCs w:val="18"/>
          <w:color w:val="auto"/>
        </w:rPr>
        <w:t>Over the last several years, the U.S. government has shut down several times, including the government shutdown that began on October 1, 2025 and the government shutdown that lasted from December 22, 2018 to January 25, 2019, and certain regulatory agencies, such as the FDA and the SEC, have had to furlough critical employees and stop critical activities. Even the threat of a government shutdown or prolonged budget negotiation uncertainty may adversely affect the broader U.S. economy, investor confidence, and capital markets. Such conditions could negatively impact the liquidity or trading volume of our securities and our customers’ ability to finance and/or purchase our products. Accordingly, a federal government shutdown—or uncertainty regarding the continuity of government operations—could have a material adverse effect on our business, results of operations, and stock price.</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artificial intelligence technologies, combined with an uncertain regulatory environment, may result in reputation harm, liability, or other adverse consequences to our business operations</w:t>
      </w:r>
      <w:r>
        <w:rPr>
          <w:rFonts w:ascii="Times New Roman" w:cs="Times New Roman" w:eastAsia="Times New Roman" w:hAnsi="Times New Roman"/>
          <w:sz w:val="18"/>
          <w:szCs w:val="18"/>
          <w:i w:val="1"/>
          <w:iCs w:val="1"/>
          <w:color w:val="auto"/>
        </w:rPr>
        <w:t>.</w:t>
      </w:r>
    </w:p>
    <w:p>
      <w:pPr>
        <w:spacing w:after="0" w:line="50"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We have and will continue to incorporate AI and/or ML technologies into our business operations and products and services, including through the use of such technologies by our third-party service providers. The use of such rapidly evolving technologies by us and our third-party service providers (whether or not known to us), while presenting significant benefits, can also present risks and challenges to our business. The implementation of artificial intelligence can be costly, and there is no guarantee that our use of AI/ML will enhance our technologies, benefit our business operations, or produce products and services that are preferred by our customers. If these technologies do not perform in accordance with our expectations, including, but not limited to, general failure or biases or errors relating to inaccuracies or flaws in the inputs, outputs, or logic of the AI/ML or if we fail to responsibly deploy artificial intelligence in our operations, such failures may give rise to legal liability, and our business and reputation could suffer.</w:t>
      </w:r>
    </w:p>
    <w:p>
      <w:pPr>
        <w:spacing w:after="0" w:line="87"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development and use of AI technologies present various privacy and security risks that may impact our business. AI technologies are subject to privacy and data security laws, as well as increasing regulation and scrutiny. Further, countries and states are applying their data and consumer protection laws to AI technologies, and particularly generative AI and interactive chatbots.</w:t>
      </w:r>
    </w:p>
    <w:p>
      <w:pPr>
        <w:spacing w:after="0" w:line="82" w:lineRule="exact"/>
        <w:rPr>
          <w:sz w:val="20"/>
          <w:szCs w:val="20"/>
          <w:color w:val="auto"/>
        </w:rPr>
      </w:pPr>
    </w:p>
    <w:p>
      <w:pPr>
        <w:jc w:val="both"/>
        <w:ind w:firstLine="486"/>
        <w:spacing w:after="0" w:line="243" w:lineRule="auto"/>
        <w:rPr>
          <w:sz w:val="20"/>
          <w:szCs w:val="20"/>
          <w:color w:val="auto"/>
        </w:rPr>
      </w:pPr>
      <w:r>
        <w:rPr>
          <w:rFonts w:ascii="Times New Roman" w:cs="Times New Roman" w:eastAsia="Times New Roman" w:hAnsi="Times New Roman"/>
          <w:sz w:val="18"/>
          <w:szCs w:val="18"/>
          <w:color w:val="auto"/>
        </w:rPr>
        <w:t>Several jurisdictions around the globe, including Europe and certain U.S. states, have proposed, enacted, or are considering laws governing the development and use of AI technologies, including, but not limited to, the EU’s AI Act, the Colorado Artificial Intelligence Act, California Bot Disclosure Law,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Certain of our activities may subject us to the EU AI Act and, depending on how the EU AI Act is implemented and interpreted, we may have to adapt our business practices, contractual arrangements, and services to comply with such obligations, if applicable. We expect other jurisdictions will adopt similar laws.</w:t>
      </w:r>
    </w:p>
    <w:p>
      <w:pPr>
        <w:spacing w:after="0" w:line="78"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Additionally, certain privacy laws extend rights to consumers (such as the right to delete certain personal information) and regulate automated decision making, which may be incompatible with our use of AI technologies. These obligations may make it harder for us to conduct our business using AI technologies, lead to regulatory fines or penalties, require us to change our business practices, retrain our AI technologies, or prevent or limit our use of AI technologies. For example, the FTC has required other companies to turn over (or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w:t>
      </w:r>
    </w:p>
    <w:p>
      <w:pPr>
        <w:spacing w:after="0" w:line="72"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Any sensitive information (including confidential, competitive, proprietary, or personal information) that we input into a third-party AI technology, including, but not limited to, generative AI technology, could be leaked or disclosed to others, including if sensitive information is used to train the third parties’ AI technology. Additionally, where an AI technology model ingests personal information and makes connections using such data, those technologies may reveal other personal or sensitive information generated by the model.</w:t>
      </w:r>
    </w:p>
    <w:p>
      <w:pPr>
        <w:spacing w:after="0" w:line="69"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AI technologies are evolving rapidly, as are the legal and regulatory landscapes applicable to it in the United States and in jurisdictions around the world, which may result in new and enhanced governmental or regulatory scrutiny, litigation, confidentiality, privacy or security risks, intellectual property risks, ethical concerns, legal liability, or other complications that could adversely affect our business, reputation, financial condition, or results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75" w:lineRule="exact"/>
        <w:rPr>
          <w:sz w:val="20"/>
          <w:szCs w:val="20"/>
          <w:color w:val="auto"/>
        </w:rPr>
      </w:pPr>
    </w:p>
    <w:p>
      <w:pPr>
        <w:jc w:val="both"/>
        <w:ind w:left="980" w:hanging="486"/>
        <w:spacing w:after="0" w:line="25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federal civil False Claims Act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87" w:lineRule="exact"/>
        <w:rPr>
          <w:rFonts w:ascii="Times New Roman" w:cs="Times New Roman" w:eastAsia="Times New Roman" w:hAnsi="Times New Roman"/>
          <w:sz w:val="18"/>
          <w:szCs w:val="18"/>
          <w:color w:val="auto"/>
        </w:rPr>
      </w:pPr>
    </w:p>
    <w:p>
      <w:pPr>
        <w:jc w:val="both"/>
        <w:ind w:left="980" w:hanging="486"/>
        <w:spacing w:after="0" w:line="268" w:lineRule="auto"/>
        <w:tabs>
          <w:tab w:leader="none" w:pos="97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71" w:lineRule="exact"/>
        <w:rPr>
          <w:rFonts w:ascii="Times New Roman" w:cs="Times New Roman" w:eastAsia="Times New Roman" w:hAnsi="Times New Roman"/>
          <w:sz w:val="17"/>
          <w:szCs w:val="17"/>
          <w:color w:val="auto"/>
        </w:rPr>
      </w:pPr>
    </w:p>
    <w:p>
      <w:pPr>
        <w:jc w:val="both"/>
        <w:ind w:left="980" w:hanging="486"/>
        <w:spacing w:after="0" w:line="258"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healthcare Anti-Kickback Statute, a person or entity does not need to have actual knowledge of the statute or specific intent to violate it to have committed a violation;</w:t>
      </w:r>
    </w:p>
    <w:p>
      <w:pPr>
        <w:spacing w:after="0" w:line="54" w:lineRule="exact"/>
        <w:rPr>
          <w:sz w:val="20"/>
          <w:szCs w:val="20"/>
          <w:color w:val="auto"/>
        </w:rPr>
      </w:pPr>
    </w:p>
    <w:p>
      <w:pPr>
        <w:jc w:val="both"/>
        <w:ind w:left="980" w:hanging="486"/>
        <w:spacing w:after="0" w:line="261"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state laws govern the privacy and security of personal information, including the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75" w:lineRule="exact"/>
        <w:rPr>
          <w:rFonts w:ascii="Times New Roman" w:cs="Times New Roman" w:eastAsia="Times New Roman" w:hAnsi="Times New Roman"/>
          <w:sz w:val="18"/>
          <w:szCs w:val="18"/>
          <w:color w:val="auto"/>
        </w:rPr>
      </w:pPr>
    </w:p>
    <w:p>
      <w:pPr>
        <w:jc w:val="both"/>
        <w:ind w:left="980" w:hanging="486"/>
        <w:spacing w:after="0" w:line="25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w:t>
      </w:r>
    </w:p>
    <w:p>
      <w:pPr>
        <w:spacing w:after="0" w:line="79" w:lineRule="exact"/>
        <w:rPr>
          <w:rFonts w:ascii="Times New Roman" w:cs="Times New Roman" w:eastAsia="Times New Roman" w:hAnsi="Times New Roman"/>
          <w:sz w:val="18"/>
          <w:szCs w:val="18"/>
          <w:color w:val="auto"/>
        </w:rPr>
      </w:pPr>
    </w:p>
    <w:p>
      <w:pPr>
        <w:jc w:val="both"/>
        <w:ind w:left="980" w:hanging="486"/>
        <w:spacing w:after="0" w:line="254"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negating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to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Including rights acquired in connection with the FCI Acquisition, as of March 31, 2026, we own 38 issued U.S. utility patents, 10 issued Japan utility patents, six issued European utility patents, six issued China utility patents, one Canada utility patent, one India utility patent, two Australian utility patents, and three Singapore utility patents. We have 68 pending utility patent applications, including 44 utility patent applications in the United States, two international utility patent applications, eight utility patent applications in the European Union, eight utility patent applications in China, and four utility patent applications in Japan. Assuming all maintenance fees are paid, the U.S. issued patents are expected to naturally expire between years 2026 and 2041. Additionally, patents covering intellectual property relating to design specific technologies invented by our researchers in Shanghai and Wuxi, China are filed in China and owned by our China subsidiaries, respectively. As of March 31, 2026, our Shanghai subsidiary owns 12 issued utility patents and eight issued invention patents and has two pending utility patent applications and three pending invention patent applications, and our Wuxi subsidiary owns 42 issued utility patents and one issued invention patent and has 12 pending utility patent applications and eight pending invention patent applications.</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proceedings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applications may fail to result in issued patents in the United States or foreign countries with claims that cover our current and any future products. Even if patents are successfully issued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jointly 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8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 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including patent, protection could be reduced or eliminated for non-compliance with these requirements.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outside the United States, selected countries in the European Union, the UK, Japan and China and may not be able to protect our intellectual property and proprietary rights throughout the world, which could harm our business, financial condition and results of operations.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selected countries in the European Union, the UK,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current and any future products.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enacted in September 2011, the United States transitioned to a first to file system in which, assuming that other requirements for patentability are met, the first applicant to file a patent application will be entitled to the patent on an invention regardless of whether a third party was the first to invent the claimed invention. A third party that files a patent application in the USPTO after March 15,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confidential for a period of time after filing or until issuance, we cannot be certain that we were the first to file any patent application related to our current and any future products.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have been and, in the future, could become subject to intellectual property-related litigation and proceedings relating to our or third-party intellectual property and proprietary rights. See Note 17 to our unaudited interim consolidated financial statements included elsewhere in this Quarterly Report on Form 10-Q for further details regarding legal proceedings.</w:t>
      </w:r>
    </w:p>
    <w:p>
      <w:pPr>
        <w:spacing w:after="0" w:line="75"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and laboratory equipment industries are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8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proceedings against us could impair our ability to compete in the marketplace. The occurrence of any of the foregoing could harm our business, financial condition and results of operations.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any future licensing partners. In addition, we have been and may in the future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a key information technology system, process, or site could have an adverse effect on our business.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are and have been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compromise our ability to offer our services and subject us to possible litigation.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use open source software in connection with the software integrated in our instruments as well as our Cytek Cloud software.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 products and services that are similar to or better than ours. Any of the foregoing could harm our business, financial condition, results of operations and prospects.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 and our stockholders may not be able to resell shares of our common stock at or above the price they paid.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68"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adoption of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investors;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including as a result of anticipated or unanticipated demand based on seasonal factors;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issues related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by us or our stockholders, as well as the anticipation of lock-up releases;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any of our third-party distribution partners and suppliers, including our single and sole-source suppliers;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engage additional distribution partners and establish collaborations, if needed;</w:t>
      </w:r>
    </w:p>
    <w:p>
      <w:pPr>
        <w:spacing w:after="0" w:line="117" w:lineRule="exact"/>
        <w:rPr>
          <w:rFonts w:ascii="Times New Roman" w:cs="Times New Roman" w:eastAsia="Times New Roman" w:hAnsi="Times New Roman"/>
          <w:sz w:val="18"/>
          <w:szCs w:val="18"/>
          <w:color w:val="auto"/>
        </w:rPr>
      </w:pPr>
    </w:p>
    <w:p>
      <w:pPr>
        <w:ind w:left="980" w:hanging="486"/>
        <w:spacing w:after="0" w:line="261"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22" w:lineRule="exact"/>
        <w:rPr>
          <w:rFonts w:ascii="Times New Roman" w:cs="Times New Roman" w:eastAsia="Times New Roman" w:hAnsi="Times New Roman"/>
          <w:sz w:val="18"/>
          <w:szCs w:val="18"/>
          <w:color w:val="auto"/>
        </w:rPr>
      </w:pPr>
    </w:p>
    <w:p>
      <w:pPr>
        <w:jc w:val="both"/>
        <w:ind w:left="980" w:hanging="486"/>
        <w:spacing w:after="0" w:line="239" w:lineRule="auto"/>
        <w:tabs>
          <w:tab w:leader="none" w:pos="97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economic, regulatory and market conditions, including the general inflationary environment, economic recessions or slowdowns, as well as geopolitical trends, changes or events such as the ongoing war in Ukraine, and conflicts in the Middle East, and the regional and global ramifications of these events; and</w:t>
      </w:r>
    </w:p>
    <w:p>
      <w:pPr>
        <w:spacing w:after="0" w:line="91"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5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executive officers, directors and principal stockholders and their respective affiliates may prevent new investors from influencing significant corporate decisions.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Based on the number of shares of common stock outstanding as of March 31, 2026, our executive officers, directors, holders of 5% or more of our common stock and their respective affiliates (based on filings with the SEC), in the aggregate, own approximately 37.5%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of our shares and have held their shares for a longer period, they may be more interested in selling our company to an acquirer than other investors, or they may want us to pursue strategies that deviate from the interests of other stockholders.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 making can be faulty, and that breakdowns can occur because of simple error or mistake. Additionally, controls can be circumvented by the individual acts of some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persons, by collusion of two or more people or by an unauthorized override of the controls. Accordingly, because of the inherent limitations in our control system, misstatements due to error or fraud may occur and not be detected.</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General Corporation Law of the State of Delaware (the “DGCL”),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change-of-control transaction or changes in our board of directors could cause the market price of our common stock to decline.</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choice-of-forum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preparation of our unaudited interim consolidated financial statements in conformity with generally accepted accounting principles requires management to make estimates and assumptions that affect the amounts reported in our unaudited interim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have devoted and will continue to devote a substantial amount of time to compliance with these requirements. Moreover, these rules and regulations increase our legal and financial compliance costs and make some activities more time-consuming and costly. The additional costs we incur as a public company could negatively affect our business, financial condition and results of operations.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(“NOLs”) to offset future taxable income may be subject to certain limitations.</w:t>
      </w:r>
    </w:p>
    <w:p>
      <w:pPr>
        <w:spacing w:after="0" w:line="108"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(“Code”), and similar provisions of state and local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In addition, while U.S. federal NOLs arising in tax years beginning after December 31, 2017 may be carried forward indefinitely, such NOL carryforwards cannot offset more than 80% of taxable income in any tax year. There may also be other limitations under state law on our ability to utilize NOLs, including temporary suspensions or other limitations on the use of NOLs to offset taxable income. We determined that ownership changes occurred in 2018 and 2020 and in connection with our initial public offering in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In addition, at the state level, there may be periods during which the use of NOLs is suspended or otherwise limited, which could accelerate or permanently increase state taxes owed. Any such limitations may result in the expiration of the state net operating loss carryforwards before they can be fully utilized.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1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 established a taxable connection, often referred to as a “permanent establishment” under international tax treaties, and such an assertion, if successful, could increase our expected tax liability in one or more jurisdictions.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and regulations may have a material adverse effect on our business, financial condition and results of operations.</w:t>
      </w:r>
    </w:p>
    <w:p>
      <w:pPr>
        <w:spacing w:after="0" w:line="108"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For instance, legislation commonly referred to as the One Big Beautiful Bill Act (the “OBBBA”) enacted in 2025, the Inflation Reduction Act enacted in 2022, the Coronavirus Aid, Relief, and Economic Security Act enacted in 2020, and legislation informally titled the Tax Cuts and Jobs Act enacted in 2017 made significant changes to the U.S. tax laws. Future guidance from the Internal Revenue Service and other tax authorities with respect to any such tax legislation may affect us, and certain aspects of prior tax legislation could be repealed or modified in future legislation. Changes in corporate tax rates, the realization of net deferred tax assets relating to our U.S. operations and the deductibility of expenses under current tax law or future tax reform legislation could have a material impact on the value of our deferred tax assets, could result in significant one-time charges in the current or future taxable years and could increase our future U.S. tax expense. We urge investors to consult with their legal and tax advisers regarding the implication of potential changes in tax laws on an investment in our common stock.</w:t>
      </w:r>
    </w:p>
    <w:p>
      <w:pPr>
        <w:spacing w:after="0" w:line="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July 2021, we issued and sold an aggregate of 13,949,401 shares of common stock in connection with our initial public offering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and officers (as defined in Rule 16a-1(f) under the Exchange Act) adopted or terminated any “Rule 10-b5-1 trading arrangement” or “non-Rule 10b-5-1 trading arrangement,” as those terms are defined in Item 408 of Regulation S-K.</w:t>
      </w:r>
    </w:p>
    <w:p>
      <w:pPr>
        <w:spacing w:after="0" w:line="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
                <w:szCs w:val="2"/>
                <w:color w:val="auto"/>
              </w:rPr>
            </w:pPr>
          </w:p>
        </w:tc>
        <w:tc>
          <w:tcPr>
            <w:tcW w:w="4360" w:type="dxa"/>
            <w:vAlign w:val="bottom"/>
            <w:gridSpan w:val="12"/>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11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360" w:type="dxa"/>
            <w:vAlign w:val="bottom"/>
            <w:gridSpan w:val="12"/>
            <w:vMerge w:val="continue"/>
          </w:tcPr>
          <w:p>
            <w:pPr>
              <w:spacing w:after="0"/>
              <w:rPr>
                <w:sz w:val="16"/>
                <w:szCs w:val="16"/>
                <w:color w:val="auto"/>
              </w:rPr>
            </w:pPr>
          </w:p>
        </w:tc>
        <w:tc>
          <w:tcPr>
            <w:tcW w:w="8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240" w:type="dxa"/>
            <w:vAlign w:val="bottom"/>
          </w:tcPr>
          <w:p>
            <w:pPr>
              <w:spacing w:after="0"/>
              <w:rPr>
                <w:sz w:val="16"/>
                <w:szCs w:val="16"/>
                <w:color w:val="auto"/>
              </w:rPr>
            </w:pPr>
          </w:p>
        </w:tc>
        <w:tc>
          <w:tcPr>
            <w:tcW w:w="10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126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18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Filing</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4"/>
          </w:tcPr>
          <w:p>
            <w:pPr>
              <w:spacing w:after="0" w:line="196" w:lineRule="exact"/>
              <w:rPr>
                <w:rFonts w:ascii="Times New Roman" w:cs="Times New Roman" w:eastAsia="Times New Roman" w:hAnsi="Times New Roman"/>
                <w:sz w:val="18"/>
                <w:szCs w:val="18"/>
                <w:color w:val="0000FF"/>
                <w:w w:val="98"/>
              </w:rPr>
            </w:pPr>
            <w:hyperlink r:id="rId106">
              <w:r>
                <w:rPr>
                  <w:rFonts w:ascii="Times New Roman" w:cs="Times New Roman" w:eastAsia="Times New Roman" w:hAnsi="Times New Roman"/>
                  <w:sz w:val="18"/>
                  <w:szCs w:val="18"/>
                  <w:color w:val="0000FF"/>
                  <w:w w:val="98"/>
                </w:rPr>
                <w:t>Amended and Restated Certificate of Incorporation</w:t>
              </w:r>
            </w:hyperlink>
          </w:p>
        </w:tc>
        <w:tc>
          <w:tcPr>
            <w:tcW w:w="680" w:type="dxa"/>
            <w:vAlign w:val="bottom"/>
            <w:gridSpan w:val="8"/>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3"/>
          </w:tcPr>
          <w:p>
            <w:pPr>
              <w:jc w:val="center"/>
              <w:spacing w:after="0" w:line="19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001-40632</w:t>
              </w:r>
            </w:hyperlink>
          </w:p>
        </w:tc>
        <w:tc>
          <w:tcPr>
            <w:tcW w:w="1260" w:type="dxa"/>
            <w:vAlign w:val="bottom"/>
            <w:gridSpan w:val="3"/>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07/27/2021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tcPr>
          <w:p>
            <w:pPr>
              <w:spacing w:after="0"/>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Amended and Restated Bylaws</w:t>
              </w:r>
            </w:hyperlink>
          </w:p>
        </w:tc>
        <w:tc>
          <w:tcPr>
            <w:tcW w:w="1420" w:type="dxa"/>
            <w:vAlign w:val="bottom"/>
            <w:gridSpan w:val="3"/>
          </w:tcPr>
          <w:p>
            <w:pPr>
              <w:spacing w:after="0"/>
              <w:rPr>
                <w:sz w:val="20"/>
                <w:szCs w:val="20"/>
                <w:color w:val="auto"/>
              </w:rPr>
            </w:pPr>
          </w:p>
        </w:tc>
        <w:tc>
          <w:tcPr>
            <w:tcW w:w="680" w:type="dxa"/>
            <w:vAlign w:val="bottom"/>
            <w:gridSpan w:val="8"/>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3"/>
          </w:tcPr>
          <w:p>
            <w:pPr>
              <w:jc w:val="center"/>
              <w:spacing w:after="0"/>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001-40632</w:t>
              </w:r>
            </w:hyperlink>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07/27/2021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by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tcBorders>
              <w:top w:val="single" w:sz="8" w:color="0000FF"/>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by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Rule 13a-14(a) or Rule 15d-14(a) of the Securities</w:t>
            </w:r>
          </w:p>
        </w:tc>
        <w:tc>
          <w:tcPr>
            <w:tcW w:w="2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tcBorders>
              <w:top w:val="single" w:sz="8" w:color="0000FF"/>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w:t>
            </w:r>
          </w:p>
        </w:tc>
        <w:tc>
          <w:tcPr>
            <w:tcW w:w="400" w:type="dxa"/>
            <w:vAlign w:val="bottom"/>
            <w:gridSpan w:val="5"/>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w:t>
            </w:r>
          </w:p>
        </w:tc>
        <w:tc>
          <w:tcPr>
            <w:tcW w:w="460" w:type="dxa"/>
            <w:vAlign w:val="bottom"/>
            <w:gridSpan w:val="7"/>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1"/>
                <w:szCs w:val="21"/>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87"/>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and contained in Exhibits 101).</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17" w:lineRule="exact"/>
        <w:rPr>
          <w:sz w:val="20"/>
          <w:szCs w:val="20"/>
          <w:color w:val="auto"/>
        </w:rPr>
      </w:pPr>
    </w:p>
    <w:p>
      <w:pPr>
        <w:jc w:val="both"/>
        <w:ind w:left="180" w:hanging="172"/>
        <w:spacing w:after="0" w:line="261" w:lineRule="auto"/>
        <w:tabs>
          <w:tab w:leader="none" w:pos="1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24"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9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5080" w:val="left"/>
          <w:tab w:leader="none" w:pos="76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McCombe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9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William McCombe</w:t>
      </w:r>
    </w:p>
    <w:p>
      <w:pPr>
        <w:spacing w:after="0" w:line="5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Wenbin Jiang, Ph.D., certify that:</w:t>
      </w:r>
    </w:p>
    <w:p>
      <w:pPr>
        <w:spacing w:after="0" w:line="252"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7" w:lineRule="exact"/>
        <w:rPr>
          <w:rFonts w:ascii="Times New Roman" w:cs="Times New Roman" w:eastAsia="Times New Roman" w:hAnsi="Times New Roman"/>
          <w:sz w:val="18"/>
          <w:szCs w:val="18"/>
          <w:color w:val="auto"/>
        </w:rPr>
      </w:pPr>
    </w:p>
    <w:p>
      <w:pPr>
        <w:ind w:left="260" w:right="20" w:hanging="252"/>
        <w:spacing w:after="0" w:line="265" w:lineRule="auto"/>
        <w:tabs>
          <w:tab w:leader="none" w:pos="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480" w:hanging="252"/>
        <w:spacing w:after="0" w:line="250"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7" w:lineRule="exact"/>
        <w:rPr>
          <w:rFonts w:ascii="Times New Roman" w:cs="Times New Roman" w:eastAsia="Times New Roman" w:hAnsi="Times New Roman"/>
          <w:sz w:val="18"/>
          <w:szCs w:val="18"/>
          <w:color w:val="auto"/>
        </w:rPr>
      </w:pPr>
    </w:p>
    <w:p>
      <w:pPr>
        <w:ind w:left="1800" w:right="60" w:hanging="820"/>
        <w:spacing w:after="0" w:line="266" w:lineRule="auto"/>
        <w:tabs>
          <w:tab w:leader="none" w:pos="17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380" w:hanging="820"/>
        <w:spacing w:after="0" w:line="266" w:lineRule="auto"/>
        <w:tabs>
          <w:tab w:leader="none" w:pos="178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20" w:hanging="820"/>
        <w:spacing w:after="0" w:line="266" w:lineRule="auto"/>
        <w:tabs>
          <w:tab w:leader="none" w:pos="17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20" w:hanging="820"/>
        <w:spacing w:after="0" w:line="266" w:lineRule="auto"/>
        <w:tabs>
          <w:tab w:leader="none" w:pos="178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right="60" w:hanging="820"/>
        <w:spacing w:after="0" w:line="312" w:lineRule="auto"/>
        <w:tabs>
          <w:tab w:leader="none" w:pos="179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800" w:right="260" w:hanging="820"/>
        <w:spacing w:after="0" w:line="282" w:lineRule="auto"/>
        <w:tabs>
          <w:tab w:leader="none" w:pos="178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186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/s/ Wenbin Jiang, Ph.D.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Wenbin Jiang, Ph.D.</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7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McCombe, certify that:</w:t>
      </w:r>
    </w:p>
    <w:p>
      <w:pPr>
        <w:spacing w:after="0" w:line="252"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7" w:lineRule="exact"/>
        <w:rPr>
          <w:rFonts w:ascii="Times New Roman" w:cs="Times New Roman" w:eastAsia="Times New Roman" w:hAnsi="Times New Roman"/>
          <w:sz w:val="18"/>
          <w:szCs w:val="18"/>
          <w:color w:val="auto"/>
        </w:rPr>
      </w:pPr>
    </w:p>
    <w:p>
      <w:pPr>
        <w:ind w:left="260" w:right="20" w:hanging="252"/>
        <w:spacing w:after="0" w:line="265" w:lineRule="auto"/>
        <w:tabs>
          <w:tab w:leader="none" w:pos="2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480" w:hanging="252"/>
        <w:spacing w:after="0" w:line="250" w:lineRule="auto"/>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7" w:lineRule="exact"/>
        <w:rPr>
          <w:rFonts w:ascii="Times New Roman" w:cs="Times New Roman" w:eastAsia="Times New Roman" w:hAnsi="Times New Roman"/>
          <w:sz w:val="18"/>
          <w:szCs w:val="18"/>
          <w:color w:val="auto"/>
        </w:rPr>
      </w:pPr>
    </w:p>
    <w:p>
      <w:pPr>
        <w:ind w:left="1800" w:right="60" w:hanging="820"/>
        <w:spacing w:after="0" w:line="266" w:lineRule="auto"/>
        <w:tabs>
          <w:tab w:leader="none" w:pos="17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380" w:hanging="820"/>
        <w:spacing w:after="0" w:line="266" w:lineRule="auto"/>
        <w:tabs>
          <w:tab w:leader="none" w:pos="17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20" w:hanging="820"/>
        <w:spacing w:after="0" w:line="266" w:lineRule="auto"/>
        <w:tabs>
          <w:tab w:leader="none" w:pos="17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20" w:hanging="820"/>
        <w:spacing w:after="0" w:line="266" w:lineRule="auto"/>
        <w:tabs>
          <w:tab w:leader="none" w:pos="17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right="60" w:hanging="820"/>
        <w:spacing w:after="0" w:line="312" w:lineRule="auto"/>
        <w:tabs>
          <w:tab w:leader="none" w:pos="179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800" w:right="260" w:hanging="820"/>
        <w:spacing w:after="0" w:line="282" w:lineRule="auto"/>
        <w:tabs>
          <w:tab w:leader="none" w:pos="17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16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McCombe</w:t>
            </w:r>
          </w:p>
        </w:tc>
      </w:tr>
      <w:tr>
        <w:trPr>
          <w:trHeight w:val="20"/>
        </w:trPr>
        <w:tc>
          <w:tcPr>
            <w:tcW w:w="2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5"/>
        </w:trPr>
        <w:tc>
          <w:tcPr>
            <w:tcW w:w="2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William McCombe</w:t>
            </w:r>
          </w:p>
        </w:tc>
      </w:tr>
      <w:tr>
        <w:trPr>
          <w:trHeight w:val="230"/>
        </w:trPr>
        <w:tc>
          <w:tcPr>
            <w:tcW w:w="2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240"/>
          </w:cols>
          <w:pgMar w:left="320" w:top="103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March 31, 2026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72" w:lineRule="exact"/>
        <w:rPr>
          <w:sz w:val="20"/>
          <w:szCs w:val="20"/>
          <w:color w:val="auto"/>
        </w:rPr>
      </w:pPr>
    </w:p>
    <w:p>
      <w:pPr>
        <w:ind w:left="1620" w:hanging="1045"/>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620" w:hanging="1045"/>
        <w:spacing w:after="0" w:line="282" w:lineRule="auto"/>
        <w:tabs>
          <w:tab w:leader="none" w:pos="16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ind w:left="20"/>
        <w:spacing w:after="0"/>
        <w:tabs>
          <w:tab w:leader="none" w:pos="3320" w:val="left"/>
          <w:tab w:leader="none" w:pos="40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Wenbin Jiang, Ph.D.</w:t>
      </w:r>
    </w:p>
    <w:p>
      <w:pPr>
        <w:spacing w:after="0" w:line="6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91" w:name="page92"/>
    <w:bookmarkEnd w:id="91"/>
    <w:p>
      <w:pPr>
        <w:ind w:left="102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March 31, 2026 as filed with the Securities and Exchange Commission on the date hereof (the “Report”), the undersigned, William McCombe, Chief Financial Officer of the Company, hereby certifies, pursuant to requirements set forth in Rule 13a-14(b) of the Securities Exchange Act of 1934, as amended (the “Exchange Act”), and 18 U.S.C. Section 1350, that to his knowledge:</w:t>
      </w:r>
    </w:p>
    <w:p>
      <w:pPr>
        <w:spacing w:after="0" w:line="72" w:lineRule="exact"/>
        <w:rPr>
          <w:sz w:val="20"/>
          <w:szCs w:val="20"/>
          <w:color w:val="auto"/>
        </w:rPr>
      </w:pPr>
    </w:p>
    <w:p>
      <w:pPr>
        <w:ind w:left="1620" w:hanging="1045"/>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620" w:hanging="1045"/>
        <w:spacing w:after="0" w:line="282" w:lineRule="auto"/>
        <w:tabs>
          <w:tab w:leader="none" w:pos="16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ind w:left="700"/>
        <w:spacing w:after="0"/>
        <w:tabs>
          <w:tab w:leader="none" w:pos="3320" w:val="left"/>
          <w:tab w:leader="none" w:pos="37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William McCombe</w:t>
      </w:r>
    </w:p>
    <w:p>
      <w:pPr>
        <w:spacing w:after="0" w:line="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William McCombe</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20"/>
      </w:cols>
      <w:pgMar w:left="320" w:top="10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decimal"/>
      <w:start w:val="11"/>
    </w:lvl>
  </w:abstractNum>
  <w:abstractNum w:abstractNumId="3">
    <w:nsid w:val="257130A3"/>
    <w:multiLevelType w:val="hybridMultilevel"/>
    <w:lvl w:ilvl="0">
      <w:lvlJc w:val="left"/>
      <w:lvlText w:val="%1."/>
      <w:numFmt w:val="decimal"/>
      <w:start w:val="20"/>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lowerRoman"/>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06" Type="http://schemas.openxmlformats.org/officeDocument/2006/relationships/hyperlink" Target="https://www.sec.gov/Archives/edgar/data/1831915/000119312521225716/d183956dex31.htm" TargetMode="External"/><Relationship Id="rId107"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2026-05-07T16:13:29Z</dcterms:created>
  <dcterms:modified xsi:type="dcterms:W3CDTF">2026-05-07T16:13:29Z</dcterms:modified>
</cp:coreProperties>
</file>