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t>UNITED STATES</w:t>
      </w:r>
    </w:p>
    <w:p>
      <w:pPr>
        <w:spacing w:after="0" w:line="28"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-215265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660" w:right="1620" w:hanging="3639"/>
        <w:spacing w:after="0" w:line="246"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2022</w:t>
      </w:r>
    </w:p>
    <w:p>
      <w:pPr>
        <w:jc w:val="center"/>
        <w:spacing w:after="0" w:line="212" w:lineRule="auto"/>
        <w:rPr>
          <w:sz w:val="20"/>
          <w:szCs w:val="20"/>
          <w:color w:val="auto"/>
        </w:rPr>
      </w:pPr>
      <w:r>
        <w:rPr>
          <w:rFonts w:ascii="Arial" w:cs="Arial" w:eastAsia="Arial" w:hAnsi="Arial"/>
          <w:sz w:val="18"/>
          <w:szCs w:val="18"/>
          <w:b w:val="1"/>
          <w:bCs w:val="1"/>
          <w:color w:val="auto"/>
        </w:rPr>
        <w:t>OR</w:t>
      </w:r>
    </w:p>
    <w:p>
      <w:pPr>
        <w:ind w:left="480" w:hanging="459"/>
        <w:spacing w:after="0" w:line="227" w:lineRule="auto"/>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w:t>
      </w:r>
    </w:p>
    <w:p>
      <w:pPr>
        <w:ind w:left="48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001-40632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134620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CYTEK BIOSCIENCES, INC.</w:t>
      </w:r>
    </w:p>
    <w:p>
      <w:pPr>
        <w:spacing w:after="0" w:line="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3"/>
          </w:tcPr>
          <w:p>
            <w:pPr>
              <w:jc w:val="center"/>
              <w:ind w:left="1066"/>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500" w:type="dxa"/>
            <w:vAlign w:val="bottom"/>
          </w:tcPr>
          <w:p>
            <w:pPr>
              <w:jc w:val="right"/>
              <w:ind w:right="2306"/>
              <w:spacing w:after="0"/>
              <w:rPr>
                <w:sz w:val="20"/>
                <w:szCs w:val="20"/>
                <w:color w:val="auto"/>
              </w:rPr>
            </w:pPr>
            <w:r>
              <w:rPr>
                <w:rFonts w:ascii="Arial" w:cs="Arial" w:eastAsia="Arial" w:hAnsi="Arial"/>
                <w:sz w:val="18"/>
                <w:szCs w:val="18"/>
                <w:b w:val="1"/>
                <w:bCs w:val="1"/>
                <w:color w:val="auto"/>
              </w:rPr>
              <w:t>47-2547526</w:t>
            </w:r>
          </w:p>
        </w:tc>
        <w:tc>
          <w:tcPr>
            <w:tcW w:w="0" w:type="dxa"/>
            <w:vAlign w:val="bottom"/>
          </w:tcPr>
          <w:p>
            <w:pPr>
              <w:spacing w:after="0"/>
              <w:rPr>
                <w:sz w:val="1"/>
                <w:szCs w:val="1"/>
                <w:color w:val="auto"/>
              </w:rPr>
            </w:pPr>
          </w:p>
        </w:tc>
      </w:tr>
      <w:tr>
        <w:trPr>
          <w:trHeight w:val="135"/>
        </w:trPr>
        <w:tc>
          <w:tcPr>
            <w:tcW w:w="4500" w:type="dxa"/>
            <w:vAlign w:val="bottom"/>
            <w:gridSpan w:val="3"/>
          </w:tcPr>
          <w:p>
            <w:pPr>
              <w:jc w:val="center"/>
              <w:ind w:left="1046"/>
              <w:spacing w:after="0" w:line="135" w:lineRule="exact"/>
              <w:rPr>
                <w:sz w:val="20"/>
                <w:szCs w:val="20"/>
                <w:color w:val="auto"/>
              </w:rPr>
            </w:pPr>
            <w:r>
              <w:rPr>
                <w:rFonts w:ascii="Arial" w:cs="Arial" w:eastAsia="Arial" w:hAnsi="Arial"/>
                <w:sz w:val="13"/>
                <w:szCs w:val="13"/>
                <w:color w:val="auto"/>
                <w:w w:val="89"/>
              </w:rPr>
              <w:t>(State or other jurisdiction of</w:t>
            </w: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500" w:type="dxa"/>
            <w:vAlign w:val="bottom"/>
          </w:tcPr>
          <w:p>
            <w:pPr>
              <w:jc w:val="center"/>
              <w:ind w:right="1046"/>
              <w:spacing w:after="0" w:line="135" w:lineRule="exact"/>
              <w:rPr>
                <w:sz w:val="20"/>
                <w:szCs w:val="20"/>
                <w:color w:val="auto"/>
              </w:rPr>
            </w:pPr>
            <w:r>
              <w:rPr>
                <w:rFonts w:ascii="Arial" w:cs="Arial" w:eastAsia="Arial" w:hAnsi="Arial"/>
                <w:sz w:val="13"/>
                <w:szCs w:val="13"/>
                <w:color w:val="auto"/>
                <w:w w:val="90"/>
              </w:rPr>
              <w:t>(I.R.S. Employer</w:t>
            </w:r>
          </w:p>
        </w:tc>
        <w:tc>
          <w:tcPr>
            <w:tcW w:w="0" w:type="dxa"/>
            <w:vAlign w:val="bottom"/>
          </w:tcPr>
          <w:p>
            <w:pPr>
              <w:spacing w:after="0"/>
              <w:rPr>
                <w:sz w:val="1"/>
                <w:szCs w:val="1"/>
                <w:color w:val="auto"/>
              </w:rPr>
            </w:pPr>
          </w:p>
        </w:tc>
      </w:tr>
      <w:tr>
        <w:trPr>
          <w:trHeight w:val="144"/>
        </w:trPr>
        <w:tc>
          <w:tcPr>
            <w:tcW w:w="4500" w:type="dxa"/>
            <w:vAlign w:val="bottom"/>
            <w:gridSpan w:val="3"/>
          </w:tcPr>
          <w:p>
            <w:pPr>
              <w:jc w:val="center"/>
              <w:ind w:left="1066"/>
              <w:spacing w:after="0" w:line="144" w:lineRule="exact"/>
              <w:rPr>
                <w:sz w:val="20"/>
                <w:szCs w:val="20"/>
                <w:color w:val="auto"/>
              </w:rPr>
            </w:pPr>
            <w:r>
              <w:rPr>
                <w:rFonts w:ascii="Arial" w:cs="Arial" w:eastAsia="Arial" w:hAnsi="Arial"/>
                <w:sz w:val="13"/>
                <w:szCs w:val="13"/>
                <w:color w:val="auto"/>
                <w:w w:val="89"/>
              </w:rPr>
              <w:t>incorporation or organization)</w:t>
            </w: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500" w:type="dxa"/>
            <w:vAlign w:val="bottom"/>
          </w:tcPr>
          <w:p>
            <w:pPr>
              <w:jc w:val="center"/>
              <w:ind w:right="1046"/>
              <w:spacing w:after="0" w:line="144" w:lineRule="exact"/>
              <w:rPr>
                <w:sz w:val="20"/>
                <w:szCs w:val="20"/>
                <w:color w:val="auto"/>
              </w:rPr>
            </w:pPr>
            <w:r>
              <w:rPr>
                <w:rFonts w:ascii="Arial" w:cs="Arial" w:eastAsia="Arial" w:hAnsi="Arial"/>
                <w:sz w:val="13"/>
                <w:szCs w:val="13"/>
                <w:color w:val="auto"/>
                <w:w w:val="92"/>
              </w:rPr>
              <w:t>Identification No.)</w:t>
            </w:r>
          </w:p>
        </w:tc>
        <w:tc>
          <w:tcPr>
            <w:tcW w:w="0" w:type="dxa"/>
            <w:vAlign w:val="bottom"/>
          </w:tcPr>
          <w:p>
            <w:pPr>
              <w:spacing w:after="0"/>
              <w:rPr>
                <w:sz w:val="1"/>
                <w:szCs w:val="1"/>
                <w:color w:val="auto"/>
              </w:rPr>
            </w:pPr>
          </w:p>
        </w:tc>
      </w:tr>
      <w:tr>
        <w:trPr>
          <w:trHeight w:val="207"/>
        </w:trPr>
        <w:tc>
          <w:tcPr>
            <w:tcW w:w="4500" w:type="dxa"/>
            <w:vAlign w:val="bottom"/>
            <w:gridSpan w:val="3"/>
          </w:tcPr>
          <w:p>
            <w:pPr>
              <w:jc w:val="center"/>
              <w:ind w:left="1066"/>
              <w:spacing w:after="0"/>
              <w:rPr>
                <w:sz w:val="20"/>
                <w:szCs w:val="20"/>
                <w:color w:val="auto"/>
              </w:rPr>
            </w:pPr>
            <w:r>
              <w:rPr>
                <w:rFonts w:ascii="Arial" w:cs="Arial" w:eastAsia="Arial" w:hAnsi="Arial"/>
                <w:sz w:val="18"/>
                <w:szCs w:val="18"/>
                <w:b w:val="1"/>
                <w:bCs w:val="1"/>
                <w:color w:val="auto"/>
                <w:w w:val="92"/>
              </w:rPr>
              <w:t>47215 Lakeview Blvd. Fremont, California</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500" w:type="dxa"/>
            <w:vAlign w:val="bottom"/>
          </w:tcPr>
          <w:p>
            <w:pPr>
              <w:jc w:val="right"/>
              <w:ind w:right="2506"/>
              <w:spacing w:after="0"/>
              <w:rPr>
                <w:sz w:val="20"/>
                <w:szCs w:val="20"/>
                <w:color w:val="auto"/>
              </w:rPr>
            </w:pPr>
            <w:r>
              <w:rPr>
                <w:rFonts w:ascii="Arial" w:cs="Arial" w:eastAsia="Arial" w:hAnsi="Arial"/>
                <w:sz w:val="18"/>
                <w:szCs w:val="18"/>
                <w:b w:val="1"/>
                <w:bCs w:val="1"/>
                <w:color w:val="auto"/>
              </w:rPr>
              <w:t>94538</w:t>
            </w:r>
          </w:p>
        </w:tc>
        <w:tc>
          <w:tcPr>
            <w:tcW w:w="0" w:type="dxa"/>
            <w:vAlign w:val="bottom"/>
          </w:tcPr>
          <w:p>
            <w:pPr>
              <w:spacing w:after="0"/>
              <w:rPr>
                <w:sz w:val="1"/>
                <w:szCs w:val="1"/>
                <w:color w:val="auto"/>
              </w:rPr>
            </w:pPr>
          </w:p>
        </w:tc>
      </w:tr>
      <w:tr>
        <w:trPr>
          <w:trHeight w:val="158"/>
        </w:trPr>
        <w:tc>
          <w:tcPr>
            <w:tcW w:w="4500" w:type="dxa"/>
            <w:vAlign w:val="bottom"/>
            <w:gridSpan w:val="3"/>
          </w:tcPr>
          <w:p>
            <w:pPr>
              <w:jc w:val="center"/>
              <w:ind w:left="1066"/>
              <w:spacing w:after="0"/>
              <w:rPr>
                <w:sz w:val="20"/>
                <w:szCs w:val="20"/>
                <w:color w:val="auto"/>
              </w:rPr>
            </w:pPr>
            <w:r>
              <w:rPr>
                <w:rFonts w:ascii="Arial" w:cs="Arial" w:eastAsia="Arial" w:hAnsi="Arial"/>
                <w:sz w:val="13"/>
                <w:szCs w:val="13"/>
                <w:color w:val="auto"/>
                <w:w w:val="89"/>
              </w:rPr>
              <w:t>(Address of principal executive offices)</w:t>
            </w: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500" w:type="dxa"/>
            <w:vAlign w:val="bottom"/>
          </w:tcPr>
          <w:p>
            <w:pPr>
              <w:jc w:val="center"/>
              <w:ind w:right="1026"/>
              <w:spacing w:after="0"/>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234"/>
        </w:trPr>
        <w:tc>
          <w:tcPr>
            <w:tcW w:w="11240" w:type="dxa"/>
            <w:vAlign w:val="bottom"/>
            <w:gridSpan w:val="7"/>
          </w:tcPr>
          <w:p>
            <w:pPr>
              <w:ind w:left="354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(877) 922-9835</w:t>
            </w:r>
          </w:p>
        </w:tc>
        <w:tc>
          <w:tcPr>
            <w:tcW w:w="0" w:type="dxa"/>
            <w:vAlign w:val="bottom"/>
          </w:tcPr>
          <w:p>
            <w:pPr>
              <w:spacing w:after="0"/>
              <w:rPr>
                <w:sz w:val="1"/>
                <w:szCs w:val="1"/>
                <w:color w:val="auto"/>
              </w:rPr>
            </w:pPr>
          </w:p>
        </w:tc>
      </w:tr>
      <w:tr>
        <w:trPr>
          <w:trHeight w:val="203"/>
        </w:trPr>
        <w:tc>
          <w:tcPr>
            <w:tcW w:w="4500" w:type="dxa"/>
            <w:vAlign w:val="bottom"/>
            <w:gridSpan w:val="3"/>
            <w:vMerge w:val="restart"/>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500" w:type="dxa"/>
            <w:vAlign w:val="bottom"/>
            <w:gridSpan w:val="3"/>
            <w:vMerge w:val="continue"/>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4500" w:type="dxa"/>
            <w:vAlign w:val="bottom"/>
            <w:gridSpan w:val="3"/>
          </w:tcPr>
          <w:p>
            <w:pPr>
              <w:ind w:left="1620"/>
              <w:spacing w:after="0"/>
              <w:rPr>
                <w:sz w:val="20"/>
                <w:szCs w:val="20"/>
                <w:color w:val="auto"/>
              </w:rPr>
            </w:pPr>
            <w:r>
              <w:rPr>
                <w:rFonts w:ascii="Arial" w:cs="Arial" w:eastAsia="Arial" w:hAnsi="Arial"/>
                <w:sz w:val="14"/>
                <w:szCs w:val="14"/>
                <w:color w:val="auto"/>
              </w:rPr>
              <w:t>Title of each class</w:t>
            </w:r>
          </w:p>
        </w:tc>
        <w:tc>
          <w:tcPr>
            <w:tcW w:w="2240" w:type="dxa"/>
            <w:vAlign w:val="bottom"/>
            <w:gridSpan w:val="3"/>
          </w:tcPr>
          <w:p>
            <w:pPr>
              <w:jc w:val="center"/>
              <w:ind w:right="760"/>
              <w:spacing w:after="0"/>
              <w:rPr>
                <w:sz w:val="20"/>
                <w:szCs w:val="20"/>
                <w:color w:val="auto"/>
              </w:rPr>
            </w:pPr>
            <w:r>
              <w:rPr>
                <w:rFonts w:ascii="Arial" w:cs="Arial" w:eastAsia="Arial" w:hAnsi="Arial"/>
                <w:sz w:val="14"/>
                <w:szCs w:val="14"/>
                <w:color w:val="auto"/>
                <w:w w:val="94"/>
              </w:rPr>
              <w:t>Trading Symbol(s)</w:t>
            </w:r>
          </w:p>
        </w:tc>
        <w:tc>
          <w:tcPr>
            <w:tcW w:w="4500" w:type="dxa"/>
            <w:vAlign w:val="bottom"/>
          </w:tcPr>
          <w:p>
            <w:pPr>
              <w:jc w:val="center"/>
              <w:ind w:right="466"/>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198"/>
        </w:trPr>
        <w:tc>
          <w:tcPr>
            <w:tcW w:w="4280" w:type="dxa"/>
            <w:vAlign w:val="bottom"/>
            <w:tcBorders>
              <w:top w:val="single" w:sz="8" w:color="auto"/>
            </w:tcBorders>
          </w:tcPr>
          <w:p>
            <w:pPr>
              <w:ind w:left="60"/>
              <w:spacing w:after="0"/>
              <w:rPr>
                <w:sz w:val="20"/>
                <w:szCs w:val="20"/>
                <w:color w:val="auto"/>
              </w:rPr>
            </w:pPr>
            <w:r>
              <w:rPr>
                <w:rFonts w:ascii="Arial" w:cs="Arial" w:eastAsia="Arial" w:hAnsi="Arial"/>
                <w:sz w:val="15"/>
                <w:szCs w:val="15"/>
                <w:b w:val="1"/>
                <w:bCs w:val="1"/>
                <w:color w:val="auto"/>
              </w:rPr>
              <w:t>Common Stock, par value $0.001 per share</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CTKB</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500" w:type="dxa"/>
            <w:vAlign w:val="bottom"/>
            <w:tcBorders>
              <w:top w:val="single" w:sz="8" w:color="auto"/>
            </w:tcBorders>
          </w:tcPr>
          <w:p>
            <w:pPr>
              <w:jc w:val="center"/>
              <w:ind w:right="526"/>
              <w:spacing w:after="0"/>
              <w:rPr>
                <w:sz w:val="20"/>
                <w:szCs w:val="20"/>
                <w:color w:val="auto"/>
              </w:rPr>
            </w:pPr>
            <w:r>
              <w:rPr>
                <w:rFonts w:ascii="Arial" w:cs="Arial" w:eastAsia="Arial" w:hAnsi="Arial"/>
                <w:sz w:val="15"/>
                <w:szCs w:val="15"/>
                <w:b w:val="1"/>
                <w:bCs w:val="1"/>
                <w:color w:val="auto"/>
                <w:w w:val="93"/>
              </w:rPr>
              <w:t>The Nasdaq Global Select Market</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right="12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80"/>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8"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19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ind w:left="3100"/>
              <w:spacing w:after="0"/>
              <w:rPr>
                <w:sz w:val="20"/>
                <w:szCs w:val="20"/>
                <w:color w:val="auto"/>
              </w:rPr>
            </w:pPr>
            <w:r>
              <w:rPr>
                <w:rFonts w:ascii="Arial" w:cs="Arial" w:eastAsia="Arial" w:hAnsi="Arial"/>
                <w:sz w:val="15"/>
                <w:szCs w:val="15"/>
                <w:color w:val="auto"/>
              </w:rPr>
              <w:t>Accelerated filer</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88"/>
        </w:trPr>
        <w:tc>
          <w:tcPr>
            <w:tcW w:w="198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100"/>
              <w:spacing w:after="0"/>
              <w:rPr>
                <w:sz w:val="20"/>
                <w:szCs w:val="20"/>
                <w:color w:val="auto"/>
              </w:rPr>
            </w:pPr>
            <w:r>
              <w:rPr>
                <w:rFonts w:ascii="Arial" w:cs="Arial" w:eastAsia="Arial" w:hAnsi="Arial"/>
                <w:sz w:val="15"/>
                <w:szCs w:val="15"/>
                <w:color w:val="auto"/>
              </w:rPr>
              <w:t>Smaller reporting company</w:t>
            </w:r>
          </w:p>
        </w:tc>
        <w:tc>
          <w:tcPr>
            <w:tcW w:w="5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91"/>
        </w:trPr>
        <w:tc>
          <w:tcPr>
            <w:tcW w:w="19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80" w:lineRule="exact"/>
        <w:rPr>
          <w:sz w:val="24"/>
          <w:szCs w:val="24"/>
          <w:color w:val="auto"/>
        </w:rPr>
      </w:pPr>
    </w:p>
    <w:p>
      <w:pPr>
        <w:ind w:right="52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color w:val="auto"/>
        </w:rPr>
        <w:t>As of October 31, 2022, there were 134,853,359 outstanding shares of the Registrant’s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505460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9320" w:type="dxa"/>
            <w:vAlign w:val="bottom"/>
            <w:gridSpan w:val="21"/>
            <w:vMerge w:val="restart"/>
          </w:tcPr>
          <w:p>
            <w:pPr>
              <w:ind w:left="60"/>
              <w:spacing w:after="0"/>
              <w:rPr>
                <w:sz w:val="20"/>
                <w:szCs w:val="20"/>
                <w:color w:val="auto"/>
              </w:rPr>
            </w:pPr>
            <w:r>
              <w:rPr>
                <w:rFonts w:ascii="Arial" w:cs="Arial" w:eastAsia="Arial" w:hAnsi="Arial"/>
                <w:sz w:val="18"/>
                <w:szCs w:val="18"/>
                <w:color w:val="auto"/>
              </w:rPr>
              <w:t>FINANCIAL INFORMATION</w:t>
            </w: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8"/>
        </w:trPr>
        <w:tc>
          <w:tcPr>
            <w:tcW w:w="1160" w:type="dxa"/>
            <w:vAlign w:val="bottom"/>
            <w:gridSpan w:val="3"/>
            <w:vMerge w:val="continue"/>
          </w:tcPr>
          <w:p>
            <w:pPr>
              <w:spacing w:after="0"/>
              <w:rPr>
                <w:sz w:val="14"/>
                <w:szCs w:val="14"/>
                <w:color w:val="auto"/>
              </w:rPr>
            </w:pPr>
          </w:p>
        </w:tc>
        <w:tc>
          <w:tcPr>
            <w:tcW w:w="9320" w:type="dxa"/>
            <w:vAlign w:val="bottom"/>
            <w:gridSpan w:val="21"/>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6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Item 1.</w:t>
            </w:r>
          </w:p>
        </w:tc>
        <w:tc>
          <w:tcPr>
            <w:tcW w:w="9320" w:type="dxa"/>
            <w:vAlign w:val="bottom"/>
            <w:gridSpan w:val="21"/>
          </w:tcPr>
          <w:p>
            <w:pPr>
              <w:spacing w:after="0" w:line="190" w:lineRule="exact"/>
              <w:rPr>
                <w:sz w:val="20"/>
                <w:szCs w:val="20"/>
                <w:color w:val="auto"/>
              </w:rPr>
            </w:pPr>
            <w:r>
              <w:rPr>
                <w:rFonts w:ascii="Arial" w:cs="Arial" w:eastAsia="Arial" w:hAnsi="Arial"/>
                <w:sz w:val="18"/>
                <w:szCs w:val="18"/>
                <w:color w:val="0000FF"/>
              </w:rPr>
              <w:t>Consolidated Financial Statements (Unaudited)</w:t>
            </w: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tcBorders>
              <w:top w:val="single" w:sz="8" w:color="0000FF"/>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88"/>
              </w:rPr>
              <w:t>Consolidated Balance Sheets</w:t>
            </w:r>
          </w:p>
        </w:tc>
        <w:tc>
          <w:tcPr>
            <w:tcW w:w="20" w:type="dxa"/>
            <w:vAlign w:val="bottom"/>
            <w:tcBorders>
              <w:top w:val="single" w:sz="8" w:color="0000FF"/>
              <w:bottom w:val="single" w:sz="8" w:color="0000EE"/>
            </w:tcBorders>
          </w:tcPr>
          <w:p>
            <w:pPr>
              <w:spacing w:after="0"/>
              <w:rPr>
                <w:sz w:val="15"/>
                <w:szCs w:val="15"/>
                <w:color w:val="auto"/>
              </w:rPr>
            </w:pPr>
          </w:p>
        </w:tc>
        <w:tc>
          <w:tcPr>
            <w:tcW w:w="1300" w:type="dxa"/>
            <w:vAlign w:val="bottom"/>
            <w:tcBorders>
              <w:top w:val="single" w:sz="8" w:color="0000FF"/>
            </w:tcBorders>
            <w:gridSpan w:val="6"/>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20" w:type="dxa"/>
            <w:vAlign w:val="bottom"/>
            <w:gridSpan w:val="9"/>
          </w:tcPr>
          <w:p>
            <w:pPr>
              <w:spacing w:after="0" w:line="182" w:lineRule="exact"/>
              <w:rPr>
                <w:sz w:val="20"/>
                <w:szCs w:val="20"/>
                <w:color w:val="auto"/>
              </w:rPr>
            </w:pPr>
            <w:r>
              <w:rPr>
                <w:rFonts w:ascii="Arial" w:cs="Arial" w:eastAsia="Arial" w:hAnsi="Arial"/>
                <w:sz w:val="18"/>
                <w:szCs w:val="18"/>
                <w:color w:val="0000FF"/>
                <w:w w:val="94"/>
              </w:rPr>
              <w:t>Consolidated Statements of</w:t>
            </w:r>
          </w:p>
        </w:tc>
        <w:tc>
          <w:tcPr>
            <w:tcW w:w="7200" w:type="dxa"/>
            <w:vAlign w:val="bottom"/>
            <w:gridSpan w:val="12"/>
          </w:tcPr>
          <w:p>
            <w:pPr>
              <w:spacing w:after="0" w:line="182" w:lineRule="exact"/>
              <w:rPr>
                <w:sz w:val="20"/>
                <w:szCs w:val="20"/>
                <w:color w:val="auto"/>
              </w:rPr>
            </w:pPr>
            <w:r>
              <w:rPr>
                <w:rFonts w:ascii="Arial" w:cs="Arial" w:eastAsia="Arial" w:hAnsi="Arial"/>
                <w:sz w:val="18"/>
                <w:szCs w:val="18"/>
                <w:color w:val="0000FF"/>
              </w:rPr>
              <w:t>Operations and Comprehensive Income (Loss)</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0" w:type="dxa"/>
            <w:vAlign w:val="bottom"/>
            <w:tcBorders>
              <w:top w:val="single" w:sz="8" w:color="0000FF"/>
            </w:tcBorders>
            <w:gridSpan w:val="18"/>
          </w:tcPr>
          <w:p>
            <w:pPr>
              <w:spacing w:after="0" w:line="182" w:lineRule="exact"/>
              <w:rPr>
                <w:sz w:val="20"/>
                <w:szCs w:val="20"/>
                <w:color w:val="auto"/>
              </w:rPr>
            </w:pPr>
            <w:r>
              <w:rPr>
                <w:rFonts w:ascii="Arial" w:cs="Arial" w:eastAsia="Arial" w:hAnsi="Arial"/>
                <w:sz w:val="18"/>
                <w:szCs w:val="18"/>
                <w:color w:val="0000FF"/>
                <w:w w:val="91"/>
              </w:rPr>
              <w:t>Consolidated Statements of Redeemable Convertible Preferred Stock and</w:t>
            </w:r>
          </w:p>
        </w:tc>
        <w:tc>
          <w:tcPr>
            <w:tcW w:w="3920" w:type="dxa"/>
            <w:vAlign w:val="bottom"/>
            <w:gridSpan w:val="3"/>
          </w:tcPr>
          <w:p>
            <w:pPr>
              <w:spacing w:after="0" w:line="182" w:lineRule="exact"/>
              <w:rPr>
                <w:sz w:val="20"/>
                <w:szCs w:val="20"/>
                <w:color w:val="auto"/>
              </w:rPr>
            </w:pPr>
            <w:r>
              <w:rPr>
                <w:rFonts w:ascii="Arial" w:cs="Arial" w:eastAsia="Arial" w:hAnsi="Arial"/>
                <w:sz w:val="18"/>
                <w:szCs w:val="18"/>
                <w:color w:val="0000FF"/>
              </w:rPr>
              <w:t>Stockholders' Equity (Deficit)</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tcBorders>
              <w:top w:val="single" w:sz="8" w:color="0000FF"/>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89"/>
              </w:rPr>
              <w:t>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4600" w:type="dxa"/>
            <w:vAlign w:val="bottom"/>
            <w:tcBorders>
              <w:top w:val="single" w:sz="8" w:color="0000FF"/>
            </w:tcBorders>
            <w:gridSpan w:val="8"/>
          </w:tcPr>
          <w:p>
            <w:pPr>
              <w:spacing w:after="0"/>
              <w:rPr>
                <w:sz w:val="15"/>
                <w:szCs w:val="15"/>
                <w:color w:val="auto"/>
              </w:rPr>
            </w:pPr>
          </w:p>
        </w:tc>
        <w:tc>
          <w:tcPr>
            <w:tcW w:w="1820" w:type="dxa"/>
            <w:vAlign w:val="bottom"/>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tcBorders>
              <w:bottom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89"/>
              </w:rPr>
              <w:t>Notes to Consolidated Financial Statements</w:t>
            </w:r>
          </w:p>
        </w:tc>
        <w:tc>
          <w:tcPr>
            <w:tcW w:w="20" w:type="dxa"/>
            <w:vAlign w:val="bottom"/>
            <w:tcBorders>
              <w:bottom w:val="single" w:sz="8" w:color="0000EE"/>
            </w:tcBorders>
          </w:tcPr>
          <w:p>
            <w:pPr>
              <w:spacing w:after="0"/>
              <w:rPr>
                <w:sz w:val="15"/>
                <w:szCs w:val="15"/>
                <w:color w:val="auto"/>
              </w:rPr>
            </w:pPr>
          </w:p>
        </w:tc>
        <w:tc>
          <w:tcPr>
            <w:tcW w:w="6140" w:type="dxa"/>
            <w:vAlign w:val="bottom"/>
            <w:gridSpan w:val="7"/>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1160" w:type="dxa"/>
            <w:vAlign w:val="bottom"/>
            <w:gridSpan w:val="3"/>
          </w:tcPr>
          <w:p>
            <w:pPr>
              <w:ind w:left="140"/>
              <w:spacing w:after="0" w:line="182" w:lineRule="exact"/>
              <w:rPr>
                <w:sz w:val="20"/>
                <w:szCs w:val="20"/>
                <w:color w:val="auto"/>
              </w:rPr>
            </w:pPr>
            <w:r>
              <w:rPr>
                <w:rFonts w:ascii="Arial" w:cs="Arial" w:eastAsia="Arial" w:hAnsi="Arial"/>
                <w:sz w:val="18"/>
                <w:szCs w:val="18"/>
                <w:color w:val="auto"/>
              </w:rPr>
              <w:t>Item 2.</w:t>
            </w:r>
          </w:p>
        </w:tc>
        <w:tc>
          <w:tcPr>
            <w:tcW w:w="3180" w:type="dxa"/>
            <w:vAlign w:val="bottom"/>
            <w:gridSpan w:val="14"/>
          </w:tcPr>
          <w:p>
            <w:pPr>
              <w:spacing w:after="0" w:line="182" w:lineRule="exact"/>
              <w:rPr>
                <w:sz w:val="20"/>
                <w:szCs w:val="20"/>
                <w:color w:val="auto"/>
              </w:rPr>
            </w:pPr>
            <w:r>
              <w:rPr>
                <w:rFonts w:ascii="Arial" w:cs="Arial" w:eastAsia="Arial" w:hAnsi="Arial"/>
                <w:sz w:val="18"/>
                <w:szCs w:val="18"/>
                <w:color w:val="0000FF"/>
                <w:w w:val="93"/>
              </w:rPr>
              <w:t>Management’s Discussion and Analysis of</w:t>
            </w:r>
          </w:p>
        </w:tc>
        <w:tc>
          <w:tcPr>
            <w:tcW w:w="6140" w:type="dxa"/>
            <w:vAlign w:val="bottom"/>
            <w:gridSpan w:val="7"/>
          </w:tcPr>
          <w:p>
            <w:pPr>
              <w:spacing w:after="0" w:line="182" w:lineRule="exact"/>
              <w:rPr>
                <w:sz w:val="20"/>
                <w:szCs w:val="20"/>
                <w:color w:val="auto"/>
              </w:rPr>
            </w:pPr>
            <w:r>
              <w:rPr>
                <w:rFonts w:ascii="Arial" w:cs="Arial" w:eastAsia="Arial" w:hAnsi="Arial"/>
                <w:sz w:val="18"/>
                <w:szCs w:val="18"/>
                <w:color w:val="0000FF"/>
              </w:rPr>
              <w:t>Financial Condition and Results of Operations</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1160" w:type="dxa"/>
            <w:vAlign w:val="bottom"/>
            <w:gridSpan w:val="3"/>
          </w:tcPr>
          <w:p>
            <w:pPr>
              <w:ind w:left="140"/>
              <w:spacing w:after="0" w:line="182"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860" w:type="dxa"/>
            <w:vAlign w:val="bottom"/>
            <w:gridSpan w:val="2"/>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gridSpan w:val="3"/>
          </w:tcPr>
          <w:p>
            <w:pPr>
              <w:ind w:left="140"/>
              <w:spacing w:after="0" w:line="182"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88"/>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10"/>
          </w:tcPr>
          <w:p>
            <w:pPr>
              <w:spacing w:after="0"/>
              <w:rPr>
                <w:sz w:val="15"/>
                <w:szCs w:val="15"/>
                <w:color w:val="auto"/>
              </w:rPr>
            </w:pPr>
          </w:p>
        </w:tc>
        <w:tc>
          <w:tcPr>
            <w:tcW w:w="4940" w:type="dxa"/>
            <w:vAlign w:val="bottom"/>
            <w:gridSpan w:val="4"/>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9320" w:type="dxa"/>
            <w:vAlign w:val="bottom"/>
            <w:gridSpan w:val="21"/>
          </w:tcPr>
          <w:p>
            <w:pPr>
              <w:spacing w:after="0"/>
              <w:rPr>
                <w:sz w:val="20"/>
                <w:szCs w:val="20"/>
                <w:color w:val="auto"/>
              </w:rPr>
            </w:pPr>
            <w:r>
              <w:rPr>
                <w:rFonts w:ascii="Arial" w:cs="Arial" w:eastAsia="Arial" w:hAnsi="Arial"/>
                <w:sz w:val="18"/>
                <w:szCs w:val="18"/>
                <w:color w:val="auto"/>
              </w:rPr>
              <w:t>OTHER INFORMATION</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Item 1.</w:t>
            </w:r>
          </w:p>
        </w:tc>
        <w:tc>
          <w:tcPr>
            <w:tcW w:w="9320" w:type="dxa"/>
            <w:vAlign w:val="bottom"/>
            <w:gridSpan w:val="21"/>
          </w:tcPr>
          <w:p>
            <w:pPr>
              <w:spacing w:after="0" w:line="190" w:lineRule="exact"/>
              <w:rPr>
                <w:sz w:val="20"/>
                <w:szCs w:val="20"/>
                <w:color w:val="auto"/>
              </w:rPr>
            </w:pPr>
            <w:r>
              <w:rPr>
                <w:rFonts w:ascii="Arial" w:cs="Arial" w:eastAsia="Arial" w:hAnsi="Arial"/>
                <w:sz w:val="18"/>
                <w:szCs w:val="18"/>
                <w:color w:val="0000FF"/>
              </w:rPr>
              <w:t>Legal Proceedings</w:t>
            </w:r>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1160" w:type="dxa"/>
            <w:vAlign w:val="bottom"/>
            <w:gridSpan w:val="3"/>
          </w:tcPr>
          <w:p>
            <w:pPr>
              <w:ind w:left="140"/>
              <w:spacing w:after="0" w:line="182"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1000" w:type="dxa"/>
            <w:vAlign w:val="bottom"/>
            <w:gridSpan w:val="5"/>
          </w:tcPr>
          <w:p>
            <w:pPr>
              <w:spacing w:after="0"/>
              <w:rPr>
                <w:sz w:val="15"/>
                <w:szCs w:val="15"/>
                <w:color w:val="auto"/>
              </w:rPr>
            </w:pPr>
          </w:p>
        </w:tc>
        <w:tc>
          <w:tcPr>
            <w:tcW w:w="2020" w:type="dxa"/>
            <w:vAlign w:val="bottom"/>
            <w:gridSpan w:val="6"/>
          </w:tcPr>
          <w:p>
            <w:pPr>
              <w:spacing w:after="0"/>
              <w:rPr>
                <w:sz w:val="15"/>
                <w:szCs w:val="15"/>
                <w:color w:val="auto"/>
              </w:rPr>
            </w:pPr>
          </w:p>
        </w:tc>
        <w:tc>
          <w:tcPr>
            <w:tcW w:w="4960" w:type="dxa"/>
            <w:vAlign w:val="bottom"/>
            <w:gridSpan w:val="5"/>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1160" w:type="dxa"/>
            <w:vAlign w:val="bottom"/>
            <w:gridSpan w:val="3"/>
          </w:tcPr>
          <w:p>
            <w:pPr>
              <w:ind w:left="140"/>
              <w:spacing w:after="0" w:line="182" w:lineRule="exact"/>
              <w:rPr>
                <w:sz w:val="20"/>
                <w:szCs w:val="20"/>
                <w:color w:val="auto"/>
              </w:rPr>
            </w:pPr>
            <w:r>
              <w:rPr>
                <w:rFonts w:ascii="Arial" w:cs="Arial" w:eastAsia="Arial" w:hAnsi="Arial"/>
                <w:sz w:val="18"/>
                <w:szCs w:val="18"/>
                <w:color w:val="auto"/>
              </w:rPr>
              <w:t>Item 2.</w:t>
            </w:r>
          </w:p>
        </w:tc>
        <w:tc>
          <w:tcPr>
            <w:tcW w:w="940" w:type="dxa"/>
            <w:vAlign w:val="bottom"/>
            <w:gridSpan w:val="3"/>
          </w:tcPr>
          <w:p>
            <w:pPr>
              <w:spacing w:after="0" w:line="182" w:lineRule="exact"/>
              <w:rPr>
                <w:sz w:val="20"/>
                <w:szCs w:val="20"/>
                <w:color w:val="auto"/>
              </w:rPr>
            </w:pPr>
            <w:r>
              <w:rPr>
                <w:rFonts w:ascii="Arial" w:cs="Arial" w:eastAsia="Arial" w:hAnsi="Arial"/>
                <w:sz w:val="18"/>
                <w:szCs w:val="18"/>
                <w:color w:val="0000FF"/>
                <w:w w:val="89"/>
              </w:rPr>
              <w:t>Unregistered</w:t>
            </w:r>
          </w:p>
        </w:tc>
        <w:tc>
          <w:tcPr>
            <w:tcW w:w="8380" w:type="dxa"/>
            <w:vAlign w:val="bottom"/>
            <w:gridSpan w:val="18"/>
          </w:tcPr>
          <w:p>
            <w:pPr>
              <w:ind w:left="4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1160" w:type="dxa"/>
            <w:vAlign w:val="bottom"/>
            <w:gridSpan w:val="3"/>
          </w:tcPr>
          <w:p>
            <w:pPr>
              <w:ind w:left="140"/>
              <w:spacing w:after="0" w:line="182"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4960" w:type="dxa"/>
            <w:vAlign w:val="bottom"/>
            <w:gridSpan w:val="5"/>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3"/>
        </w:trPr>
        <w:tc>
          <w:tcPr>
            <w:tcW w:w="1160" w:type="dxa"/>
            <w:vAlign w:val="bottom"/>
            <w:gridSpan w:val="3"/>
          </w:tcPr>
          <w:p>
            <w:pPr>
              <w:ind w:left="140"/>
              <w:spacing w:after="0" w:line="182" w:lineRule="exact"/>
              <w:rPr>
                <w:sz w:val="20"/>
                <w:szCs w:val="20"/>
                <w:color w:val="auto"/>
              </w:rPr>
            </w:pPr>
            <w:r>
              <w:rPr>
                <w:rFonts w:ascii="Arial" w:cs="Arial" w:eastAsia="Arial" w:hAnsi="Arial"/>
                <w:sz w:val="18"/>
                <w:szCs w:val="18"/>
                <w:color w:val="auto"/>
              </w:rPr>
              <w:t>Item 4.</w:t>
            </w:r>
          </w:p>
        </w:tc>
        <w:tc>
          <w:tcPr>
            <w:tcW w:w="234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Mine Safety Disclosures</w:t>
            </w:r>
          </w:p>
        </w:tc>
        <w:tc>
          <w:tcPr>
            <w:tcW w:w="6980" w:type="dxa"/>
            <w:vAlign w:val="bottom"/>
            <w:gridSpan w:val="11"/>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3"/>
        </w:trPr>
        <w:tc>
          <w:tcPr>
            <w:tcW w:w="1160" w:type="dxa"/>
            <w:vAlign w:val="bottom"/>
            <w:gridSpan w:val="3"/>
          </w:tcPr>
          <w:p>
            <w:pPr>
              <w:ind w:left="140"/>
              <w:spacing w:after="0" w:line="182"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Other Information</w:t>
            </w:r>
          </w:p>
        </w:tc>
        <w:tc>
          <w:tcPr>
            <w:tcW w:w="7540" w:type="dxa"/>
            <w:vAlign w:val="bottom"/>
            <w:gridSpan w:val="15"/>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3"/>
        </w:trPr>
        <w:tc>
          <w:tcPr>
            <w:tcW w:w="1160" w:type="dxa"/>
            <w:vAlign w:val="bottom"/>
            <w:gridSpan w:val="3"/>
          </w:tcPr>
          <w:p>
            <w:pPr>
              <w:ind w:left="140"/>
              <w:spacing w:after="0" w:line="182" w:lineRule="exact"/>
              <w:rPr>
                <w:sz w:val="20"/>
                <w:szCs w:val="20"/>
                <w:color w:val="auto"/>
              </w:rPr>
            </w:pPr>
            <w:r>
              <w:rPr>
                <w:rFonts w:ascii="Arial" w:cs="Arial" w:eastAsia="Arial" w:hAnsi="Arial"/>
                <w:sz w:val="18"/>
                <w:szCs w:val="18"/>
                <w:color w:val="auto"/>
              </w:rPr>
              <w:t>Item 15.</w:t>
            </w:r>
          </w:p>
        </w:tc>
        <w:tc>
          <w:tcPr>
            <w:tcW w:w="132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rPr>
              <w:t>Exhibits</w:t>
            </w:r>
          </w:p>
        </w:tc>
        <w:tc>
          <w:tcPr>
            <w:tcW w:w="8000" w:type="dxa"/>
            <w:vAlign w:val="bottom"/>
            <w:gridSpan w:val="17"/>
          </w:tcPr>
          <w:p>
            <w:pPr>
              <w:spacing w:after="0"/>
              <w:rPr>
                <w:sz w:val="15"/>
                <w:szCs w:val="15"/>
                <w:color w:val="auto"/>
              </w:rPr>
            </w:pP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85"/>
        </w:trPr>
        <w:tc>
          <w:tcPr>
            <w:tcW w:w="1160" w:type="dxa"/>
            <w:vAlign w:val="bottom"/>
            <w:gridSpan w:val="3"/>
          </w:tcPr>
          <w:p>
            <w:pPr>
              <w:ind w:left="140"/>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588"/>
        </w:trPr>
        <w:tc>
          <w:tcPr>
            <w:tcW w:w="14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5400" w:type="dxa"/>
            <w:vAlign w:val="bottom"/>
            <w:gridSpan w:val="18"/>
          </w:tcPr>
          <w:p>
            <w:pPr>
              <w:ind w:left="4420"/>
              <w:spacing w:after="0"/>
              <w:rPr>
                <w:sz w:val="20"/>
                <w:szCs w:val="20"/>
                <w:color w:val="auto"/>
              </w:rPr>
            </w:pPr>
            <w:r>
              <w:rPr>
                <w:rFonts w:ascii="Arial" w:cs="Arial" w:eastAsia="Arial" w:hAnsi="Arial"/>
                <w:sz w:val="18"/>
                <w:szCs w:val="18"/>
                <w:color w:val="auto"/>
              </w:rPr>
              <w:t>1</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2</w:t>
      </w:r>
    </w:p>
    <w:p>
      <w:pPr>
        <w:spacing w:after="0" w:line="10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Cytek Biosciences,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Balance Sheets</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7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right="212"/>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21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1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96"/>
              </w:rPr>
              <w:t>2022</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69"/>
        </w:trPr>
        <w:tc>
          <w:tcPr>
            <w:tcW w:w="7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jc w:val="center"/>
              <w:ind w:right="232"/>
              <w:spacing w:after="0"/>
              <w:rPr>
                <w:sz w:val="20"/>
                <w:szCs w:val="20"/>
                <w:color w:val="auto"/>
              </w:rPr>
            </w:pPr>
            <w:r>
              <w:rPr>
                <w:rFonts w:ascii="Arial" w:cs="Arial" w:eastAsia="Arial" w:hAnsi="Arial"/>
                <w:sz w:val="14"/>
                <w:szCs w:val="14"/>
                <w:b w:val="1"/>
                <w:bCs w:val="1"/>
                <w:i w:val="1"/>
                <w:iCs w:val="1"/>
                <w:color w:val="auto"/>
                <w:w w:val="91"/>
              </w:rPr>
              <w:t>(unaudited)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center"/>
              <w:ind w:right="232"/>
              <w:spacing w:after="0"/>
              <w:rPr>
                <w:sz w:val="20"/>
                <w:szCs w:val="20"/>
                <w:color w:val="auto"/>
              </w:rPr>
            </w:pPr>
            <w:r>
              <w:rPr>
                <w:rFonts w:ascii="Arial" w:cs="Arial" w:eastAsia="Arial" w:hAnsi="Arial"/>
                <w:sz w:val="14"/>
                <w:szCs w:val="14"/>
                <w:b w:val="1"/>
                <w:bCs w:val="1"/>
                <w:i w:val="1"/>
                <w:iCs w:val="1"/>
                <w:color w:val="auto"/>
                <w:w w:val="91"/>
              </w:rPr>
              <w:t>(audited)</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341,523</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364,618</w:t>
            </w: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Trade accounts receivable,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39,636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29,760</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49,369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32,171</w:t>
            </w: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13,331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1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443,859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431,733</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Deferred income tax assets, noncurrent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13,988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7,844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14,416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10,144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10,144</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4,485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4,559</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209"/>
        </w:trPr>
        <w:tc>
          <w:tcPr>
            <w:tcW w:w="71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499,295</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463,305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Trade accounts payable</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5,640</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Legal settlement liability, current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2,175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16,637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15,251</w:t>
            </w: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4,949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Deferred revenue, current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12,093</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7,081</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41,494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33,181</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Legal settlement liability, noncurrent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15,122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13,745</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10,407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9,790</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noncurrent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14,326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1,437</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82,786</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57,920</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Commitments and contingencies (Note 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10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w w:val="98"/>
              </w:rPr>
              <w:t>Redeemable convertible preferred stock, $0.001 par value; 10,000,000 shares authorized,</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w w:val="97"/>
              </w:rPr>
              <w:t>zero issued and outstanding as of September 30, 2022 and December 31, 2021; aggregate</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liquidation preference of zero as of September 30, 2022 and December 31, 2021.</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10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w w:val="90"/>
              </w:rPr>
              <w:t>Common stock, $0.001 par value; 1,000,000,000 authorized shares as of September 30, 2022 and</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0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w w:val="90"/>
              </w:rPr>
              <w:t>December 31, 2021, respectively; 134,849,139 and 133,749,663 issued and outstanding shares as</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of September 30, 2022 and December 31, 2021, respectively.</w:t>
            </w:r>
          </w:p>
        </w:tc>
        <w:tc>
          <w:tcPr>
            <w:tcW w:w="2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437,401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423,625</w:t>
            </w: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(20,559 )</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(19,606 )</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Accumulated other comprehensive (loss) income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(530 )</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Noncontrolling interest in consolidated subsidiary</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0"/>
        </w:trPr>
        <w:tc>
          <w:tcPr>
            <w:tcW w:w="71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416,509</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405,385</w:t>
            </w:r>
          </w:p>
        </w:tc>
        <w:tc>
          <w:tcPr>
            <w:tcW w:w="0" w:type="dxa"/>
            <w:vAlign w:val="bottom"/>
          </w:tcPr>
          <w:p>
            <w:pPr>
              <w:spacing w:after="0"/>
              <w:rPr>
                <w:sz w:val="1"/>
                <w:szCs w:val="1"/>
                <w:color w:val="auto"/>
              </w:rPr>
            </w:pPr>
          </w:p>
        </w:tc>
      </w:tr>
      <w:tr>
        <w:trPr>
          <w:trHeight w:val="249"/>
        </w:trPr>
        <w:tc>
          <w:tcPr>
            <w:tcW w:w="71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499,295</w:t>
            </w:r>
          </w:p>
        </w:tc>
        <w:tc>
          <w:tcPr>
            <w:tcW w:w="1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463,305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-3874135</wp:posOffset>
            </wp:positionV>
            <wp:extent cx="12001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-2742565</wp:posOffset>
            </wp:positionV>
            <wp:extent cx="12001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015" cy="14605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-1902460</wp:posOffset>
            </wp:positionV>
            <wp:extent cx="12001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015" cy="14605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-316230</wp:posOffset>
            </wp:positionV>
            <wp:extent cx="12001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120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-8255</wp:posOffset>
            </wp:positionV>
            <wp:extent cx="1200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95"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The accompanying notes are an integral part of these unaudited interim consolidated financial statements</w:t>
      </w:r>
    </w:p>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3</w:t>
      </w:r>
    </w:p>
    <w:p>
      <w:pPr>
        <w:spacing w:after="0" w:line="1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Cytek Biosciences, Inc.</w:t>
      </w:r>
    </w:p>
    <w:p>
      <w:pPr>
        <w:spacing w:after="0" w:line="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gridSpan w:val="4"/>
          </w:tcPr>
          <w:p>
            <w:pPr>
              <w:jc w:val="right"/>
              <w:ind w:right="59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rPr>
              <w:t>Nine months ended</w:t>
            </w:r>
          </w:p>
        </w:tc>
      </w:tr>
      <w:tr>
        <w:trPr>
          <w:trHeight w:val="162"/>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11"/>
              <w:spacing w:after="0" w:line="162" w:lineRule="exact"/>
              <w:rPr>
                <w:sz w:val="20"/>
                <w:szCs w:val="20"/>
                <w:color w:val="auto"/>
              </w:rPr>
            </w:pPr>
            <w:r>
              <w:rPr>
                <w:rFonts w:ascii="Arial" w:cs="Arial" w:eastAsia="Arial" w:hAnsi="Arial"/>
                <w:sz w:val="16"/>
                <w:szCs w:val="16"/>
                <w:b w:val="1"/>
                <w:bCs w:val="1"/>
                <w:color w:val="auto"/>
                <w:w w:val="95"/>
              </w:rPr>
              <w:t>September 30,</w:t>
            </w:r>
          </w:p>
        </w:tc>
        <w:tc>
          <w:tcPr>
            <w:tcW w:w="140" w:type="dxa"/>
            <w:vAlign w:val="bottom"/>
          </w:tcPr>
          <w:p>
            <w:pPr>
              <w:spacing w:after="0"/>
              <w:rPr>
                <w:sz w:val="14"/>
                <w:szCs w:val="14"/>
                <w:color w:val="auto"/>
              </w:rPr>
            </w:pPr>
          </w:p>
        </w:tc>
        <w:tc>
          <w:tcPr>
            <w:tcW w:w="1260" w:type="dxa"/>
            <w:vAlign w:val="bottom"/>
            <w:gridSpan w:val="2"/>
          </w:tcPr>
          <w:p>
            <w:pPr>
              <w:jc w:val="right"/>
              <w:ind w:right="90"/>
              <w:spacing w:after="0" w:line="162" w:lineRule="exact"/>
              <w:rPr>
                <w:sz w:val="20"/>
                <w:szCs w:val="20"/>
                <w:color w:val="auto"/>
              </w:rPr>
            </w:pPr>
            <w:r>
              <w:rPr>
                <w:rFonts w:ascii="Arial" w:cs="Arial" w:eastAsia="Arial" w:hAnsi="Arial"/>
                <w:sz w:val="16"/>
                <w:szCs w:val="16"/>
                <w:b w:val="1"/>
                <w:bCs w:val="1"/>
                <w:color w:val="auto"/>
                <w:w w:val="96"/>
              </w:rPr>
              <w:t>September 30,</w:t>
            </w:r>
          </w:p>
        </w:tc>
        <w:tc>
          <w:tcPr>
            <w:tcW w:w="120" w:type="dxa"/>
            <w:vAlign w:val="bottom"/>
          </w:tcPr>
          <w:p>
            <w:pPr>
              <w:spacing w:after="0"/>
              <w:rPr>
                <w:sz w:val="14"/>
                <w:szCs w:val="14"/>
                <w:color w:val="auto"/>
              </w:rPr>
            </w:pPr>
          </w:p>
        </w:tc>
        <w:tc>
          <w:tcPr>
            <w:tcW w:w="1220" w:type="dxa"/>
            <w:vAlign w:val="bottom"/>
            <w:gridSpan w:val="2"/>
          </w:tcPr>
          <w:p>
            <w:pPr>
              <w:jc w:val="right"/>
              <w:ind w:right="91"/>
              <w:spacing w:after="0" w:line="162" w:lineRule="exact"/>
              <w:rPr>
                <w:sz w:val="20"/>
                <w:szCs w:val="20"/>
                <w:color w:val="auto"/>
              </w:rPr>
            </w:pPr>
            <w:r>
              <w:rPr>
                <w:rFonts w:ascii="Arial" w:cs="Arial" w:eastAsia="Arial" w:hAnsi="Arial"/>
                <w:sz w:val="16"/>
                <w:szCs w:val="16"/>
                <w:b w:val="1"/>
                <w:bCs w:val="1"/>
                <w:color w:val="auto"/>
                <w:w w:val="93"/>
              </w:rPr>
              <w:t>September 30,</w:t>
            </w:r>
          </w:p>
        </w:tc>
        <w:tc>
          <w:tcPr>
            <w:tcW w:w="140" w:type="dxa"/>
            <w:vAlign w:val="bottom"/>
          </w:tcPr>
          <w:p>
            <w:pPr>
              <w:spacing w:after="0"/>
              <w:rPr>
                <w:sz w:val="14"/>
                <w:szCs w:val="14"/>
                <w:color w:val="auto"/>
              </w:rPr>
            </w:pPr>
          </w:p>
        </w:tc>
        <w:tc>
          <w:tcPr>
            <w:tcW w:w="1240" w:type="dxa"/>
            <w:vAlign w:val="bottom"/>
            <w:gridSpan w:val="2"/>
          </w:tcPr>
          <w:p>
            <w:pPr>
              <w:jc w:val="right"/>
              <w:ind w:right="90"/>
              <w:spacing w:after="0" w:line="162" w:lineRule="exact"/>
              <w:rPr>
                <w:sz w:val="20"/>
                <w:szCs w:val="20"/>
                <w:color w:val="auto"/>
              </w:rPr>
            </w:pPr>
            <w:r>
              <w:rPr>
                <w:rFonts w:ascii="Arial" w:cs="Arial" w:eastAsia="Arial" w:hAnsi="Arial"/>
                <w:sz w:val="16"/>
                <w:szCs w:val="16"/>
                <w:b w:val="1"/>
                <w:bCs w:val="1"/>
                <w:color w:val="auto"/>
                <w:w w:val="95"/>
              </w:rPr>
              <w:t>September 30,</w:t>
            </w:r>
          </w:p>
        </w:tc>
      </w:tr>
      <w:tr>
        <w:trPr>
          <w:trHeight w:val="216"/>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2021</w:t>
            </w:r>
          </w:p>
        </w:tc>
      </w:tr>
      <w:tr>
        <w:trPr>
          <w:trHeight w:val="209"/>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net: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Product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36,389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32,191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104,963</w:t>
            </w:r>
          </w:p>
        </w:tc>
        <w:tc>
          <w:tcPr>
            <w:tcW w:w="34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83,567</w:t>
            </w:r>
          </w:p>
        </w:tc>
      </w:tr>
      <w:tr>
        <w:trPr>
          <w:trHeight w:val="216"/>
        </w:trPr>
        <w:tc>
          <w:tcPr>
            <w:tcW w:w="5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Service</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4,088</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2,185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10,737</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5,489</w:t>
            </w:r>
          </w:p>
        </w:tc>
      </w:tr>
      <w:tr>
        <w:trPr>
          <w:trHeight w:val="209"/>
        </w:trPr>
        <w:tc>
          <w:tcPr>
            <w:tcW w:w="5700" w:type="dxa"/>
            <w:vAlign w:val="bottom"/>
          </w:tcPr>
          <w:p>
            <w:pPr>
              <w:ind w:left="200"/>
              <w:spacing w:after="0"/>
              <w:rPr>
                <w:sz w:val="20"/>
                <w:szCs w:val="20"/>
                <w:color w:val="auto"/>
              </w:rPr>
            </w:pPr>
            <w:r>
              <w:rPr>
                <w:rFonts w:ascii="Arial" w:cs="Arial" w:eastAsia="Arial" w:hAnsi="Arial"/>
                <w:sz w:val="18"/>
                <w:szCs w:val="18"/>
                <w:color w:val="auto"/>
              </w:rPr>
              <w:t>Total revenue, net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40,477</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34,376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115,700</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89,056</w:t>
            </w:r>
          </w:p>
        </w:tc>
      </w:tr>
      <w:tr>
        <w:trPr>
          <w:trHeight w:val="21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Product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10,606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34,153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25,264</w:t>
            </w:r>
          </w:p>
        </w:tc>
      </w:tr>
      <w:tr>
        <w:trPr>
          <w:trHeight w:val="216"/>
        </w:trPr>
        <w:tc>
          <w:tcPr>
            <w:tcW w:w="5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Service</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3,009</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3,075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9,947</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8,284</w:t>
            </w:r>
          </w:p>
        </w:tc>
      </w:tr>
      <w:tr>
        <w:trPr>
          <w:trHeight w:val="209"/>
        </w:trPr>
        <w:tc>
          <w:tcPr>
            <w:tcW w:w="5700" w:type="dxa"/>
            <w:vAlign w:val="bottom"/>
          </w:tcPr>
          <w:p>
            <w:pPr>
              <w:ind w:left="200"/>
              <w:spacing w:after="0"/>
              <w:rPr>
                <w:sz w:val="20"/>
                <w:szCs w:val="20"/>
                <w:color w:val="auto"/>
              </w:rPr>
            </w:pPr>
            <w:r>
              <w:rPr>
                <w:rFonts w:ascii="Arial" w:cs="Arial" w:eastAsia="Arial" w:hAnsi="Arial"/>
                <w:sz w:val="18"/>
                <w:szCs w:val="18"/>
                <w:color w:val="auto"/>
              </w:rPr>
              <w:t>Total cost of sales</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13,615</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13,099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44,100</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33,548</w:t>
            </w:r>
          </w:p>
        </w:tc>
      </w:tr>
      <w:tr>
        <w:trPr>
          <w:trHeight w:val="210"/>
        </w:trPr>
        <w:tc>
          <w:tcPr>
            <w:tcW w:w="5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26,862</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21,277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71,600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55,508</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8,650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6,078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25,111</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17,366</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8,810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24,201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16,406</w:t>
            </w:r>
          </w:p>
        </w:tc>
      </w:tr>
      <w:tr>
        <w:trPr>
          <w:trHeight w:val="216"/>
        </w:trPr>
        <w:tc>
          <w:tcPr>
            <w:tcW w:w="5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8,042</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5,749</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24,176</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13,896</w:t>
            </w:r>
          </w:p>
        </w:tc>
      </w:tr>
      <w:tr>
        <w:trPr>
          <w:trHeight w:val="210"/>
        </w:trPr>
        <w:tc>
          <w:tcPr>
            <w:tcW w:w="57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25,502</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18,380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73,488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47,668</w:t>
            </w:r>
          </w:p>
        </w:tc>
      </w:tr>
      <w:tr>
        <w:trPr>
          <w:trHeight w:val="209"/>
        </w:trPr>
        <w:tc>
          <w:tcPr>
            <w:tcW w:w="5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1,360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2,897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7,840</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(649 )</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(1,886 )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(1,249 )</w:t>
            </w:r>
          </w:p>
        </w:tc>
      </w:tr>
      <w:tr>
        <w:trPr>
          <w:trHeight w:val="216"/>
        </w:trPr>
        <w:tc>
          <w:tcPr>
            <w:tcW w:w="57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1,584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1,993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216"/>
        </w:trPr>
        <w:tc>
          <w:tcPr>
            <w:tcW w:w="5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(445 )</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(393 )</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(1,073 )</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(1,128 )</w:t>
            </w:r>
          </w:p>
        </w:tc>
      </w:tr>
      <w:tr>
        <w:trPr>
          <w:trHeight w:val="209"/>
        </w:trPr>
        <w:tc>
          <w:tcPr>
            <w:tcW w:w="570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490</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(2,346 )</w:t>
            </w:r>
          </w:p>
        </w:tc>
      </w:tr>
      <w:tr>
        <w:trPr>
          <w:trHeight w:val="21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1,850</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2,075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(2,854 )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5,494</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1,302</w:t>
            </w:r>
          </w:p>
        </w:tc>
      </w:tr>
      <w:tr>
        <w:trPr>
          <w:trHeight w:val="249"/>
        </w:trPr>
        <w:tc>
          <w:tcPr>
            <w:tcW w:w="5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1,626</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(1,234 )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4,192</w:t>
            </w:r>
          </w:p>
        </w:tc>
      </w:tr>
      <w:tr>
        <w:trPr>
          <w:trHeight w:val="197"/>
        </w:trPr>
        <w:tc>
          <w:tcPr>
            <w:tcW w:w="5700" w:type="dxa"/>
            <w:vAlign w:val="bottom"/>
          </w:tcPr>
          <w:p>
            <w:pPr>
              <w:ind w:left="20"/>
              <w:spacing w:after="0" w:line="196" w:lineRule="exact"/>
              <w:rPr>
                <w:sz w:val="20"/>
                <w:szCs w:val="20"/>
                <w:color w:val="auto"/>
              </w:rPr>
            </w:pPr>
            <w:r>
              <w:rPr>
                <w:rFonts w:ascii="Arial" w:cs="Arial" w:eastAsia="Arial" w:hAnsi="Arial"/>
                <w:sz w:val="18"/>
                <w:szCs w:val="18"/>
                <w:color w:val="auto"/>
              </w:rPr>
              <w:t>Less: net loss allocated to noncontrolling interests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51"/>
              <w:spacing w:after="0" w:line="196" w:lineRule="exact"/>
              <w:rPr>
                <w:sz w:val="20"/>
                <w:szCs w:val="20"/>
                <w:color w:val="auto"/>
              </w:rPr>
            </w:pPr>
            <w:r>
              <w:rPr>
                <w:rFonts w:ascii="Arial" w:cs="Arial" w:eastAsia="Arial" w:hAnsi="Arial"/>
                <w:sz w:val="18"/>
                <w:szCs w:val="18"/>
                <w:color w:val="auto"/>
              </w:rPr>
              <w:t>40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281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216"/>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net income allocated to participating securities</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(1,074 )</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(4,192 )</w:t>
            </w:r>
          </w:p>
        </w:tc>
      </w:tr>
      <w:tr>
        <w:trPr>
          <w:trHeight w:val="210"/>
        </w:trPr>
        <w:tc>
          <w:tcPr>
            <w:tcW w:w="5700" w:type="dxa"/>
            <w:vAlign w:val="bottom"/>
          </w:tcPr>
          <w:p>
            <w:pPr>
              <w:ind w:left="20"/>
              <w:spacing w:after="0"/>
              <w:rPr>
                <w:sz w:val="20"/>
                <w:szCs w:val="20"/>
                <w:color w:val="auto"/>
              </w:rPr>
            </w:pPr>
            <w:r>
              <w:rPr>
                <w:rFonts w:ascii="Arial" w:cs="Arial" w:eastAsia="Arial" w:hAnsi="Arial"/>
                <w:sz w:val="18"/>
                <w:szCs w:val="18"/>
                <w:color w:val="auto"/>
                <w:w w:val="97"/>
              </w:rPr>
              <w:t>Net income (loss) attributable to common stockholders, basic and diluted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1,666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(953 )</w:t>
            </w:r>
          </w:p>
        </w:tc>
        <w:tc>
          <w:tcPr>
            <w:tcW w:w="34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9"/>
              </w:rPr>
              <w:t>Net income (loss) attributable to common stockholders per share, basic</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0.01</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(0.01 )</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196"/>
        </w:trPr>
        <w:tc>
          <w:tcPr>
            <w:tcW w:w="5700" w:type="dxa"/>
            <w:vAlign w:val="bottom"/>
          </w:tcPr>
          <w:p>
            <w:pPr>
              <w:ind w:left="20"/>
              <w:spacing w:after="0" w:line="196" w:lineRule="exact"/>
              <w:rPr>
                <w:sz w:val="20"/>
                <w:szCs w:val="20"/>
                <w:color w:val="auto"/>
              </w:rPr>
            </w:pPr>
            <w:r>
              <w:rPr>
                <w:rFonts w:ascii="Arial" w:cs="Arial" w:eastAsia="Arial" w:hAnsi="Arial"/>
                <w:sz w:val="18"/>
                <w:szCs w:val="18"/>
                <w:color w:val="auto"/>
                <w:w w:val="97"/>
              </w:rPr>
              <w:t>Net income (loss) attributable to common stockholders per share, diluted</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line="196" w:lineRule="exact"/>
              <w:rPr>
                <w:sz w:val="20"/>
                <w:szCs w:val="20"/>
                <w:color w:val="auto"/>
              </w:rPr>
            </w:pPr>
            <w:r>
              <w:rPr>
                <w:rFonts w:ascii="Arial" w:cs="Arial" w:eastAsia="Arial" w:hAnsi="Arial"/>
                <w:sz w:val="18"/>
                <w:szCs w:val="18"/>
                <w:color w:val="auto"/>
              </w:rPr>
              <w:t>0.01</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(0.01 )</w:t>
            </w:r>
          </w:p>
        </w:tc>
        <w:tc>
          <w:tcPr>
            <w:tcW w:w="340" w:type="dxa"/>
            <w:vAlign w:val="bottom"/>
            <w:gridSpan w:val="2"/>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89"/>
              </w:rPr>
              <w:t>Weighted-average shares used in calculating net income (loss) per share, basic</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w w:val="93"/>
              </w:rPr>
              <w:t>134,711,701</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3"/>
              </w:rPr>
              <w:t>108,322,433</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w w:val="93"/>
              </w:rPr>
              <w:t>134,342,059</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57,534,080</w:t>
            </w:r>
          </w:p>
        </w:tc>
      </w:tr>
      <w:tr>
        <w:trPr>
          <w:trHeight w:val="196"/>
        </w:trPr>
        <w:tc>
          <w:tcPr>
            <w:tcW w:w="5700" w:type="dxa"/>
            <w:vAlign w:val="bottom"/>
          </w:tcPr>
          <w:p>
            <w:pPr>
              <w:ind w:left="20"/>
              <w:spacing w:after="0" w:line="196" w:lineRule="exact"/>
              <w:rPr>
                <w:sz w:val="20"/>
                <w:szCs w:val="20"/>
                <w:color w:val="auto"/>
              </w:rPr>
            </w:pPr>
            <w:r>
              <w:rPr>
                <w:rFonts w:ascii="Arial" w:cs="Arial" w:eastAsia="Arial" w:hAnsi="Arial"/>
                <w:sz w:val="18"/>
                <w:szCs w:val="18"/>
                <w:color w:val="auto"/>
                <w:w w:val="94"/>
              </w:rPr>
              <w:t>Weighted-average shares used in calculating net income per share, diluted</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w w:val="93"/>
              </w:rPr>
              <w:t>138,709,335</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3"/>
              </w:rPr>
              <w:t>113,637,377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w w:val="93"/>
              </w:rPr>
              <w:t>134,342,059</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99"/>
              </w:rPr>
              <w:t>62,095,275</w:t>
            </w: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income (loss):</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1,626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(1,234 )</w:t>
            </w:r>
          </w:p>
        </w:tc>
        <w:tc>
          <w:tcPr>
            <w:tcW w:w="34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4,192</w:t>
            </w:r>
          </w:p>
        </w:tc>
      </w:tr>
      <w:tr>
        <w:trPr>
          <w:trHeight w:val="216"/>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currency translation adjustment, net of tax</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(758 )</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(1,427 )</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505</w:t>
            </w:r>
          </w:p>
        </w:tc>
      </w:tr>
      <w:tr>
        <w:trPr>
          <w:trHeight w:val="210"/>
        </w:trPr>
        <w:tc>
          <w:tcPr>
            <w:tcW w:w="5700" w:type="dxa"/>
            <w:vAlign w:val="bottom"/>
          </w:tcPr>
          <w:p>
            <w:pPr>
              <w:ind w:left="200"/>
              <w:spacing w:after="0"/>
              <w:rPr>
                <w:sz w:val="20"/>
                <w:szCs w:val="20"/>
                <w:color w:val="auto"/>
              </w:rPr>
            </w:pPr>
            <w:r>
              <w:rPr>
                <w:rFonts w:ascii="Arial" w:cs="Arial" w:eastAsia="Arial" w:hAnsi="Arial"/>
                <w:sz w:val="18"/>
                <w:szCs w:val="18"/>
                <w:color w:val="auto"/>
              </w:rPr>
              <w:t>Net comprehensive income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868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(2,661 )</w:t>
            </w:r>
          </w:p>
        </w:tc>
        <w:tc>
          <w:tcPr>
            <w:tcW w:w="34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4,697</w:t>
            </w: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-4525645</wp:posOffset>
            </wp:positionV>
            <wp:extent cx="8572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-4525645</wp:posOffset>
            </wp:positionV>
            <wp:extent cx="6858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-4525645</wp:posOffset>
            </wp:positionV>
            <wp:extent cx="8572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-3959860</wp:posOffset>
            </wp:positionV>
            <wp:extent cx="8572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-3959860</wp:posOffset>
            </wp:positionV>
            <wp:extent cx="685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-3959860</wp:posOffset>
            </wp:positionV>
            <wp:extent cx="8572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-3119755</wp:posOffset>
            </wp:positionV>
            <wp:extent cx="8572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-3119755</wp:posOffset>
            </wp:positionV>
            <wp:extent cx="6858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-3119755</wp:posOffset>
            </wp:positionV>
            <wp:extent cx="85725"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-2279650</wp:posOffset>
            </wp:positionV>
            <wp:extent cx="85725"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-2279650</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-2279650</wp:posOffset>
            </wp:positionV>
            <wp:extent cx="8572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-1704975</wp:posOffset>
            </wp:positionV>
            <wp:extent cx="182562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5625" cy="16319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-1405255</wp:posOffset>
            </wp:positionV>
            <wp:extent cx="857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-1405255</wp:posOffset>
            </wp:positionV>
            <wp:extent cx="685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-1405255</wp:posOffset>
            </wp:positionV>
            <wp:extent cx="857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-1096645</wp:posOffset>
            </wp:positionV>
            <wp:extent cx="182562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25625" cy="18859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-770890</wp:posOffset>
            </wp:positionV>
            <wp:extent cx="182562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5625" cy="18859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-170815</wp:posOffset>
            </wp:positionV>
            <wp:extent cx="8572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-170815</wp:posOffset>
            </wp:positionV>
            <wp:extent cx="685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-170815</wp:posOffset>
            </wp:positionV>
            <wp:extent cx="8572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71450"/>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interim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14"/>
          <w:szCs w:val="14"/>
          <w:b w:val="1"/>
          <w:bCs w:val="1"/>
          <w:color w:val="auto"/>
        </w:rPr>
        <w:t>Cytek Biosciences, Inc</w:t>
      </w:r>
    </w:p>
    <w:p>
      <w:pPr>
        <w:spacing w:after="0" w:line="12"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Consolidated Statements of Redeemable Convertible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Preferred Stock and Stockholders’ Equity (Deficit)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680" w:type="dxa"/>
            <w:vAlign w:val="bottom"/>
          </w:tcPr>
          <w:p>
            <w:pPr>
              <w:spacing w:after="0"/>
              <w:rPr>
                <w:sz w:val="15"/>
                <w:szCs w:val="15"/>
                <w:color w:val="auto"/>
              </w:rPr>
            </w:pPr>
          </w:p>
        </w:tc>
        <w:tc>
          <w:tcPr>
            <w:tcW w:w="1820" w:type="dxa"/>
            <w:vAlign w:val="bottom"/>
            <w:tcBorders>
              <w:right w:val="single" w:sz="8" w:color="auto"/>
            </w:tcBorders>
            <w:gridSpan w:val="4"/>
          </w:tcPr>
          <w:p>
            <w:pPr>
              <w:jc w:val="center"/>
              <w:ind w:right="240"/>
              <w:spacing w:after="0"/>
              <w:rPr>
                <w:sz w:val="20"/>
                <w:szCs w:val="20"/>
                <w:color w:val="auto"/>
              </w:rPr>
            </w:pPr>
            <w:r>
              <w:rPr>
                <w:rFonts w:ascii="Arial" w:cs="Arial" w:eastAsia="Arial" w:hAnsi="Arial"/>
                <w:sz w:val="13"/>
                <w:szCs w:val="13"/>
                <w:b w:val="1"/>
                <w:bCs w:val="1"/>
                <w:color w:val="auto"/>
                <w:w w:val="86"/>
              </w:rPr>
              <w:t>Redeemable convertible</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Additional</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2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w w:val="88"/>
              </w:rPr>
              <w:t>Accumulated other</w:t>
            </w:r>
          </w:p>
        </w:tc>
        <w:tc>
          <w:tcPr>
            <w:tcW w:w="160" w:type="dxa"/>
            <w:vAlign w:val="bottom"/>
          </w:tcPr>
          <w:p>
            <w:pPr>
              <w:spacing w:after="0"/>
              <w:rPr>
                <w:sz w:val="15"/>
                <w:szCs w:val="15"/>
                <w:color w:val="auto"/>
              </w:rPr>
            </w:pPr>
          </w:p>
        </w:tc>
        <w:tc>
          <w:tcPr>
            <w:tcW w:w="1540" w:type="dxa"/>
            <w:vAlign w:val="bottom"/>
          </w:tcPr>
          <w:p>
            <w:pPr>
              <w:jc w:val="center"/>
              <w:ind w:right="157"/>
              <w:spacing w:after="0"/>
              <w:rPr>
                <w:sz w:val="20"/>
                <w:szCs w:val="20"/>
                <w:color w:val="auto"/>
              </w:rPr>
            </w:pPr>
            <w:r>
              <w:rPr>
                <w:rFonts w:ascii="Arial" w:cs="Arial" w:eastAsia="Arial" w:hAnsi="Arial"/>
                <w:sz w:val="13"/>
                <w:szCs w:val="13"/>
                <w:b w:val="1"/>
                <w:bCs w:val="1"/>
                <w:color w:val="auto"/>
                <w:w w:val="86"/>
              </w:rPr>
              <w:t>Noncontrolling</w:t>
            </w:r>
          </w:p>
        </w:tc>
        <w:tc>
          <w:tcPr>
            <w:tcW w:w="140" w:type="dxa"/>
            <w:vAlign w:val="bottom"/>
          </w:tcPr>
          <w:p>
            <w:pPr>
              <w:spacing w:after="0"/>
              <w:rPr>
                <w:sz w:val="15"/>
                <w:szCs w:val="15"/>
                <w:color w:val="auto"/>
              </w:rPr>
            </w:pPr>
          </w:p>
        </w:tc>
        <w:tc>
          <w:tcPr>
            <w:tcW w:w="980" w:type="dxa"/>
            <w:vAlign w:val="bottom"/>
          </w:tcPr>
          <w:p>
            <w:pPr>
              <w:jc w:val="center"/>
              <w:ind w:right="11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1"/>
        </w:trPr>
        <w:tc>
          <w:tcPr>
            <w:tcW w:w="1680" w:type="dxa"/>
            <w:vAlign w:val="bottom"/>
            <w:vMerge w:val="restart"/>
          </w:tcPr>
          <w:p>
            <w:pPr>
              <w:ind w:left="100"/>
              <w:spacing w:after="0"/>
              <w:rPr>
                <w:sz w:val="20"/>
                <w:szCs w:val="20"/>
                <w:color w:val="auto"/>
              </w:rPr>
            </w:pPr>
            <w:r>
              <w:rPr>
                <w:rFonts w:ascii="Arial" w:cs="Arial" w:eastAsia="Arial" w:hAnsi="Arial"/>
                <w:sz w:val="13"/>
                <w:szCs w:val="13"/>
                <w:b w:val="1"/>
                <w:bCs w:val="1"/>
                <w:color w:val="auto"/>
                <w:w w:val="90"/>
              </w:rPr>
              <w:t>(In thousands, except share</w:t>
            </w:r>
          </w:p>
        </w:tc>
        <w:tc>
          <w:tcPr>
            <w:tcW w:w="182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6"/>
              </w:rPr>
              <w:t>preferred stock</w:t>
            </w: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Common stock</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center"/>
              <w:ind w:right="157"/>
              <w:spacing w:after="0"/>
              <w:rPr>
                <w:sz w:val="20"/>
                <w:szCs w:val="20"/>
                <w:color w:val="auto"/>
              </w:rPr>
            </w:pPr>
            <w:r>
              <w:rPr>
                <w:rFonts w:ascii="Arial" w:cs="Arial" w:eastAsia="Arial" w:hAnsi="Arial"/>
                <w:sz w:val="13"/>
                <w:szCs w:val="13"/>
                <w:b w:val="1"/>
                <w:bCs w:val="1"/>
                <w:color w:val="auto"/>
                <w:w w:val="89"/>
              </w:rPr>
              <w:t>paid-in</w:t>
            </w:r>
          </w:p>
        </w:tc>
        <w:tc>
          <w:tcPr>
            <w:tcW w:w="160" w:type="dxa"/>
            <w:vAlign w:val="bottom"/>
          </w:tcPr>
          <w:p>
            <w:pPr>
              <w:spacing w:after="0"/>
              <w:rPr>
                <w:sz w:val="13"/>
                <w:szCs w:val="13"/>
                <w:color w:val="auto"/>
              </w:rPr>
            </w:pPr>
          </w:p>
        </w:tc>
        <w:tc>
          <w:tcPr>
            <w:tcW w:w="980" w:type="dxa"/>
            <w:vAlign w:val="bottom"/>
          </w:tcPr>
          <w:p>
            <w:pPr>
              <w:jc w:val="center"/>
              <w:ind w:right="157"/>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3"/>
                <w:szCs w:val="13"/>
                <w:color w:val="auto"/>
              </w:rPr>
            </w:pPr>
          </w:p>
        </w:tc>
        <w:tc>
          <w:tcPr>
            <w:tcW w:w="1140" w:type="dxa"/>
            <w:vAlign w:val="bottom"/>
          </w:tcPr>
          <w:p>
            <w:pPr>
              <w:jc w:val="center"/>
              <w:ind w:right="197"/>
              <w:spacing w:after="0"/>
              <w:rPr>
                <w:sz w:val="20"/>
                <w:szCs w:val="20"/>
                <w:color w:val="auto"/>
              </w:rPr>
            </w:pPr>
            <w:r>
              <w:rPr>
                <w:rFonts w:ascii="Arial" w:cs="Arial" w:eastAsia="Arial" w:hAnsi="Arial"/>
                <w:sz w:val="13"/>
                <w:szCs w:val="13"/>
                <w:b w:val="1"/>
                <w:bCs w:val="1"/>
                <w:color w:val="auto"/>
                <w:w w:val="83"/>
              </w:rPr>
              <w:t>comprehensive</w:t>
            </w:r>
          </w:p>
        </w:tc>
        <w:tc>
          <w:tcPr>
            <w:tcW w:w="160" w:type="dxa"/>
            <w:vAlign w:val="bottom"/>
          </w:tcPr>
          <w:p>
            <w:pPr>
              <w:spacing w:after="0"/>
              <w:rPr>
                <w:sz w:val="13"/>
                <w:szCs w:val="13"/>
                <w:color w:val="auto"/>
              </w:rPr>
            </w:pPr>
          </w:p>
        </w:tc>
        <w:tc>
          <w:tcPr>
            <w:tcW w:w="1540" w:type="dxa"/>
            <w:vAlign w:val="bottom"/>
          </w:tcPr>
          <w:p>
            <w:pPr>
              <w:jc w:val="center"/>
              <w:ind w:right="157"/>
              <w:spacing w:after="0"/>
              <w:rPr>
                <w:sz w:val="20"/>
                <w:szCs w:val="20"/>
                <w:color w:val="auto"/>
              </w:rPr>
            </w:pPr>
            <w:r>
              <w:rPr>
                <w:rFonts w:ascii="Arial" w:cs="Arial" w:eastAsia="Arial" w:hAnsi="Arial"/>
                <w:sz w:val="13"/>
                <w:szCs w:val="13"/>
                <w:b w:val="1"/>
                <w:bCs w:val="1"/>
                <w:color w:val="auto"/>
                <w:w w:val="84"/>
              </w:rPr>
              <w:t>interest in consolidated</w:t>
            </w:r>
          </w:p>
        </w:tc>
        <w:tc>
          <w:tcPr>
            <w:tcW w:w="140" w:type="dxa"/>
            <w:vAlign w:val="bottom"/>
          </w:tcPr>
          <w:p>
            <w:pPr>
              <w:spacing w:after="0"/>
              <w:rPr>
                <w:sz w:val="13"/>
                <w:szCs w:val="13"/>
                <w:color w:val="auto"/>
              </w:rPr>
            </w:pPr>
          </w:p>
        </w:tc>
        <w:tc>
          <w:tcPr>
            <w:tcW w:w="980" w:type="dxa"/>
            <w:vAlign w:val="bottom"/>
          </w:tcPr>
          <w:p>
            <w:pPr>
              <w:jc w:val="center"/>
              <w:ind w:right="117"/>
              <w:spacing w:after="0"/>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12"/>
        </w:trPr>
        <w:tc>
          <w:tcPr>
            <w:tcW w:w="1680" w:type="dxa"/>
            <w:vAlign w:val="bottom"/>
            <w:vMerge w:val="continue"/>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680" w:type="dxa"/>
            <w:vAlign w:val="bottom"/>
            <w:tcBorders>
              <w:bottom w:val="single" w:sz="8" w:color="auto"/>
            </w:tcBorders>
          </w:tcPr>
          <w:p>
            <w:pPr>
              <w:ind w:left="700"/>
              <w:spacing w:after="0"/>
              <w:rPr>
                <w:sz w:val="20"/>
                <w:szCs w:val="20"/>
                <w:color w:val="auto"/>
              </w:rPr>
            </w:pPr>
            <w:r>
              <w:rPr>
                <w:rFonts w:ascii="Arial" w:cs="Arial" w:eastAsia="Arial" w:hAnsi="Arial"/>
                <w:sz w:val="13"/>
                <w:szCs w:val="13"/>
                <w:b w:val="1"/>
                <w:bCs w:val="1"/>
                <w:color w:val="auto"/>
              </w:rPr>
              <w:t>data)</w:t>
            </w: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Amount</w:t>
            </w: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b w:val="1"/>
                <w:bCs w:val="1"/>
                <w:color w:val="auto"/>
              </w:rPr>
              <w:t>Amount</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87"/>
              </w:rPr>
              <w:t>capital</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88"/>
              </w:rPr>
              <w:t>deficit</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83"/>
              </w:rPr>
              <w:t>income (loss)</w:t>
            </w: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6"/>
              </w:rPr>
              <w:t>subsidiary</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3"/>
              </w:rPr>
              <w:t>equity</w:t>
            </w: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ind w:left="20"/>
              <w:spacing w:after="0"/>
              <w:rPr>
                <w:sz w:val="20"/>
                <w:szCs w:val="20"/>
                <w:color w:val="auto"/>
              </w:rPr>
            </w:pPr>
            <w:r>
              <w:rPr>
                <w:rFonts w:ascii="Arial" w:cs="Arial" w:eastAsia="Arial" w:hAnsi="Arial"/>
                <w:sz w:val="13"/>
                <w:szCs w:val="13"/>
                <w:color w:val="auto"/>
                <w:w w:val="88"/>
              </w:rPr>
              <w:t>Balances at December 31, 2021</w:t>
            </w:r>
          </w:p>
        </w:tc>
        <w:tc>
          <w:tcPr>
            <w:tcW w:w="9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FF0FC"/>
          </w:tcPr>
          <w:p>
            <w:pPr>
              <w:spacing w:after="0"/>
              <w:rPr>
                <w:sz w:val="14"/>
                <w:szCs w:val="14"/>
                <w:color w:val="auto"/>
              </w:rPr>
            </w:pP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133,749,663</w:t>
            </w:r>
          </w:p>
        </w:tc>
        <w:tc>
          <w:tcPr>
            <w:tcW w:w="28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126</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423,625</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(19,606 )</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897</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5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343</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405,385</w:t>
            </w:r>
          </w:p>
        </w:tc>
        <w:tc>
          <w:tcPr>
            <w:tcW w:w="0" w:type="dxa"/>
            <w:vAlign w:val="bottom"/>
          </w:tcPr>
          <w:p>
            <w:pPr>
              <w:spacing w:after="0"/>
              <w:rPr>
                <w:sz w:val="1"/>
                <w:szCs w:val="1"/>
                <w:color w:val="auto"/>
              </w:rPr>
            </w:pPr>
          </w:p>
        </w:tc>
      </w:tr>
      <w:tr>
        <w:trPr>
          <w:trHeight w:val="161"/>
        </w:trPr>
        <w:tc>
          <w:tcPr>
            <w:tcW w:w="168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493,267</w:t>
            </w:r>
          </w:p>
        </w:tc>
        <w:tc>
          <w:tcPr>
            <w:tcW w:w="280" w:type="dxa"/>
            <w:vAlign w:val="bottom"/>
          </w:tcPr>
          <w:p>
            <w:pPr>
              <w:spacing w:after="0"/>
              <w:rPr>
                <w:sz w:val="14"/>
                <w:szCs w:val="14"/>
                <w:color w:val="auto"/>
              </w:rPr>
            </w:pPr>
          </w:p>
        </w:tc>
        <w:tc>
          <w:tcPr>
            <w:tcW w:w="400" w:type="dxa"/>
            <w:vAlign w:val="bottom"/>
          </w:tcPr>
          <w:p>
            <w:pPr>
              <w:jc w:val="right"/>
              <w:ind w:right="77"/>
              <w:spacing w:after="0"/>
              <w:rPr>
                <w:sz w:val="20"/>
                <w:szCs w:val="20"/>
                <w:color w:val="auto"/>
              </w:rPr>
            </w:pPr>
            <w:r>
              <w:rPr>
                <w:rFonts w:ascii="Arial" w:cs="Arial" w:eastAsia="Arial" w:hAnsi="Arial"/>
                <w:sz w:val="13"/>
                <w:szCs w:val="13"/>
                <w:color w:val="auto"/>
              </w:rPr>
              <w:t>8</w:t>
            </w:r>
          </w:p>
        </w:tc>
        <w:tc>
          <w:tcPr>
            <w:tcW w:w="20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356</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163"/>
        </w:trPr>
        <w:tc>
          <w:tcPr>
            <w:tcW w:w="1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3,837</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3,837</w:t>
            </w:r>
          </w:p>
        </w:tc>
        <w:tc>
          <w:tcPr>
            <w:tcW w:w="0" w:type="dxa"/>
            <w:vAlign w:val="bottom"/>
          </w:tcPr>
          <w:p>
            <w:pPr>
              <w:spacing w:after="0"/>
              <w:rPr>
                <w:sz w:val="1"/>
                <w:szCs w:val="1"/>
                <w:color w:val="auto"/>
              </w:rPr>
            </w:pPr>
          </w:p>
        </w:tc>
      </w:tr>
      <w:tr>
        <w:trPr>
          <w:trHeight w:val="121"/>
        </w:trPr>
        <w:tc>
          <w:tcPr>
            <w:tcW w:w="1680" w:type="dxa"/>
            <w:vAlign w:val="bottom"/>
          </w:tcPr>
          <w:p>
            <w:pPr>
              <w:ind w:left="20"/>
              <w:spacing w:after="0" w:line="121" w:lineRule="exact"/>
              <w:rPr>
                <w:sz w:val="20"/>
                <w:szCs w:val="20"/>
                <w:color w:val="auto"/>
              </w:rPr>
            </w:pPr>
            <w:r>
              <w:rPr>
                <w:rFonts w:ascii="Arial" w:cs="Arial" w:eastAsia="Arial" w:hAnsi="Arial"/>
                <w:sz w:val="13"/>
                <w:szCs w:val="13"/>
                <w:color w:val="auto"/>
              </w:rPr>
              <w:t>Foreign currency translation</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20"/>
              <w:spacing w:after="0"/>
              <w:rPr>
                <w:sz w:val="20"/>
                <w:szCs w:val="20"/>
                <w:color w:val="auto"/>
              </w:rPr>
            </w:pPr>
            <w:r>
              <w:rPr>
                <w:rFonts w:ascii="Arial" w:cs="Arial" w:eastAsia="Arial" w:hAnsi="Arial"/>
                <w:sz w:val="13"/>
                <w:szCs w:val="13"/>
                <w:color w:val="auto"/>
              </w:rPr>
              <w:t>adjustment, net of tax</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0"/>
        </w:trPr>
        <w:tc>
          <w:tcPr>
            <w:tcW w:w="1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(2,021 )</w:t>
            </w:r>
          </w:p>
        </w:tc>
        <w:tc>
          <w:tcPr>
            <w:tcW w:w="1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(2,021 )</w:t>
            </w:r>
          </w:p>
        </w:tc>
        <w:tc>
          <w:tcPr>
            <w:tcW w:w="0" w:type="dxa"/>
            <w:vAlign w:val="bottom"/>
          </w:tcPr>
          <w:p>
            <w:pPr>
              <w:spacing w:after="0"/>
              <w:rPr>
                <w:sz w:val="1"/>
                <w:szCs w:val="1"/>
                <w:color w:val="auto"/>
              </w:rPr>
            </w:pPr>
          </w:p>
        </w:tc>
      </w:tr>
      <w:tr>
        <w:trPr>
          <w:trHeight w:val="161"/>
        </w:trPr>
        <w:tc>
          <w:tcPr>
            <w:tcW w:w="1680" w:type="dxa"/>
            <w:vAlign w:val="bottom"/>
          </w:tcPr>
          <w:p>
            <w:pPr>
              <w:ind w:left="20"/>
              <w:spacing w:after="0"/>
              <w:rPr>
                <w:sz w:val="20"/>
                <w:szCs w:val="20"/>
                <w:color w:val="auto"/>
              </w:rPr>
            </w:pPr>
            <w:r>
              <w:rPr>
                <w:rFonts w:ascii="Arial" w:cs="Arial" w:eastAsia="Arial" w:hAnsi="Arial"/>
                <w:sz w:val="13"/>
                <w:szCs w:val="13"/>
                <w:color w:val="auto"/>
              </w:rPr>
              <w:t>Noncontrolling interest</w:t>
            </w: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(137 )</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(137 )</w:t>
            </w:r>
          </w:p>
        </w:tc>
        <w:tc>
          <w:tcPr>
            <w:tcW w:w="0" w:type="dxa"/>
            <w:vAlign w:val="bottom"/>
          </w:tcPr>
          <w:p>
            <w:pPr>
              <w:spacing w:after="0"/>
              <w:rPr>
                <w:sz w:val="1"/>
                <w:szCs w:val="1"/>
                <w:color w:val="auto"/>
              </w:rPr>
            </w:pPr>
          </w:p>
        </w:tc>
      </w:tr>
      <w:tr>
        <w:trPr>
          <w:trHeight w:val="216"/>
        </w:trPr>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Balances at March 31, 2022</w:t>
            </w:r>
          </w:p>
        </w:tc>
        <w:tc>
          <w:tcPr>
            <w:tcW w:w="9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right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134,242,930</w:t>
            </w:r>
          </w:p>
        </w:tc>
        <w:tc>
          <w:tcPr>
            <w:tcW w:w="28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134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427,818</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(21,627 )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911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206</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407,442</w:t>
            </w:r>
          </w:p>
        </w:tc>
        <w:tc>
          <w:tcPr>
            <w:tcW w:w="0" w:type="dxa"/>
            <w:vAlign w:val="bottom"/>
          </w:tcPr>
          <w:p>
            <w:pPr>
              <w:spacing w:after="0"/>
              <w:rPr>
                <w:sz w:val="1"/>
                <w:szCs w:val="1"/>
                <w:color w:val="auto"/>
              </w:rPr>
            </w:pPr>
          </w:p>
        </w:tc>
      </w:tr>
      <w:tr>
        <w:trPr>
          <w:trHeight w:val="82"/>
        </w:trPr>
        <w:tc>
          <w:tcPr>
            <w:tcW w:w="1680" w:type="dxa"/>
            <w:vAlign w:val="bottom"/>
          </w:tcPr>
          <w:p>
            <w:pPr>
              <w:ind w:left="20"/>
              <w:spacing w:after="0" w:line="82" w:lineRule="exact"/>
              <w:rPr>
                <w:sz w:val="20"/>
                <w:szCs w:val="20"/>
                <w:color w:val="auto"/>
              </w:rPr>
            </w:pPr>
            <w:r>
              <w:rPr>
                <w:rFonts w:ascii="Arial" w:cs="Arial" w:eastAsia="Arial" w:hAnsi="Arial"/>
                <w:sz w:val="9"/>
                <w:szCs w:val="9"/>
                <w:color w:val="auto"/>
              </w:rPr>
              <w:t>Shares issued in connection</w:t>
            </w: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20"/>
              <w:spacing w:after="0"/>
              <w:rPr>
                <w:sz w:val="20"/>
                <w:szCs w:val="20"/>
                <w:color w:val="auto"/>
              </w:rPr>
            </w:pPr>
            <w:r>
              <w:rPr>
                <w:rFonts w:ascii="Arial" w:cs="Arial" w:eastAsia="Arial" w:hAnsi="Arial"/>
                <w:sz w:val="13"/>
                <w:szCs w:val="13"/>
                <w:color w:val="auto"/>
              </w:rPr>
              <w:t>with employee stock plans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365,649</w:t>
            </w:r>
          </w:p>
        </w:tc>
        <w:tc>
          <w:tcPr>
            <w:tcW w:w="280" w:type="dxa"/>
            <w:vAlign w:val="bottom"/>
          </w:tcPr>
          <w:p>
            <w:pPr>
              <w:spacing w:after="0"/>
              <w:rPr>
                <w:sz w:val="14"/>
                <w:szCs w:val="14"/>
                <w:color w:val="auto"/>
              </w:rPr>
            </w:pPr>
          </w:p>
        </w:tc>
        <w:tc>
          <w:tcPr>
            <w:tcW w:w="40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1,204</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1,205</w:t>
            </w:r>
          </w:p>
        </w:tc>
        <w:tc>
          <w:tcPr>
            <w:tcW w:w="0" w:type="dxa"/>
            <w:vAlign w:val="bottom"/>
          </w:tcPr>
          <w:p>
            <w:pPr>
              <w:spacing w:after="0"/>
              <w:rPr>
                <w:sz w:val="1"/>
                <w:szCs w:val="1"/>
                <w:color w:val="auto"/>
              </w:rPr>
            </w:pPr>
          </w:p>
        </w:tc>
      </w:tr>
      <w:tr>
        <w:trPr>
          <w:trHeight w:val="129"/>
        </w:trPr>
        <w:tc>
          <w:tcPr>
            <w:tcW w:w="168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Shares of Common Stock</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withheld related to net share</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(6,908 )</w:t>
            </w:r>
          </w:p>
        </w:tc>
        <w:tc>
          <w:tcPr>
            <w:tcW w:w="280" w:type="dxa"/>
            <w:vAlign w:val="bottom"/>
            <w:shd w:val="clear" w:color="auto" w:fill="CFF0FC"/>
          </w:tcPr>
          <w:p>
            <w:pPr>
              <w:spacing w:after="0"/>
              <w:rPr>
                <w:sz w:val="11"/>
                <w:szCs w:val="11"/>
                <w:color w:val="auto"/>
              </w:rPr>
            </w:pPr>
          </w:p>
        </w:tc>
        <w:tc>
          <w:tcPr>
            <w:tcW w:w="400" w:type="dxa"/>
            <w:vAlign w:val="bottom"/>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(67 )</w:t>
            </w: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(67 )</w:t>
            </w:r>
          </w:p>
        </w:tc>
        <w:tc>
          <w:tcPr>
            <w:tcW w:w="0" w:type="dxa"/>
            <w:vAlign w:val="bottom"/>
          </w:tcPr>
          <w:p>
            <w:pPr>
              <w:spacing w:after="0"/>
              <w:rPr>
                <w:sz w:val="1"/>
                <w:szCs w:val="1"/>
                <w:color w:val="auto"/>
              </w:rPr>
            </w:pPr>
          </w:p>
        </w:tc>
      </w:tr>
      <w:tr>
        <w:trPr>
          <w:trHeight w:val="163"/>
        </w:trPr>
        <w:tc>
          <w:tcPr>
            <w:tcW w:w="1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settlement</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0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3,934</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3,934</w:t>
            </w:r>
          </w:p>
        </w:tc>
        <w:tc>
          <w:tcPr>
            <w:tcW w:w="0" w:type="dxa"/>
            <w:vAlign w:val="bottom"/>
          </w:tcPr>
          <w:p>
            <w:pPr>
              <w:spacing w:after="0"/>
              <w:rPr>
                <w:sz w:val="1"/>
                <w:szCs w:val="1"/>
                <w:color w:val="auto"/>
              </w:rPr>
            </w:pPr>
          </w:p>
        </w:tc>
      </w:tr>
      <w:tr>
        <w:trPr>
          <w:trHeight w:val="122"/>
        </w:trPr>
        <w:tc>
          <w:tcPr>
            <w:tcW w:w="1680" w:type="dxa"/>
            <w:vAlign w:val="bottom"/>
            <w:shd w:val="clear" w:color="auto" w:fill="CFF0FC"/>
          </w:tcPr>
          <w:p>
            <w:pPr>
              <w:ind w:left="20"/>
              <w:spacing w:after="0" w:line="122" w:lineRule="exact"/>
              <w:rPr>
                <w:sz w:val="20"/>
                <w:szCs w:val="20"/>
                <w:color w:val="auto"/>
              </w:rPr>
            </w:pPr>
            <w:r>
              <w:rPr>
                <w:rFonts w:ascii="Arial" w:cs="Arial" w:eastAsia="Arial" w:hAnsi="Arial"/>
                <w:sz w:val="13"/>
                <w:szCs w:val="13"/>
                <w:color w:val="auto"/>
              </w:rPr>
              <w:t>Foreign currency translation</w:t>
            </w: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20" w:type="dxa"/>
            <w:vAlign w:val="bottom"/>
            <w:tcBorders>
              <w:right w:val="single" w:sz="8" w:color="auto"/>
            </w:tcBorders>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adjustment, net of tax</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(683 )</w:t>
            </w: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(683 )</w:t>
            </w:r>
          </w:p>
        </w:tc>
        <w:tc>
          <w:tcPr>
            <w:tcW w:w="0" w:type="dxa"/>
            <w:vAlign w:val="bottom"/>
          </w:tcPr>
          <w:p>
            <w:pPr>
              <w:spacing w:after="0"/>
              <w:rPr>
                <w:sz w:val="1"/>
                <w:szCs w:val="1"/>
                <w:color w:val="auto"/>
              </w:rPr>
            </w:pPr>
          </w:p>
        </w:tc>
      </w:tr>
      <w:tr>
        <w:trPr>
          <w:trHeight w:val="161"/>
        </w:trPr>
        <w:tc>
          <w:tcPr>
            <w:tcW w:w="1680" w:type="dxa"/>
            <w:vAlign w:val="bottom"/>
          </w:tcPr>
          <w:p>
            <w:pPr>
              <w:ind w:left="20"/>
              <w:spacing w:after="0"/>
              <w:rPr>
                <w:sz w:val="20"/>
                <w:szCs w:val="20"/>
                <w:color w:val="auto"/>
              </w:rPr>
            </w:pPr>
            <w:r>
              <w:rPr>
                <w:rFonts w:ascii="Arial" w:cs="Arial" w:eastAsia="Arial" w:hAnsi="Arial"/>
                <w:sz w:val="13"/>
                <w:szCs w:val="13"/>
                <w:color w:val="auto"/>
              </w:rPr>
              <w:t>Net loss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(598 )</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(598 )</w:t>
            </w:r>
          </w:p>
        </w:tc>
        <w:tc>
          <w:tcPr>
            <w:tcW w:w="0" w:type="dxa"/>
            <w:vAlign w:val="bottom"/>
          </w:tcPr>
          <w:p>
            <w:pPr>
              <w:spacing w:after="0"/>
              <w:rPr>
                <w:sz w:val="1"/>
                <w:szCs w:val="1"/>
                <w:color w:val="auto"/>
              </w:rPr>
            </w:pPr>
          </w:p>
        </w:tc>
      </w:tr>
      <w:tr>
        <w:trPr>
          <w:trHeight w:val="162"/>
        </w:trPr>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Noncontrolling interest</w:t>
            </w:r>
          </w:p>
        </w:tc>
        <w:tc>
          <w:tcPr>
            <w:tcW w:w="9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right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(104 )</w:t>
            </w:r>
          </w:p>
        </w:tc>
        <w:tc>
          <w:tcPr>
            <w:tcW w:w="14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(104 )</w:t>
            </w:r>
          </w:p>
        </w:tc>
        <w:tc>
          <w:tcPr>
            <w:tcW w:w="0" w:type="dxa"/>
            <w:vAlign w:val="bottom"/>
          </w:tcPr>
          <w:p>
            <w:pPr>
              <w:spacing w:after="0"/>
              <w:rPr>
                <w:sz w:val="1"/>
                <w:szCs w:val="1"/>
                <w:color w:val="auto"/>
              </w:rPr>
            </w:pPr>
          </w:p>
        </w:tc>
      </w:tr>
      <w:tr>
        <w:trPr>
          <w:trHeight w:val="156"/>
        </w:trPr>
        <w:tc>
          <w:tcPr>
            <w:tcW w:w="1680" w:type="dxa"/>
            <w:vAlign w:val="bottom"/>
          </w:tcPr>
          <w:p>
            <w:pPr>
              <w:ind w:left="20"/>
              <w:spacing w:after="0"/>
              <w:rPr>
                <w:sz w:val="20"/>
                <w:szCs w:val="20"/>
                <w:color w:val="auto"/>
              </w:rPr>
            </w:pPr>
            <w:r>
              <w:rPr>
                <w:rFonts w:ascii="Arial" w:cs="Arial" w:eastAsia="Arial" w:hAnsi="Arial"/>
                <w:sz w:val="13"/>
                <w:szCs w:val="13"/>
                <w:color w:val="auto"/>
              </w:rPr>
              <w:t>Balances at June 30, 2022</w:t>
            </w: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right w:val="single" w:sz="8" w:color="auto"/>
            </w:tcBorders>
          </w:tcPr>
          <w:p>
            <w:pPr>
              <w:spacing w:after="0"/>
              <w:rPr>
                <w:sz w:val="13"/>
                <w:szCs w:val="13"/>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134,601,671</w:t>
            </w: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432,889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(22,225 )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102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411,129</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680" w:type="dxa"/>
            <w:vAlign w:val="bottom"/>
            <w:shd w:val="clear" w:color="auto" w:fill="CFF0FC"/>
          </w:tcPr>
          <w:p>
            <w:pPr>
              <w:ind w:left="20"/>
              <w:spacing w:after="0" w:line="103" w:lineRule="exact"/>
              <w:rPr>
                <w:sz w:val="20"/>
                <w:szCs w:val="20"/>
                <w:color w:val="auto"/>
              </w:rPr>
            </w:pPr>
            <w:r>
              <w:rPr>
                <w:rFonts w:ascii="Arial" w:cs="Arial" w:eastAsia="Arial" w:hAnsi="Arial"/>
                <w:sz w:val="10"/>
                <w:szCs w:val="10"/>
                <w:color w:val="auto"/>
              </w:rPr>
              <w:t>Shares issued in connection</w:t>
            </w:r>
          </w:p>
        </w:tc>
        <w:tc>
          <w:tcPr>
            <w:tcW w:w="9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60" w:type="dxa"/>
            <w:vAlign w:val="bottom"/>
            <w:shd w:val="clear" w:color="auto" w:fill="CFF0FC"/>
          </w:tcPr>
          <w:p>
            <w:pPr>
              <w:spacing w:after="0"/>
              <w:rPr>
                <w:sz w:val="8"/>
                <w:szCs w:val="8"/>
                <w:color w:val="auto"/>
              </w:rPr>
            </w:pPr>
          </w:p>
        </w:tc>
        <w:tc>
          <w:tcPr>
            <w:tcW w:w="120" w:type="dxa"/>
            <w:vAlign w:val="bottom"/>
            <w:tcBorders>
              <w:right w:val="single" w:sz="8" w:color="auto"/>
            </w:tcBorders>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1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5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with employee stock plans</w:t>
            </w: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252,496</w:t>
            </w:r>
          </w:p>
        </w:tc>
        <w:tc>
          <w:tcPr>
            <w:tcW w:w="28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224</w:t>
            </w: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21"/>
        </w:trPr>
        <w:tc>
          <w:tcPr>
            <w:tcW w:w="1680" w:type="dxa"/>
            <w:vAlign w:val="bottom"/>
          </w:tcPr>
          <w:p>
            <w:pPr>
              <w:ind w:left="20"/>
              <w:spacing w:after="0" w:line="121" w:lineRule="exact"/>
              <w:rPr>
                <w:sz w:val="20"/>
                <w:szCs w:val="20"/>
                <w:color w:val="auto"/>
              </w:rPr>
            </w:pPr>
            <w:r>
              <w:rPr>
                <w:rFonts w:ascii="Arial" w:cs="Arial" w:eastAsia="Arial" w:hAnsi="Arial"/>
                <w:sz w:val="13"/>
                <w:szCs w:val="13"/>
                <w:color w:val="auto"/>
              </w:rPr>
              <w:t>Shares of Common Stock</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line="135" w:lineRule="exact"/>
              <w:rPr>
                <w:sz w:val="20"/>
                <w:szCs w:val="20"/>
                <w:color w:val="auto"/>
              </w:rPr>
            </w:pPr>
            <w:r>
              <w:rPr>
                <w:rFonts w:ascii="Arial" w:cs="Arial" w:eastAsia="Arial" w:hAnsi="Arial"/>
                <w:sz w:val="13"/>
                <w:szCs w:val="13"/>
                <w:color w:val="auto"/>
              </w:rPr>
              <w:t>withheld related to net share</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(5,028 )</w:t>
            </w:r>
          </w:p>
        </w:tc>
        <w:tc>
          <w:tcPr>
            <w:tcW w:w="280" w:type="dxa"/>
            <w:vAlign w:val="bottom"/>
          </w:tcPr>
          <w:p>
            <w:pPr>
              <w:spacing w:after="0"/>
              <w:rPr>
                <w:sz w:val="11"/>
                <w:szCs w:val="11"/>
                <w:color w:val="auto"/>
              </w:rPr>
            </w:pPr>
          </w:p>
        </w:tc>
        <w:tc>
          <w:tcPr>
            <w:tcW w:w="4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80" w:type="dxa"/>
            <w:vAlign w:val="bottom"/>
            <w:vMerge w:val="restart"/>
          </w:tcPr>
          <w:p>
            <w:pPr>
              <w:jc w:val="right"/>
              <w:ind w:right="17"/>
              <w:spacing w:after="0"/>
              <w:rPr>
                <w:sz w:val="20"/>
                <w:szCs w:val="20"/>
                <w:color w:val="auto"/>
              </w:rPr>
            </w:pPr>
            <w:r>
              <w:rPr>
                <w:rFonts w:ascii="Arial" w:cs="Arial" w:eastAsia="Arial" w:hAnsi="Arial"/>
                <w:sz w:val="13"/>
                <w:szCs w:val="13"/>
                <w:color w:val="auto"/>
              </w:rPr>
              <w:t>(71 )</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(71 )</w:t>
            </w:r>
          </w:p>
        </w:tc>
        <w:tc>
          <w:tcPr>
            <w:tcW w:w="0" w:type="dxa"/>
            <w:vAlign w:val="bottom"/>
          </w:tcPr>
          <w:p>
            <w:pPr>
              <w:spacing w:after="0"/>
              <w:rPr>
                <w:sz w:val="1"/>
                <w:szCs w:val="1"/>
                <w:color w:val="auto"/>
              </w:rPr>
            </w:pPr>
          </w:p>
        </w:tc>
      </w:tr>
      <w:tr>
        <w:trPr>
          <w:trHeight w:val="161"/>
        </w:trPr>
        <w:tc>
          <w:tcPr>
            <w:tcW w:w="1680" w:type="dxa"/>
            <w:vAlign w:val="bottom"/>
          </w:tcPr>
          <w:p>
            <w:pPr>
              <w:ind w:left="20"/>
              <w:spacing w:after="0"/>
              <w:rPr>
                <w:sz w:val="20"/>
                <w:szCs w:val="20"/>
                <w:color w:val="auto"/>
              </w:rPr>
            </w:pPr>
            <w:r>
              <w:rPr>
                <w:rFonts w:ascii="Arial" w:cs="Arial" w:eastAsia="Arial" w:hAnsi="Arial"/>
                <w:sz w:val="13"/>
                <w:szCs w:val="13"/>
                <w:color w:val="auto"/>
              </w:rPr>
              <w:t>settlement</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4,359</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4,359</w:t>
            </w:r>
          </w:p>
        </w:tc>
        <w:tc>
          <w:tcPr>
            <w:tcW w:w="0" w:type="dxa"/>
            <w:vAlign w:val="bottom"/>
          </w:tcPr>
          <w:p>
            <w:pPr>
              <w:spacing w:after="0"/>
              <w:rPr>
                <w:sz w:val="1"/>
                <w:szCs w:val="1"/>
                <w:color w:val="auto"/>
              </w:rPr>
            </w:pPr>
          </w:p>
        </w:tc>
      </w:tr>
      <w:tr>
        <w:trPr>
          <w:trHeight w:val="121"/>
        </w:trPr>
        <w:tc>
          <w:tcPr>
            <w:tcW w:w="1680" w:type="dxa"/>
            <w:vAlign w:val="bottom"/>
          </w:tcPr>
          <w:p>
            <w:pPr>
              <w:ind w:left="20"/>
              <w:spacing w:after="0" w:line="121" w:lineRule="exact"/>
              <w:rPr>
                <w:sz w:val="20"/>
                <w:szCs w:val="20"/>
                <w:color w:val="auto"/>
              </w:rPr>
            </w:pPr>
            <w:r>
              <w:rPr>
                <w:rFonts w:ascii="Arial" w:cs="Arial" w:eastAsia="Arial" w:hAnsi="Arial"/>
                <w:sz w:val="13"/>
                <w:szCs w:val="13"/>
                <w:color w:val="auto"/>
              </w:rPr>
              <w:t>Foreign currency translation</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20"/>
              <w:spacing w:after="0"/>
              <w:rPr>
                <w:sz w:val="20"/>
                <w:szCs w:val="20"/>
                <w:color w:val="auto"/>
              </w:rPr>
            </w:pPr>
            <w:r>
              <w:rPr>
                <w:rFonts w:ascii="Arial" w:cs="Arial" w:eastAsia="Arial" w:hAnsi="Arial"/>
                <w:sz w:val="13"/>
                <w:szCs w:val="13"/>
                <w:color w:val="auto"/>
              </w:rPr>
              <w:t>adjustment, net of tax</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(758 )</w:t>
            </w: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(758 )</w:t>
            </w:r>
          </w:p>
        </w:tc>
        <w:tc>
          <w:tcPr>
            <w:tcW w:w="0" w:type="dxa"/>
            <w:vAlign w:val="bottom"/>
          </w:tcPr>
          <w:p>
            <w:pPr>
              <w:spacing w:after="0"/>
              <w:rPr>
                <w:sz w:val="1"/>
                <w:szCs w:val="1"/>
                <w:color w:val="auto"/>
              </w:rPr>
            </w:pPr>
          </w:p>
        </w:tc>
      </w:tr>
      <w:tr>
        <w:trPr>
          <w:trHeight w:val="170"/>
        </w:trPr>
        <w:tc>
          <w:tcPr>
            <w:tcW w:w="1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1,666</w:t>
            </w:r>
          </w:p>
        </w:tc>
        <w:tc>
          <w:tcPr>
            <w:tcW w:w="1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1,666</w:t>
            </w:r>
          </w:p>
        </w:tc>
        <w:tc>
          <w:tcPr>
            <w:tcW w:w="0" w:type="dxa"/>
            <w:vAlign w:val="bottom"/>
          </w:tcPr>
          <w:p>
            <w:pPr>
              <w:spacing w:after="0"/>
              <w:rPr>
                <w:sz w:val="1"/>
                <w:szCs w:val="1"/>
                <w:color w:val="auto"/>
              </w:rPr>
            </w:pPr>
          </w:p>
        </w:tc>
      </w:tr>
      <w:tr>
        <w:trPr>
          <w:trHeight w:val="161"/>
        </w:trPr>
        <w:tc>
          <w:tcPr>
            <w:tcW w:w="1680" w:type="dxa"/>
            <w:vAlign w:val="bottom"/>
          </w:tcPr>
          <w:p>
            <w:pPr>
              <w:ind w:left="20"/>
              <w:spacing w:after="0"/>
              <w:rPr>
                <w:sz w:val="20"/>
                <w:szCs w:val="20"/>
                <w:color w:val="auto"/>
              </w:rPr>
            </w:pPr>
            <w:r>
              <w:rPr>
                <w:rFonts w:ascii="Arial" w:cs="Arial" w:eastAsia="Arial" w:hAnsi="Arial"/>
                <w:sz w:val="13"/>
                <w:szCs w:val="13"/>
                <w:color w:val="auto"/>
              </w:rPr>
              <w:t>Noncontrolling interest</w:t>
            </w: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(40 )</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(40 )</w:t>
            </w:r>
          </w:p>
        </w:tc>
        <w:tc>
          <w:tcPr>
            <w:tcW w:w="0" w:type="dxa"/>
            <w:vAlign w:val="bottom"/>
          </w:tcPr>
          <w:p>
            <w:pPr>
              <w:spacing w:after="0"/>
              <w:rPr>
                <w:sz w:val="1"/>
                <w:szCs w:val="1"/>
                <w:color w:val="auto"/>
              </w:rPr>
            </w:pPr>
          </w:p>
        </w:tc>
      </w:tr>
      <w:tr>
        <w:trPr>
          <w:trHeight w:val="195"/>
        </w:trPr>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w w:val="86"/>
              </w:rPr>
              <w:t>Balances at September 30, 2022</w:t>
            </w:r>
          </w:p>
        </w:tc>
        <w:tc>
          <w:tcPr>
            <w:tcW w:w="9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right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134,849,139</w:t>
            </w:r>
          </w:p>
        </w:tc>
        <w:tc>
          <w:tcPr>
            <w:tcW w:w="28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135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437,401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(20,559 )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(530 )</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62</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rPr>
              <w:t>416,509</w:t>
            </w:r>
          </w:p>
        </w:tc>
        <w:tc>
          <w:tcPr>
            <w:tcW w:w="0" w:type="dxa"/>
            <w:vAlign w:val="bottom"/>
          </w:tcPr>
          <w:p>
            <w:pPr>
              <w:spacing w:after="0"/>
              <w:rPr>
                <w:sz w:val="1"/>
                <w:szCs w:val="1"/>
                <w:color w:val="auto"/>
              </w:rPr>
            </w:pPr>
          </w:p>
        </w:tc>
      </w:tr>
      <w:tr>
        <w:trPr>
          <w:trHeight w:val="305"/>
        </w:trPr>
        <w:tc>
          <w:tcPr>
            <w:tcW w:w="1680" w:type="dxa"/>
            <w:vAlign w:val="bottom"/>
          </w:tcPr>
          <w:p>
            <w:pPr>
              <w:spacing w:after="0"/>
              <w:rPr>
                <w:sz w:val="24"/>
                <w:szCs w:val="24"/>
                <w:color w:val="auto"/>
              </w:rPr>
            </w:pPr>
          </w:p>
        </w:tc>
        <w:tc>
          <w:tcPr>
            <w:tcW w:w="1820" w:type="dxa"/>
            <w:vAlign w:val="bottom"/>
            <w:tcBorders>
              <w:right w:val="single" w:sz="8" w:color="auto"/>
            </w:tcBorders>
            <w:gridSpan w:val="4"/>
          </w:tcPr>
          <w:p>
            <w:pPr>
              <w:jc w:val="center"/>
              <w:ind w:right="240"/>
              <w:spacing w:after="0"/>
              <w:rPr>
                <w:sz w:val="20"/>
                <w:szCs w:val="20"/>
                <w:color w:val="auto"/>
              </w:rPr>
            </w:pPr>
            <w:r>
              <w:rPr>
                <w:rFonts w:ascii="Arial" w:cs="Arial" w:eastAsia="Arial" w:hAnsi="Arial"/>
                <w:sz w:val="13"/>
                <w:szCs w:val="13"/>
                <w:b w:val="1"/>
                <w:bCs w:val="1"/>
                <w:color w:val="auto"/>
                <w:w w:val="86"/>
              </w:rPr>
              <w:t>Redeemable convertible</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Additional</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2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w w:val="88"/>
              </w:rPr>
              <w:t>Accumulated other</w:t>
            </w:r>
          </w:p>
        </w:tc>
        <w:tc>
          <w:tcPr>
            <w:tcW w:w="160" w:type="dxa"/>
            <w:vAlign w:val="bottom"/>
          </w:tcPr>
          <w:p>
            <w:pPr>
              <w:spacing w:after="0"/>
              <w:rPr>
                <w:sz w:val="24"/>
                <w:szCs w:val="24"/>
                <w:color w:val="auto"/>
              </w:rPr>
            </w:pPr>
          </w:p>
        </w:tc>
        <w:tc>
          <w:tcPr>
            <w:tcW w:w="1540" w:type="dxa"/>
            <w:vAlign w:val="bottom"/>
          </w:tcPr>
          <w:p>
            <w:pPr>
              <w:jc w:val="center"/>
              <w:ind w:right="157"/>
              <w:spacing w:after="0"/>
              <w:rPr>
                <w:sz w:val="20"/>
                <w:szCs w:val="20"/>
                <w:color w:val="auto"/>
              </w:rPr>
            </w:pPr>
            <w:r>
              <w:rPr>
                <w:rFonts w:ascii="Arial" w:cs="Arial" w:eastAsia="Arial" w:hAnsi="Arial"/>
                <w:sz w:val="13"/>
                <w:szCs w:val="13"/>
                <w:b w:val="1"/>
                <w:bCs w:val="1"/>
                <w:color w:val="auto"/>
                <w:w w:val="86"/>
              </w:rPr>
              <w:t>Noncontrolling</w:t>
            </w:r>
          </w:p>
        </w:tc>
        <w:tc>
          <w:tcPr>
            <w:tcW w:w="140" w:type="dxa"/>
            <w:vAlign w:val="bottom"/>
          </w:tcPr>
          <w:p>
            <w:pPr>
              <w:spacing w:after="0"/>
              <w:rPr>
                <w:sz w:val="24"/>
                <w:szCs w:val="24"/>
                <w:color w:val="auto"/>
              </w:rPr>
            </w:pPr>
          </w:p>
        </w:tc>
        <w:tc>
          <w:tcPr>
            <w:tcW w:w="980" w:type="dxa"/>
            <w:vAlign w:val="bottom"/>
          </w:tcPr>
          <w:p>
            <w:pPr>
              <w:jc w:val="center"/>
              <w:ind w:right="11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61"/>
        </w:trPr>
        <w:tc>
          <w:tcPr>
            <w:tcW w:w="1680" w:type="dxa"/>
            <w:vAlign w:val="bottom"/>
            <w:vMerge w:val="restart"/>
          </w:tcPr>
          <w:p>
            <w:pPr>
              <w:ind w:left="100"/>
              <w:spacing w:after="0"/>
              <w:rPr>
                <w:sz w:val="20"/>
                <w:szCs w:val="20"/>
                <w:color w:val="auto"/>
              </w:rPr>
            </w:pPr>
            <w:r>
              <w:rPr>
                <w:rFonts w:ascii="Arial" w:cs="Arial" w:eastAsia="Arial" w:hAnsi="Arial"/>
                <w:sz w:val="13"/>
                <w:szCs w:val="13"/>
                <w:b w:val="1"/>
                <w:bCs w:val="1"/>
                <w:color w:val="auto"/>
                <w:w w:val="90"/>
              </w:rPr>
              <w:t>(In thousands, except share</w:t>
            </w:r>
          </w:p>
        </w:tc>
        <w:tc>
          <w:tcPr>
            <w:tcW w:w="182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6"/>
              </w:rPr>
              <w:t>preferred stock</w:t>
            </w: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Common stock</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center"/>
              <w:ind w:right="157"/>
              <w:spacing w:after="0"/>
              <w:rPr>
                <w:sz w:val="20"/>
                <w:szCs w:val="20"/>
                <w:color w:val="auto"/>
              </w:rPr>
            </w:pPr>
            <w:r>
              <w:rPr>
                <w:rFonts w:ascii="Arial" w:cs="Arial" w:eastAsia="Arial" w:hAnsi="Arial"/>
                <w:sz w:val="13"/>
                <w:szCs w:val="13"/>
                <w:b w:val="1"/>
                <w:bCs w:val="1"/>
                <w:color w:val="auto"/>
                <w:w w:val="89"/>
              </w:rPr>
              <w:t>paid-in</w:t>
            </w:r>
          </w:p>
        </w:tc>
        <w:tc>
          <w:tcPr>
            <w:tcW w:w="160" w:type="dxa"/>
            <w:vAlign w:val="bottom"/>
          </w:tcPr>
          <w:p>
            <w:pPr>
              <w:spacing w:after="0"/>
              <w:rPr>
                <w:sz w:val="13"/>
                <w:szCs w:val="13"/>
                <w:color w:val="auto"/>
              </w:rPr>
            </w:pPr>
          </w:p>
        </w:tc>
        <w:tc>
          <w:tcPr>
            <w:tcW w:w="980" w:type="dxa"/>
            <w:vAlign w:val="bottom"/>
          </w:tcPr>
          <w:p>
            <w:pPr>
              <w:jc w:val="center"/>
              <w:ind w:right="157"/>
              <w:spacing w:after="0"/>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3"/>
                <w:szCs w:val="13"/>
                <w:color w:val="auto"/>
              </w:rPr>
            </w:pPr>
          </w:p>
        </w:tc>
        <w:tc>
          <w:tcPr>
            <w:tcW w:w="1140" w:type="dxa"/>
            <w:vAlign w:val="bottom"/>
          </w:tcPr>
          <w:p>
            <w:pPr>
              <w:jc w:val="center"/>
              <w:ind w:right="197"/>
              <w:spacing w:after="0"/>
              <w:rPr>
                <w:sz w:val="20"/>
                <w:szCs w:val="20"/>
                <w:color w:val="auto"/>
              </w:rPr>
            </w:pPr>
            <w:r>
              <w:rPr>
                <w:rFonts w:ascii="Arial" w:cs="Arial" w:eastAsia="Arial" w:hAnsi="Arial"/>
                <w:sz w:val="13"/>
                <w:szCs w:val="13"/>
                <w:b w:val="1"/>
                <w:bCs w:val="1"/>
                <w:color w:val="auto"/>
                <w:w w:val="83"/>
              </w:rPr>
              <w:t>comprehensive</w:t>
            </w:r>
          </w:p>
        </w:tc>
        <w:tc>
          <w:tcPr>
            <w:tcW w:w="160" w:type="dxa"/>
            <w:vAlign w:val="bottom"/>
          </w:tcPr>
          <w:p>
            <w:pPr>
              <w:spacing w:after="0"/>
              <w:rPr>
                <w:sz w:val="13"/>
                <w:szCs w:val="13"/>
                <w:color w:val="auto"/>
              </w:rPr>
            </w:pPr>
          </w:p>
        </w:tc>
        <w:tc>
          <w:tcPr>
            <w:tcW w:w="1540" w:type="dxa"/>
            <w:vAlign w:val="bottom"/>
          </w:tcPr>
          <w:p>
            <w:pPr>
              <w:jc w:val="center"/>
              <w:ind w:right="157"/>
              <w:spacing w:after="0"/>
              <w:rPr>
                <w:sz w:val="20"/>
                <w:szCs w:val="20"/>
                <w:color w:val="auto"/>
              </w:rPr>
            </w:pPr>
            <w:r>
              <w:rPr>
                <w:rFonts w:ascii="Arial" w:cs="Arial" w:eastAsia="Arial" w:hAnsi="Arial"/>
                <w:sz w:val="13"/>
                <w:szCs w:val="13"/>
                <w:b w:val="1"/>
                <w:bCs w:val="1"/>
                <w:color w:val="auto"/>
                <w:w w:val="84"/>
              </w:rPr>
              <w:t>interest in consolidated</w:t>
            </w:r>
          </w:p>
        </w:tc>
        <w:tc>
          <w:tcPr>
            <w:tcW w:w="140" w:type="dxa"/>
            <w:vAlign w:val="bottom"/>
          </w:tcPr>
          <w:p>
            <w:pPr>
              <w:spacing w:after="0"/>
              <w:rPr>
                <w:sz w:val="13"/>
                <w:szCs w:val="13"/>
                <w:color w:val="auto"/>
              </w:rPr>
            </w:pPr>
          </w:p>
        </w:tc>
        <w:tc>
          <w:tcPr>
            <w:tcW w:w="980" w:type="dxa"/>
            <w:vAlign w:val="bottom"/>
          </w:tcPr>
          <w:p>
            <w:pPr>
              <w:jc w:val="center"/>
              <w:ind w:right="117"/>
              <w:spacing w:after="0"/>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12"/>
        </w:trPr>
        <w:tc>
          <w:tcPr>
            <w:tcW w:w="1680" w:type="dxa"/>
            <w:vAlign w:val="bottom"/>
            <w:vMerge w:val="continue"/>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680" w:type="dxa"/>
            <w:vAlign w:val="bottom"/>
            <w:tcBorders>
              <w:bottom w:val="single" w:sz="8" w:color="auto"/>
            </w:tcBorders>
          </w:tcPr>
          <w:p>
            <w:pPr>
              <w:ind w:left="700"/>
              <w:spacing w:after="0"/>
              <w:rPr>
                <w:sz w:val="20"/>
                <w:szCs w:val="20"/>
                <w:color w:val="auto"/>
              </w:rPr>
            </w:pPr>
            <w:r>
              <w:rPr>
                <w:rFonts w:ascii="Arial" w:cs="Arial" w:eastAsia="Arial" w:hAnsi="Arial"/>
                <w:sz w:val="13"/>
                <w:szCs w:val="13"/>
                <w:b w:val="1"/>
                <w:bCs w:val="1"/>
                <w:color w:val="auto"/>
              </w:rPr>
              <w:t>data)</w:t>
            </w:r>
          </w:p>
        </w:tc>
        <w:tc>
          <w:tcPr>
            <w:tcW w:w="9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3"/>
                <w:szCs w:val="13"/>
                <w:b w:val="1"/>
                <w:bCs w:val="1"/>
                <w:color w:val="auto"/>
              </w:rPr>
              <w:t>Amount</w:t>
            </w: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Shares</w:t>
            </w:r>
          </w:p>
        </w:tc>
        <w:tc>
          <w:tcPr>
            <w:tcW w:w="68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b w:val="1"/>
                <w:bCs w:val="1"/>
                <w:color w:val="auto"/>
              </w:rPr>
              <w:t>Amount</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87"/>
              </w:rPr>
              <w:t>capital</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88"/>
              </w:rPr>
              <w:t>deficit</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83"/>
              </w:rPr>
              <w:t>income</w:t>
            </w: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6"/>
              </w:rPr>
              <w:t>subsidiary</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9"/>
              </w:rPr>
              <w:t>equity (deficit)</w:t>
            </w: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ind w:left="20"/>
              <w:spacing w:after="0"/>
              <w:rPr>
                <w:sz w:val="20"/>
                <w:szCs w:val="20"/>
                <w:color w:val="auto"/>
              </w:rPr>
            </w:pPr>
            <w:r>
              <w:rPr>
                <w:rFonts w:ascii="Arial" w:cs="Arial" w:eastAsia="Arial" w:hAnsi="Arial"/>
                <w:sz w:val="13"/>
                <w:szCs w:val="13"/>
                <w:color w:val="auto"/>
                <w:w w:val="88"/>
              </w:rPr>
              <w:t>Balances at December 31, 2020</w:t>
            </w:r>
          </w:p>
        </w:tc>
        <w:tc>
          <w:tcPr>
            <w:tcW w:w="9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87,268,694</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194,319</w:t>
            </w:r>
          </w:p>
        </w:tc>
        <w:tc>
          <w:tcPr>
            <w:tcW w:w="120" w:type="dxa"/>
            <w:vAlign w:val="bottom"/>
            <w:tcBorders>
              <w:right w:val="single" w:sz="8" w:color="auto"/>
            </w:tcBorders>
            <w:shd w:val="clear" w:color="auto" w:fill="CFF0FC"/>
          </w:tcPr>
          <w:p>
            <w:pPr>
              <w:spacing w:after="0"/>
              <w:rPr>
                <w:sz w:val="14"/>
                <w:szCs w:val="14"/>
                <w:color w:val="auto"/>
              </w:rPr>
            </w:pPr>
          </w:p>
        </w:tc>
        <w:tc>
          <w:tcPr>
            <w:tcW w:w="9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31,241,916</w:t>
            </w:r>
          </w:p>
        </w:tc>
        <w:tc>
          <w:tcPr>
            <w:tcW w:w="28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40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23</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6,491</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rPr>
              <w:t>(22,607 )</w:t>
            </w: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65</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5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(16,028 )</w:t>
            </w:r>
          </w:p>
        </w:tc>
        <w:tc>
          <w:tcPr>
            <w:tcW w:w="0" w:type="dxa"/>
            <w:vAlign w:val="bottom"/>
          </w:tcPr>
          <w:p>
            <w:pPr>
              <w:spacing w:after="0"/>
              <w:rPr>
                <w:sz w:val="1"/>
                <w:szCs w:val="1"/>
                <w:color w:val="auto"/>
              </w:rPr>
            </w:pPr>
          </w:p>
        </w:tc>
      </w:tr>
      <w:tr>
        <w:trPr>
          <w:trHeight w:val="161"/>
        </w:trPr>
        <w:tc>
          <w:tcPr>
            <w:tcW w:w="168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533,540</w:t>
            </w:r>
          </w:p>
        </w:tc>
        <w:tc>
          <w:tcPr>
            <w:tcW w:w="280" w:type="dxa"/>
            <w:vAlign w:val="bottom"/>
          </w:tcPr>
          <w:p>
            <w:pPr>
              <w:spacing w:after="0"/>
              <w:rPr>
                <w:sz w:val="14"/>
                <w:szCs w:val="14"/>
                <w:color w:val="auto"/>
              </w:rPr>
            </w:pPr>
          </w:p>
        </w:tc>
        <w:tc>
          <w:tcPr>
            <w:tcW w:w="40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195</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63"/>
        </w:trPr>
        <w:tc>
          <w:tcPr>
            <w:tcW w:w="1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456</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456</w:t>
            </w:r>
          </w:p>
        </w:tc>
        <w:tc>
          <w:tcPr>
            <w:tcW w:w="0" w:type="dxa"/>
            <w:vAlign w:val="bottom"/>
          </w:tcPr>
          <w:p>
            <w:pPr>
              <w:spacing w:after="0"/>
              <w:rPr>
                <w:sz w:val="1"/>
                <w:szCs w:val="1"/>
                <w:color w:val="auto"/>
              </w:rPr>
            </w:pPr>
          </w:p>
        </w:tc>
      </w:tr>
      <w:tr>
        <w:trPr>
          <w:trHeight w:val="121"/>
        </w:trPr>
        <w:tc>
          <w:tcPr>
            <w:tcW w:w="1680" w:type="dxa"/>
            <w:vAlign w:val="bottom"/>
          </w:tcPr>
          <w:p>
            <w:pPr>
              <w:ind w:left="20"/>
              <w:spacing w:after="0" w:line="121" w:lineRule="exact"/>
              <w:rPr>
                <w:sz w:val="20"/>
                <w:szCs w:val="20"/>
                <w:color w:val="auto"/>
              </w:rPr>
            </w:pPr>
            <w:r>
              <w:rPr>
                <w:rFonts w:ascii="Arial" w:cs="Arial" w:eastAsia="Arial" w:hAnsi="Arial"/>
                <w:sz w:val="13"/>
                <w:szCs w:val="13"/>
                <w:color w:val="auto"/>
              </w:rPr>
              <w:t>Foreign currency translation</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line="135" w:lineRule="exact"/>
              <w:rPr>
                <w:sz w:val="20"/>
                <w:szCs w:val="20"/>
                <w:color w:val="auto"/>
              </w:rPr>
            </w:pPr>
            <w:r>
              <w:rPr>
                <w:rFonts w:ascii="Arial" w:cs="Arial" w:eastAsia="Arial" w:hAnsi="Arial"/>
                <w:sz w:val="13"/>
                <w:szCs w:val="13"/>
                <w:color w:val="auto"/>
              </w:rPr>
              <w:t>adjustment,</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ind w:right="77"/>
              <w:spacing w:after="0"/>
              <w:rPr>
                <w:sz w:val="20"/>
                <w:szCs w:val="20"/>
                <w:color w:val="auto"/>
              </w:rPr>
            </w:pPr>
            <w:r>
              <w:rPr>
                <w:rFonts w:ascii="Arial" w:cs="Arial" w:eastAsia="Arial" w:hAnsi="Arial"/>
                <w:sz w:val="13"/>
                <w:szCs w:val="13"/>
                <w:color w:val="auto"/>
              </w:rPr>
              <w:t>202</w:t>
            </w: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57"/>
              <w:spacing w:after="0"/>
              <w:rPr>
                <w:sz w:val="20"/>
                <w:szCs w:val="20"/>
                <w:color w:val="auto"/>
              </w:rPr>
            </w:pPr>
            <w:r>
              <w:rPr>
                <w:rFonts w:ascii="Arial" w:cs="Arial" w:eastAsia="Arial" w:hAnsi="Arial"/>
                <w:sz w:val="13"/>
                <w:szCs w:val="13"/>
                <w:color w:val="auto"/>
              </w:rPr>
              <w:t>202</w:t>
            </w:r>
          </w:p>
        </w:tc>
        <w:tc>
          <w:tcPr>
            <w:tcW w:w="0" w:type="dxa"/>
            <w:vAlign w:val="bottom"/>
          </w:tcPr>
          <w:p>
            <w:pPr>
              <w:spacing w:after="0"/>
              <w:rPr>
                <w:sz w:val="1"/>
                <w:szCs w:val="1"/>
                <w:color w:val="auto"/>
              </w:rPr>
            </w:pPr>
          </w:p>
        </w:tc>
      </w:tr>
      <w:tr>
        <w:trPr>
          <w:trHeight w:val="161"/>
        </w:trPr>
        <w:tc>
          <w:tcPr>
            <w:tcW w:w="1680" w:type="dxa"/>
            <w:vAlign w:val="bottom"/>
          </w:tcPr>
          <w:p>
            <w:pPr>
              <w:ind w:left="120"/>
              <w:spacing w:after="0"/>
              <w:rPr>
                <w:sz w:val="20"/>
                <w:szCs w:val="20"/>
                <w:color w:val="auto"/>
              </w:rPr>
            </w:pPr>
            <w:r>
              <w:rPr>
                <w:rFonts w:ascii="Arial" w:cs="Arial" w:eastAsia="Arial" w:hAnsi="Arial"/>
                <w:sz w:val="13"/>
                <w:szCs w:val="13"/>
                <w:color w:val="auto"/>
              </w:rPr>
              <w:t>net of tax</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102</w:t>
            </w:r>
          </w:p>
        </w:tc>
        <w:tc>
          <w:tcPr>
            <w:tcW w:w="1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61"/>
        </w:trPr>
        <w:tc>
          <w:tcPr>
            <w:tcW w:w="1680" w:type="dxa"/>
            <w:vAlign w:val="bottom"/>
          </w:tcPr>
          <w:p>
            <w:pPr>
              <w:ind w:left="20"/>
              <w:spacing w:after="0"/>
              <w:rPr>
                <w:sz w:val="20"/>
                <w:szCs w:val="20"/>
                <w:color w:val="auto"/>
              </w:rPr>
            </w:pPr>
            <w:r>
              <w:rPr>
                <w:rFonts w:ascii="Arial" w:cs="Arial" w:eastAsia="Arial" w:hAnsi="Arial"/>
                <w:sz w:val="13"/>
                <w:szCs w:val="13"/>
                <w:color w:val="auto"/>
              </w:rPr>
              <w:t>Noncontrolling interest</w:t>
            </w: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315</w:t>
            </w: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315</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Balances at March 31, 2021</w:t>
            </w:r>
          </w:p>
        </w:tc>
        <w:tc>
          <w:tcPr>
            <w:tcW w:w="9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87,268,694</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194,319</w:t>
            </w:r>
          </w:p>
        </w:tc>
        <w:tc>
          <w:tcPr>
            <w:tcW w:w="120" w:type="dxa"/>
            <w:vAlign w:val="bottom"/>
            <w:tcBorders>
              <w:bottom w:val="single" w:sz="8" w:color="auto"/>
              <w:right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31,775,456</w:t>
            </w:r>
          </w:p>
        </w:tc>
        <w:tc>
          <w:tcPr>
            <w:tcW w:w="28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24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7,142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(22,505 )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267</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315</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(14,757 )</w:t>
            </w:r>
          </w:p>
        </w:tc>
        <w:tc>
          <w:tcPr>
            <w:tcW w:w="0" w:type="dxa"/>
            <w:vAlign w:val="bottom"/>
          </w:tcPr>
          <w:p>
            <w:pPr>
              <w:spacing w:after="0"/>
              <w:rPr>
                <w:sz w:val="1"/>
                <w:szCs w:val="1"/>
                <w:color w:val="auto"/>
              </w:rPr>
            </w:pPr>
          </w:p>
        </w:tc>
      </w:tr>
      <w:tr>
        <w:trPr>
          <w:trHeight w:val="143"/>
        </w:trPr>
        <w:tc>
          <w:tcPr>
            <w:tcW w:w="1680" w:type="dxa"/>
            <w:vAlign w:val="bottom"/>
          </w:tcPr>
          <w:p>
            <w:pPr>
              <w:ind w:left="20"/>
              <w:spacing w:after="0" w:line="143" w:lineRule="exact"/>
              <w:rPr>
                <w:sz w:val="20"/>
                <w:szCs w:val="20"/>
                <w:color w:val="auto"/>
              </w:rPr>
            </w:pPr>
            <w:r>
              <w:rPr>
                <w:rFonts w:ascii="Arial" w:cs="Arial" w:eastAsia="Arial" w:hAnsi="Arial"/>
                <w:sz w:val="13"/>
                <w:szCs w:val="13"/>
                <w:color w:val="auto"/>
              </w:rPr>
              <w:t>Exercise of stock options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900" w:type="dxa"/>
            <w:vAlign w:val="bottom"/>
          </w:tcPr>
          <w:p>
            <w:pPr>
              <w:jc w:val="right"/>
              <w:ind w:right="37"/>
              <w:spacing w:after="0" w:line="143" w:lineRule="exact"/>
              <w:rPr>
                <w:sz w:val="20"/>
                <w:szCs w:val="20"/>
                <w:color w:val="auto"/>
              </w:rPr>
            </w:pPr>
            <w:r>
              <w:rPr>
                <w:rFonts w:ascii="Arial" w:cs="Arial" w:eastAsia="Arial" w:hAnsi="Arial"/>
                <w:sz w:val="13"/>
                <w:szCs w:val="13"/>
                <w:color w:val="auto"/>
              </w:rPr>
              <w:t>321,130</w:t>
            </w:r>
          </w:p>
        </w:tc>
        <w:tc>
          <w:tcPr>
            <w:tcW w:w="280" w:type="dxa"/>
            <w:vAlign w:val="bottom"/>
          </w:tcPr>
          <w:p>
            <w:pPr>
              <w:spacing w:after="0"/>
              <w:rPr>
                <w:sz w:val="12"/>
                <w:szCs w:val="12"/>
                <w:color w:val="auto"/>
              </w:rPr>
            </w:pPr>
          </w:p>
        </w:tc>
        <w:tc>
          <w:tcPr>
            <w:tcW w:w="400" w:type="dxa"/>
            <w:vAlign w:val="bottom"/>
          </w:tcPr>
          <w:p>
            <w:pPr>
              <w:jc w:val="right"/>
              <w:ind w:right="77"/>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ind w:right="77"/>
              <w:spacing w:after="0" w:line="143" w:lineRule="exact"/>
              <w:rPr>
                <w:sz w:val="20"/>
                <w:szCs w:val="20"/>
                <w:color w:val="auto"/>
              </w:rPr>
            </w:pPr>
            <w:r>
              <w:rPr>
                <w:rFonts w:ascii="Arial" w:cs="Arial" w:eastAsia="Arial" w:hAnsi="Arial"/>
                <w:sz w:val="13"/>
                <w:szCs w:val="13"/>
                <w:color w:val="auto"/>
              </w:rPr>
              <w:t>166</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57"/>
              <w:spacing w:after="0" w:line="143" w:lineRule="exact"/>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63"/>
        </w:trPr>
        <w:tc>
          <w:tcPr>
            <w:tcW w:w="1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667</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667</w:t>
            </w:r>
          </w:p>
        </w:tc>
        <w:tc>
          <w:tcPr>
            <w:tcW w:w="0" w:type="dxa"/>
            <w:vAlign w:val="bottom"/>
          </w:tcPr>
          <w:p>
            <w:pPr>
              <w:spacing w:after="0"/>
              <w:rPr>
                <w:sz w:val="1"/>
                <w:szCs w:val="1"/>
                <w:color w:val="auto"/>
              </w:rPr>
            </w:pPr>
          </w:p>
        </w:tc>
      </w:tr>
      <w:tr>
        <w:trPr>
          <w:trHeight w:val="121"/>
        </w:trPr>
        <w:tc>
          <w:tcPr>
            <w:tcW w:w="1680" w:type="dxa"/>
            <w:vAlign w:val="bottom"/>
          </w:tcPr>
          <w:p>
            <w:pPr>
              <w:ind w:left="20"/>
              <w:spacing w:after="0" w:line="121" w:lineRule="exact"/>
              <w:rPr>
                <w:sz w:val="20"/>
                <w:szCs w:val="20"/>
                <w:color w:val="auto"/>
              </w:rPr>
            </w:pPr>
            <w:r>
              <w:rPr>
                <w:rFonts w:ascii="Arial" w:cs="Arial" w:eastAsia="Arial" w:hAnsi="Arial"/>
                <w:sz w:val="13"/>
                <w:szCs w:val="13"/>
                <w:color w:val="auto"/>
              </w:rPr>
              <w:t>Foreign currency translation</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line="135" w:lineRule="exact"/>
              <w:rPr>
                <w:sz w:val="20"/>
                <w:szCs w:val="20"/>
                <w:color w:val="auto"/>
              </w:rPr>
            </w:pPr>
            <w:r>
              <w:rPr>
                <w:rFonts w:ascii="Arial" w:cs="Arial" w:eastAsia="Arial" w:hAnsi="Arial"/>
                <w:sz w:val="13"/>
                <w:szCs w:val="13"/>
                <w:color w:val="auto"/>
              </w:rPr>
              <w:t>adjustment,</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ind w:right="77"/>
              <w:spacing w:after="0"/>
              <w:rPr>
                <w:sz w:val="20"/>
                <w:szCs w:val="20"/>
                <w:color w:val="auto"/>
              </w:rPr>
            </w:pPr>
            <w:r>
              <w:rPr>
                <w:rFonts w:ascii="Arial" w:cs="Arial" w:eastAsia="Arial" w:hAnsi="Arial"/>
                <w:sz w:val="13"/>
                <w:szCs w:val="13"/>
                <w:color w:val="auto"/>
              </w:rPr>
              <w:t>269</w:t>
            </w: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57"/>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61"/>
        </w:trPr>
        <w:tc>
          <w:tcPr>
            <w:tcW w:w="1680" w:type="dxa"/>
            <w:vAlign w:val="bottom"/>
          </w:tcPr>
          <w:p>
            <w:pPr>
              <w:ind w:left="120"/>
              <w:spacing w:after="0"/>
              <w:rPr>
                <w:sz w:val="20"/>
                <w:szCs w:val="20"/>
                <w:color w:val="auto"/>
              </w:rPr>
            </w:pPr>
            <w:r>
              <w:rPr>
                <w:rFonts w:ascii="Arial" w:cs="Arial" w:eastAsia="Arial" w:hAnsi="Arial"/>
                <w:sz w:val="13"/>
                <w:szCs w:val="13"/>
                <w:color w:val="auto"/>
              </w:rPr>
              <w:t>net of tax</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2,670</w:t>
            </w:r>
          </w:p>
        </w:tc>
        <w:tc>
          <w:tcPr>
            <w:tcW w:w="1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2,670</w:t>
            </w:r>
          </w:p>
        </w:tc>
        <w:tc>
          <w:tcPr>
            <w:tcW w:w="0" w:type="dxa"/>
            <w:vAlign w:val="bottom"/>
          </w:tcPr>
          <w:p>
            <w:pPr>
              <w:spacing w:after="0"/>
              <w:rPr>
                <w:sz w:val="1"/>
                <w:szCs w:val="1"/>
                <w:color w:val="auto"/>
              </w:rPr>
            </w:pPr>
          </w:p>
        </w:tc>
      </w:tr>
      <w:tr>
        <w:trPr>
          <w:trHeight w:val="161"/>
        </w:trPr>
        <w:tc>
          <w:tcPr>
            <w:tcW w:w="1680" w:type="dxa"/>
            <w:vAlign w:val="bottom"/>
          </w:tcPr>
          <w:p>
            <w:pPr>
              <w:ind w:left="20"/>
              <w:spacing w:after="0"/>
              <w:rPr>
                <w:sz w:val="20"/>
                <w:szCs w:val="20"/>
                <w:color w:val="auto"/>
              </w:rPr>
            </w:pPr>
            <w:r>
              <w:rPr>
                <w:rFonts w:ascii="Arial" w:cs="Arial" w:eastAsia="Arial" w:hAnsi="Arial"/>
                <w:sz w:val="13"/>
                <w:szCs w:val="13"/>
                <w:color w:val="auto"/>
              </w:rPr>
              <w:t>Noncontrolling interest</w:t>
            </w: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Balances at June 30, 2021</w:t>
            </w:r>
          </w:p>
        </w:tc>
        <w:tc>
          <w:tcPr>
            <w:tcW w:w="9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87,268,694</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194,319</w:t>
            </w:r>
          </w:p>
        </w:tc>
        <w:tc>
          <w:tcPr>
            <w:tcW w:w="120" w:type="dxa"/>
            <w:vAlign w:val="bottom"/>
            <w:tcBorders>
              <w:bottom w:val="single" w:sz="8" w:color="auto"/>
              <w:right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rPr>
              <w:t>32,096,586</w:t>
            </w:r>
          </w:p>
        </w:tc>
        <w:tc>
          <w:tcPr>
            <w:tcW w:w="280" w:type="dxa"/>
            <w:vAlign w:val="bottom"/>
            <w:tcBorders>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24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7,975</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rPr>
              <w:t>(19,835 )</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536</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54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rPr>
              <w:t>315</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(10,985 )</w:t>
            </w:r>
          </w:p>
        </w:tc>
        <w:tc>
          <w:tcPr>
            <w:tcW w:w="0" w:type="dxa"/>
            <w:vAlign w:val="bottom"/>
          </w:tcPr>
          <w:p>
            <w:pPr>
              <w:spacing w:after="0"/>
              <w:rPr>
                <w:sz w:val="1"/>
                <w:szCs w:val="1"/>
                <w:color w:val="auto"/>
              </w:rPr>
            </w:pPr>
          </w:p>
        </w:tc>
      </w:tr>
      <w:tr>
        <w:trPr>
          <w:trHeight w:val="143"/>
        </w:trPr>
        <w:tc>
          <w:tcPr>
            <w:tcW w:w="1680" w:type="dxa"/>
            <w:vAlign w:val="bottom"/>
          </w:tcPr>
          <w:p>
            <w:pPr>
              <w:ind w:left="20"/>
              <w:spacing w:after="0" w:line="143" w:lineRule="exact"/>
              <w:rPr>
                <w:sz w:val="20"/>
                <w:szCs w:val="20"/>
                <w:color w:val="auto"/>
              </w:rPr>
            </w:pPr>
            <w:r>
              <w:rPr>
                <w:rFonts w:ascii="Arial" w:cs="Arial" w:eastAsia="Arial" w:hAnsi="Arial"/>
                <w:sz w:val="13"/>
                <w:szCs w:val="13"/>
                <w:color w:val="auto"/>
              </w:rPr>
              <w:t>Exercise of stock options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900" w:type="dxa"/>
            <w:vAlign w:val="bottom"/>
          </w:tcPr>
          <w:p>
            <w:pPr>
              <w:jc w:val="right"/>
              <w:ind w:right="37"/>
              <w:spacing w:after="0" w:line="143" w:lineRule="exact"/>
              <w:rPr>
                <w:sz w:val="20"/>
                <w:szCs w:val="20"/>
                <w:color w:val="auto"/>
              </w:rPr>
            </w:pPr>
            <w:r>
              <w:rPr>
                <w:rFonts w:ascii="Arial" w:cs="Arial" w:eastAsia="Arial" w:hAnsi="Arial"/>
                <w:sz w:val="13"/>
                <w:szCs w:val="13"/>
                <w:color w:val="auto"/>
              </w:rPr>
              <w:t>411,060</w:t>
            </w:r>
          </w:p>
        </w:tc>
        <w:tc>
          <w:tcPr>
            <w:tcW w:w="280" w:type="dxa"/>
            <w:vAlign w:val="bottom"/>
          </w:tcPr>
          <w:p>
            <w:pPr>
              <w:spacing w:after="0"/>
              <w:rPr>
                <w:sz w:val="12"/>
                <w:szCs w:val="12"/>
                <w:color w:val="auto"/>
              </w:rPr>
            </w:pPr>
          </w:p>
        </w:tc>
        <w:tc>
          <w:tcPr>
            <w:tcW w:w="400" w:type="dxa"/>
            <w:vAlign w:val="bottom"/>
          </w:tcPr>
          <w:p>
            <w:pPr>
              <w:jc w:val="right"/>
              <w:ind w:right="77"/>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ind w:right="77"/>
              <w:spacing w:after="0" w:line="143" w:lineRule="exact"/>
              <w:rPr>
                <w:sz w:val="20"/>
                <w:szCs w:val="20"/>
                <w:color w:val="auto"/>
              </w:rPr>
            </w:pPr>
            <w:r>
              <w:rPr>
                <w:rFonts w:ascii="Arial" w:cs="Arial" w:eastAsia="Arial" w:hAnsi="Arial"/>
                <w:sz w:val="13"/>
                <w:szCs w:val="13"/>
                <w:color w:val="auto"/>
              </w:rPr>
              <w:t>264</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ind w:right="57"/>
              <w:spacing w:after="0" w:line="143" w:lineRule="exact"/>
              <w:rPr>
                <w:sz w:val="20"/>
                <w:szCs w:val="20"/>
                <w:color w:val="auto"/>
              </w:rPr>
            </w:pPr>
            <w:r>
              <w:rPr>
                <w:rFonts w:ascii="Arial" w:cs="Arial" w:eastAsia="Arial" w:hAnsi="Arial"/>
                <w:sz w:val="13"/>
                <w:szCs w:val="13"/>
                <w:color w:val="auto"/>
              </w:rPr>
              <w:t>264</w:t>
            </w:r>
          </w:p>
        </w:tc>
        <w:tc>
          <w:tcPr>
            <w:tcW w:w="0" w:type="dxa"/>
            <w:vAlign w:val="bottom"/>
          </w:tcPr>
          <w:p>
            <w:pPr>
              <w:spacing w:after="0"/>
              <w:rPr>
                <w:sz w:val="1"/>
                <w:szCs w:val="1"/>
                <w:color w:val="auto"/>
              </w:rPr>
            </w:pPr>
          </w:p>
        </w:tc>
      </w:tr>
      <w:tr>
        <w:trPr>
          <w:trHeight w:val="163"/>
        </w:trPr>
        <w:tc>
          <w:tcPr>
            <w:tcW w:w="1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2,455</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2,455</w:t>
            </w:r>
          </w:p>
        </w:tc>
        <w:tc>
          <w:tcPr>
            <w:tcW w:w="0" w:type="dxa"/>
            <w:vAlign w:val="bottom"/>
          </w:tcPr>
          <w:p>
            <w:pPr>
              <w:spacing w:after="0"/>
              <w:rPr>
                <w:sz w:val="1"/>
                <w:szCs w:val="1"/>
                <w:color w:val="auto"/>
              </w:rPr>
            </w:pPr>
          </w:p>
        </w:tc>
      </w:tr>
      <w:tr>
        <w:trPr>
          <w:trHeight w:val="121"/>
        </w:trPr>
        <w:tc>
          <w:tcPr>
            <w:tcW w:w="1680" w:type="dxa"/>
            <w:vAlign w:val="bottom"/>
          </w:tcPr>
          <w:p>
            <w:pPr>
              <w:ind w:left="20"/>
              <w:spacing w:after="0" w:line="121" w:lineRule="exact"/>
              <w:rPr>
                <w:sz w:val="20"/>
                <w:szCs w:val="20"/>
                <w:color w:val="auto"/>
              </w:rPr>
            </w:pPr>
            <w:r>
              <w:rPr>
                <w:rFonts w:ascii="Arial" w:cs="Arial" w:eastAsia="Arial" w:hAnsi="Arial"/>
                <w:sz w:val="13"/>
                <w:szCs w:val="13"/>
                <w:color w:val="auto"/>
                <w:w w:val="87"/>
              </w:rPr>
              <w:t>Issuance of common stock upon</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line="135" w:lineRule="exact"/>
              <w:rPr>
                <w:sz w:val="20"/>
                <w:szCs w:val="20"/>
                <w:color w:val="auto"/>
              </w:rPr>
            </w:pPr>
            <w:r>
              <w:rPr>
                <w:rFonts w:ascii="Arial" w:cs="Arial" w:eastAsia="Arial" w:hAnsi="Arial"/>
                <w:sz w:val="13"/>
                <w:szCs w:val="13"/>
                <w:color w:val="auto"/>
              </w:rPr>
              <w:t>initial public offering, net of</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80" w:type="dxa"/>
            <w:vAlign w:val="bottom"/>
          </w:tcPr>
          <w:p>
            <w:pPr>
              <w:ind w:left="20"/>
              <w:spacing w:after="0" w:line="123" w:lineRule="exact"/>
              <w:rPr>
                <w:sz w:val="20"/>
                <w:szCs w:val="20"/>
                <w:color w:val="auto"/>
              </w:rPr>
            </w:pPr>
            <w:r>
              <w:rPr>
                <w:rFonts w:ascii="Arial" w:cs="Arial" w:eastAsia="Arial" w:hAnsi="Arial"/>
                <w:sz w:val="13"/>
                <w:szCs w:val="13"/>
                <w:color w:val="auto"/>
              </w:rPr>
              <w:t>underwriting discounts and</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80" w:type="dxa"/>
            <w:vAlign w:val="bottom"/>
          </w:tcPr>
          <w:p>
            <w:pPr>
              <w:ind w:left="20"/>
              <w:spacing w:after="0" w:line="134" w:lineRule="exact"/>
              <w:rPr>
                <w:sz w:val="20"/>
                <w:szCs w:val="20"/>
                <w:color w:val="auto"/>
              </w:rPr>
            </w:pPr>
            <w:r>
              <w:rPr>
                <w:rFonts w:ascii="Arial" w:cs="Arial" w:eastAsia="Arial" w:hAnsi="Arial"/>
                <w:sz w:val="13"/>
                <w:szCs w:val="13"/>
                <w:color w:val="auto"/>
                <w:w w:val="90"/>
              </w:rPr>
              <w:t>commissions and other offering</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20"/>
              <w:spacing w:after="0"/>
              <w:rPr>
                <w:sz w:val="20"/>
                <w:szCs w:val="20"/>
                <w:color w:val="auto"/>
              </w:rPr>
            </w:pPr>
            <w:r>
              <w:rPr>
                <w:rFonts w:ascii="Arial" w:cs="Arial" w:eastAsia="Arial" w:hAnsi="Arial"/>
                <w:sz w:val="13"/>
                <w:szCs w:val="13"/>
                <w:color w:val="auto"/>
              </w:rPr>
              <w:t>costs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13,949,401</w:t>
            </w:r>
          </w:p>
        </w:tc>
        <w:tc>
          <w:tcPr>
            <w:tcW w:w="280" w:type="dxa"/>
            <w:vAlign w:val="bottom"/>
          </w:tcPr>
          <w:p>
            <w:pPr>
              <w:spacing w:after="0"/>
              <w:rPr>
                <w:sz w:val="14"/>
                <w:szCs w:val="14"/>
                <w:color w:val="auto"/>
              </w:rPr>
            </w:pPr>
          </w:p>
        </w:tc>
        <w:tc>
          <w:tcPr>
            <w:tcW w:w="40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20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215,675</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215,689</w:t>
            </w:r>
          </w:p>
        </w:tc>
        <w:tc>
          <w:tcPr>
            <w:tcW w:w="0" w:type="dxa"/>
            <w:vAlign w:val="bottom"/>
          </w:tcPr>
          <w:p>
            <w:pPr>
              <w:spacing w:after="0"/>
              <w:rPr>
                <w:sz w:val="1"/>
                <w:szCs w:val="1"/>
                <w:color w:val="auto"/>
              </w:rPr>
            </w:pPr>
          </w:p>
        </w:tc>
      </w:tr>
      <w:tr>
        <w:trPr>
          <w:trHeight w:val="129"/>
        </w:trPr>
        <w:tc>
          <w:tcPr>
            <w:tcW w:w="168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color w:val="auto"/>
              </w:rPr>
              <w:t>Conversion of redeemable</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w w:val="97"/>
              </w:rPr>
              <w:t>convertible preferred stock to</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80" w:type="dxa"/>
            <w:vAlign w:val="bottom"/>
            <w:shd w:val="clear" w:color="auto" w:fill="CFF0FC"/>
          </w:tcPr>
          <w:p>
            <w:pPr>
              <w:ind w:left="20"/>
              <w:spacing w:after="0" w:line="123" w:lineRule="exact"/>
              <w:rPr>
                <w:sz w:val="20"/>
                <w:szCs w:val="20"/>
                <w:color w:val="auto"/>
              </w:rPr>
            </w:pPr>
            <w:r>
              <w:rPr>
                <w:rFonts w:ascii="Arial" w:cs="Arial" w:eastAsia="Arial" w:hAnsi="Arial"/>
                <w:sz w:val="13"/>
                <w:szCs w:val="13"/>
                <w:color w:val="auto"/>
              </w:rPr>
              <w:t>common stock upon initial</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(87,268,694 )</w:t>
            </w: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7"/>
              </w:rPr>
              <w:t>(194,319 )</w:t>
            </w:r>
          </w:p>
        </w:tc>
        <w:tc>
          <w:tcPr>
            <w:tcW w:w="120" w:type="dxa"/>
            <w:vAlign w:val="bottom"/>
            <w:tcBorders>
              <w:right w:val="single" w:sz="8" w:color="auto"/>
            </w:tcBorders>
            <w:shd w:val="clear" w:color="auto" w:fill="CFF0FC"/>
          </w:tcPr>
          <w:p>
            <w:pPr>
              <w:spacing w:after="0"/>
              <w:rPr>
                <w:sz w:val="10"/>
                <w:szCs w:val="10"/>
                <w:color w:val="auto"/>
              </w:rPr>
            </w:pPr>
          </w:p>
        </w:tc>
        <w:tc>
          <w:tcPr>
            <w:tcW w:w="900" w:type="dxa"/>
            <w:vAlign w:val="bottom"/>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87,268,694</w:t>
            </w:r>
          </w:p>
        </w:tc>
        <w:tc>
          <w:tcPr>
            <w:tcW w:w="28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87</w:t>
            </w:r>
          </w:p>
        </w:tc>
        <w:tc>
          <w:tcPr>
            <w:tcW w:w="20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194,231</w:t>
            </w:r>
          </w:p>
        </w:tc>
        <w:tc>
          <w:tcPr>
            <w:tcW w:w="1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194,318</w:t>
            </w:r>
          </w:p>
        </w:tc>
        <w:tc>
          <w:tcPr>
            <w:tcW w:w="0" w:type="dxa"/>
            <w:vAlign w:val="bottom"/>
          </w:tcPr>
          <w:p>
            <w:pPr>
              <w:spacing w:after="0"/>
              <w:rPr>
                <w:sz w:val="1"/>
                <w:szCs w:val="1"/>
                <w:color w:val="auto"/>
              </w:rPr>
            </w:pPr>
          </w:p>
        </w:tc>
      </w:tr>
      <w:tr>
        <w:trPr>
          <w:trHeight w:val="176"/>
        </w:trPr>
        <w:tc>
          <w:tcPr>
            <w:tcW w:w="1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public offering</w:t>
            </w:r>
          </w:p>
        </w:tc>
        <w:tc>
          <w:tcPr>
            <w:tcW w:w="92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vMerge w:val="continue"/>
            <w:shd w:val="clear" w:color="auto" w:fill="CFF0FC"/>
          </w:tcPr>
          <w:p>
            <w:pPr>
              <w:spacing w:after="0"/>
              <w:rPr>
                <w:sz w:val="15"/>
                <w:szCs w:val="15"/>
                <w:color w:val="auto"/>
              </w:rPr>
            </w:pPr>
          </w:p>
        </w:tc>
        <w:tc>
          <w:tcPr>
            <w:tcW w:w="120" w:type="dxa"/>
            <w:vAlign w:val="bottom"/>
            <w:tcBorders>
              <w:right w:val="single" w:sz="8" w:color="auto"/>
            </w:tcBorders>
            <w:shd w:val="clear" w:color="auto" w:fill="CFF0FC"/>
          </w:tcPr>
          <w:p>
            <w:pPr>
              <w:spacing w:after="0"/>
              <w:rPr>
                <w:sz w:val="15"/>
                <w:szCs w:val="15"/>
                <w:color w:val="auto"/>
              </w:rPr>
            </w:pPr>
          </w:p>
        </w:tc>
        <w:tc>
          <w:tcPr>
            <w:tcW w:w="900" w:type="dxa"/>
            <w:vAlign w:val="bottom"/>
            <w:vMerge w:val="continue"/>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680" w:type="dxa"/>
            <w:vAlign w:val="bottom"/>
          </w:tcPr>
          <w:p>
            <w:pPr>
              <w:ind w:left="20"/>
              <w:spacing w:after="0" w:line="121" w:lineRule="exact"/>
              <w:rPr>
                <w:sz w:val="20"/>
                <w:szCs w:val="20"/>
                <w:color w:val="auto"/>
              </w:rPr>
            </w:pPr>
            <w:r>
              <w:rPr>
                <w:rFonts w:ascii="Arial" w:cs="Arial" w:eastAsia="Arial" w:hAnsi="Arial"/>
                <w:sz w:val="13"/>
                <w:szCs w:val="13"/>
                <w:color w:val="auto"/>
              </w:rPr>
              <w:t>Foreign currency translation</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20"/>
              <w:spacing w:after="0" w:line="135" w:lineRule="exact"/>
              <w:rPr>
                <w:sz w:val="20"/>
                <w:szCs w:val="20"/>
                <w:color w:val="auto"/>
              </w:rPr>
            </w:pPr>
            <w:r>
              <w:rPr>
                <w:rFonts w:ascii="Arial" w:cs="Arial" w:eastAsia="Arial" w:hAnsi="Arial"/>
                <w:sz w:val="13"/>
                <w:szCs w:val="13"/>
                <w:color w:val="auto"/>
              </w:rPr>
              <w:t>adjustment,</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ind w:right="77"/>
              <w:spacing w:after="0"/>
              <w:rPr>
                <w:sz w:val="20"/>
                <w:szCs w:val="20"/>
                <w:color w:val="auto"/>
              </w:rPr>
            </w:pPr>
            <w:r>
              <w:rPr>
                <w:rFonts w:ascii="Arial" w:cs="Arial" w:eastAsia="Arial" w:hAnsi="Arial"/>
                <w:sz w:val="13"/>
                <w:szCs w:val="13"/>
                <w:color w:val="auto"/>
              </w:rPr>
              <w:t>34</w:t>
            </w: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57"/>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61"/>
        </w:trPr>
        <w:tc>
          <w:tcPr>
            <w:tcW w:w="1680" w:type="dxa"/>
            <w:vAlign w:val="bottom"/>
          </w:tcPr>
          <w:p>
            <w:pPr>
              <w:ind w:left="120"/>
              <w:spacing w:after="0"/>
              <w:rPr>
                <w:sz w:val="20"/>
                <w:szCs w:val="20"/>
                <w:color w:val="auto"/>
              </w:rPr>
            </w:pPr>
            <w:r>
              <w:rPr>
                <w:rFonts w:ascii="Arial" w:cs="Arial" w:eastAsia="Arial" w:hAnsi="Arial"/>
                <w:sz w:val="13"/>
                <w:szCs w:val="13"/>
                <w:color w:val="auto"/>
              </w:rPr>
              <w:t>net of tax</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6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tcBorders>
              <w:right w:val="single" w:sz="8" w:color="auto"/>
            </w:tcBorders>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rPr>
              <w:t>1,420</w:t>
            </w:r>
          </w:p>
        </w:tc>
        <w:tc>
          <w:tcPr>
            <w:tcW w:w="1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rPr>
              <w:t>1,420</w:t>
            </w:r>
          </w:p>
        </w:tc>
        <w:tc>
          <w:tcPr>
            <w:tcW w:w="0" w:type="dxa"/>
            <w:vAlign w:val="bottom"/>
          </w:tcPr>
          <w:p>
            <w:pPr>
              <w:spacing w:after="0"/>
              <w:rPr>
                <w:sz w:val="1"/>
                <w:szCs w:val="1"/>
                <w:color w:val="auto"/>
              </w:rPr>
            </w:pPr>
          </w:p>
        </w:tc>
      </w:tr>
      <w:tr>
        <w:trPr>
          <w:trHeight w:val="161"/>
        </w:trPr>
        <w:tc>
          <w:tcPr>
            <w:tcW w:w="1680" w:type="dxa"/>
            <w:vAlign w:val="bottom"/>
          </w:tcPr>
          <w:p>
            <w:pPr>
              <w:ind w:left="20"/>
              <w:spacing w:after="0"/>
              <w:rPr>
                <w:sz w:val="20"/>
                <w:szCs w:val="20"/>
                <w:color w:val="auto"/>
              </w:rPr>
            </w:pPr>
            <w:r>
              <w:rPr>
                <w:rFonts w:ascii="Arial" w:cs="Arial" w:eastAsia="Arial" w:hAnsi="Arial"/>
                <w:sz w:val="13"/>
                <w:szCs w:val="13"/>
                <w:color w:val="auto"/>
              </w:rPr>
              <w:t>Noncontrolling interest</w:t>
            </w: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-7058660</wp:posOffset>
            </wp:positionV>
            <wp:extent cx="6069330" cy="3213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69330" cy="321310"/>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-3526790</wp:posOffset>
            </wp:positionV>
            <wp:extent cx="2151380" cy="3213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1380" cy="321310"/>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tabs>
          <w:tab w:leader="none" w:pos="2340" w:val="left"/>
          <w:tab w:leader="none" w:pos="2620" w:val="left"/>
          <w:tab w:leader="none" w:pos="3180" w:val="left"/>
          <w:tab w:leader="none" w:pos="3660" w:val="left"/>
          <w:tab w:leader="none" w:pos="4420" w:val="left"/>
          <w:tab w:leader="none" w:pos="4720" w:val="left"/>
          <w:tab w:leader="none" w:pos="5180" w:val="left"/>
          <w:tab w:leader="none" w:pos="5380" w:val="left"/>
          <w:tab w:leader="none" w:pos="6020" w:val="left"/>
          <w:tab w:leader="none" w:pos="6540" w:val="left"/>
          <w:tab w:leader="none" w:pos="7160" w:val="left"/>
          <w:tab w:leader="none" w:pos="8060" w:val="left"/>
          <w:tab w:leader="none" w:pos="8480" w:val="left"/>
          <w:tab w:leader="none" w:pos="9760" w:val="left"/>
          <w:tab w:leader="none" w:pos="10180" w:val="left"/>
          <w:tab w:leader="none" w:pos="10680" w:val="left"/>
        </w:tabs>
        <w:rPr>
          <w:sz w:val="20"/>
          <w:szCs w:val="20"/>
          <w:color w:val="auto"/>
        </w:rPr>
      </w:pPr>
      <w:r>
        <w:rPr>
          <w:rFonts w:ascii="Arial" w:cs="Arial" w:eastAsia="Arial" w:hAnsi="Arial"/>
          <w:sz w:val="13"/>
          <w:szCs w:val="13"/>
          <w:color w:val="auto"/>
        </w:rPr>
        <w:t>Balances at September 30, 2021</w:t>
      </w:r>
      <w:r>
        <w:rPr>
          <w:sz w:val="20"/>
          <w:szCs w:val="20"/>
          <w:color w:val="auto"/>
        </w:rPr>
        <w:tab/>
      </w:r>
      <w:r>
        <w:rPr>
          <w:rFonts w:ascii="Arial" w:cs="Arial" w:eastAsia="Arial" w:hAnsi="Arial"/>
          <w:sz w:val="13"/>
          <w:szCs w:val="13"/>
          <w:color w:val="auto"/>
        </w:rPr>
        <w:t>—</w:t>
        <w:tab/>
        <w: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133,725,741</w:t>
        <w:tab/>
        <w:t>$</w:t>
      </w:r>
      <w:r>
        <w:rPr>
          <w:sz w:val="20"/>
          <w:szCs w:val="20"/>
          <w:color w:val="auto"/>
        </w:rPr>
        <w:tab/>
      </w:r>
      <w:r>
        <w:rPr>
          <w:rFonts w:ascii="Arial" w:cs="Arial" w:eastAsia="Arial" w:hAnsi="Arial"/>
          <w:sz w:val="13"/>
          <w:szCs w:val="13"/>
          <w:color w:val="auto"/>
        </w:rPr>
        <w:t>125</w:t>
      </w:r>
      <w:r>
        <w:rPr>
          <w:sz w:val="20"/>
          <w:szCs w:val="20"/>
          <w:color w:val="auto"/>
        </w:rPr>
        <w:tab/>
      </w:r>
      <w:r>
        <w:rPr>
          <w:rFonts w:ascii="Arial" w:cs="Arial" w:eastAsia="Arial" w:hAnsi="Arial"/>
          <w:sz w:val="13"/>
          <w:szCs w:val="13"/>
          <w:color w:val="auto"/>
        </w:rPr>
        <w:t>$</w:t>
        <w:tab/>
        <w:t>420,600</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(18,415 )</w:t>
        <w:tab/>
        <w:t>$</w:t>
      </w:r>
      <w:r>
        <w:rPr>
          <w:sz w:val="20"/>
          <w:szCs w:val="20"/>
          <w:color w:val="auto"/>
        </w:rPr>
        <w:tab/>
      </w:r>
      <w:r>
        <w:rPr>
          <w:rFonts w:ascii="Arial" w:cs="Arial" w:eastAsia="Arial" w:hAnsi="Arial"/>
          <w:sz w:val="13"/>
          <w:szCs w:val="13"/>
          <w:color w:val="auto"/>
        </w:rPr>
        <w:t>570</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315</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0"/>
          <w:szCs w:val="10"/>
          <w:color w:val="auto"/>
        </w:rPr>
        <w:t>403,195</w:t>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The accompanying notes are an integral part of these unaudited interim consolidated financial statements</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6</w:t>
      </w:r>
    </w:p>
    <w:p>
      <w:pPr>
        <w:spacing w:after="0" w:line="12"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Cytek Biosciences, Inc</w:t>
      </w:r>
    </w:p>
    <w:p>
      <w:pPr>
        <w:spacing w:after="0" w:line="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1320" w:type="dxa"/>
            <w:vAlign w:val="bottom"/>
          </w:tcPr>
          <w:p>
            <w:pPr>
              <w:jc w:val="right"/>
              <w:ind w:right="67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651"/>
              <w:spacing w:after="0"/>
              <w:rPr>
                <w:sz w:val="20"/>
                <w:szCs w:val="20"/>
                <w:color w:val="auto"/>
              </w:rPr>
            </w:pPr>
            <w:r>
              <w:rPr>
                <w:rFonts w:ascii="Arial" w:cs="Arial" w:eastAsia="Arial" w:hAnsi="Arial"/>
                <w:sz w:val="14"/>
                <w:szCs w:val="14"/>
                <w:b w:val="1"/>
                <w:bCs w:val="1"/>
                <w:color w:val="auto"/>
              </w:rPr>
              <w:t>2021</w:t>
            </w:r>
          </w:p>
        </w:tc>
      </w:tr>
      <w:tr>
        <w:trPr>
          <w:trHeight w:val="209"/>
        </w:trPr>
        <w:tc>
          <w:tcPr>
            <w:tcW w:w="75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r>
      <w:tr>
        <w:trPr>
          <w:trHeight w:val="216"/>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(1,234 )</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4,192</w:t>
            </w:r>
          </w:p>
        </w:tc>
      </w:tr>
      <w:tr>
        <w:trPr>
          <w:trHeight w:val="216"/>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1,731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557</w:t>
            </w:r>
          </w:p>
        </w:tc>
      </w:tr>
      <w:tr>
        <w:trPr>
          <w:trHeight w:val="216"/>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Amortization of operating lease-right-of use assets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2,064</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12,130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3,578</w:t>
            </w:r>
          </w:p>
        </w:tc>
      </w:tr>
      <w:tr>
        <w:trPr>
          <w:trHeight w:val="216"/>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Gain on equity method investment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(40 )</w:t>
            </w:r>
          </w:p>
        </w:tc>
      </w:tr>
      <w:tr>
        <w:trPr>
          <w:trHeight w:val="21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Provision for excess and obsolete inventory</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333</w:t>
            </w:r>
          </w:p>
        </w:tc>
      </w:tr>
      <w:tr>
        <w:trPr>
          <w:trHeight w:val="216"/>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Interest expenses for accretion of the legal settlement liabilities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1,611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1,215</w:t>
            </w:r>
          </w:p>
        </w:tc>
      </w:tr>
      <w:tr>
        <w:trPr>
          <w:trHeight w:val="21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Change in operating assets and liabilities: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Trade accounts receivable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(11,780 )</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(11,647 )</w:t>
            </w:r>
          </w:p>
        </w:tc>
      </w:tr>
      <w:tr>
        <w:trPr>
          <w:trHeight w:val="216"/>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(19,537 )</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(4,838 )</w:t>
            </w:r>
          </w:p>
        </w:tc>
      </w:tr>
      <w:tr>
        <w:trPr>
          <w:trHeight w:val="216"/>
        </w:trPr>
        <w:tc>
          <w:tcPr>
            <w:tcW w:w="77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(15,035 )</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(5,002 )</w:t>
            </w:r>
          </w:p>
        </w:tc>
      </w:tr>
      <w:tr>
        <w:trPr>
          <w:trHeight w:val="216"/>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Trade accounts payable</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2,770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486</w:t>
            </w:r>
          </w:p>
        </w:tc>
      </w:tr>
      <w:tr>
        <w:trPr>
          <w:trHeight w:val="216"/>
        </w:trPr>
        <w:tc>
          <w:tcPr>
            <w:tcW w:w="77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2,828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2,099</w:t>
            </w:r>
          </w:p>
        </w:tc>
      </w:tr>
      <w:tr>
        <w:trPr>
          <w:trHeight w:val="216"/>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Legal settlement liabilities</w:t>
            </w: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478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1,612</w:t>
            </w:r>
          </w:p>
        </w:tc>
      </w:tr>
      <w:tr>
        <w:trPr>
          <w:trHeight w:val="216"/>
        </w:trPr>
        <w:tc>
          <w:tcPr>
            <w:tcW w:w="77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6,496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6,637</w:t>
            </w:r>
          </w:p>
        </w:tc>
      </w:tr>
      <w:tr>
        <w:trPr>
          <w:trHeight w:val="216"/>
        </w:trPr>
        <w:tc>
          <w:tcPr>
            <w:tcW w:w="7720" w:type="dxa"/>
            <w:vAlign w:val="bottom"/>
            <w:gridSpan w:val="2"/>
          </w:tcPr>
          <w:p>
            <w:pPr>
              <w:ind w:left="380"/>
              <w:spacing w:after="0"/>
              <w:rPr>
                <w:sz w:val="20"/>
                <w:szCs w:val="20"/>
                <w:color w:val="auto"/>
              </w:rPr>
            </w:pPr>
            <w:r>
              <w:rPr>
                <w:rFonts w:ascii="Arial" w:cs="Arial" w:eastAsia="Arial" w:hAnsi="Arial"/>
                <w:sz w:val="18"/>
                <w:szCs w:val="18"/>
                <w:color w:val="auto"/>
              </w:rPr>
              <w:t>Lease liabilities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(1,408 )</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10"/>
        </w:trPr>
        <w:tc>
          <w:tcPr>
            <w:tcW w:w="7720" w:type="dxa"/>
            <w:vAlign w:val="bottom"/>
            <w:tcBorders>
              <w:bottom w:val="single" w:sz="8" w:color="CFF0FC"/>
            </w:tcBorders>
            <w:gridSpan w:val="2"/>
            <w:shd w:val="clear" w:color="auto" w:fill="CFF0FC"/>
          </w:tcPr>
          <w:p>
            <w:pPr>
              <w:ind w:left="56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(18,424 )</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(818 )</w:t>
            </w:r>
          </w:p>
        </w:tc>
      </w:tr>
      <w:tr>
        <w:trPr>
          <w:trHeight w:val="209"/>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(3,218 )</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(3,068 )</w:t>
            </w:r>
          </w:p>
        </w:tc>
      </w:tr>
      <w:tr>
        <w:trPr>
          <w:trHeight w:val="21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Purchase of intangible assets (patents)</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(40 )</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Payment for investment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(1,587 )</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Payment for additional investment in Cytek Japan, net of cash acquired</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371</w:t>
            </w:r>
          </w:p>
        </w:tc>
      </w:tr>
      <w:tr>
        <w:trPr>
          <w:trHeight w:val="210"/>
        </w:trPr>
        <w:tc>
          <w:tcPr>
            <w:tcW w:w="7720" w:type="dxa"/>
            <w:vAlign w:val="bottom"/>
            <w:tcBorders>
              <w:bottom w:val="single" w:sz="8" w:color="CFF0FC"/>
            </w:tcBorders>
            <w:gridSpan w:val="2"/>
            <w:shd w:val="clear" w:color="auto" w:fill="CFF0FC"/>
          </w:tcPr>
          <w:p>
            <w:pPr>
              <w:ind w:left="56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(4,845 )</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(2,697 )</w:t>
            </w:r>
          </w:p>
        </w:tc>
      </w:tr>
      <w:tr>
        <w:trPr>
          <w:trHeight w:val="21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Repayment of Paycheck Protection Program loan</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(2,772 )</w:t>
            </w:r>
          </w:p>
        </w:tc>
      </w:tr>
      <w:tr>
        <w:trPr>
          <w:trHeight w:val="175"/>
        </w:trPr>
        <w:tc>
          <w:tcPr>
            <w:tcW w:w="7720" w:type="dxa"/>
            <w:vAlign w:val="bottom"/>
            <w:gridSpan w:val="2"/>
          </w:tcPr>
          <w:p>
            <w:pPr>
              <w:ind w:left="200"/>
              <w:spacing w:after="0" w:line="175" w:lineRule="exact"/>
              <w:rPr>
                <w:sz w:val="20"/>
                <w:szCs w:val="20"/>
                <w:color w:val="auto"/>
              </w:rPr>
            </w:pPr>
            <w:r>
              <w:rPr>
                <w:rFonts w:ascii="Arial" w:cs="Arial" w:eastAsia="Arial" w:hAnsi="Arial"/>
                <w:sz w:val="18"/>
                <w:szCs w:val="18"/>
                <w:color w:val="auto"/>
              </w:rPr>
              <w:t>Proceeds from initial public offering, net of underwriting discounts and commissions and other</w:t>
            </w: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30"/>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offering costs</w:t>
            </w:r>
          </w:p>
        </w:tc>
        <w:tc>
          <w:tcPr>
            <w:tcW w:w="360" w:type="dxa"/>
            <w:vAlign w:val="bottom"/>
          </w:tcPr>
          <w:p>
            <w:pPr>
              <w:spacing w:after="0"/>
              <w:rPr>
                <w:sz w:val="20"/>
                <w:szCs w:val="20"/>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215,689</w:t>
            </w:r>
          </w:p>
        </w:tc>
      </w:tr>
      <w:tr>
        <w:trPr>
          <w:trHeight w:val="216"/>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Proceeds from Employee Stock Purchase Plan</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765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gridSpan w:val="2"/>
          </w:tcPr>
          <w:p>
            <w:pPr>
              <w:ind w:left="20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(138 )</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1,036</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625</w:t>
            </w:r>
          </w:p>
        </w:tc>
      </w:tr>
      <w:tr>
        <w:trPr>
          <w:trHeight w:val="210"/>
        </w:trPr>
        <w:tc>
          <w:tcPr>
            <w:tcW w:w="7720" w:type="dxa"/>
            <w:vAlign w:val="bottom"/>
            <w:gridSpan w:val="2"/>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1,663</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213,542</w:t>
            </w:r>
          </w:p>
        </w:tc>
      </w:tr>
      <w:tr>
        <w:trPr>
          <w:trHeight w:val="210"/>
        </w:trPr>
        <w:tc>
          <w:tcPr>
            <w:tcW w:w="772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(1,489 )</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625</w:t>
            </w:r>
          </w:p>
        </w:tc>
      </w:tr>
      <w:tr>
        <w:trPr>
          <w:trHeight w:val="216"/>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(23,095 )</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210,652</w:t>
            </w:r>
          </w:p>
        </w:tc>
      </w:tr>
      <w:tr>
        <w:trPr>
          <w:trHeight w:val="21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364,618</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166,119</w:t>
            </w:r>
          </w:p>
        </w:tc>
      </w:tr>
      <w:tr>
        <w:trPr>
          <w:trHeight w:val="250"/>
        </w:trPr>
        <w:tc>
          <w:tcPr>
            <w:tcW w:w="77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341,523</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376,771</w:t>
            </w:r>
          </w:p>
        </w:tc>
      </w:tr>
      <w:tr>
        <w:trPr>
          <w:trHeight w:val="197"/>
        </w:trPr>
        <w:tc>
          <w:tcPr>
            <w:tcW w:w="772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6"/>
        </w:trPr>
        <w:tc>
          <w:tcPr>
            <w:tcW w:w="7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Cash paid for taxes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9,930</w:t>
            </w:r>
          </w:p>
        </w:tc>
        <w:tc>
          <w:tcPr>
            <w:tcW w:w="5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2,238</w:t>
            </w:r>
          </w:p>
        </w:tc>
      </w:tr>
      <w:tr>
        <w:trPr>
          <w:trHeight w:val="196"/>
        </w:trPr>
        <w:tc>
          <w:tcPr>
            <w:tcW w:w="7720" w:type="dxa"/>
            <w:vAlign w:val="bottom"/>
            <w:tcBorders>
              <w:top w:val="single" w:sz="8" w:color="CFF0FC"/>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Non-cash investing and financing activities:</w:t>
            </w:r>
          </w:p>
        </w:tc>
        <w:tc>
          <w:tcPr>
            <w:tcW w:w="3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spacing w:after="0"/>
              <w:rPr>
                <w:sz w:val="17"/>
                <w:szCs w:val="17"/>
                <w:color w:val="auto"/>
              </w:rPr>
            </w:pPr>
          </w:p>
        </w:tc>
      </w:tr>
      <w:tr>
        <w:trPr>
          <w:trHeight w:val="250"/>
        </w:trPr>
        <w:tc>
          <w:tcPr>
            <w:tcW w:w="77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Fixed asset purchases in accounts payable at period end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235</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309</w:t>
            </w:r>
          </w:p>
        </w:tc>
      </w:tr>
      <w:tr>
        <w:trPr>
          <w:trHeight w:val="197"/>
        </w:trPr>
        <w:tc>
          <w:tcPr>
            <w:tcW w:w="772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Intangible asset in accrued expenses at period end</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1"/>
              <w:spacing w:after="0" w:line="196" w:lineRule="exact"/>
              <w:rPr>
                <w:sz w:val="20"/>
                <w:szCs w:val="20"/>
                <w:color w:val="auto"/>
              </w:rPr>
            </w:pPr>
            <w:r>
              <w:rPr>
                <w:rFonts w:ascii="Arial" w:cs="Arial" w:eastAsia="Arial" w:hAnsi="Arial"/>
                <w:sz w:val="18"/>
                <w:szCs w:val="18"/>
                <w:color w:val="auto"/>
              </w:rPr>
              <w:t>69</w:t>
            </w:r>
          </w:p>
        </w:tc>
        <w:tc>
          <w:tcPr>
            <w:tcW w:w="54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line="196" w:lineRule="exact"/>
              <w:rPr>
                <w:sz w:val="20"/>
                <w:szCs w:val="20"/>
                <w:color w:val="auto"/>
              </w:rPr>
            </w:pPr>
            <w:r>
              <w:rPr>
                <w:rFonts w:ascii="Arial" w:cs="Arial" w:eastAsia="Arial" w:hAnsi="Arial"/>
                <w:sz w:val="18"/>
                <w:szCs w:val="18"/>
                <w:color w:val="auto"/>
              </w:rPr>
              <w:t>90</w:t>
            </w:r>
          </w:p>
        </w:tc>
      </w:tr>
      <w:tr>
        <w:trPr>
          <w:trHeight w:val="20"/>
        </w:trPr>
        <w:tc>
          <w:tcPr>
            <w:tcW w:w="7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-3445510</wp:posOffset>
            </wp:positionV>
            <wp:extent cx="120015"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1454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-2605405</wp:posOffset>
            </wp:positionV>
            <wp:extent cx="12001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1460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-1653540</wp:posOffset>
            </wp:positionV>
            <wp:extent cx="12001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-1088390</wp:posOffset>
            </wp:positionV>
            <wp:extent cx="12001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1543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-796290</wp:posOffset>
            </wp:positionV>
            <wp:extent cx="120015"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1631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-496570</wp:posOffset>
            </wp:positionV>
            <wp:extent cx="12001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wp:posOffset>
            </wp:positionV>
            <wp:extent cx="120015"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18859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interim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7</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Cytek Biosciences, Inc.</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88"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93"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8"/>
          <w:szCs w:val="18"/>
          <w:color w:val="auto"/>
        </w:rPr>
        <w:t>Cytek</w:t>
      </w:r>
      <w:r>
        <w:rPr>
          <w:rFonts w:ascii="Arial" w:cs="Arial" w:eastAsia="Arial" w:hAnsi="Arial"/>
          <w:sz w:val="24"/>
          <w:szCs w:val="24"/>
          <w:color w:val="auto"/>
          <w:vertAlign w:val="superscript"/>
        </w:rPr>
        <w:t>®</w:t>
      </w:r>
      <w:r>
        <w:rPr>
          <w:rFonts w:ascii="Arial" w:cs="Arial" w:eastAsia="Arial" w:hAnsi="Arial"/>
          <w:sz w:val="18"/>
          <w:szCs w:val="18"/>
          <w:color w:val="auto"/>
        </w:rPr>
        <w:t xml:space="preserve"> Biosciences, Inc. (“Cytek” or the “Company”) is a leading cell analysis solutions company advancing the next generation of cell analysis tools by leveraging novel technical approaches. The Company has focused on becoming the premier cell analysis company through continued innovation that facilitates scientific advances in biomedical research and clinical applications.</w:t>
      </w:r>
    </w:p>
    <w:p>
      <w:pPr>
        <w:spacing w:after="0" w:line="16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7"/>
          <w:szCs w:val="17"/>
          <w:color w:val="auto"/>
        </w:rPr>
        <w:t>The Company has successfully developed and manufactured its full spectrum flow cytometry platform (“instrument(s)” or “product(s)”). The Company believes its core instruments, the Aurora and Northern Lights</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systems, are the first full spectrum flow cytometers able to deliver high-resolution, high-content and high-sensitivity cell analysis by utilizing the full spectrum of fluorescence signatures from multiple lasers to distinguish</w:t>
      </w:r>
    </w:p>
    <w:p>
      <w:pPr>
        <w:spacing w:after="0" w:line="2"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fluorescent tags on single cells (“Full Spectrum Profiling</w:t>
      </w:r>
      <w:r>
        <w:rPr>
          <w:rFonts w:ascii="Arial" w:cs="Arial" w:eastAsia="Arial" w:hAnsi="Arial"/>
          <w:sz w:val="24"/>
          <w:szCs w:val="24"/>
          <w:color w:val="auto"/>
          <w:vertAlign w:val="superscript"/>
        </w:rPr>
        <w:t>TM</w:t>
      </w:r>
      <w:r>
        <w:rPr>
          <w:rFonts w:ascii="Arial" w:cs="Arial" w:eastAsia="Arial" w:hAnsi="Arial"/>
          <w:sz w:val="18"/>
          <w:szCs w:val="18"/>
          <w:color w:val="auto"/>
        </w:rPr>
        <w:t>” or “FSP</w:t>
      </w:r>
      <w:r>
        <w:rPr>
          <w:rFonts w:ascii="Arial" w:cs="Arial" w:eastAsia="Arial" w:hAnsi="Arial"/>
          <w:sz w:val="24"/>
          <w:szCs w:val="24"/>
          <w:color w:val="auto"/>
          <w:vertAlign w:val="superscript"/>
        </w:rPr>
        <w:t>TM</w:t>
      </w:r>
      <w:r>
        <w:rPr>
          <w:rFonts w:ascii="Arial" w:cs="Arial" w:eastAsia="Arial" w:hAnsi="Arial"/>
          <w:sz w:val="18"/>
          <w:szCs w:val="18"/>
          <w:color w:val="auto"/>
        </w:rPr>
        <w:t>”). The Company’s FSP platform includes instruments, accessories, reagents, software, and services to provide a comprehensive and integrated suite of solutions for its customers.</w:t>
      </w:r>
    </w:p>
    <w:p>
      <w:pPr>
        <w:spacing w:after="0" w:line="163"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Company was incorporated in the state of Delaware in December 2014 and is headquartered in Fremont, California with offices, manufacturing facilities and distribution channels across the globe.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8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July 2021, the Company priced its initial public offering (“IPO”) of 13,949,401 shares of common stock, which included the full exercise by the underwriters of their option to purchase an additional 2,184,695 shares from the Company, at an initial public offering price of $17.00 per share for gross proceeds of $237.1 million, which resulted in net proceeds to the Company of approximately $215.7 million, after deducting underwriting discounts and commissions of approximately $17.3 million and offering-related transaction costs of approximately $5.3 million. In addition, certain selling stockholders offered and sold an additional 2,799,929 shares or common stock in the IPO. The Company did not receive any proceeds from the sale of such shares by the selling stockholders.</w:t>
      </w:r>
    </w:p>
    <w:p>
      <w:pPr>
        <w:spacing w:after="0" w:line="16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In addition, in connection with the completion of the IPO on July 27, 2021, all outstanding shares of convertible preferred stock (see Note 11) were automatically converted into 87,268,694 shares of the Company’s common stock and were reclassified as permanent equity. Further, immediately following the closing of the IPO, the Company amended and restated its certificate of incorporation such that the total number of shares of common stock authorized to be issued was 1,000,000,000 and the total number of shares of preferred stock authorized to be issued was 10,000,000. Following the IPO, there are no shares of convertible preferred stock outstanding</w:t>
      </w:r>
      <w:r>
        <w:rPr>
          <w:rFonts w:ascii="Arial" w:cs="Arial" w:eastAsia="Arial" w:hAnsi="Arial"/>
          <w:sz w:val="21"/>
          <w:szCs w:val="21"/>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Shelf Registration Statement and At-the-Market Offering</w:t>
      </w:r>
    </w:p>
    <w:p>
      <w:pPr>
        <w:spacing w:after="0" w:line="18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On August 26, 2022, the Company filed with the SEC an automatic shelf registration statement on Form S-3ASR (File No. 333-267118) (the “Registration Statement”). In connection with the filing of the Registration Statement, the Company also entered into a sales agreement (the “2022 Sales Agreement”) with Piper Sandler &amp; Co. (“Piper”) as sales agent to sell from time to time up to $150 million of the Company’s common stock through an “at-the-market” offering program as defined in Rule 415 promulgated under the Securities Act of 1933, as amended (the “Securities Act”).</w:t>
      </w:r>
    </w:p>
    <w:p>
      <w:pPr>
        <w:spacing w:after="0" w:line="13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September 30, 2022, the Company has not made any sales of common stock pursuant to the 2022 Sales Agreement.</w:t>
      </w:r>
    </w:p>
    <w:p>
      <w:pPr>
        <w:spacing w:after="0" w:line="135"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08"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Company has prepared the accompanying unaudited interim consolidated financial statements in accordance with accounting principles generally accepted in the United States of America (“U.S. GAAP”). Any reference in these notes to applicable guidance is meant to refer to the authoritative U.S. GAAP as found in the Accounting Standards Codification (“ASC”) and Accounting Standards Updates (“ASUs”) of the Financial Accounting Standards Board (“FASB”).</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unaudited interim consolidated financial statements include the accounts of Cytek Biosciences, Inc., its wholly-owned subsidiaries, Cytek Limited (HK), Cytek Biosciences B.V. (Europe), Cytek (Shanghai) Biosciences Co., Ltd., Cytek Biosciences (Wuxi) Co., Ltd., Cytoville Biosciences Shanghai Co., Ltd. and Cytek (Shanghai) Software Development Technology Co., Ltd. and its majority-owned subsidiary, Cytek Japan Kabushiki Kaisha (“Cytek Japan”). The noncontrolling interest is presented in stockholders’ equity in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8</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balance sheets and consolidated statements of redeemable convertible preferred stock and stockholders’ equity (deficit). All intercompany accounts and transactions have been eliminated in consolidation.</w:t>
      </w:r>
    </w:p>
    <w:p>
      <w:pPr>
        <w:spacing w:after="0" w:line="116"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On July 16, 2021, the Company effected a 1.3333-for-1 stock split of its common stock and redeemable convertible preferred stock (the “Stock Split”). All share and per share information has been retroactively adjusted to reflect the Stock Split for all periods presented.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 and voting interest entities</w:t>
      </w:r>
    </w:p>
    <w:p>
      <w:pPr>
        <w:spacing w:after="0" w:line="171"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The Company determines whether it has a controlling financial interest in an entity by first evaluating whether the entity is a variable interest entity (“VIE”) and therefore subject to the consolidation requirements under the VIE model. Only if the entity does not meet the definition of a VIE, the Company will apply the voting interest model (“VOE”) or other applicable GAAP. VOEs are entities in which the total equity investment at risk is sufficient to enable the entity to finance itself independently and provides the equity holders with the obligation to absorb losses, the right to receive residual returns and the right to make decisions about the entity’s activities. The Company consolidates VOEs in which it has greater than 50% of the voting shares and that other equity holders do not have substantive voting, participating or liquidation rights. As defined in applicable accounting standards, VIEs are entities that lack one or more of the characteristics of a voting interest entity. A controlling financial interest in a VIE is present when an enterprise has both the power to direct the activities of the VIE that most significantly impact the VIE’s economic performance and an obligation to absorb losses or the right to receive benefits that could potentially be significant to the VIE. The Company consolidates a VIE where it has been determined that the Company is the primary beneficiary of the entity’s operations. The Company does not currently hold an interest in a VIE.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The preparation of the unaudited interim consolidated financial statements in conformity with U.S. GAAP requires management to make estimates and assumptions that affect the reported amounts of assets, liabilities, revenue and expenses and the disclosure of contingent assets and liabilities in the Company’s unaudited interim consolidated financial statements and accompanying notes as of the date of the unaudited interim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8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The global COVID-19 pandemic continues to evolve and the Company intends to continue to monitor it closely. In response to the COVID-19 pandemic and various resulting government directives, the Company took proactive measures to protect the health and safety of its employees, contractors, customers and visiting vendors and suppliers, including implementing social distancing and other protective measures, restricting business travel and limiting access to its facilities to vendors, suppliers and partners who are critical to its business operations. The Company communicates regularly with its suppliers so that its supply chain remains intact, and the Company has not experienced any material supply issues. The Company also developed, and continues to develop, remote learning capabilities to help its customers and partners operate and reduce the number of required customer/partner on-site visits for its field application scientists and field support engineers to comply with travel restrictions and country-specific quarantine requirements. While the COVID-19 pandemic has not had a material adverse effect on the Company's business, results of operations or the operation of financial reporting systems, internal control over financial reporting and disclosure controls and procedures, given the considerable uncertainty around the duration and extent of the pandemic, including the resurgence of infections or new strains of the virus, the related financial and operational impact cannot be reasonably estimated. The Company continues to monitor the implications of the COVID-19 pandemic on its business, as well as its customers’ and suppliers’ business. Potential impacts of the COVID-19 pandemic, some of which the Company has already experienced, include those described throughout the “Risk Factors” section, including “A pandemic, epidemic or outbreak of an infectious disease in the United States or worldwide could adversely affect our business. The COVID-19 pandemic has had and could continue to have an adverse impact on our business, operations, and the markets and communities in which we, our partners, and customers operate."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18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reportable and operating segment.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9</w:t>
      </w:r>
    </w:p>
    <w:p>
      <w:pPr>
        <w:spacing w:after="0" w:line="104"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interim consolidated statements of operations and comprehensive income have been translated at the average exchange rate for the year or the reporting period. Translation gains and losses are recorded in accumulated other comprehensive income as a component of stockholders’ equity. Gains or losses arising from currency exchange rate fluctuations on transactions denominated in a currency other than the local functional currency are included in the unaudited interim consolidated statements of operations and comprehensive income.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Cash equivalents are carried at cost, which approximates fair value.</w:t>
      </w:r>
    </w:p>
    <w:p>
      <w:pPr>
        <w:spacing w:after="0" w:line="14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Company’s cash and cash equivalents consist of money held in demand depositary accounts and money market funds. The carrying amount of cash and cash equivalents was $341.5 million and $364.6 million as of September 30, 2022 and December 31, 2021, respectively, which approximates fair value and was determined based upon Level 1 inputs. The money market account is valued using quoted market prices with no valuation adjustments applied and is categorized as Level 1. The Company limits its credit risk associated with cash and cash equivalents by maintaining its bank accounts at major and reputable financial institutions. The Company’s cash and cash equivalents balance exceeded the federally insured limit of $250,000 as of September 30, 2022 and December 31, 2021.</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and cash equivalents on the consolidated balance sheets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jc w:val="right"/>
              <w:ind w:right="53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jc w:val="right"/>
              <w:ind w:right="53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12,922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18,939</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242,017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345,679</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22,923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Corporate notes</w:t>
            </w:r>
          </w:p>
        </w:tc>
        <w:tc>
          <w:tcPr>
            <w:tcW w:w="30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11,968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w:t>
            </w:r>
          </w:p>
        </w:tc>
        <w:tc>
          <w:tcPr>
            <w:tcW w:w="300" w:type="dxa"/>
            <w:vAlign w:val="bottom"/>
            <w:shd w:val="clear" w:color="auto" w:fill="CFF0FC"/>
          </w:tcPr>
          <w:p>
            <w:pPr>
              <w:spacing w:after="0"/>
              <w:rPr>
                <w:sz w:val="18"/>
                <w:szCs w:val="18"/>
                <w:color w:val="auto"/>
              </w:rPr>
            </w:pPr>
          </w:p>
        </w:tc>
        <w:tc>
          <w:tcPr>
            <w:tcW w:w="17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9,946</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tcPr>
          <w:p>
            <w:pPr>
              <w:ind w:left="20"/>
              <w:spacing w:after="0"/>
              <w:rPr>
                <w:sz w:val="20"/>
                <w:szCs w:val="20"/>
                <w:color w:val="auto"/>
              </w:rPr>
            </w:pPr>
            <w:r>
              <w:rPr>
                <w:rFonts w:ascii="Arial" w:cs="Arial" w:eastAsia="Arial" w:hAnsi="Arial"/>
                <w:sz w:val="18"/>
                <w:szCs w:val="18"/>
                <w:color w:val="auto"/>
              </w:rPr>
              <w:t>Federal agency securities</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41,747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7120" w:type="dxa"/>
            <w:vAlign w:val="bottom"/>
            <w:shd w:val="clear" w:color="auto" w:fill="CFF0FC"/>
          </w:tcPr>
          <w:p>
            <w:pPr>
              <w:ind w:left="20"/>
              <w:spacing w:after="0" w:line="168" w:lineRule="exact"/>
              <w:rPr>
                <w:sz w:val="20"/>
                <w:szCs w:val="20"/>
                <w:color w:val="auto"/>
              </w:rPr>
            </w:pPr>
            <w:r>
              <w:rPr>
                <w:rFonts w:ascii="Arial" w:cs="Arial" w:eastAsia="Arial" w:hAnsi="Arial"/>
                <w:sz w:val="18"/>
                <w:szCs w:val="18"/>
                <w:color w:val="auto"/>
              </w:rPr>
              <w:t>Total cash and cash equivalents as presented on the</w:t>
            </w: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700" w:type="dxa"/>
            <w:vAlign w:val="bottom"/>
            <w:vMerge w:val="restart"/>
            <w:shd w:val="clear" w:color="auto" w:fill="CFF0FC"/>
          </w:tcPr>
          <w:p>
            <w:pPr>
              <w:jc w:val="right"/>
              <w:ind w:right="54"/>
              <w:spacing w:after="0"/>
              <w:rPr>
                <w:sz w:val="20"/>
                <w:szCs w:val="20"/>
                <w:color w:val="auto"/>
              </w:rPr>
            </w:pPr>
            <w:r>
              <w:rPr>
                <w:rFonts w:ascii="Arial" w:cs="Arial" w:eastAsia="Arial" w:hAnsi="Arial"/>
                <w:sz w:val="18"/>
                <w:szCs w:val="18"/>
                <w:color w:val="auto"/>
              </w:rPr>
              <w:t>341,523</w:t>
            </w:r>
          </w:p>
        </w:tc>
        <w:tc>
          <w:tcPr>
            <w:tcW w:w="160" w:type="dxa"/>
            <w:vAlign w:val="bottom"/>
            <w:vMerge w:val="restart"/>
            <w:shd w:val="clear" w:color="auto" w:fill="CFF0FC"/>
          </w:tcPr>
          <w:p>
            <w:pPr>
              <w:spacing w:after="0"/>
              <w:rPr>
                <w:sz w:val="14"/>
                <w:szCs w:val="14"/>
                <w:color w:val="auto"/>
              </w:rPr>
            </w:pP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color w:val="auto"/>
              </w:rPr>
              <w:t>364,618</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CFF0FC"/>
            </w:tcBorders>
            <w:shd w:val="clear" w:color="auto" w:fill="CFF0FC"/>
          </w:tcPr>
          <w:p>
            <w:pPr>
              <w:ind w:left="160"/>
              <w:spacing w:after="0" w:line="190" w:lineRule="exact"/>
              <w:rPr>
                <w:sz w:val="20"/>
                <w:szCs w:val="20"/>
                <w:color w:val="auto"/>
              </w:rPr>
            </w:pPr>
            <w:r>
              <w:rPr>
                <w:rFonts w:ascii="Arial" w:cs="Arial" w:eastAsia="Arial" w:hAnsi="Arial"/>
                <w:sz w:val="18"/>
                <w:szCs w:val="18"/>
                <w:color w:val="auto"/>
              </w:rPr>
              <w:t>consolidated statements of cash flows</w:t>
            </w:r>
          </w:p>
        </w:tc>
        <w:tc>
          <w:tcPr>
            <w:tcW w:w="300" w:type="dxa"/>
            <w:vAlign w:val="bottom"/>
            <w:tcBorders>
              <w:bottom w:val="single" w:sz="8" w:color="auto"/>
            </w:tcBorders>
            <w:vMerge w:val="continue"/>
            <w:shd w:val="clear" w:color="auto" w:fill="CFF0FC"/>
          </w:tcPr>
          <w:p>
            <w:pPr>
              <w:spacing w:after="0"/>
              <w:rPr>
                <w:sz w:val="19"/>
                <w:szCs w:val="19"/>
                <w:color w:val="auto"/>
              </w:rPr>
            </w:pPr>
          </w:p>
        </w:tc>
        <w:tc>
          <w:tcPr>
            <w:tcW w:w="170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vMerge w:val="continue"/>
            <w:shd w:val="clear" w:color="auto" w:fill="CFF0FC"/>
          </w:tcPr>
          <w:p>
            <w:pPr>
              <w:spacing w:after="0"/>
              <w:rPr>
                <w:sz w:val="19"/>
                <w:szCs w:val="19"/>
                <w:color w:val="auto"/>
              </w:rPr>
            </w:pPr>
          </w:p>
        </w:tc>
        <w:tc>
          <w:tcPr>
            <w:tcW w:w="300" w:type="dxa"/>
            <w:vAlign w:val="bottom"/>
            <w:tcBorders>
              <w:bottom w:val="single" w:sz="8" w:color="auto"/>
            </w:tcBorders>
            <w:vMerge w:val="continue"/>
            <w:shd w:val="clear" w:color="auto" w:fill="CFF0FC"/>
          </w:tcPr>
          <w:p>
            <w:pPr>
              <w:spacing w:after="0"/>
              <w:rPr>
                <w:sz w:val="19"/>
                <w:szCs w:val="19"/>
                <w:color w:val="auto"/>
              </w:rPr>
            </w:pPr>
          </w:p>
        </w:tc>
        <w:tc>
          <w:tcPr>
            <w:tcW w:w="166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-24765</wp:posOffset>
            </wp:positionV>
            <wp:extent cx="1028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1028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net</w:t>
      </w:r>
    </w:p>
    <w:p>
      <w:pPr>
        <w:spacing w:after="0" w:line="18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6"/>
          <w:szCs w:val="16"/>
          <w:color w:val="auto"/>
        </w:rPr>
        <w:t>Trade accounts receivable are recorded at the invoiced amount and do not bear interest. The Company maintains an allowance for doubtful accounts for estimated losses inherent in its accounts receivable portfolio. In establishing the required allowance, management considers historical losses adjusted to take into account current market conditions and the Company’s customers’ respective financial conditions, the amounts of receivables in dispute and the current receivables aging and current payment patterns. To the extent identified, account balances are charged off against the allowance after all means of collection have been exhausted and the potential for recovery is considered remote. To date, the Company’s customers have primarily been large pharmaceutical companies, biopharmaceutical companies, leading academic research centers and clinical research organizations and therefore, the Company has not had any material write-offs or allowance for doubtful accounts for the presented periods. The following is a summary of the accounts receivables allowance for doubtful accounts for the nine months ended September 30, 2022 and the year ended December 31, 2021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780" w:type="dxa"/>
            <w:vAlign w:val="bottom"/>
          </w:tcPr>
          <w:p>
            <w:pPr>
              <w:ind w:left="20"/>
              <w:spacing w:after="0"/>
              <w:rPr>
                <w:sz w:val="20"/>
                <w:szCs w:val="20"/>
                <w:color w:val="auto"/>
              </w:rPr>
            </w:pPr>
            <w:r>
              <w:rPr>
                <w:rFonts w:ascii="Arial" w:cs="Arial" w:eastAsia="Arial" w:hAnsi="Arial"/>
                <w:sz w:val="14"/>
                <w:szCs w:val="14"/>
                <w:b w:val="1"/>
                <w:bCs w:val="1"/>
                <w:color w:val="auto"/>
              </w:rPr>
              <w:t>Allowance for doubtful accounts</w:t>
            </w:r>
          </w:p>
        </w:tc>
        <w:tc>
          <w:tcPr>
            <w:tcW w:w="10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30"/>
        </w:trPr>
        <w:tc>
          <w:tcPr>
            <w:tcW w:w="878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175</w:t>
            </w:r>
          </w:p>
        </w:tc>
      </w:tr>
      <w:tr>
        <w:trPr>
          <w:trHeight w:val="216"/>
        </w:trPr>
        <w:tc>
          <w:tcPr>
            <w:tcW w:w="8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 during the period</w:t>
            </w:r>
          </w:p>
        </w:tc>
        <w:tc>
          <w:tcPr>
            <w:tcW w:w="106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tcPr>
          <w:p>
            <w:pPr>
              <w:ind w:left="200"/>
              <w:spacing w:after="0"/>
              <w:rPr>
                <w:sz w:val="20"/>
                <w:szCs w:val="20"/>
                <w:color w:val="auto"/>
              </w:rPr>
            </w:pPr>
            <w:r>
              <w:rPr>
                <w:rFonts w:ascii="Arial" w:cs="Arial" w:eastAsia="Arial" w:hAnsi="Arial"/>
                <w:sz w:val="18"/>
                <w:szCs w:val="18"/>
                <w:color w:val="auto"/>
              </w:rPr>
              <w:t>Utilization of allowance for doubtful accounts</w:t>
            </w: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(172 )</w:t>
            </w:r>
          </w:p>
        </w:tc>
      </w:tr>
      <w:tr>
        <w:trPr>
          <w:trHeight w:val="210"/>
        </w:trPr>
        <w:tc>
          <w:tcPr>
            <w:tcW w:w="8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2021</w:t>
            </w: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16"/>
        </w:trPr>
        <w:tc>
          <w:tcPr>
            <w:tcW w:w="8780" w:type="dxa"/>
            <w:vAlign w:val="bottom"/>
          </w:tcPr>
          <w:p>
            <w:pPr>
              <w:ind w:left="200"/>
              <w:spacing w:after="0"/>
              <w:rPr>
                <w:sz w:val="20"/>
                <w:szCs w:val="20"/>
                <w:color w:val="auto"/>
              </w:rPr>
            </w:pPr>
            <w:r>
              <w:rPr>
                <w:rFonts w:ascii="Arial" w:cs="Arial" w:eastAsia="Arial" w:hAnsi="Arial"/>
                <w:sz w:val="18"/>
                <w:szCs w:val="18"/>
                <w:color w:val="auto"/>
              </w:rPr>
              <w:t>Addition during the period</w:t>
            </w:r>
          </w:p>
        </w:tc>
        <w:tc>
          <w:tcPr>
            <w:tcW w:w="106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Utilization of allowance for doubtful accounts</w:t>
            </w:r>
          </w:p>
        </w:tc>
        <w:tc>
          <w:tcPr>
            <w:tcW w:w="10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(3 )</w:t>
            </w:r>
          </w:p>
        </w:tc>
      </w:tr>
      <w:tr>
        <w:trPr>
          <w:trHeight w:val="209"/>
        </w:trPr>
        <w:tc>
          <w:tcPr>
            <w:tcW w:w="878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8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Inventories are stated at the lower of cost and net realizable value. Cost is computed using standard cost, which approximates actual cost on a first-in, first-out basis. Inventory that is obsolete or in excess of forecasted usage is written down to its estimated net realizable value based on assumptions about future demand and market conditions. Inventory write-downs are charged to cost of sales and establish a new cost basis for the inventory. Inventories include raw materials, work-in-process and finished goods.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10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8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Property and equipment are recorded at cost, net of accumulated depreciation. Depreciation is recorded using the straight-line method based on the estimated useful lives of the depreciable property or, for leasehold improvements, the remaining term of the lease, whichever is shorter. Assets not yet placed in use are not depreciated. The Company’s estimated useful lives of its property and equipment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3400" w:type="dxa"/>
            <w:vAlign w:val="bottom"/>
            <w:gridSpan w:val="2"/>
          </w:tcPr>
          <w:p>
            <w:pPr>
              <w:jc w:val="center"/>
              <w:ind w:right="1620"/>
              <w:spacing w:after="0"/>
              <w:rPr>
                <w:sz w:val="20"/>
                <w:szCs w:val="20"/>
                <w:color w:val="auto"/>
              </w:rPr>
            </w:pPr>
            <w:r>
              <w:rPr>
                <w:rFonts w:ascii="Arial" w:cs="Arial" w:eastAsia="Arial" w:hAnsi="Arial"/>
                <w:sz w:val="18"/>
                <w:szCs w:val="18"/>
                <w:b w:val="1"/>
                <w:bCs w:val="1"/>
                <w:color w:val="auto"/>
                <w:w w:val="90"/>
              </w:rPr>
              <w:t>Estimated Useful Lives</w:t>
            </w:r>
          </w:p>
        </w:tc>
      </w:tr>
      <w:tr>
        <w:trPr>
          <w:trHeight w:val="21"/>
        </w:trPr>
        <w:tc>
          <w:tcPr>
            <w:tcW w:w="45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16"/>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3300" w:type="dxa"/>
            <w:vAlign w:val="bottom"/>
            <w:shd w:val="clear" w:color="auto" w:fill="CFF0FC"/>
          </w:tcPr>
          <w:p>
            <w:pPr>
              <w:spacing w:after="0"/>
              <w:rPr>
                <w:sz w:val="18"/>
                <w:szCs w:val="18"/>
                <w:color w:val="auto"/>
              </w:rPr>
            </w:pPr>
          </w:p>
        </w:tc>
        <w:tc>
          <w:tcPr>
            <w:tcW w:w="3400" w:type="dxa"/>
            <w:vAlign w:val="bottom"/>
            <w:gridSpan w:val="2"/>
            <w:shd w:val="clear" w:color="auto" w:fill="CFF0FC"/>
          </w:tcPr>
          <w:p>
            <w:pPr>
              <w:jc w:val="center"/>
              <w:ind w:right="1620"/>
              <w:spacing w:after="0"/>
              <w:rPr>
                <w:sz w:val="20"/>
                <w:szCs w:val="20"/>
                <w:color w:val="auto"/>
              </w:rPr>
            </w:pPr>
            <w:r>
              <w:rPr>
                <w:rFonts w:ascii="Arial" w:cs="Arial" w:eastAsia="Arial" w:hAnsi="Arial"/>
                <w:sz w:val="18"/>
                <w:szCs w:val="18"/>
                <w:color w:val="auto"/>
                <w:w w:val="84"/>
              </w:rPr>
              <w:t>7 years</w:t>
            </w:r>
          </w:p>
        </w:tc>
      </w:tr>
      <w:tr>
        <w:trPr>
          <w:trHeight w:val="216"/>
        </w:trPr>
        <w:tc>
          <w:tcPr>
            <w:tcW w:w="454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3300" w:type="dxa"/>
            <w:vAlign w:val="bottom"/>
          </w:tcPr>
          <w:p>
            <w:pPr>
              <w:spacing w:after="0"/>
              <w:rPr>
                <w:sz w:val="18"/>
                <w:szCs w:val="18"/>
                <w:color w:val="auto"/>
              </w:rPr>
            </w:pPr>
          </w:p>
        </w:tc>
        <w:tc>
          <w:tcPr>
            <w:tcW w:w="3400" w:type="dxa"/>
            <w:vAlign w:val="bottom"/>
            <w:gridSpan w:val="2"/>
          </w:tcPr>
          <w:p>
            <w:pPr>
              <w:jc w:val="center"/>
              <w:ind w:right="1620"/>
              <w:spacing w:after="0"/>
              <w:rPr>
                <w:sz w:val="20"/>
                <w:szCs w:val="20"/>
                <w:color w:val="auto"/>
              </w:rPr>
            </w:pPr>
            <w:r>
              <w:rPr>
                <w:rFonts w:ascii="Arial" w:cs="Arial" w:eastAsia="Arial" w:hAnsi="Arial"/>
                <w:sz w:val="18"/>
                <w:szCs w:val="18"/>
                <w:color w:val="auto"/>
                <w:w w:val="84"/>
              </w:rPr>
              <w:t>5 years</w:t>
            </w:r>
          </w:p>
        </w:tc>
      </w:tr>
      <w:tr>
        <w:trPr>
          <w:trHeight w:val="216"/>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Office and computer equipment</w:t>
            </w:r>
          </w:p>
        </w:tc>
        <w:tc>
          <w:tcPr>
            <w:tcW w:w="3300" w:type="dxa"/>
            <w:vAlign w:val="bottom"/>
            <w:shd w:val="clear" w:color="auto" w:fill="CFF0FC"/>
          </w:tcPr>
          <w:p>
            <w:pPr>
              <w:spacing w:after="0"/>
              <w:rPr>
                <w:sz w:val="18"/>
                <w:szCs w:val="18"/>
                <w:color w:val="auto"/>
              </w:rPr>
            </w:pPr>
          </w:p>
        </w:tc>
        <w:tc>
          <w:tcPr>
            <w:tcW w:w="3400" w:type="dxa"/>
            <w:vAlign w:val="bottom"/>
            <w:gridSpan w:val="2"/>
            <w:shd w:val="clear" w:color="auto" w:fill="CFF0FC"/>
          </w:tcPr>
          <w:p>
            <w:pPr>
              <w:jc w:val="center"/>
              <w:ind w:right="1620"/>
              <w:spacing w:after="0"/>
              <w:rPr>
                <w:sz w:val="20"/>
                <w:szCs w:val="20"/>
                <w:color w:val="auto"/>
              </w:rPr>
            </w:pPr>
            <w:r>
              <w:rPr>
                <w:rFonts w:ascii="Arial" w:cs="Arial" w:eastAsia="Arial" w:hAnsi="Arial"/>
                <w:sz w:val="18"/>
                <w:szCs w:val="18"/>
                <w:color w:val="auto"/>
                <w:w w:val="84"/>
              </w:rPr>
              <w:t>3 years</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6700" w:type="dxa"/>
            <w:vAlign w:val="bottom"/>
            <w:gridSpan w:val="3"/>
          </w:tcPr>
          <w:p>
            <w:pPr>
              <w:jc w:val="center"/>
              <w:ind w:left="1590"/>
              <w:spacing w:after="0"/>
              <w:rPr>
                <w:sz w:val="20"/>
                <w:szCs w:val="20"/>
                <w:color w:val="auto"/>
              </w:rPr>
            </w:pPr>
            <w:r>
              <w:rPr>
                <w:rFonts w:ascii="Arial" w:cs="Arial" w:eastAsia="Arial" w:hAnsi="Arial"/>
                <w:sz w:val="18"/>
                <w:szCs w:val="18"/>
                <w:color w:val="auto"/>
                <w:w w:val="90"/>
              </w:rPr>
              <w:t>Shorter of expected lease term or estimated useful life</w:t>
            </w:r>
          </w:p>
        </w:tc>
      </w:tr>
    </w:tbl>
    <w:p>
      <w:pPr>
        <w:spacing w:after="0" w:line="24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Upon sale or retirement of the assets, the cost and related accumulated depreciation are removed from the accounts and the resulting gain or loss is recognized in the consolidated statement of operations and comprehensive income. Expenditures for general maintenance and repairs are expensed as incurred.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 net</w:t>
      </w:r>
    </w:p>
    <w:p>
      <w:pPr>
        <w:spacing w:after="0" w:line="18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 xml:space="preserve">In July 2015, the Company entered into a purchase agreement with Cytek Development Technology (“Cytek Tech”) involving the acquisition of substantially all assets of Cytek Tech for the aggregate purchase amount of $900,000 in cash and the assumption of Cytek Tech liabilities. The Company recorded goodwill of $476,000 and intangible assets of $476,000 at the transaction date. The addition of goodwill in 2021 is discussed in Note 8, </w:t>
      </w:r>
      <w:r>
        <w:rPr>
          <w:rFonts w:ascii="Arial" w:cs="Arial" w:eastAsia="Arial" w:hAnsi="Arial"/>
          <w:sz w:val="18"/>
          <w:szCs w:val="18"/>
          <w:i w:val="1"/>
          <w:iCs w:val="1"/>
          <w:color w:val="auto"/>
        </w:rPr>
        <w:t>Acquisition</w:t>
      </w:r>
      <w:r>
        <w:rPr>
          <w:rFonts w:ascii="Arial" w:cs="Arial" w:eastAsia="Arial" w:hAnsi="Arial"/>
          <w:sz w:val="18"/>
          <w:szCs w:val="18"/>
          <w:color w:val="auto"/>
        </w:rPr>
        <w:t>.</w:t>
      </w:r>
    </w:p>
    <w:p>
      <w:pPr>
        <w:spacing w:after="0" w:line="154"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tcPr>
          <w:p>
            <w:pPr>
              <w:spacing w:after="0"/>
              <w:rPr>
                <w:sz w:val="17"/>
                <w:szCs w:val="17"/>
                <w:color w:val="auto"/>
              </w:rPr>
            </w:pPr>
          </w:p>
        </w:tc>
        <w:tc>
          <w:tcPr>
            <w:tcW w:w="340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89"/>
              </w:rPr>
              <w:t>Estimated Useful Lives</w:t>
            </w:r>
          </w:p>
        </w:tc>
      </w:tr>
      <w:tr>
        <w:trPr>
          <w:trHeight w:val="21"/>
        </w:trPr>
        <w:tc>
          <w:tcPr>
            <w:tcW w:w="7840" w:type="dxa"/>
            <w:vAlign w:val="bottom"/>
          </w:tcPr>
          <w:p>
            <w:pPr>
              <w:spacing w:after="0" w:line="20" w:lineRule="exact"/>
              <w:rPr>
                <w:sz w:val="1"/>
                <w:szCs w:val="1"/>
                <w:color w:val="auto"/>
              </w:rPr>
            </w:pPr>
          </w:p>
        </w:tc>
        <w:tc>
          <w:tcPr>
            <w:tcW w:w="176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6"/>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Patent</w:t>
            </w:r>
          </w:p>
        </w:tc>
        <w:tc>
          <w:tcPr>
            <w:tcW w:w="3400" w:type="dxa"/>
            <w:vAlign w:val="bottom"/>
            <w:gridSpan w:val="2"/>
            <w:shd w:val="clear" w:color="auto" w:fill="CFF0FC"/>
          </w:tcPr>
          <w:p>
            <w:pPr>
              <w:jc w:val="center"/>
              <w:ind w:right="1640"/>
              <w:spacing w:after="0"/>
              <w:rPr>
                <w:sz w:val="20"/>
                <w:szCs w:val="20"/>
                <w:color w:val="auto"/>
              </w:rPr>
            </w:pPr>
            <w:r>
              <w:rPr>
                <w:rFonts w:ascii="Arial" w:cs="Arial" w:eastAsia="Arial" w:hAnsi="Arial"/>
                <w:sz w:val="18"/>
                <w:szCs w:val="18"/>
                <w:color w:val="auto"/>
                <w:w w:val="86"/>
              </w:rPr>
              <w:t>20 years</w:t>
            </w:r>
          </w:p>
        </w:tc>
      </w:tr>
      <w:tr>
        <w:trPr>
          <w:trHeight w:val="216"/>
        </w:trPr>
        <w:tc>
          <w:tcPr>
            <w:tcW w:w="784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3400" w:type="dxa"/>
            <w:vAlign w:val="bottom"/>
            <w:gridSpan w:val="2"/>
          </w:tcPr>
          <w:p>
            <w:pPr>
              <w:jc w:val="center"/>
              <w:ind w:right="1640"/>
              <w:spacing w:after="0"/>
              <w:rPr>
                <w:sz w:val="20"/>
                <w:szCs w:val="20"/>
                <w:color w:val="auto"/>
              </w:rPr>
            </w:pPr>
            <w:r>
              <w:rPr>
                <w:rFonts w:ascii="Arial" w:cs="Arial" w:eastAsia="Arial" w:hAnsi="Arial"/>
                <w:sz w:val="18"/>
                <w:szCs w:val="18"/>
                <w:color w:val="auto"/>
                <w:w w:val="86"/>
              </w:rPr>
              <w:t>10 years</w:t>
            </w:r>
          </w:p>
        </w:tc>
      </w:tr>
      <w:tr>
        <w:trPr>
          <w:trHeight w:val="216"/>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Tradename</w:t>
            </w:r>
          </w:p>
        </w:tc>
        <w:tc>
          <w:tcPr>
            <w:tcW w:w="3400" w:type="dxa"/>
            <w:vAlign w:val="bottom"/>
            <w:gridSpan w:val="2"/>
            <w:shd w:val="clear" w:color="auto" w:fill="CFF0FC"/>
          </w:tcPr>
          <w:p>
            <w:pPr>
              <w:jc w:val="center"/>
              <w:ind w:right="1640"/>
              <w:spacing w:after="0"/>
              <w:rPr>
                <w:sz w:val="20"/>
                <w:szCs w:val="20"/>
                <w:color w:val="auto"/>
              </w:rPr>
            </w:pPr>
            <w:r>
              <w:rPr>
                <w:rFonts w:ascii="Arial" w:cs="Arial" w:eastAsia="Arial" w:hAnsi="Arial"/>
                <w:sz w:val="18"/>
                <w:szCs w:val="18"/>
                <w:color w:val="auto"/>
                <w:w w:val="88"/>
              </w:rPr>
              <w:t>4 years</w:t>
            </w:r>
          </w:p>
        </w:tc>
      </w:tr>
      <w:tr>
        <w:trPr>
          <w:trHeight w:val="216"/>
        </w:trPr>
        <w:tc>
          <w:tcPr>
            <w:tcW w:w="7840" w:type="dxa"/>
            <w:vAlign w:val="bottom"/>
          </w:tcPr>
          <w:p>
            <w:pPr>
              <w:ind w:left="20"/>
              <w:spacing w:after="0"/>
              <w:rPr>
                <w:sz w:val="20"/>
                <w:szCs w:val="20"/>
                <w:color w:val="auto"/>
              </w:rPr>
            </w:pPr>
            <w:r>
              <w:rPr>
                <w:rFonts w:ascii="Arial" w:cs="Arial" w:eastAsia="Arial" w:hAnsi="Arial"/>
                <w:sz w:val="18"/>
                <w:szCs w:val="18"/>
                <w:color w:val="auto"/>
              </w:rPr>
              <w:t>Customer relationship</w:t>
            </w:r>
          </w:p>
        </w:tc>
        <w:tc>
          <w:tcPr>
            <w:tcW w:w="3400" w:type="dxa"/>
            <w:vAlign w:val="bottom"/>
            <w:gridSpan w:val="2"/>
          </w:tcPr>
          <w:p>
            <w:pPr>
              <w:jc w:val="center"/>
              <w:ind w:right="1640"/>
              <w:spacing w:after="0"/>
              <w:rPr>
                <w:sz w:val="20"/>
                <w:szCs w:val="20"/>
                <w:color w:val="auto"/>
              </w:rPr>
            </w:pPr>
            <w:r>
              <w:rPr>
                <w:rFonts w:ascii="Arial" w:cs="Arial" w:eastAsia="Arial" w:hAnsi="Arial"/>
                <w:sz w:val="18"/>
                <w:szCs w:val="18"/>
                <w:color w:val="auto"/>
                <w:w w:val="88"/>
              </w:rPr>
              <w:t>7 years</w:t>
            </w:r>
          </w:p>
        </w:tc>
      </w:tr>
      <w:tr>
        <w:trPr>
          <w:trHeight w:val="216"/>
        </w:trPr>
        <w:tc>
          <w:tcPr>
            <w:tcW w:w="7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Reagent licenses</w:t>
            </w:r>
          </w:p>
        </w:tc>
        <w:tc>
          <w:tcPr>
            <w:tcW w:w="3400" w:type="dxa"/>
            <w:vAlign w:val="bottom"/>
            <w:gridSpan w:val="2"/>
            <w:shd w:val="clear" w:color="auto" w:fill="CFF0FC"/>
          </w:tcPr>
          <w:p>
            <w:pPr>
              <w:jc w:val="center"/>
              <w:ind w:right="1640"/>
              <w:spacing w:after="0"/>
              <w:rPr>
                <w:sz w:val="20"/>
                <w:szCs w:val="20"/>
                <w:color w:val="auto"/>
              </w:rPr>
            </w:pPr>
            <w:r>
              <w:rPr>
                <w:rFonts w:ascii="Arial" w:cs="Arial" w:eastAsia="Arial" w:hAnsi="Arial"/>
                <w:sz w:val="18"/>
                <w:szCs w:val="18"/>
                <w:color w:val="auto"/>
                <w:w w:val="88"/>
              </w:rPr>
              <w:t>7 years</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IP license</w:t>
            </w:r>
          </w:p>
        </w:tc>
        <w:tc>
          <w:tcPr>
            <w:tcW w:w="3400" w:type="dxa"/>
            <w:vAlign w:val="bottom"/>
            <w:gridSpan w:val="2"/>
          </w:tcPr>
          <w:p>
            <w:pPr>
              <w:jc w:val="center"/>
              <w:ind w:right="1640"/>
              <w:spacing w:after="0"/>
              <w:rPr>
                <w:sz w:val="20"/>
                <w:szCs w:val="20"/>
                <w:color w:val="auto"/>
              </w:rPr>
            </w:pPr>
            <w:r>
              <w:rPr>
                <w:rFonts w:ascii="Arial" w:cs="Arial" w:eastAsia="Arial" w:hAnsi="Arial"/>
                <w:sz w:val="18"/>
                <w:szCs w:val="18"/>
                <w:color w:val="auto"/>
                <w:w w:val="88"/>
              </w:rPr>
              <w:t>5 years</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Impairment of Long-Lived Assets</w:t>
      </w:r>
    </w:p>
    <w:p>
      <w:pPr>
        <w:spacing w:after="0" w:line="171"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Long-lived assets with finite lives include property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32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The Company did not recognize any impairment of goodwill for all periods presented.</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11</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85"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5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4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w:t>
      </w:r>
    </w:p>
    <w:p>
      <w:pPr>
        <w:spacing w:after="0" w:line="14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carrying amounts reflected in the unaudited interim consolidated balance sheets for cash and cash equivalents, trade accounts receivable, net, trade accounts payable and accrued expenses approximate their fair values.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8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7"/>
          <w:szCs w:val="17"/>
          <w:color w:val="auto"/>
        </w:rPr>
        <w:t>The Company's investment consists of non-marketable equity investments in a privately held company. The Company’s non-marketable equity investments do not have readily determinable fair values. Therefore, the Company elects to apply the measurement alternative and record these investments at cost, less any impairment, plus or minus observable price changes in orderly transactions for identical or similar investments of the same issuer. Investment are included within other noncurrent assets on our consolidated balance sheets and adjustments to their carrying amounts are recorded in other income (expense), net in the consolidated statements of operations. There were no material events or circumstances impacting the carrying amount of our strategic investments during the three months ended September 30, 2022.</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Company’s product revenue consists of sales of its instrument systems and accessories. The Company recognizes product revenue at the point in time when control of the instrument is transferred to the customer.</w:t>
      </w:r>
    </w:p>
    <w:p>
      <w:pPr>
        <w:spacing w:after="0" w:line="11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148"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59"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Invoicing for products occurs upon delivery and payment terms are 30 to 90 days. Service contracts are invoiced upfront and payment terms are generally 30 days. For those arrangements that have terms greater than one year, any payments received upfront are for reasons other than financing. Revenue is recognized only to the extent that it is probable that a significant reversal of the cumulative amount recognized will not occur in future periods. Variable consideration is not material.</w:t>
      </w:r>
    </w:p>
    <w:p>
      <w:pPr>
        <w:spacing w:after="0" w:line="154"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7"/>
          <w:szCs w:val="17"/>
          <w:color w:val="auto"/>
        </w:rPr>
        <w:t>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12</w:t>
      </w:r>
    </w:p>
    <w:p>
      <w:pPr>
        <w:spacing w:after="0" w:line="10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spacing w:after="0" w:line="14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6"/>
          <w:szCs w:val="16"/>
          <w:color w:val="auto"/>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w:t>
      </w:r>
    </w:p>
    <w:p>
      <w:pPr>
        <w:spacing w:after="0" w:line="3" w:lineRule="exact"/>
        <w:rPr>
          <w:sz w:val="20"/>
          <w:szCs w:val="20"/>
          <w:color w:val="auto"/>
        </w:rPr>
      </w:pPr>
    </w:p>
    <w:p>
      <w:pPr>
        <w:jc w:val="both"/>
        <w:ind w:firstLine="72"/>
        <w:spacing w:after="0" w:line="246" w:lineRule="auto"/>
        <w:rPr>
          <w:sz w:val="20"/>
          <w:szCs w:val="20"/>
          <w:color w:val="auto"/>
        </w:rPr>
      </w:pPr>
      <w:r>
        <w:rPr>
          <w:rFonts w:ascii="Arial" w:cs="Arial" w:eastAsia="Arial" w:hAnsi="Arial"/>
          <w:sz w:val="18"/>
          <w:szCs w:val="18"/>
          <w:color w:val="auto"/>
        </w:rPr>
        <w:t>During the three and nine months ended September 30, 2022, the Company recorded $5.1 million and $6.1 million of revenue under bill-and-hold arrangements, respectively. During the three and nine months ended September 30, 2021, revenue recorded under bill-and-hold arrangements was immaterial.</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8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Company’s standard arrangement for sales to end users is a purchase order or an executed contract. Revenue is recognized upon transfer of control of the product to the customer, which occurs at a point in time depending on the shipping terms.</w:t>
      </w:r>
    </w:p>
    <w:p>
      <w:pPr>
        <w:spacing w:after="0" w:line="144" w:lineRule="exact"/>
        <w:rPr>
          <w:sz w:val="20"/>
          <w:szCs w:val="20"/>
          <w:color w:val="auto"/>
        </w:rPr>
      </w:pPr>
    </w:p>
    <w:p>
      <w:pPr>
        <w:jc w:val="both"/>
        <w:ind w:right="20" w:firstLine="509"/>
        <w:spacing w:after="0" w:line="256" w:lineRule="auto"/>
        <w:rPr>
          <w:sz w:val="20"/>
          <w:szCs w:val="20"/>
          <w:color w:val="auto"/>
        </w:rPr>
      </w:pPr>
      <w:r>
        <w:rPr>
          <w:rFonts w:ascii="Arial" w:cs="Arial" w:eastAsia="Arial" w:hAnsi="Arial"/>
          <w:sz w:val="18"/>
          <w:szCs w:val="18"/>
          <w:color w:val="auto"/>
        </w:rPr>
        <w:t>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7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8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Assurance-type product warranties</w:t>
      </w:r>
    </w:p>
    <w:p>
      <w:pPr>
        <w:spacing w:after="0" w:line="17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8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Deferred offering costs, which consist of direct incremental legal, consulting, banking and accounting fees relating to the Company’s planned initial public offering, are capitalized, and will be offset against proceeds from the IPO upon the effectiveness of the offering. In the event an anticipated offering is terminated, deferred offering costs will be expensed. On July 27, 2021, the Company completed the IPO; accordingly, the Company recognized the initial public offering costs of approximately $5.3 million as a reduction from gross proceeds associated with the IPO through additional paid-in capital in the accompanying consolidated balance sheet. Accordingly, there were no deferred offering costs related to IPO as of September 30, 2022 and December 31, 2021.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8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Research and development costs are expensed as incurred. Research and development expenses to date consist primarily of salaries, benefits, stock-based compensation, independent contractor costs, laboratory supplies, equipment maintenance, materials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13</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expenses, and software license fees. Payments made prior to the receipt of goods or services to be used in research and development activities are recorded as prepaid expenses until the related goods or services are received.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85"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cost of advertising, marketing and media is expensed as incurred. For the three and nine months ended September 30, 2022, advertising, marketing and media expenses totaled $0.5 million and $1.6 million, respectively. For the three and nine months ended September 30, 2021, advertising, marketing and media expenses totaled $0.5 million and $1.2 million,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w:t>
      </w:r>
    </w:p>
    <w:p>
      <w:pPr>
        <w:spacing w:after="0" w:line="13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Expected Volatility—Expected volatility is estimated by studying the volatility of selected industry peers deemed to be comparable to the Company's business corresponding to the expected term of the awards.</w:t>
      </w:r>
    </w:p>
    <w:p>
      <w:pPr>
        <w:spacing w:after="0" w:line="14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Expected Term—Expected term represents the period that the Company's stock-based awards are expected to be outstanding and is determined using the simplified method.</w:t>
      </w:r>
    </w:p>
    <w:p>
      <w:pPr>
        <w:spacing w:after="0" w:line="14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Dividend Yield— The expected dividend yield is zero as the Company has never declared or paid cash dividends and has no current plans to do so in the foreseeable future.</w:t>
      </w:r>
    </w:p>
    <w:p>
      <w:pPr>
        <w:spacing w:after="0" w:line="144"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Risk-Free Interest Rate—The risk-free interest rate is based on the U.S. Treasury zero-coupon issued in effect at the time of grant for periods corresponding with the expected term of the option.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15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 of operations. Accrued interest and penalties, if any, are included in accrued expenses in the consolidated balance sheet.</w:t>
      </w:r>
    </w:p>
    <w:p>
      <w:pPr>
        <w:spacing w:after="0" w:line="159"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15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attributable to common stockholders per share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14</w:t>
      </w:r>
    </w:p>
    <w:p>
      <w:pPr>
        <w:spacing w:after="0" w:line="10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Basic net income (loss) attributable to common stockholders per share and diluted net income (loss) attributable to common stockholders per share are computed using the weighted-average number of shares of common stock outstanding for the period. Net income (loss) per share attributable to common stockholders is calculated using the two-class method, which is an earnings allocation formula that determines net income per share for the holders of shares of the Company’s common stock and participating securities. The Company’s redeemable convertible preferred stock contains participation rights in any dividend paid by the Company and is deemed to be a participating security. The participating securities include a contractual obligation to participate in the income of the Company and are included in the calculation of net income (loss) per share in the periods in which net income is recorded.</w:t>
      </w:r>
    </w:p>
    <w:p>
      <w:pPr>
        <w:spacing w:after="0" w:line="16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Diluted net income (loss) attributable to common stockholders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income (loss) attributable to common stockholders per share gives effect to all potentially dilutive common stock equivalents, including outstanding options and redeemable convertible preferred stock.</w:t>
      </w:r>
    </w:p>
    <w:p>
      <w:pPr>
        <w:spacing w:after="0" w:line="15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Common stock equivalents are excluded from the computation of diluted net income (loss) attributable to common stockholders per share if their effect is antidilutive.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8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 xml:space="preserve">The Company uses the acquisition method of accounting under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Each acquired company’s operating results are included in the Company's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Goodwill is recognized for the excess of purchase price over the net fair value of assets acquired and liabilities assumed.</w:t>
      </w:r>
    </w:p>
    <w:p>
      <w:pPr>
        <w:spacing w:after="0" w:line="12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Amounts allocated to assets and liabilities are based upon fair values. Such valuations require management to make significant estimates and assumptions, especially with respect to the identifiable intangible assets. Management makes estimates of fair value based upon assumptions believed to be reasonable and that of a market participant. These estimates are based on historical experience and information obtained from the management of the acquired companies and the estimates are inherently uncertain. The separately identifiable intangible assets generally include customer relationships, trade names, and reagent licenses.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The Company has, however, elected to early- adopt as permitted certain new or revised accounting standards as of dates that may or may not coincide with the effective dates of public companies. These standards include the following:</w:t>
      </w:r>
    </w:p>
    <w:p>
      <w:pPr>
        <w:spacing w:after="0" w:line="160"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("Topic 740"). The objective of the guidance is to simplify the accounting for income taxes by removing certain exceptions to the general principles in Topic 740 and to provide more consistent application to improve the comparability of financial statements. The guidance is effective for fiscal years beginning after December 15, 2021, and interim periods within fiscal years beginning after December 15, 2022, with early adoption permitted. The Company early adopted this guidance on January 1, 2021, and the adoption did not have a material impact to the Company’s unaudited interim consolidated financial statements.</w:t>
      </w:r>
    </w:p>
    <w:p>
      <w:pPr>
        <w:spacing w:after="0" w:line="13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to improve financial reporting and disclosures about leasing transactions. This ASU requires companies that lease assets to recognize on the balance sheet the assets and liabilities for the rights and obligations created by those leases, for substantially all leases. The recognition, measurement and presentation of expense and cash flows arising from a lease by a lessee will depend primarily on its classification as a finance or operating lease; both types of leases will be recognized on the balance sheet. This ASU also requires disclosures to help financial statement users to better understand the amount, timing and uncertainty of cash flows arising from leases. As the Company qualifies as an emerging growth company, the new lease standard was adopted by the Company on its effective date of January 1, 2022. The Company used the optional transition method to the modified retrospective approach in which results for reporting periods beginning on January 1, 2022 are presented under Topic 842, while prior period amounts continue to be reported and disclosed in accordance with the Company’s historical accounting</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15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treatment under ASC Topic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38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7"/>
          <w:szCs w:val="17"/>
          <w:color w:val="auto"/>
        </w:rPr>
        <w:t>A number of practical expedients and policy elections are available under the new guidance to reduce the burden of adoption and ongoing compliance with Topic 842. The Company elected the "package of practical expedients" permitted under the transition guidance, which did not require reassessment of whether contracts entered into prior to January 1, 2022 are or contain leases, and allowed carryforward of the historical lease classification for existing leases. The Company has not elected to adopt the “hindsight” practical expedient, and therefore will measure the right-of-use (ROU) asset and lease liability using the remaining portion of the lease term at adoption on January 1, 2022.</w:t>
      </w:r>
    </w:p>
    <w:p>
      <w:pPr>
        <w:spacing w:after="0" w:line="14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The Company made an accounting policy election under Topic 842 not to recognize ROU assets and lease liabilities for leases with a term of twelve months or less. For all other leases, the Company recognizes ROU assets and lease liabilities based on the present value of lease payments over the lease term at the commencement date of the lease (or January 1, 2022 for existing leases upon the adoption of Topic 842). The ROU assets also include any initial direct costs incurred and lease payments made at or before the commencement date and are reduced by any lease incentives.</w:t>
      </w:r>
    </w:p>
    <w:p>
      <w:pPr>
        <w:spacing w:after="0" w:line="126"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Future lease payments may include fixed rent escalation clauses or payments that depend on an index (such as the consumer price index). Subsequent changes an index and other periodic market-rate adjustments to base rent are recorded in variable lease expense in the period incurred. Residual value guarantees and payments for terminating a lease are included in the lease payments only when it is probable they will be incurred.</w:t>
      </w:r>
    </w:p>
    <w:p>
      <w:pPr>
        <w:spacing w:after="0" w:line="131"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Company’s leases may include a non-lease component representing additional services transferred to the Company, such as common area maintenance for real estate. The Company made an accounting policy election to account for each separate lease component and the non-lease components associated with that lease component as a single lease component. The non-lease components are generally variable in nature and recorded in variable lease expense in the period incurred.</w:t>
      </w:r>
    </w:p>
    <w:p>
      <w:pPr>
        <w:spacing w:after="0" w:line="15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Company uses its incremental borrowing rate to determine the present value of lease payments, as the Company’s leases do not have a readily determinable implicit discount rate. The incremental borrowing rate is the rate of interest the Company would have to pay to borrow on a collateralized basis over a similar term and amount in a similar economic environment. Judgement is applied in assessing factors such as Company-specific credit risk, lease term, nature and quality of the underlying collateral, currency, and economic environment in determining the incremental borrowing rate to apply to each lease.</w:t>
      </w:r>
    </w:p>
    <w:p>
      <w:pPr>
        <w:spacing w:after="0" w:line="159"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Adoption of Topic 842 resulted in the recording of ROU assets and lease liabilities related to the Company’s operating leases of approximately $14.6 million and $15.2 million, respectively, on January 1, 2022. The adoption of the new lease standard did not materially impact the Company's consolidated net income or consolidated cash flows and did not result in a cumulative-effect adjustment to the opening balance of retained earnings. Refer to Note 16 for additional disclosures.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85" w:lineRule="exact"/>
        <w:rPr>
          <w:sz w:val="20"/>
          <w:szCs w:val="20"/>
          <w:color w:val="auto"/>
        </w:rPr>
      </w:pPr>
    </w:p>
    <w:p>
      <w:pPr>
        <w:jc w:val="both"/>
        <w:ind w:firstLine="509"/>
        <w:spacing w:after="0" w:line="28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replaces the existing incurred loss impairment model with an expected credit loss model and requires a financial asset measured at</w:t>
      </w:r>
      <w:r>
        <w:rPr>
          <w:rFonts w:ascii="Arial" w:cs="Arial" w:eastAsia="Arial" w:hAnsi="Arial"/>
          <w:sz w:val="16"/>
          <w:szCs w:val="16"/>
          <w:i w:val="1"/>
          <w:iCs w:val="1"/>
          <w:color w:val="auto"/>
        </w:rPr>
        <w:t xml:space="preserve"> </w:t>
      </w:r>
      <w:r>
        <w:rPr>
          <w:rFonts w:ascii="Arial" w:cs="Arial" w:eastAsia="Arial" w:hAnsi="Arial"/>
          <w:sz w:val="16"/>
          <w:szCs w:val="16"/>
          <w:color w:val="auto"/>
        </w:rPr>
        <w:t>amortized cost to be presented at the net amount expected to be collected. As the Company will lose its emerging growth company (“EGC”) status as of December 31, 2022, and the Company will be required to apply the provision of ASU 2016-13 beginning with the annual reporting period ended December 31, 2022. The Company is currently evaluating the impact of adoption this guidance on the consolidated financial statements and related disclosures.</w:t>
      </w:r>
    </w:p>
    <w:p>
      <w:pPr>
        <w:spacing w:after="0" w:line="126"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 and other risks and uncertainties</w:t>
      </w:r>
    </w:p>
    <w:p>
      <w:pPr>
        <w:spacing w:after="0" w:line="189"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w:t>
      </w:r>
    </w:p>
    <w:p>
      <w:pPr>
        <w:spacing w:after="0" w:line="150" w:lineRule="exact"/>
        <w:rPr>
          <w:sz w:val="20"/>
          <w:szCs w:val="20"/>
          <w:color w:val="auto"/>
        </w:rPr>
      </w:pPr>
    </w:p>
    <w:p>
      <w:pPr>
        <w:ind w:right="7680" w:firstLine="8"/>
        <w:spacing w:after="0" w:line="391" w:lineRule="auto"/>
        <w:tabs>
          <w:tab w:leader="none" w:pos="50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from contracts with customers </w:t>
      </w:r>
      <w:r>
        <w:rPr>
          <w:rFonts w:ascii="Arial" w:cs="Arial" w:eastAsia="Arial" w:hAnsi="Arial"/>
          <w:sz w:val="18"/>
          <w:szCs w:val="18"/>
          <w:i w:val="1"/>
          <w:iCs w:val="1"/>
          <w:color w:val="auto"/>
        </w:rPr>
        <w:t>Disaggregation of revenue</w:t>
      </w:r>
    </w:p>
    <w:p>
      <w:pPr>
        <w:spacing w:after="0" w:line="32"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color w:val="auto"/>
        </w:rPr>
        <w:t>The following table depicts the disaggregation of revenue by sales channel mix and customer mix as defined by the nature of workflows (in thousands):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16</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w w:val="93"/>
              </w:rPr>
              <w:t>Three months ended September 30,</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69"/>
        </w:trPr>
        <w:tc>
          <w:tcPr>
            <w:tcW w:w="5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Sales channel mix</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Direct sales channel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30,204</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30,841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94,725</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76,406</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Distributor channel</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10,273</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3,535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20,975</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12,650</w:t>
            </w: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Arial" w:cs="Arial" w:eastAsia="Arial" w:hAnsi="Arial"/>
                <w:sz w:val="18"/>
                <w:szCs w:val="18"/>
                <w:color w:val="auto"/>
              </w:rPr>
              <w:t>Total revenue, net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40,477</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34,376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115,700</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89,056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Customer mix</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Academia and government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18,983</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18,593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48,796</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42,463</w:t>
            </w:r>
          </w:p>
        </w:tc>
        <w:tc>
          <w:tcPr>
            <w:tcW w:w="0" w:type="dxa"/>
            <w:vAlign w:val="bottom"/>
          </w:tcPr>
          <w:p>
            <w:pPr>
              <w:spacing w:after="0"/>
              <w:rPr>
                <w:sz w:val="1"/>
                <w:szCs w:val="1"/>
                <w:color w:val="auto"/>
              </w:rPr>
            </w:pPr>
          </w:p>
        </w:tc>
      </w:tr>
      <w:tr>
        <w:trPr>
          <w:trHeight w:val="175"/>
        </w:trPr>
        <w:tc>
          <w:tcPr>
            <w:tcW w:w="5820" w:type="dxa"/>
            <w:vAlign w:val="bottom"/>
          </w:tcPr>
          <w:p>
            <w:pPr>
              <w:ind w:left="200"/>
              <w:spacing w:after="0" w:line="175" w:lineRule="exact"/>
              <w:rPr>
                <w:sz w:val="20"/>
                <w:szCs w:val="20"/>
                <w:color w:val="auto"/>
              </w:rPr>
            </w:pPr>
            <w:r>
              <w:rPr>
                <w:rFonts w:ascii="Arial" w:cs="Arial" w:eastAsia="Arial" w:hAnsi="Arial"/>
                <w:sz w:val="18"/>
                <w:szCs w:val="18"/>
                <w:color w:val="auto"/>
              </w:rPr>
              <w:t>Biotechnology, pharmaceutical, distributor and contract research</w:t>
            </w:r>
          </w:p>
        </w:tc>
        <w:tc>
          <w:tcPr>
            <w:tcW w:w="140" w:type="dxa"/>
            <w:vAlign w:val="bottom"/>
          </w:tcPr>
          <w:p>
            <w:pPr>
              <w:spacing w:after="0"/>
              <w:rPr>
                <w:sz w:val="15"/>
                <w:szCs w:val="15"/>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8"/>
                <w:szCs w:val="18"/>
                <w:color w:val="auto"/>
              </w:rPr>
              <w:t>21,494</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33"/>
              <w:spacing w:after="0"/>
              <w:rPr>
                <w:sz w:val="20"/>
                <w:szCs w:val="20"/>
                <w:color w:val="auto"/>
              </w:rPr>
            </w:pPr>
            <w:r>
              <w:rPr>
                <w:rFonts w:ascii="Arial" w:cs="Arial" w:eastAsia="Arial" w:hAnsi="Arial"/>
                <w:sz w:val="18"/>
                <w:szCs w:val="18"/>
                <w:color w:val="auto"/>
              </w:rPr>
              <w:t>15,783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ind w:right="35"/>
              <w:spacing w:after="0"/>
              <w:rPr>
                <w:sz w:val="20"/>
                <w:szCs w:val="20"/>
                <w:color w:val="auto"/>
              </w:rPr>
            </w:pPr>
            <w:r>
              <w:rPr>
                <w:rFonts w:ascii="Arial" w:cs="Arial" w:eastAsia="Arial" w:hAnsi="Arial"/>
                <w:sz w:val="18"/>
                <w:szCs w:val="18"/>
                <w:color w:val="auto"/>
              </w:rPr>
              <w:t>66,904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ind w:right="33"/>
              <w:spacing w:after="0"/>
              <w:rPr>
                <w:sz w:val="20"/>
                <w:szCs w:val="20"/>
                <w:color w:val="auto"/>
              </w:rPr>
            </w:pPr>
            <w:r>
              <w:rPr>
                <w:rFonts w:ascii="Arial" w:cs="Arial" w:eastAsia="Arial" w:hAnsi="Arial"/>
                <w:sz w:val="18"/>
                <w:szCs w:val="18"/>
                <w:color w:val="auto"/>
              </w:rPr>
              <w:t>46,593</w:t>
            </w:r>
          </w:p>
        </w:tc>
        <w:tc>
          <w:tcPr>
            <w:tcW w:w="0" w:type="dxa"/>
            <w:vAlign w:val="bottom"/>
          </w:tcPr>
          <w:p>
            <w:pPr>
              <w:spacing w:after="0"/>
              <w:rPr>
                <w:sz w:val="1"/>
                <w:szCs w:val="1"/>
                <w:color w:val="auto"/>
              </w:rPr>
            </w:pPr>
          </w:p>
        </w:tc>
      </w:tr>
      <w:tr>
        <w:trPr>
          <w:trHeight w:val="217"/>
        </w:trPr>
        <w:tc>
          <w:tcPr>
            <w:tcW w:w="5820" w:type="dxa"/>
            <w:vAlign w:val="bottom"/>
          </w:tcPr>
          <w:p>
            <w:pPr>
              <w:ind w:left="340"/>
              <w:spacing w:after="0"/>
              <w:rPr>
                <w:sz w:val="20"/>
                <w:szCs w:val="20"/>
                <w:color w:val="auto"/>
              </w:rPr>
            </w:pPr>
            <w:r>
              <w:rPr>
                <w:rFonts w:ascii="Arial" w:cs="Arial" w:eastAsia="Arial" w:hAnsi="Arial"/>
                <w:sz w:val="18"/>
                <w:szCs w:val="18"/>
                <w:color w:val="auto"/>
              </w:rPr>
              <w:t>organizations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 net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40,477</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34,376</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115,700</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89,056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-1002030</wp:posOffset>
            </wp:positionV>
            <wp:extent cx="9398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-1002030</wp:posOffset>
            </wp:positionV>
            <wp:extent cx="8572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-1002030</wp:posOffset>
            </wp:positionV>
            <wp:extent cx="7683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93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939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-25400</wp:posOffset>
            </wp:positionV>
            <wp:extent cx="857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Revenue by geographical markets is presented in Note 21, </w:t>
      </w:r>
      <w:r>
        <w:rPr>
          <w:rFonts w:ascii="Arial" w:cs="Arial" w:eastAsia="Arial" w:hAnsi="Arial"/>
          <w:sz w:val="18"/>
          <w:szCs w:val="18"/>
          <w:i w:val="1"/>
          <w:iCs w:val="1"/>
          <w:color w:val="auto"/>
        </w:rPr>
        <w:t>Geographic areas</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8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table includes estimated revenues expected to be recognized in the future related to performance obligations that are unsatisfied (or partially satisfied) as of September 30, 2022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2"/>
              </w:rPr>
              <w:t>Less than 1 year</w:t>
            </w:r>
          </w:p>
        </w:tc>
        <w:tc>
          <w:tcPr>
            <w:tcW w:w="180" w:type="dxa"/>
            <w:vAlign w:val="bottom"/>
          </w:tcPr>
          <w:p>
            <w:pPr>
              <w:spacing w:after="0"/>
              <w:rPr>
                <w:sz w:val="16"/>
                <w:szCs w:val="16"/>
                <w:color w:val="auto"/>
              </w:rPr>
            </w:pPr>
          </w:p>
        </w:tc>
        <w:tc>
          <w:tcPr>
            <w:tcW w:w="14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7"/>
              </w:rPr>
              <w:t>Greater than 1 year</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Total</w:t>
            </w:r>
          </w:p>
        </w:tc>
      </w:tr>
      <w:tr>
        <w:trPr>
          <w:trHeight w:val="210"/>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100</w:t>
            </w: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Service revenue</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11,993</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10,407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22,400</w:t>
            </w:r>
          </w:p>
        </w:tc>
      </w:tr>
      <w:tr>
        <w:trPr>
          <w:trHeight w:val="249"/>
        </w:trPr>
        <w:tc>
          <w:tcPr>
            <w:tcW w:w="6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12,093</w:t>
            </w:r>
          </w:p>
        </w:tc>
        <w:tc>
          <w:tcPr>
            <w:tcW w:w="1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10,407</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-25400</wp:posOffset>
            </wp:positionV>
            <wp:extent cx="1117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1117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1028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information about receivables, deferred revenue from contracts with customers, and customer deposits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accounts receivable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39,636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29,760</w:t>
            </w: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22,500</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16,871</w:t>
            </w: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Customer deposits, which are included in 'Other current liabilities'</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1,029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1,018</w:t>
            </w:r>
          </w:p>
        </w:tc>
      </w:tr>
      <w:tr>
        <w:trPr>
          <w:trHeight w:val="250"/>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contract liabilities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23,529</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17,889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-24765</wp:posOffset>
            </wp:positionV>
            <wp:extent cx="120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20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provides a roll-forward of the contract liabilities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Contract liabilities</w:t>
            </w:r>
          </w:p>
        </w:tc>
        <w:tc>
          <w:tcPr>
            <w:tcW w:w="5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602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7,745</w:t>
            </w:r>
          </w:p>
        </w:tc>
      </w:tr>
      <w:tr>
        <w:trPr>
          <w:trHeight w:val="216"/>
        </w:trPr>
        <w:tc>
          <w:tcPr>
            <w:tcW w:w="3940" w:type="dxa"/>
            <w:vAlign w:val="bottom"/>
          </w:tcPr>
          <w:p>
            <w:pPr>
              <w:ind w:left="200"/>
              <w:spacing w:after="0"/>
              <w:rPr>
                <w:sz w:val="20"/>
                <w:szCs w:val="20"/>
                <w:color w:val="auto"/>
              </w:rPr>
            </w:pPr>
            <w:r>
              <w:rPr>
                <w:rFonts w:ascii="Arial" w:cs="Arial" w:eastAsia="Arial" w:hAnsi="Arial"/>
                <w:sz w:val="18"/>
                <w:szCs w:val="18"/>
                <w:color w:val="auto"/>
              </w:rPr>
              <w:t>Revenue recognized</w:t>
            </w:r>
          </w:p>
        </w:tc>
        <w:tc>
          <w:tcPr>
            <w:tcW w:w="5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(15,008 )</w:t>
            </w:r>
          </w:p>
        </w:tc>
      </w:tr>
      <w:tr>
        <w:trPr>
          <w:trHeight w:val="216"/>
        </w:trPr>
        <w:tc>
          <w:tcPr>
            <w:tcW w:w="3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Revenue deferred</w:t>
            </w:r>
          </w:p>
        </w:tc>
        <w:tc>
          <w:tcPr>
            <w:tcW w:w="530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25,152</w:t>
            </w:r>
          </w:p>
        </w:tc>
      </w:tr>
      <w:tr>
        <w:trPr>
          <w:trHeight w:val="209"/>
        </w:trPr>
        <w:tc>
          <w:tcPr>
            <w:tcW w:w="3940" w:type="dxa"/>
            <w:vAlign w:val="bottom"/>
          </w:tcPr>
          <w:p>
            <w:pPr>
              <w:ind w:left="120"/>
              <w:spacing w:after="0"/>
              <w:rPr>
                <w:sz w:val="20"/>
                <w:szCs w:val="20"/>
                <w:color w:val="auto"/>
              </w:rPr>
            </w:pPr>
            <w:r>
              <w:rPr>
                <w:rFonts w:ascii="Arial" w:cs="Arial" w:eastAsia="Arial" w:hAnsi="Arial"/>
                <w:sz w:val="18"/>
                <w:szCs w:val="18"/>
                <w:color w:val="auto"/>
              </w:rPr>
              <w:t>Balance at December 31, 2021</w:t>
            </w:r>
          </w:p>
        </w:tc>
        <w:tc>
          <w:tcPr>
            <w:tcW w:w="602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17,889</w:t>
            </w:r>
          </w:p>
        </w:tc>
      </w:tr>
      <w:tr>
        <w:trPr>
          <w:trHeight w:val="216"/>
        </w:trPr>
        <w:tc>
          <w:tcPr>
            <w:tcW w:w="3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Revenue recognized</w:t>
            </w:r>
          </w:p>
        </w:tc>
        <w:tc>
          <w:tcPr>
            <w:tcW w:w="5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(17,885 )</w:t>
            </w:r>
          </w:p>
        </w:tc>
      </w:tr>
      <w:tr>
        <w:trPr>
          <w:trHeight w:val="216"/>
        </w:trPr>
        <w:tc>
          <w:tcPr>
            <w:tcW w:w="3940" w:type="dxa"/>
            <w:vAlign w:val="bottom"/>
          </w:tcPr>
          <w:p>
            <w:pPr>
              <w:ind w:left="200"/>
              <w:spacing w:after="0"/>
              <w:rPr>
                <w:sz w:val="20"/>
                <w:szCs w:val="20"/>
                <w:color w:val="auto"/>
              </w:rPr>
            </w:pPr>
            <w:r>
              <w:rPr>
                <w:rFonts w:ascii="Arial" w:cs="Arial" w:eastAsia="Arial" w:hAnsi="Arial"/>
                <w:sz w:val="18"/>
                <w:szCs w:val="18"/>
                <w:color w:val="auto"/>
              </w:rPr>
              <w:t>Revenue deferred</w:t>
            </w:r>
          </w:p>
        </w:tc>
        <w:tc>
          <w:tcPr>
            <w:tcW w:w="5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23,525</w:t>
            </w:r>
          </w:p>
        </w:tc>
      </w:tr>
      <w:tr>
        <w:trPr>
          <w:trHeight w:val="250"/>
        </w:trPr>
        <w:tc>
          <w:tcPr>
            <w:tcW w:w="39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Balance at September 30, 2022</w:t>
            </w:r>
          </w:p>
        </w:tc>
        <w:tc>
          <w:tcPr>
            <w:tcW w:w="53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23,529</w:t>
            </w:r>
          </w:p>
        </w:tc>
      </w:tr>
      <w:tr>
        <w:trPr>
          <w:trHeight w:val="548"/>
        </w:trPr>
        <w:tc>
          <w:tcPr>
            <w:tcW w:w="3940" w:type="dxa"/>
            <w:vAlign w:val="bottom"/>
          </w:tcPr>
          <w:p>
            <w:pPr>
              <w:spacing w:after="0"/>
              <w:rPr>
                <w:sz w:val="24"/>
                <w:szCs w:val="24"/>
                <w:color w:val="auto"/>
              </w:rPr>
            </w:pPr>
          </w:p>
        </w:tc>
        <w:tc>
          <w:tcPr>
            <w:tcW w:w="5300" w:type="dxa"/>
            <w:vAlign w:val="bottom"/>
          </w:tcPr>
          <w:p>
            <w:pPr>
              <w:jc w:val="right"/>
              <w:ind w:right="3430"/>
              <w:spacing w:after="0"/>
              <w:rPr>
                <w:sz w:val="20"/>
                <w:szCs w:val="20"/>
                <w:color w:val="auto"/>
              </w:rPr>
            </w:pPr>
            <w:r>
              <w:rPr>
                <w:rFonts w:ascii="Arial" w:cs="Arial" w:eastAsia="Arial" w:hAnsi="Arial"/>
                <w:sz w:val="18"/>
                <w:szCs w:val="18"/>
                <w:color w:val="auto"/>
              </w:rPr>
              <w:t>16</w:t>
            </w: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01"/>
        </w:trPr>
        <w:tc>
          <w:tcPr>
            <w:tcW w:w="3940" w:type="dxa"/>
            <w:vAlign w:val="bottom"/>
            <w:tcBorders>
              <w:bottom w:val="single" w:sz="8" w:color="9A9A9A"/>
            </w:tcBorders>
          </w:tcPr>
          <w:p>
            <w:pPr>
              <w:spacing w:after="0"/>
              <w:rPr>
                <w:sz w:val="8"/>
                <w:szCs w:val="8"/>
                <w:color w:val="auto"/>
              </w:rPr>
            </w:pPr>
          </w:p>
        </w:tc>
        <w:tc>
          <w:tcPr>
            <w:tcW w:w="53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17</w:t>
            </w:r>
          </w:p>
        </w:tc>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11"/>
        </w:trPr>
        <w:tc>
          <w:tcPr>
            <w:tcW w:w="360" w:type="dxa"/>
            <w:vAlign w:val="bottom"/>
          </w:tcPr>
          <w:p>
            <w:pPr>
              <w:spacing w:after="0"/>
              <w:rPr>
                <w:sz w:val="20"/>
                <w:szCs w:val="20"/>
                <w:color w:val="auto"/>
              </w:rPr>
            </w:pPr>
            <w:r>
              <w:rPr>
                <w:rFonts w:ascii="Arial" w:cs="Arial" w:eastAsia="Arial" w:hAnsi="Arial"/>
                <w:sz w:val="18"/>
                <w:szCs w:val="18"/>
                <w:b w:val="1"/>
                <w:bCs w:val="1"/>
                <w:color w:val="auto"/>
              </w:rPr>
              <w:t>5.</w:t>
            </w:r>
          </w:p>
        </w:tc>
        <w:tc>
          <w:tcPr>
            <w:tcW w:w="7320" w:type="dxa"/>
            <w:vAlign w:val="bottom"/>
          </w:tcPr>
          <w:p>
            <w:pPr>
              <w:ind w:left="160"/>
              <w:spacing w:after="0"/>
              <w:rPr>
                <w:sz w:val="20"/>
                <w:szCs w:val="20"/>
                <w:color w:val="auto"/>
              </w:rPr>
            </w:pPr>
            <w:r>
              <w:rPr>
                <w:rFonts w:ascii="Arial" w:cs="Arial" w:eastAsia="Arial" w:hAnsi="Arial"/>
                <w:sz w:val="18"/>
                <w:szCs w:val="18"/>
                <w:b w:val="1"/>
                <w:bCs w:val="1"/>
                <w:color w:val="auto"/>
              </w:rPr>
              <w:t>Balance sheet details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1"/>
        </w:trPr>
        <w:tc>
          <w:tcPr>
            <w:tcW w:w="7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2"/>
        </w:trPr>
        <w:tc>
          <w:tcPr>
            <w:tcW w:w="360" w:type="dxa"/>
            <w:vAlign w:val="bottom"/>
          </w:tcPr>
          <w:p>
            <w:pPr>
              <w:spacing w:after="0"/>
              <w:rPr>
                <w:sz w:val="24"/>
                <w:szCs w:val="24"/>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The following table shows the components of inventory (in thousands):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2"/>
        </w:trPr>
        <w:tc>
          <w:tcPr>
            <w:tcW w:w="36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36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r>
      <w:tr>
        <w:trPr>
          <w:trHeight w:val="209"/>
        </w:trPr>
        <w:tc>
          <w:tcPr>
            <w:tcW w:w="7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28,501</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17,260</w:t>
            </w:r>
          </w:p>
        </w:tc>
      </w:tr>
      <w:tr>
        <w:trPr>
          <w:trHeight w:val="216"/>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Work in progress</w:t>
            </w:r>
          </w:p>
        </w:tc>
        <w:tc>
          <w:tcPr>
            <w:tcW w:w="22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5,409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2,297</w:t>
            </w:r>
          </w:p>
        </w:tc>
      </w:tr>
      <w:tr>
        <w:trPr>
          <w:trHeight w:val="216"/>
        </w:trPr>
        <w:tc>
          <w:tcPr>
            <w:tcW w:w="76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15,459</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12,614</w:t>
            </w:r>
          </w:p>
        </w:tc>
      </w:tr>
      <w:tr>
        <w:trPr>
          <w:trHeight w:val="210"/>
        </w:trPr>
        <w:tc>
          <w:tcPr>
            <w:tcW w:w="7680" w:type="dxa"/>
            <w:vAlign w:val="bottom"/>
            <w:gridSpan w:val="2"/>
          </w:tcPr>
          <w:p>
            <w:pPr>
              <w:ind w:left="20"/>
              <w:spacing w:after="0"/>
              <w:rPr>
                <w:sz w:val="20"/>
                <w:szCs w:val="20"/>
                <w:color w:val="auto"/>
              </w:rPr>
            </w:pPr>
            <w:r>
              <w:rPr>
                <w:rFonts w:ascii="Arial" w:cs="Arial" w:eastAsia="Arial" w:hAnsi="Arial"/>
                <w:sz w:val="18"/>
                <w:szCs w:val="18"/>
                <w:color w:val="auto"/>
              </w:rPr>
              <w:t>Total inventories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49,369</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32,171</w:t>
            </w:r>
          </w:p>
        </w:tc>
      </w:tr>
      <w:tr>
        <w:trPr>
          <w:trHeight w:val="20"/>
        </w:trPr>
        <w:tc>
          <w:tcPr>
            <w:tcW w:w="36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-170815</wp:posOffset>
            </wp:positionV>
            <wp:extent cx="12001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015" cy="17145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components of prepaid expenses and other current assets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3"/>
          </w:tcPr>
          <w:p>
            <w:pPr>
              <w:ind w:left="1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center"/>
              <w:ind w:right="2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7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Prepaid inventory</w:t>
            </w: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621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rent</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Prepaid insurance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1,956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Prepaid income tax</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6,140</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current assets:</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Tax refund receivable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2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0"/>
        </w:trPr>
        <w:tc>
          <w:tcPr>
            <w:tcW w:w="764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13,331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6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640" w:type="dxa"/>
            <w:vAlign w:val="bottom"/>
          </w:tcPr>
          <w:p>
            <w:pPr>
              <w:ind w:left="520"/>
              <w:spacing w:after="0"/>
              <w:rPr>
                <w:sz w:val="20"/>
                <w:szCs w:val="20"/>
                <w:color w:val="auto"/>
              </w:rPr>
            </w:pPr>
            <w:r>
              <w:rPr>
                <w:rFonts w:ascii="Arial" w:cs="Arial" w:eastAsia="Arial" w:hAnsi="Arial"/>
                <w:sz w:val="18"/>
                <w:szCs w:val="18"/>
                <w:color w:val="auto"/>
              </w:rPr>
              <w:t>The following table shows the components of accrued expenses (in thousands):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ind w:left="1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center"/>
              <w:ind w:right="2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7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Accrued compensation and related benefits</w:t>
            </w:r>
          </w:p>
        </w:tc>
        <w:tc>
          <w:tcPr>
            <w:tcW w:w="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9,615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Professional service fees</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923</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Purchases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2,619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Product warranty</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1,935</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1,545</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49"/>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w:t>
            </w: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16,637</w:t>
            </w:r>
          </w:p>
        </w:tc>
        <w:tc>
          <w:tcPr>
            <w:tcW w:w="2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15,251</w:t>
            </w:r>
          </w:p>
        </w:tc>
        <w:tc>
          <w:tcPr>
            <w:tcW w:w="0" w:type="dxa"/>
            <w:vAlign w:val="bottom"/>
          </w:tcPr>
          <w:p>
            <w:pPr>
              <w:spacing w:after="0"/>
              <w:rPr>
                <w:sz w:val="1"/>
                <w:szCs w:val="1"/>
                <w:color w:val="auto"/>
              </w:rPr>
            </w:pPr>
          </w:p>
        </w:tc>
      </w:tr>
      <w:tr>
        <w:trPr>
          <w:trHeight w:val="521"/>
        </w:trPr>
        <w:tc>
          <w:tcPr>
            <w:tcW w:w="7640" w:type="dxa"/>
            <w:vAlign w:val="bottom"/>
          </w:tcPr>
          <w:p>
            <w:pPr>
              <w:ind w:left="300"/>
              <w:spacing w:after="0"/>
              <w:rPr>
                <w:sz w:val="20"/>
                <w:szCs w:val="20"/>
                <w:color w:val="auto"/>
              </w:rPr>
            </w:pPr>
            <w:r>
              <w:rPr>
                <w:rFonts w:ascii="Arial" w:cs="Arial" w:eastAsia="Arial" w:hAnsi="Arial"/>
                <w:sz w:val="18"/>
                <w:szCs w:val="18"/>
                <w:color w:val="auto"/>
              </w:rPr>
              <w:t>For the product warranty analysis refer to Note 19.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640" w:type="dxa"/>
            <w:vAlign w:val="bottom"/>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640" w:type="dxa"/>
            <w:vAlign w:val="bottom"/>
          </w:tcPr>
          <w:p>
            <w:pPr>
              <w:ind w:left="520"/>
              <w:spacing w:after="0"/>
              <w:rPr>
                <w:sz w:val="20"/>
                <w:szCs w:val="20"/>
                <w:color w:val="auto"/>
              </w:rPr>
            </w:pPr>
            <w:r>
              <w:rPr>
                <w:rFonts w:ascii="Arial" w:cs="Arial" w:eastAsia="Arial" w:hAnsi="Arial"/>
                <w:sz w:val="18"/>
                <w:szCs w:val="18"/>
                <w:color w:val="auto"/>
              </w:rPr>
              <w:t>The following table shows the components of other current liabilities (in thousands):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7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center"/>
              <w:ind w:right="2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76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current liabilities:</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Customer deposits</w:t>
            </w:r>
          </w:p>
        </w:tc>
        <w:tc>
          <w:tcPr>
            <w:tcW w:w="260" w:type="dxa"/>
            <w:vAlign w:val="bottom"/>
            <w:gridSpan w:val="3"/>
          </w:tcPr>
          <w:p>
            <w:pPr>
              <w:jc w:val="right"/>
              <w:ind w:right="16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payable</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Sales and use tax payable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1,149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liability, current</w:t>
            </w: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1,413</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Other</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current liabilities</w:t>
            </w:r>
          </w:p>
        </w:tc>
        <w:tc>
          <w:tcPr>
            <w:tcW w:w="260" w:type="dxa"/>
            <w:vAlign w:val="bottom"/>
            <w:tcBorders>
              <w:bottom w:val="single" w:sz="8" w:color="auto"/>
            </w:tcBorders>
            <w:gridSpan w:val="3"/>
            <w:shd w:val="clear" w:color="auto" w:fill="CFF0FC"/>
          </w:tcPr>
          <w:p>
            <w:pPr>
              <w:jc w:val="right"/>
              <w:ind w:right="16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4,949</w:t>
            </w:r>
          </w:p>
        </w:tc>
        <w:tc>
          <w:tcPr>
            <w:tcW w:w="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gridSpan w:val="2"/>
            <w:shd w:val="clear" w:color="auto" w:fill="CFF0FC"/>
          </w:tcPr>
          <w:p>
            <w:pPr>
              <w:jc w:val="right"/>
              <w:ind w:right="67"/>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-4251325</wp:posOffset>
            </wp:positionV>
            <wp:extent cx="9398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-2202180</wp:posOffset>
            </wp:positionV>
            <wp:extent cx="1200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-2185035</wp:posOffset>
            </wp:positionV>
            <wp:extent cx="1200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1200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18</w:t>
      </w:r>
    </w:p>
    <w:p>
      <w:pPr>
        <w:spacing w:after="0" w:line="316"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 The following table sets forth the fair value of the Company’s financial assets and liabilities by level within the fair value hierarchy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Quoted prices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5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 active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5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markets for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Significant</w:t>
            </w:r>
          </w:p>
        </w:tc>
      </w:tr>
      <w:tr>
        <w:trPr>
          <w:trHeight w:val="175"/>
        </w:trPr>
        <w:tc>
          <w:tcPr>
            <w:tcW w:w="5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identical</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observable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159"/>
              <w:spacing w:after="0"/>
              <w:rPr>
                <w:sz w:val="20"/>
                <w:szCs w:val="20"/>
                <w:color w:val="auto"/>
              </w:rPr>
            </w:pPr>
            <w:r>
              <w:rPr>
                <w:rFonts w:ascii="Arial" w:cs="Arial" w:eastAsia="Arial" w:hAnsi="Arial"/>
                <w:sz w:val="14"/>
                <w:szCs w:val="14"/>
                <w:b w:val="1"/>
                <w:bCs w:val="1"/>
                <w:color w:val="auto"/>
                <w:w w:val="90"/>
              </w:rPr>
              <w:t>unobservable</w:t>
            </w:r>
          </w:p>
        </w:tc>
      </w:tr>
      <w:tr>
        <w:trPr>
          <w:trHeight w:val="176"/>
        </w:trPr>
        <w:tc>
          <w:tcPr>
            <w:tcW w:w="5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7"/>
              </w:rPr>
              <w:t>assets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159"/>
              <w:spacing w:after="0"/>
              <w:rPr>
                <w:sz w:val="20"/>
                <w:szCs w:val="20"/>
                <w:color w:val="auto"/>
              </w:rPr>
            </w:pPr>
            <w:r>
              <w:rPr>
                <w:rFonts w:ascii="Arial" w:cs="Arial" w:eastAsia="Arial" w:hAnsi="Arial"/>
                <w:sz w:val="14"/>
                <w:szCs w:val="14"/>
                <w:b w:val="1"/>
                <w:bCs w:val="1"/>
                <w:color w:val="auto"/>
                <w:w w:val="90"/>
              </w:rPr>
              <w:t>inputs</w:t>
            </w:r>
          </w:p>
        </w:tc>
      </w:tr>
      <w:tr>
        <w:trPr>
          <w:trHeight w:val="185"/>
        </w:trPr>
        <w:tc>
          <w:tcPr>
            <w:tcW w:w="53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5"/>
              </w:rPr>
              <w:t>(level 3)</w:t>
            </w:r>
          </w:p>
        </w:tc>
      </w:tr>
      <w:tr>
        <w:trPr>
          <w:trHeight w:val="210"/>
        </w:trPr>
        <w:tc>
          <w:tcPr>
            <w:tcW w:w="5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6"/>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345,679</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345,679</w:t>
            </w:r>
          </w:p>
        </w:tc>
        <w:tc>
          <w:tcPr>
            <w:tcW w:w="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960"/>
              <w:spacing w:after="0"/>
              <w:rPr>
                <w:sz w:val="20"/>
                <w:szCs w:val="20"/>
                <w:color w:val="auto"/>
              </w:rPr>
            </w:pPr>
            <w:r>
              <w:rPr>
                <w:rFonts w:ascii="Arial" w:cs="Arial" w:eastAsia="Arial" w:hAnsi="Arial"/>
                <w:sz w:val="18"/>
                <w:szCs w:val="18"/>
                <w:color w:val="auto"/>
                <w:w w:val="99"/>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w:t>
            </w:r>
          </w:p>
        </w:tc>
      </w:tr>
      <w:tr>
        <w:trPr>
          <w:trHeight w:val="249"/>
        </w:trPr>
        <w:tc>
          <w:tcPr>
            <w:tcW w:w="53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345,679</w:t>
            </w:r>
          </w:p>
        </w:tc>
        <w:tc>
          <w:tcPr>
            <w:tcW w:w="40" w:type="dxa"/>
            <w:vAlign w:val="bottom"/>
            <w:tcBorders>
              <w:top w:val="single" w:sz="8" w:color="auto"/>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345,679</w:t>
            </w:r>
          </w:p>
        </w:tc>
        <w:tc>
          <w:tcPr>
            <w:tcW w:w="60" w:type="dxa"/>
            <w:vAlign w:val="bottom"/>
            <w:tcBorders>
              <w:top w:val="single" w:sz="8" w:color="auto"/>
              <w:bottom w:val="single" w:sz="8" w:color="auto"/>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r>
      <w:tr>
        <w:trPr>
          <w:trHeight w:val="363"/>
        </w:trPr>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Quoted prices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5"/>
        </w:trPr>
        <w:tc>
          <w:tcPr>
            <w:tcW w:w="5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 active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5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markets for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399"/>
              <w:spacing w:after="0"/>
              <w:rPr>
                <w:sz w:val="20"/>
                <w:szCs w:val="20"/>
                <w:color w:val="auto"/>
              </w:rPr>
            </w:pPr>
            <w:r>
              <w:rPr>
                <w:rFonts w:ascii="Arial" w:cs="Arial" w:eastAsia="Arial" w:hAnsi="Arial"/>
                <w:sz w:val="14"/>
                <w:szCs w:val="14"/>
                <w:b w:val="1"/>
                <w:bCs w:val="1"/>
                <w:color w:val="auto"/>
                <w:w w:val="92"/>
              </w:rPr>
              <w:t>Significant</w:t>
            </w:r>
          </w:p>
        </w:tc>
      </w:tr>
      <w:tr>
        <w:trPr>
          <w:trHeight w:val="175"/>
        </w:trPr>
        <w:tc>
          <w:tcPr>
            <w:tcW w:w="5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identical</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observable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399"/>
              <w:spacing w:after="0"/>
              <w:rPr>
                <w:sz w:val="20"/>
                <w:szCs w:val="20"/>
                <w:color w:val="auto"/>
              </w:rPr>
            </w:pPr>
            <w:r>
              <w:rPr>
                <w:rFonts w:ascii="Arial" w:cs="Arial" w:eastAsia="Arial" w:hAnsi="Arial"/>
                <w:sz w:val="14"/>
                <w:szCs w:val="14"/>
                <w:b w:val="1"/>
                <w:bCs w:val="1"/>
                <w:color w:val="auto"/>
                <w:w w:val="90"/>
              </w:rPr>
              <w:t>unobservable</w:t>
            </w:r>
          </w:p>
        </w:tc>
      </w:tr>
      <w:tr>
        <w:trPr>
          <w:trHeight w:val="176"/>
        </w:trPr>
        <w:tc>
          <w:tcPr>
            <w:tcW w:w="5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7"/>
              </w:rPr>
              <w:t>assets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inputs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399"/>
              <w:spacing w:after="0"/>
              <w:rPr>
                <w:sz w:val="20"/>
                <w:szCs w:val="20"/>
                <w:color w:val="auto"/>
              </w:rPr>
            </w:pPr>
            <w:r>
              <w:rPr>
                <w:rFonts w:ascii="Arial" w:cs="Arial" w:eastAsia="Arial" w:hAnsi="Arial"/>
                <w:sz w:val="14"/>
                <w:szCs w:val="14"/>
                <w:b w:val="1"/>
                <w:bCs w:val="1"/>
                <w:color w:val="auto"/>
                <w:w w:val="90"/>
              </w:rPr>
              <w:t>inputs</w:t>
            </w:r>
          </w:p>
        </w:tc>
      </w:tr>
      <w:tr>
        <w:trPr>
          <w:trHeight w:val="185"/>
        </w:trPr>
        <w:tc>
          <w:tcPr>
            <w:tcW w:w="5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379"/>
              <w:spacing w:after="0"/>
              <w:rPr>
                <w:sz w:val="20"/>
                <w:szCs w:val="20"/>
                <w:color w:val="auto"/>
              </w:rPr>
            </w:pPr>
            <w:r>
              <w:rPr>
                <w:rFonts w:ascii="Arial" w:cs="Arial" w:eastAsia="Arial" w:hAnsi="Arial"/>
                <w:sz w:val="14"/>
                <w:szCs w:val="14"/>
                <w:b w:val="1"/>
                <w:bCs w:val="1"/>
                <w:color w:val="auto"/>
                <w:w w:val="91"/>
              </w:rPr>
              <w:t>(level 3)</w:t>
            </w:r>
          </w:p>
        </w:tc>
      </w:tr>
      <w:tr>
        <w:trPr>
          <w:trHeight w:val="209"/>
        </w:trPr>
        <w:tc>
          <w:tcPr>
            <w:tcW w:w="53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r>
      <w:tr>
        <w:trPr>
          <w:trHeight w:val="216"/>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U.S. Treasury</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9,946</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0"/>
              <w:spacing w:after="0"/>
              <w:rPr>
                <w:sz w:val="20"/>
                <w:szCs w:val="20"/>
                <w:color w:val="auto"/>
              </w:rPr>
            </w:pPr>
            <w:r>
              <w:rPr>
                <w:rFonts w:ascii="Arial" w:cs="Arial" w:eastAsia="Arial" w:hAnsi="Arial"/>
                <w:sz w:val="18"/>
                <w:szCs w:val="18"/>
                <w:color w:val="auto"/>
              </w:rPr>
              <w:t>9,946</w:t>
            </w:r>
          </w:p>
        </w:tc>
        <w:tc>
          <w:tcPr>
            <w:tcW w:w="60" w:type="dxa"/>
            <w:vAlign w:val="bottom"/>
          </w:tcPr>
          <w:p>
            <w:pPr>
              <w:spacing w:after="0"/>
              <w:rPr>
                <w:sz w:val="18"/>
                <w:szCs w:val="18"/>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Federal agency securities</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41,747</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41,747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242,017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8"/>
                <w:szCs w:val="18"/>
                <w:color w:val="auto"/>
              </w:rPr>
              <w:t>242,017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Corporate notes</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11,968</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11,968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22,923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22,923</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r>
      <w:tr>
        <w:trPr>
          <w:trHeight w:val="249"/>
        </w:trPr>
        <w:tc>
          <w:tcPr>
            <w:tcW w:w="536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328,601</w:t>
            </w: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251,963</w:t>
            </w:r>
          </w:p>
        </w:tc>
        <w:tc>
          <w:tcPr>
            <w:tcW w:w="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8"/>
                <w:szCs w:val="18"/>
                <w:color w:val="auto"/>
              </w:rPr>
              <w:t>76,638</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-1833880</wp:posOffset>
            </wp:positionV>
            <wp:extent cx="939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-1816735</wp:posOffset>
            </wp:positionV>
            <wp:extent cx="939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-1833880</wp:posOffset>
            </wp:positionV>
            <wp:extent cx="857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-1816735</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-1833880</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-1816735</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-25400</wp:posOffset>
            </wp:positionV>
            <wp:extent cx="857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-8255</wp:posOffset>
            </wp:positionV>
            <wp:extent cx="857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857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857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857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857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7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did not have any transfers of financial assets measured at fair value on a recurring basis to or from Level 1, Level 2 or Level 3 for any of the periods presented.</w:t>
      </w:r>
    </w:p>
    <w:p>
      <w:pPr>
        <w:spacing w:after="0" w:line="14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table above does not include the Company's investments in privately held equity securities. Non-marketable equity investments of $1.6 million are included within Other noncurrent assets on the unaudited consolidated balance sheet as of September 30, 2022.</w:t>
      </w:r>
    </w:p>
    <w:p>
      <w:pPr>
        <w:spacing w:after="0" w:line="140"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88"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components of property and equipment, net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right"/>
              <w:ind w:right="354"/>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jc w:val="right"/>
              <w:ind w:right="33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2021</w:t>
            </w:r>
          </w:p>
        </w:tc>
      </w:tr>
      <w:tr>
        <w:trPr>
          <w:trHeight w:val="210"/>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4,250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2,410</w:t>
            </w:r>
          </w:p>
        </w:tc>
      </w:tr>
      <w:tr>
        <w:trPr>
          <w:trHeight w:val="216"/>
        </w:trPr>
        <w:tc>
          <w:tcPr>
            <w:tcW w:w="73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3,343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3,021</w:t>
            </w:r>
          </w:p>
        </w:tc>
      </w:tr>
      <w:tr>
        <w:trPr>
          <w:trHeight w:val="216"/>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344</w:t>
            </w:r>
          </w:p>
        </w:tc>
      </w:tr>
      <w:tr>
        <w:trPr>
          <w:trHeight w:val="216"/>
        </w:trPr>
        <w:tc>
          <w:tcPr>
            <w:tcW w:w="7360" w:type="dxa"/>
            <w:vAlign w:val="bottom"/>
          </w:tcPr>
          <w:p>
            <w:pPr>
              <w:ind w:left="20"/>
              <w:spacing w:after="0"/>
              <w:rPr>
                <w:sz w:val="20"/>
                <w:szCs w:val="20"/>
                <w:color w:val="auto"/>
              </w:rPr>
            </w:pPr>
            <w:r>
              <w:rPr>
                <w:rFonts w:ascii="Arial" w:cs="Arial" w:eastAsia="Arial" w:hAnsi="Arial"/>
                <w:sz w:val="18"/>
                <w:szCs w:val="18"/>
                <w:color w:val="auto"/>
              </w:rPr>
              <w:t>Office and computer equipment</w:t>
            </w:r>
          </w:p>
        </w:tc>
        <w:tc>
          <w:tcPr>
            <w:tcW w:w="20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845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673</w:t>
            </w:r>
          </w:p>
        </w:tc>
      </w:tr>
      <w:tr>
        <w:trPr>
          <w:trHeight w:val="216"/>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1,817</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1,263</w:t>
            </w:r>
          </w:p>
        </w:tc>
      </w:tr>
      <w:tr>
        <w:trPr>
          <w:trHeight w:val="209"/>
        </w:trPr>
        <w:tc>
          <w:tcPr>
            <w:tcW w:w="7360" w:type="dxa"/>
            <w:vAlign w:val="bottom"/>
          </w:tcPr>
          <w:p>
            <w:pPr>
              <w:ind w:left="200"/>
              <w:spacing w:after="0"/>
              <w:rPr>
                <w:sz w:val="20"/>
                <w:szCs w:val="20"/>
                <w:color w:val="auto"/>
              </w:rPr>
            </w:pPr>
            <w:r>
              <w:rPr>
                <w:rFonts w:ascii="Arial" w:cs="Arial" w:eastAsia="Arial" w:hAnsi="Arial"/>
                <w:sz w:val="18"/>
                <w:szCs w:val="18"/>
                <w:color w:val="auto"/>
              </w:rPr>
              <w:t>Total property and equipment</w:t>
            </w:r>
          </w:p>
        </w:tc>
        <w:tc>
          <w:tcPr>
            <w:tcW w:w="200" w:type="dxa"/>
            <w:vAlign w:val="bottom"/>
          </w:tcPr>
          <w:p>
            <w:pPr>
              <w:spacing w:after="0"/>
              <w:rPr>
                <w:sz w:val="18"/>
                <w:szCs w:val="18"/>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10,483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7,711</w:t>
            </w:r>
          </w:p>
        </w:tc>
      </w:tr>
      <w:tr>
        <w:trPr>
          <w:trHeight w:val="216"/>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(2,639 )</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(1,860 )</w:t>
            </w:r>
          </w:p>
        </w:tc>
      </w:tr>
      <w:tr>
        <w:trPr>
          <w:trHeight w:val="209"/>
        </w:trPr>
        <w:tc>
          <w:tcPr>
            <w:tcW w:w="7360" w:type="dxa"/>
            <w:vAlign w:val="bottom"/>
          </w:tcPr>
          <w:p>
            <w:pPr>
              <w:ind w:left="20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7,844</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5,851</w:t>
            </w:r>
          </w:p>
        </w:tc>
      </w:tr>
      <w:tr>
        <w:trPr>
          <w:trHeight w:val="20"/>
        </w:trPr>
        <w:tc>
          <w:tcPr>
            <w:tcW w:w="7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-453390</wp:posOffset>
            </wp:positionV>
            <wp:extent cx="111125"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-170815</wp:posOffset>
            </wp:positionV>
            <wp:extent cx="11112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276"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Total depreciation expense for the three and nine months ended September 30, 2022 was $444,000 and $1,181,000, respectively. Total depreciation expense for the three and nine months ended September 30, 2021 was $192,000 and $553,000, respectively.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19</w:t>
      </w:r>
    </w:p>
    <w:p>
      <w:pPr>
        <w:spacing w:after="0" w:line="100"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89"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On November 2, 2021, the Company completed the acquisition of the reagents business of Tonbo Biotechnologies Corporation ("Tonbo") for an aggregate cash consideration of $17 million. The acquired assets include a portfolio of life science research reagents related to cell preparation, flow cytometry, molecular immunology/polymerase chain reaction and cell culture covering application areas across immunology, apoptosis and immunoprofiling.</w:t>
      </w:r>
    </w:p>
    <w:p>
      <w:pPr>
        <w:spacing w:after="0" w:line="15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acquisition was accounted for as a business combination in accordance with ASC 805. The tangible and intangible assets acquired were recorded at fair value on the acquisition date. The purchase price allocation is based upon preliminary valuations and estimates and assumptions which are subject to change within the purchase price allocation period, generally one year from the acquisition date. The following table represents the allocation of the purchase price to the assets acquired by the Company as part of the acquisition included in the Company’s consolidated balance sheets, and is reconciled to the purchase price.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jc w:val="right"/>
              <w:ind w:right="771"/>
              <w:spacing w:after="0"/>
              <w:rPr>
                <w:sz w:val="20"/>
                <w:szCs w:val="20"/>
                <w:color w:val="auto"/>
              </w:rPr>
            </w:pPr>
            <w:r>
              <w:rPr>
                <w:rFonts w:ascii="Arial" w:cs="Arial" w:eastAsia="Arial" w:hAnsi="Arial"/>
                <w:sz w:val="18"/>
                <w:szCs w:val="18"/>
                <w:b w:val="1"/>
                <w:bCs w:val="1"/>
                <w:color w:val="auto"/>
              </w:rPr>
              <w:t>Tonbo</w:t>
            </w:r>
          </w:p>
        </w:tc>
      </w:tr>
      <w:tr>
        <w:trPr>
          <w:trHeight w:val="216"/>
        </w:trPr>
        <w:tc>
          <w:tcPr>
            <w:tcW w:w="9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jc w:val="right"/>
              <w:ind w:right="551"/>
              <w:spacing w:after="0"/>
              <w:rPr>
                <w:sz w:val="20"/>
                <w:szCs w:val="20"/>
                <w:color w:val="auto"/>
              </w:rPr>
            </w:pPr>
            <w:r>
              <w:rPr>
                <w:rFonts w:ascii="Arial" w:cs="Arial" w:eastAsia="Arial" w:hAnsi="Arial"/>
                <w:sz w:val="16"/>
                <w:szCs w:val="16"/>
                <w:color w:val="auto"/>
              </w:rPr>
              <w:t>(in thousands)</w:t>
            </w:r>
          </w:p>
        </w:tc>
      </w:tr>
      <w:tr>
        <w:trPr>
          <w:trHeight w:val="226"/>
        </w:trPr>
        <w:tc>
          <w:tcPr>
            <w:tcW w:w="9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2,549</w:t>
            </w:r>
          </w:p>
        </w:tc>
      </w:tr>
      <w:tr>
        <w:trPr>
          <w:trHeight w:val="216"/>
        </w:trPr>
        <w:tc>
          <w:tcPr>
            <w:tcW w:w="916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320" w:type="dxa"/>
            <w:vAlign w:val="bottom"/>
          </w:tcPr>
          <w:p>
            <w:pPr>
              <w:spacing w:after="0"/>
              <w:rPr>
                <w:sz w:val="18"/>
                <w:szCs w:val="18"/>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83</w:t>
            </w:r>
          </w:p>
        </w:tc>
      </w:tr>
      <w:tr>
        <w:trPr>
          <w:trHeight w:val="216"/>
        </w:trPr>
        <w:tc>
          <w:tcPr>
            <w:tcW w:w="9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Reagent licenses</w:t>
            </w:r>
          </w:p>
        </w:tc>
        <w:tc>
          <w:tcPr>
            <w:tcW w:w="32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1,800</w:t>
            </w:r>
          </w:p>
        </w:tc>
      </w:tr>
      <w:tr>
        <w:trPr>
          <w:trHeight w:val="216"/>
        </w:trPr>
        <w:tc>
          <w:tcPr>
            <w:tcW w:w="9160" w:type="dxa"/>
            <w:vAlign w:val="bottom"/>
          </w:tcPr>
          <w:p>
            <w:pPr>
              <w:ind w:left="20"/>
              <w:spacing w:after="0"/>
              <w:rPr>
                <w:sz w:val="20"/>
                <w:szCs w:val="20"/>
                <w:color w:val="auto"/>
              </w:rPr>
            </w:pPr>
            <w:r>
              <w:rPr>
                <w:rFonts w:ascii="Arial" w:cs="Arial" w:eastAsia="Arial" w:hAnsi="Arial"/>
                <w:sz w:val="18"/>
                <w:szCs w:val="18"/>
                <w:color w:val="auto"/>
              </w:rPr>
              <w:t>Tradename</w:t>
            </w:r>
          </w:p>
        </w:tc>
        <w:tc>
          <w:tcPr>
            <w:tcW w:w="320" w:type="dxa"/>
            <w:vAlign w:val="bottom"/>
          </w:tcPr>
          <w:p>
            <w:pPr>
              <w:spacing w:after="0"/>
              <w:rPr>
                <w:sz w:val="18"/>
                <w:szCs w:val="18"/>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700</w:t>
            </w:r>
          </w:p>
        </w:tc>
      </w:tr>
      <w:tr>
        <w:trPr>
          <w:trHeight w:val="216"/>
        </w:trPr>
        <w:tc>
          <w:tcPr>
            <w:tcW w:w="9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2,200</w:t>
            </w:r>
          </w:p>
        </w:tc>
      </w:tr>
      <w:tr>
        <w:trPr>
          <w:trHeight w:val="209"/>
        </w:trPr>
        <w:tc>
          <w:tcPr>
            <w:tcW w:w="9160" w:type="dxa"/>
            <w:vAlign w:val="bottom"/>
          </w:tcPr>
          <w:p>
            <w:pPr>
              <w:ind w:left="20"/>
              <w:spacing w:after="0"/>
              <w:rPr>
                <w:sz w:val="20"/>
                <w:szCs w:val="20"/>
                <w:color w:val="auto"/>
              </w:rPr>
            </w:pPr>
            <w:r>
              <w:rPr>
                <w:rFonts w:ascii="Arial" w:cs="Arial" w:eastAsia="Arial" w:hAnsi="Arial"/>
                <w:sz w:val="18"/>
                <w:szCs w:val="18"/>
                <w:color w:val="auto"/>
              </w:rPr>
              <w:t>Total identifiable net assets acquired</w:t>
            </w:r>
          </w:p>
        </w:tc>
        <w:tc>
          <w:tcPr>
            <w:tcW w:w="320" w:type="dxa"/>
            <w:vAlign w:val="bottom"/>
          </w:tcPr>
          <w:p>
            <w:pPr>
              <w:spacing w:after="0"/>
              <w:rPr>
                <w:sz w:val="18"/>
                <w:szCs w:val="18"/>
                <w:color w:val="auto"/>
              </w:rPr>
            </w:pPr>
          </w:p>
        </w:tc>
        <w:tc>
          <w:tcPr>
            <w:tcW w:w="1760" w:type="dxa"/>
            <w:vAlign w:val="bottom"/>
          </w:tcPr>
          <w:p>
            <w:pPr>
              <w:jc w:val="right"/>
              <w:ind w:right="31"/>
              <w:spacing w:after="0"/>
              <w:rPr>
                <w:sz w:val="20"/>
                <w:szCs w:val="20"/>
                <w:color w:val="auto"/>
              </w:rPr>
            </w:pPr>
            <w:r>
              <w:rPr>
                <w:rFonts w:ascii="Arial" w:cs="Arial" w:eastAsia="Arial" w:hAnsi="Arial"/>
                <w:sz w:val="18"/>
                <w:szCs w:val="18"/>
                <w:color w:val="auto"/>
              </w:rPr>
              <w:t>7,332</w:t>
            </w:r>
          </w:p>
        </w:tc>
      </w:tr>
      <w:tr>
        <w:trPr>
          <w:trHeight w:val="216"/>
        </w:trPr>
        <w:tc>
          <w:tcPr>
            <w:tcW w:w="9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9,668</w:t>
            </w:r>
          </w:p>
        </w:tc>
      </w:tr>
      <w:tr>
        <w:trPr>
          <w:trHeight w:val="209"/>
        </w:trPr>
        <w:tc>
          <w:tcPr>
            <w:tcW w:w="9160" w:type="dxa"/>
            <w:vAlign w:val="bottom"/>
          </w:tcPr>
          <w:p>
            <w:pPr>
              <w:ind w:left="20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17,000</w:t>
            </w:r>
          </w:p>
        </w:tc>
      </w:tr>
      <w:tr>
        <w:trPr>
          <w:trHeight w:val="20"/>
        </w:trPr>
        <w:tc>
          <w:tcPr>
            <w:tcW w:w="9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$9.7 million of goodwill arising from the Tonbo acquisition is primarily attributed to significant time-to-market advantages, as the Company gained immediate access to Tonbo’s products, existing relationships and business infrastructure and Tonbo’s knowledgeable and experienced workforce. The goodwill is expected to be deductible for tax purposes.</w:t>
      </w:r>
    </w:p>
    <w:p>
      <w:pPr>
        <w:spacing w:after="0" w:line="148"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Intangible assets eligible for recognition separate from goodwill were those that satisfied either the contractual or legal criterion or the separability criterion in the accounting guidance. The identifiable intangible assets acquired and their estimated useful lives for amortization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2"/>
          </w:tcPr>
          <w:p>
            <w:pPr>
              <w:jc w:val="center"/>
              <w:ind w:right="2750"/>
              <w:spacing w:after="0"/>
              <w:rPr>
                <w:sz w:val="20"/>
                <w:szCs w:val="20"/>
                <w:color w:val="auto"/>
              </w:rPr>
            </w:pPr>
            <w:r>
              <w:rPr>
                <w:rFonts w:ascii="Arial" w:cs="Arial" w:eastAsia="Arial" w:hAnsi="Arial"/>
                <w:sz w:val="18"/>
                <w:szCs w:val="18"/>
                <w:b w:val="1"/>
                <w:bCs w:val="1"/>
                <w:color w:val="auto"/>
                <w:w w:val="87"/>
              </w:rPr>
              <w:t>Tonbo</w:t>
            </w:r>
          </w:p>
        </w:tc>
      </w:tr>
      <w:tr>
        <w:trPr>
          <w:trHeight w:val="210"/>
        </w:trPr>
        <w:tc>
          <w:tcPr>
            <w:tcW w:w="4680" w:type="dxa"/>
            <w:vAlign w:val="bottom"/>
          </w:tcPr>
          <w:p>
            <w:pPr>
              <w:spacing w:after="0"/>
              <w:rPr>
                <w:sz w:val="18"/>
                <w:szCs w:val="18"/>
                <w:color w:val="auto"/>
              </w:rPr>
            </w:pPr>
          </w:p>
        </w:tc>
        <w:tc>
          <w:tcPr>
            <w:tcW w:w="2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Fair Value</w:t>
            </w:r>
          </w:p>
        </w:tc>
        <w:tc>
          <w:tcPr>
            <w:tcW w:w="8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Useful life (years)</w:t>
            </w:r>
          </w:p>
        </w:tc>
      </w:tr>
      <w:tr>
        <w:trPr>
          <w:trHeight w:val="196"/>
        </w:trPr>
        <w:tc>
          <w:tcPr>
            <w:tcW w:w="46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540" w:type="dxa"/>
            <w:vAlign w:val="bottom"/>
            <w:gridSpan w:val="3"/>
          </w:tcPr>
          <w:p>
            <w:pPr>
              <w:jc w:val="center"/>
              <w:ind w:right="1930"/>
              <w:spacing w:after="0"/>
              <w:rPr>
                <w:sz w:val="20"/>
                <w:szCs w:val="20"/>
                <w:color w:val="auto"/>
              </w:rPr>
            </w:pPr>
            <w:r>
              <w:rPr>
                <w:rFonts w:ascii="Arial" w:cs="Arial" w:eastAsia="Arial" w:hAnsi="Arial"/>
                <w:sz w:val="16"/>
                <w:szCs w:val="16"/>
                <w:color w:val="auto"/>
                <w:w w:val="90"/>
              </w:rPr>
              <w:t>(In thousands, except for years)</w:t>
            </w:r>
          </w:p>
        </w:tc>
      </w:tr>
      <w:tr>
        <w:trPr>
          <w:trHeight w:val="216"/>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2020" w:type="dxa"/>
            <w:vAlign w:val="bottom"/>
            <w:shd w:val="clear" w:color="auto" w:fill="CFF0FC"/>
          </w:tcPr>
          <w:p>
            <w:pPr>
              <w:jc w:val="right"/>
              <w:ind w:right="18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2,200</w:t>
            </w:r>
          </w:p>
        </w:tc>
        <w:tc>
          <w:tcPr>
            <w:tcW w:w="3720" w:type="dxa"/>
            <w:vAlign w:val="bottom"/>
            <w:gridSpan w:val="2"/>
            <w:shd w:val="clear" w:color="auto" w:fill="CFF0FC"/>
          </w:tcPr>
          <w:p>
            <w:pPr>
              <w:jc w:val="center"/>
              <w:ind w:left="270"/>
              <w:spacing w:after="0"/>
              <w:rPr>
                <w:sz w:val="20"/>
                <w:szCs w:val="20"/>
                <w:color w:val="auto"/>
              </w:rPr>
            </w:pPr>
            <w:r>
              <w:rPr>
                <w:rFonts w:ascii="Arial" w:cs="Arial" w:eastAsia="Arial" w:hAnsi="Arial"/>
                <w:sz w:val="18"/>
                <w:szCs w:val="18"/>
                <w:color w:val="auto"/>
                <w:w w:val="79"/>
              </w:rPr>
              <w:t>7</w:t>
            </w: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Reagent licenses</w:t>
            </w:r>
          </w:p>
        </w:tc>
        <w:tc>
          <w:tcPr>
            <w:tcW w:w="2020" w:type="dxa"/>
            <w:vAlign w:val="bottom"/>
          </w:tcPr>
          <w:p>
            <w:pPr>
              <w:spacing w:after="0"/>
              <w:rPr>
                <w:sz w:val="18"/>
                <w:szCs w:val="18"/>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1,800</w:t>
            </w:r>
          </w:p>
        </w:tc>
        <w:tc>
          <w:tcPr>
            <w:tcW w:w="3720" w:type="dxa"/>
            <w:vAlign w:val="bottom"/>
            <w:gridSpan w:val="2"/>
          </w:tcPr>
          <w:p>
            <w:pPr>
              <w:jc w:val="center"/>
              <w:ind w:left="270"/>
              <w:spacing w:after="0"/>
              <w:rPr>
                <w:sz w:val="20"/>
                <w:szCs w:val="20"/>
                <w:color w:val="auto"/>
              </w:rPr>
            </w:pPr>
            <w:r>
              <w:rPr>
                <w:rFonts w:ascii="Arial" w:cs="Arial" w:eastAsia="Arial" w:hAnsi="Arial"/>
                <w:sz w:val="18"/>
                <w:szCs w:val="18"/>
                <w:color w:val="auto"/>
                <w:w w:val="79"/>
              </w:rPr>
              <w:t>7</w:t>
            </w:r>
          </w:p>
        </w:tc>
      </w:tr>
      <w:tr>
        <w:trPr>
          <w:trHeight w:val="216"/>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Tradename</w:t>
            </w:r>
          </w:p>
        </w:tc>
        <w:tc>
          <w:tcPr>
            <w:tcW w:w="20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700</w:t>
            </w:r>
          </w:p>
        </w:tc>
        <w:tc>
          <w:tcPr>
            <w:tcW w:w="3720" w:type="dxa"/>
            <w:vAlign w:val="bottom"/>
            <w:tcBorders>
              <w:bottom w:val="single" w:sz="8" w:color="CFF0FC"/>
            </w:tcBorders>
            <w:gridSpan w:val="2"/>
            <w:shd w:val="clear" w:color="auto" w:fill="CFF0FC"/>
          </w:tcPr>
          <w:p>
            <w:pPr>
              <w:jc w:val="center"/>
              <w:ind w:left="270"/>
              <w:spacing w:after="0"/>
              <w:rPr>
                <w:sz w:val="20"/>
                <w:szCs w:val="20"/>
                <w:color w:val="auto"/>
              </w:rPr>
            </w:pPr>
            <w:r>
              <w:rPr>
                <w:rFonts w:ascii="Arial" w:cs="Arial" w:eastAsia="Arial" w:hAnsi="Arial"/>
                <w:sz w:val="18"/>
                <w:szCs w:val="18"/>
                <w:color w:val="auto"/>
                <w:w w:val="79"/>
              </w:rPr>
              <w:t>4</w:t>
            </w:r>
          </w:p>
        </w:tc>
      </w:tr>
      <w:tr>
        <w:trPr>
          <w:trHeight w:val="210"/>
        </w:trPr>
        <w:tc>
          <w:tcPr>
            <w:tcW w:w="4680" w:type="dxa"/>
            <w:vAlign w:val="bottom"/>
          </w:tcPr>
          <w:p>
            <w:pPr>
              <w:ind w:left="20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auto"/>
            </w:tcBorders>
          </w:tcPr>
          <w:p>
            <w:pPr>
              <w:jc w:val="right"/>
              <w:ind w:right="18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4,700</w:t>
            </w:r>
          </w:p>
        </w:tc>
        <w:tc>
          <w:tcPr>
            <w:tcW w:w="36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-170815</wp:posOffset>
            </wp:positionV>
            <wp:extent cx="23177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1775" cy="171450"/>
                    </a:xfrm>
                    <a:prstGeom prst="rect">
                      <a:avLst/>
                    </a:prstGeom>
                    <a:noFill/>
                  </pic:spPr>
                </pic:pic>
              </a:graphicData>
            </a:graphic>
          </wp:anchor>
        </w:drawing>
      </w:r>
    </w:p>
    <w:p>
      <w:pPr>
        <w:spacing w:after="0" w:line="276"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The customer relationships intangible asset represents the fair value of the underlying relationships with Tonbo’s customers. The tradename intangible asset represents the fair value of brand and name recognition associated with the marketing of Tonbo's reagents. The reagent license intangible asset represents the fair value of access to certain antibodies to manufacture reagents.</w:t>
      </w:r>
    </w:p>
    <w:p>
      <w:pPr>
        <w:spacing w:after="0" w:line="148"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fair value of the customer relationships intangible asset was determined based on the excess earnings method; the fair values of the tradename intangible assets were determined based on the relief-from-royalty method; and the fair value of the reagent license intangible asset was determined based on the cost approach method. The key assumptions used in estimating the fair values of intangible assets included forecasted financial information; customer retention rates; royalty rate of 2.0% for the tradename intangible assets; discount rate of 13.0% for all intangible assets; and certain other assumptions.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acquired intangibles are being amortized over their estimated useful lives using the straight-line method of amortization.</w:t>
      </w:r>
    </w:p>
    <w:p>
      <w:pPr>
        <w:spacing w:after="0" w:line="18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fair value assigned to the assets acquired are based on reasonable assumptions and estimates that market participants would use. Actual results may differ from these estimates and assumptions.</w:t>
      </w:r>
    </w:p>
    <w:p>
      <w:pPr>
        <w:spacing w:after="0" w:line="14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results of operations for the acquisition are included in the consolidated financial statements of the Company from the date of the acquisition and net revenues and operating loss are not material. The Company has not included pro forma financial information related to the acquisition as the overall impact to the financial statements was not material. Transaction costs incurred by the Company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20</w:t>
      </w:r>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related to the acquisition totaled approximately $230,000 for the year ended December 31, 2021, which were expensed and recorded as a component of general and administrative expenses in the consolidated statement of operations.</w:t>
      </w:r>
    </w:p>
    <w:p>
      <w:pPr>
        <w:spacing w:after="0" w:line="112"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189"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addition of goodwill for the year ended December 31, 2021 is discussed in Note 8. There were no changes in goodwill for the nine months ended September 30, 2022.</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components of intangible assets, net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374"/>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jc w:val="right"/>
              <w:ind w:right="39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Patents and trademarks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495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387</w:t>
            </w: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Tradename</w:t>
            </w:r>
          </w:p>
        </w:tc>
        <w:tc>
          <w:tcPr>
            <w:tcW w:w="24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700</w:t>
            </w: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IP license</w:t>
            </w: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476</w:t>
            </w: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2,200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2,200</w:t>
            </w: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Reagent license</w:t>
            </w: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1,800</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1,800</w:t>
            </w:r>
          </w:p>
        </w:tc>
      </w:tr>
      <w:tr>
        <w:trPr>
          <w:trHeight w:val="210"/>
        </w:trPr>
        <w:tc>
          <w:tcPr>
            <w:tcW w:w="7660" w:type="dxa"/>
            <w:vAlign w:val="bottom"/>
          </w:tcPr>
          <w:p>
            <w:pPr>
              <w:ind w:left="200"/>
              <w:spacing w:after="0"/>
              <w:rPr>
                <w:sz w:val="20"/>
                <w:szCs w:val="20"/>
                <w:color w:val="auto"/>
              </w:rPr>
            </w:pPr>
            <w:r>
              <w:rPr>
                <w:rFonts w:ascii="Arial" w:cs="Arial" w:eastAsia="Arial" w:hAnsi="Arial"/>
                <w:sz w:val="18"/>
                <w:szCs w:val="18"/>
                <w:color w:val="auto"/>
              </w:rPr>
              <w:t>Total intangible assets</w:t>
            </w:r>
          </w:p>
        </w:tc>
        <w:tc>
          <w:tcPr>
            <w:tcW w:w="24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5,671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5,563</w:t>
            </w: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accumulated amortization</w:t>
            </w: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(1,186 )</w:t>
            </w:r>
          </w:p>
        </w:tc>
        <w:tc>
          <w:tcPr>
            <w:tcW w:w="1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(824 )</w:t>
            </w:r>
          </w:p>
        </w:tc>
      </w:tr>
      <w:tr>
        <w:trPr>
          <w:trHeight w:val="209"/>
        </w:trPr>
        <w:tc>
          <w:tcPr>
            <w:tcW w:w="766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4,485</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4,739</w:t>
            </w:r>
          </w:p>
        </w:tc>
      </w:tr>
      <w:tr>
        <w:trPr>
          <w:trHeight w:val="20"/>
        </w:trPr>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-454025</wp:posOffset>
            </wp:positionV>
            <wp:extent cx="111125"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1460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11112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290"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Total amortization expense for the three and nine months ended September 30, 2022 was approximately $188,000 and $550,000, respectively. Total amortization expense for the three and nine months ended September 30, 2021 was $2,000 and $4,000, respectively.</w:t>
      </w:r>
    </w:p>
    <w:p>
      <w:pPr>
        <w:spacing w:after="0" w:line="140"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Legal settlement liability</w:t>
      </w:r>
    </w:p>
    <w:p>
      <w:pPr>
        <w:spacing w:after="0" w:line="17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its products, (iii) $6.0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In the fourth quarter of 2021, the Company achieved the milestone and made the payment.</w:t>
      </w:r>
    </w:p>
    <w:p>
      <w:pPr>
        <w:spacing w:after="0" w:line="13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w:t>
      </w:r>
    </w:p>
    <w:p>
      <w:pPr>
        <w:spacing w:after="0" w:line="146"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The patents in question were determined to have an average useful life of 18 months. Accordingly, beginning the second quarter of 2022, the remaining contractual payments will be classified as operating expenses as they are considered to be represented of deferred litigation settlement. The Company did not record any product cost of sales related to royalty expenses for the three months ended September 30, 2022. The Company recorded $0.8 million product cost of sales related to royalty expense for the nine months ended September 30, 2022. The Company recorded $0.9 million and $2.4 million product cost of sales related to royalty expense for the three and nine months ended September 30, 2021, respectively. The Company recorded $0.6 million and $1.6 million of interest expense for the three and nine months ended September 30, 2022, respectively, and $0.4 million and $1.2 million of interest expense for the three and nine months ended September 30, 2021, respectively, to accrete the present value discount of the payment streams over the payment period of ten years from the settlement date using the effective interest rate method. The Company made a one-time upfront payment and issued 2,087,545 shares of the Company’s common stock to BD during the year ended December 31, 2020. The Company recorded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21</w:t>
      </w:r>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legal settlement liability on the consolidated balance sheets of $17.3 million and $15.2 million as of September 30, 2022 and December 31, 2021, respectively, and will record licensing expense in future periods.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components of the legal settlement liability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57"/>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ind w:right="357"/>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r>
      <w:tr>
        <w:trPr>
          <w:trHeight w:val="209"/>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Arial" w:cs="Arial" w:eastAsia="Arial" w:hAnsi="Arial"/>
                <w:sz w:val="18"/>
                <w:szCs w:val="18"/>
                <w:color w:val="auto"/>
              </w:rPr>
              <w:t>Legal settlement liability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2,175</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1,463</w:t>
            </w:r>
          </w:p>
        </w:tc>
      </w:tr>
      <w:tr>
        <w:trPr>
          <w:trHeight w:val="216"/>
        </w:trPr>
        <w:tc>
          <w:tcPr>
            <w:tcW w:w="7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Arial" w:cs="Arial" w:eastAsia="Arial" w:hAnsi="Arial"/>
                <w:sz w:val="18"/>
                <w:szCs w:val="18"/>
                <w:color w:val="auto"/>
              </w:rPr>
              <w:t>Legal settlement liability</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15,122</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13,745</w:t>
            </w:r>
          </w:p>
        </w:tc>
      </w:tr>
      <w:tr>
        <w:trPr>
          <w:trHeight w:val="249"/>
        </w:trPr>
        <w:tc>
          <w:tcPr>
            <w:tcW w:w="7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legal settlement liability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17,297</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15,208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-24765</wp:posOffset>
            </wp:positionV>
            <wp:extent cx="1028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1028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86"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7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March 2015, the Company entered into a Series A Preferred Stock Purchase Agreement (“Series A Agreement”) with certain investors pursuant to which it sold and issued 9,799,755 shares of Series A redeemable convertible preferred stock (“Series A shares”) at a purchase price of $0.38 per share in the initial closing. In July 2015, the Company sold and issued an additional 8,166,462 Series A shares at a purchase price of $0.38 per share pursuant to a subsequent closing under the Series A Agreement. In October 2015, the Company sold and issued an additional 14,699,632 Series A shares at a purchase price of $0.38 per share pursuant to a milestone closing under the Series A Agreement. A total of 32,665,849 Series A shares were issued for $12.2 million, net of issuance costs of $89,000.</w:t>
      </w:r>
    </w:p>
    <w:p>
      <w:pPr>
        <w:spacing w:after="0" w:line="158"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In December 2016, the Company entered into a Series B Preferred Stock Purchase Agreement (“Series B Agreement”) with certain investors pursuant to which it sold and issued 9,888,639 shares of Series B convertible redeemable preferred stock (“Series B shares”) at a purchase price of $0.75 per share in the initial closing. In January 2018, the Company sold and issued an additional 6,110,957 Series B shares at a purchase price of $0.75 per share pursuant to a milestone closing under the Series B Agreement.</w:t>
      </w:r>
    </w:p>
    <w:p>
      <w:pPr>
        <w:spacing w:after="0" w:line="15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In September 2018, the Company entered into a Series C Preferred Stock Purchase Agreement (“Series C Agreement”) with certain investors pursuant to which it sold and issued 18,717,804 shares of Series C convertible redeemable preferred stock (“Series C shares” and together with Series A shares, Series B shares and Series C shares, the “2018 Preferred Stock”) at a purchase price of $2.40 per share in the initial closing. In November and December 2018, the Company sold and issued an additional 2,501,265 and 2,084,387 Series C shares, respectively, at a purchase price of $2.40 per share pursuant to subsequent closings under the Series C Agreement.</w:t>
      </w:r>
    </w:p>
    <w:p>
      <w:pPr>
        <w:spacing w:after="0" w:line="15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October 2018, the Company repurchased 2,452,270 Series A shares at a price per share of $2.04 (“Series A Repurchase”), for an aggregate purchase price of $5.0 million. In connection with the Series A Repurchase, the Company filed a Certificate of Retirement with the Secretary of State in the State of Delaware to (i) cancel and retire the repurchased shares as required by the Company’s Amended and Restated Certificate of Incorporation, (ii) reduce the number of 2018 Preferred Stock authorized under the Company’s Amended and Restated Certificate of Incorporation to 70,212,570 from 72,664,850 and (iii) reduce the number of Series A shares authorized under the Company’s Amended and Restated Certificate of Incorporation to 30,213,574 from 32,665,849.</w:t>
      </w:r>
    </w:p>
    <w:p>
      <w:pPr>
        <w:spacing w:after="0" w:line="160"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In October 2020, under the amended and restated certificate of incorporation dated October 22, 2020 (“October COI”), the Company issued 17,752,068 shares of Series D redeemable convertible preferred stock (“Series D shares” and together with Series A shares, Series B shares, Series C shares, the “Preferred Stock”) at a purchase price of $6.76 per share for net proceeds of $119.7 million and authorized the reduction of the Series C to 23,303,456.</w:t>
      </w:r>
    </w:p>
    <w:p>
      <w:pPr>
        <w:spacing w:after="0" w:line="15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 July 2021, all of the then-outstanding shares of Preferred Stock automatically converted into 87,268,694 shares of common stock immediately upon the closing of Company’s IPO.</w:t>
      </w:r>
    </w:p>
    <w:p>
      <w:pPr>
        <w:spacing w:after="0" w:line="144"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7"/>
          <w:szCs w:val="17"/>
          <w:color w:val="auto"/>
        </w:rPr>
        <w:t>The Company classified its Preferred Stock as temporary equity in the accompanying unaudited interim consolidated balance sheets due to terms that allow for redemption of the shares upon certain change in control events that are outside of the Company’s control, including sale or transfer of control of the Company, as holders of the Preferred Stock could cause redemption of the shares in these situations.</w:t>
      </w:r>
    </w:p>
    <w:p>
      <w:pPr>
        <w:spacing w:after="0" w:line="127"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jc w:val="both"/>
        <w:ind w:left="20" w:right="20" w:firstLine="509"/>
        <w:spacing w:after="0" w:line="249" w:lineRule="auto"/>
        <w:rPr>
          <w:sz w:val="20"/>
          <w:szCs w:val="20"/>
          <w:color w:val="auto"/>
        </w:rPr>
      </w:pPr>
      <w:r>
        <w:rPr>
          <w:rFonts w:ascii="Arial" w:cs="Arial" w:eastAsia="Arial" w:hAnsi="Arial"/>
          <w:sz w:val="18"/>
          <w:szCs w:val="18"/>
          <w:color w:val="auto"/>
        </w:rPr>
        <w:t>As of September 30, 2022, the Company has authorized 1,000,000,000 shares of common stock at $0.001 par value. Holders of common stock are entitled to one vote per share, and to receive dividends, only and if declared by the Board of Directors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22</w:t>
      </w:r>
    </w:p>
    <w:p>
      <w:pPr>
        <w:spacing w:after="0" w:line="96" w:lineRule="exact"/>
        <w:rPr>
          <w:sz w:val="20"/>
          <w:szCs w:val="20"/>
          <w:color w:val="auto"/>
        </w:rPr>
      </w:pPr>
    </w:p>
    <w:p>
      <w:pPr>
        <w:jc w:val="both"/>
        <w:ind w:left="20" w:firstLine="509"/>
        <w:spacing w:after="0" w:line="263" w:lineRule="auto"/>
        <w:rPr>
          <w:sz w:val="20"/>
          <w:szCs w:val="20"/>
          <w:color w:val="auto"/>
        </w:rPr>
      </w:pPr>
      <w:r>
        <w:rPr>
          <w:rFonts w:ascii="Arial" w:cs="Arial" w:eastAsia="Arial" w:hAnsi="Arial"/>
          <w:sz w:val="22"/>
          <w:szCs w:val="22"/>
          <w:color w:val="auto"/>
        </w:rPr>
        <w:t>O</w:t>
      </w:r>
      <w:r>
        <w:rPr>
          <w:rFonts w:ascii="Arial" w:cs="Arial" w:eastAsia="Arial" w:hAnsi="Arial"/>
          <w:sz w:val="17"/>
          <w:szCs w:val="17"/>
          <w:color w:val="auto"/>
        </w:rPr>
        <w:t>n July 16, 2021, the Board and the Company’s stockholders approved an amendment and restatement of the Company’s certificate of</w:t>
      </w:r>
      <w:r>
        <w:rPr>
          <w:rFonts w:ascii="Arial" w:cs="Arial" w:eastAsia="Arial" w:hAnsi="Arial"/>
          <w:sz w:val="22"/>
          <w:szCs w:val="22"/>
          <w:color w:val="auto"/>
        </w:rPr>
        <w:t xml:space="preserve"> </w:t>
      </w:r>
      <w:r>
        <w:rPr>
          <w:rFonts w:ascii="Arial" w:cs="Arial" w:eastAsia="Arial" w:hAnsi="Arial"/>
          <w:sz w:val="17"/>
          <w:szCs w:val="17"/>
          <w:color w:val="auto"/>
        </w:rPr>
        <w:t>incorporation to effect the Stock Split, which became effective upon filing with the Secretary of State of the State of Delaware on July 16, 2021</w:t>
      </w:r>
      <w:r>
        <w:rPr>
          <w:rFonts w:ascii="Arial" w:cs="Arial" w:eastAsia="Arial" w:hAnsi="Arial"/>
          <w:sz w:val="21"/>
          <w:szCs w:val="21"/>
          <w:color w:val="auto"/>
        </w:rPr>
        <w:t>.</w:t>
      </w:r>
    </w:p>
    <w:p>
      <w:pPr>
        <w:spacing w:after="0" w:line="141" w:lineRule="exact"/>
        <w:rPr>
          <w:sz w:val="20"/>
          <w:szCs w:val="20"/>
          <w:color w:val="auto"/>
        </w:rPr>
      </w:pPr>
    </w:p>
    <w:p>
      <w:pPr>
        <w:jc w:val="both"/>
        <w:ind w:left="20" w:firstLine="509"/>
        <w:spacing w:after="0" w:line="248" w:lineRule="auto"/>
        <w:rPr>
          <w:sz w:val="20"/>
          <w:szCs w:val="20"/>
          <w:color w:val="auto"/>
        </w:rPr>
      </w:pPr>
      <w:r>
        <w:rPr>
          <w:rFonts w:ascii="Arial" w:cs="Arial" w:eastAsia="Arial" w:hAnsi="Arial"/>
          <w:sz w:val="18"/>
          <w:szCs w:val="18"/>
          <w:color w:val="auto"/>
        </w:rPr>
        <w:t>On July 16, 2021, the Board and the Company’s stockholders approved an amendment and restatement of the Company’s certificate of incorporation, which became effective immediately following the closing of the IPO on July 27, 2021 and filing with the Secretary of State of the State of Delaware.</w:t>
      </w:r>
    </w:p>
    <w:p>
      <w:pPr>
        <w:spacing w:after="0" w:line="155" w:lineRule="exact"/>
        <w:rPr>
          <w:sz w:val="20"/>
          <w:szCs w:val="20"/>
          <w:color w:val="auto"/>
        </w:rPr>
      </w:pPr>
    </w:p>
    <w:p>
      <w:pPr>
        <w:jc w:val="both"/>
        <w:ind w:left="20" w:firstLine="509"/>
        <w:spacing w:after="0" w:line="256" w:lineRule="auto"/>
        <w:rPr>
          <w:sz w:val="20"/>
          <w:szCs w:val="20"/>
          <w:color w:val="auto"/>
        </w:rPr>
      </w:pPr>
      <w:r>
        <w:rPr>
          <w:rFonts w:ascii="Arial" w:cs="Arial" w:eastAsia="Arial" w:hAnsi="Arial"/>
          <w:sz w:val="18"/>
          <w:szCs w:val="18"/>
          <w:color w:val="auto"/>
        </w:rPr>
        <w:t>On August 26, 2022, the Company filed a Registration Statement with the SEC. In connection with the filing of the Registration Statement, the Company also entered into the “2022 Sales Agreement” with Piper as sales agent to sell from time to time up to $150 million of the Company’s common stock through an “at-the-market” offering program as defined in Rule 415 promulgated under the Securities Act.</w:t>
      </w:r>
    </w:p>
    <w:p>
      <w:pPr>
        <w:spacing w:after="0" w:line="148" w:lineRule="exact"/>
        <w:rPr>
          <w:sz w:val="20"/>
          <w:szCs w:val="20"/>
          <w:color w:val="auto"/>
        </w:rPr>
      </w:pPr>
    </w:p>
    <w:p>
      <w:pPr>
        <w:jc w:val="both"/>
        <w:ind w:left="20" w:firstLine="509"/>
        <w:spacing w:after="0" w:line="268" w:lineRule="auto"/>
        <w:rPr>
          <w:sz w:val="20"/>
          <w:szCs w:val="20"/>
          <w:color w:val="auto"/>
        </w:rPr>
      </w:pPr>
      <w:r>
        <w:rPr>
          <w:rFonts w:ascii="Arial" w:cs="Arial" w:eastAsia="Arial" w:hAnsi="Arial"/>
          <w:sz w:val="17"/>
          <w:szCs w:val="17"/>
          <w:color w:val="auto"/>
        </w:rPr>
        <w:t>Pursuant to the terms of the 2022 Sales Agreement, the aggregate compensation payable to Piper is up to 3% of the gross proceeds from the sale of common stock sold by Piper pursuant to the 2022 Sales Agreement. Each party agreed in the 2022 Sale Agreement to provide indemnification and contribution against certain liabilities, including liabilities under the Securities Act, subject to the terms of the 2022 Sales Agreement. As of September 30, 2022, the Company has not made any sales of common stock pursuant to the 2022 Sales Agreement.</w:t>
      </w:r>
    </w:p>
    <w:p>
      <w:pPr>
        <w:spacing w:after="0" w:line="122"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September 30, 2022, the Company had three stock-based compensation plans (the “Plans”) which are described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Equity Incentive Plan</w:t>
      </w:r>
    </w:p>
    <w:p>
      <w:pPr>
        <w:spacing w:after="0" w:line="185" w:lineRule="exact"/>
        <w:rPr>
          <w:sz w:val="20"/>
          <w:szCs w:val="20"/>
          <w:color w:val="auto"/>
        </w:rPr>
      </w:pPr>
    </w:p>
    <w:p>
      <w:pPr>
        <w:jc w:val="both"/>
        <w:ind w:left="20" w:firstLine="509"/>
        <w:spacing w:after="0" w:line="249" w:lineRule="auto"/>
        <w:rPr>
          <w:sz w:val="20"/>
          <w:szCs w:val="20"/>
          <w:color w:val="auto"/>
        </w:rPr>
      </w:pPr>
      <w:r>
        <w:rPr>
          <w:rFonts w:ascii="Arial" w:cs="Arial" w:eastAsia="Arial" w:hAnsi="Arial"/>
          <w:sz w:val="18"/>
          <w:szCs w:val="18"/>
          <w:color w:val="auto"/>
        </w:rPr>
        <w:t>In March 2015, the Board approved the 2015 Equity Incentive Plan (“2015 Plan”), which provided for the granting of stock options to employees, directors and consultants of the Company. As of the effective date of the 2021 Plan described below, the 2015 Plan was terminated and no further equity awards may be granted pursuant to the 2015 Plan. Outstanding stock options granted under the 2015 Plan will continue to be governed by the provisions of the 2015 Plan until expiration or exercise, whichever is earlier.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Equity Incentive Plan</w:t>
      </w:r>
    </w:p>
    <w:p>
      <w:pPr>
        <w:spacing w:after="0" w:line="171" w:lineRule="exact"/>
        <w:rPr>
          <w:sz w:val="20"/>
          <w:szCs w:val="20"/>
          <w:color w:val="auto"/>
        </w:rPr>
      </w:pPr>
    </w:p>
    <w:p>
      <w:pPr>
        <w:jc w:val="both"/>
        <w:ind w:left="20" w:firstLine="509"/>
        <w:spacing w:after="0" w:line="280" w:lineRule="auto"/>
        <w:rPr>
          <w:sz w:val="20"/>
          <w:szCs w:val="20"/>
          <w:color w:val="auto"/>
        </w:rPr>
      </w:pPr>
      <w:r>
        <w:rPr>
          <w:rFonts w:ascii="Arial" w:cs="Arial" w:eastAsia="Arial" w:hAnsi="Arial"/>
          <w:sz w:val="16"/>
          <w:szCs w:val="16"/>
          <w:color w:val="auto"/>
        </w:rPr>
        <w:t>In July 2021, the Board approved the 2021 Equity Incentive Plan (the “2021 Plan”), which provides for the granting of stock options, stock appreciation rights, restricted stock awards, restricted stock unit ("RSU") awards, performance awards, and other awards to employees, directors and consultants of the Company. The 2021 Plan became effective on July 22, 2021 in connection with the IPO.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Company’s Board of Directors elects to authorize a lesser number of shares prior to the applicable January 1. As of September 30, 2022, the total number of shares of common stock available for issuance under the 2021 Plan was 18,802,839 shares.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Employee Stock Purchase Plan</w:t>
      </w:r>
    </w:p>
    <w:p>
      <w:pPr>
        <w:spacing w:after="0" w:line="185" w:lineRule="exact"/>
        <w:rPr>
          <w:sz w:val="20"/>
          <w:szCs w:val="20"/>
          <w:color w:val="auto"/>
        </w:rPr>
      </w:pPr>
    </w:p>
    <w:p>
      <w:pPr>
        <w:jc w:val="both"/>
        <w:ind w:left="20" w:firstLine="509"/>
        <w:spacing w:after="0" w:line="283" w:lineRule="auto"/>
        <w:rPr>
          <w:sz w:val="20"/>
          <w:szCs w:val="20"/>
          <w:color w:val="auto"/>
        </w:rPr>
      </w:pPr>
      <w:r>
        <w:rPr>
          <w:rFonts w:ascii="Arial" w:cs="Arial" w:eastAsia="Arial" w:hAnsi="Arial"/>
          <w:sz w:val="16"/>
          <w:szCs w:val="16"/>
          <w:color w:val="auto"/>
        </w:rPr>
        <w:t>In July 2021, the Board approved the 2021 Employee Stock Purchase Plan (the “ESPP”). The ESPP became effective on July 22, 2021 in connection with the IPO. Upon the ESPP’s effective date, there were 2,000,000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 number of shares determined by the Board. During the nine months ended September 30, 2022, 92,638 shares were issued pursuant to purchases under the ESPP.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valuation assumptions</w:t>
      </w:r>
    </w:p>
    <w:p>
      <w:pPr>
        <w:spacing w:after="0" w:line="171" w:lineRule="exact"/>
        <w:rPr>
          <w:sz w:val="20"/>
          <w:szCs w:val="20"/>
          <w:color w:val="auto"/>
        </w:rPr>
      </w:pPr>
    </w:p>
    <w:p>
      <w:pPr>
        <w:jc w:val="both"/>
        <w:ind w:left="20" w:firstLine="509"/>
        <w:spacing w:after="0" w:line="249" w:lineRule="auto"/>
        <w:rPr>
          <w:sz w:val="20"/>
          <w:szCs w:val="20"/>
          <w:color w:val="auto"/>
        </w:rPr>
      </w:pPr>
      <w:r>
        <w:rPr>
          <w:rFonts w:ascii="Arial" w:cs="Arial" w:eastAsia="Arial" w:hAnsi="Arial"/>
          <w:sz w:val="18"/>
          <w:szCs w:val="18"/>
          <w:color w:val="auto"/>
        </w:rPr>
        <w:t>The Company estimates the fair value of each stock option grant on the date of grant using the Black-Scholes option pricing model. The model assumptions include expected volatility, expected term, dividend yield, and the risk-free interest rate. The expected volatility was based on the volatility of a group of similar entities. The Company derived expected term by using the “simplified” method (the expected term is determined as the average of the time-to-vesting and contractual life of the option), as the Company has limited historical information to develop expectations about future exercise patterns and post vesting employment termination behavior.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23</w:t>
      </w:r>
    </w:p>
    <w:p>
      <w:pPr>
        <w:spacing w:after="0" w:line="104"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18"/>
          <w:szCs w:val="18"/>
          <w:color w:val="auto"/>
        </w:rPr>
        <w:t>The Company based the risk-free rate on U.S. Treasury zero-coupon issues with remaining terms similar to the expected term of the option. The Company has never paid any dividends and does not anticipate paying dividends in the foreseeable future, and therefore used an expected dividend yield of zero in the valuation model.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stock option activity during the periods indicated (in thousands except share and per 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ind w:right="62"/>
              <w:spacing w:after="0"/>
              <w:rPr>
                <w:sz w:val="20"/>
                <w:szCs w:val="20"/>
                <w:color w:val="auto"/>
              </w:rPr>
            </w:pPr>
            <w:r>
              <w:rPr>
                <w:rFonts w:ascii="Arial" w:cs="Arial" w:eastAsia="Arial" w:hAnsi="Arial"/>
                <w:sz w:val="14"/>
                <w:szCs w:val="14"/>
                <w:b w:val="1"/>
                <w:bCs w:val="1"/>
                <w:color w:val="auto"/>
                <w:w w:val="91"/>
              </w:rPr>
              <w:t>Weighted-average</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ind w:right="62"/>
              <w:spacing w:after="0"/>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48"/>
        </w:trPr>
        <w:tc>
          <w:tcPr>
            <w:tcW w:w="4960" w:type="dxa"/>
            <w:vAlign w:val="bottom"/>
          </w:tcPr>
          <w:p>
            <w:pPr>
              <w:spacing w:after="0"/>
              <w:rPr>
                <w:sz w:val="12"/>
                <w:szCs w:val="12"/>
                <w:color w:val="auto"/>
              </w:rPr>
            </w:pPr>
          </w:p>
        </w:tc>
        <w:tc>
          <w:tcPr>
            <w:tcW w:w="146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w w:val="96"/>
              </w:rPr>
              <w:t>Number of options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right"/>
              <w:ind w:right="174"/>
              <w:spacing w:after="0" w:line="149" w:lineRule="exact"/>
              <w:rPr>
                <w:sz w:val="20"/>
                <w:szCs w:val="20"/>
                <w:color w:val="auto"/>
              </w:rPr>
            </w:pPr>
            <w:r>
              <w:rPr>
                <w:rFonts w:ascii="Arial" w:cs="Arial" w:eastAsia="Arial" w:hAnsi="Arial"/>
                <w:sz w:val="14"/>
                <w:szCs w:val="14"/>
                <w:b w:val="1"/>
                <w:bCs w:val="1"/>
                <w:color w:val="auto"/>
                <w:w w:val="89"/>
              </w:rPr>
              <w:t>Weighted-average</w:t>
            </w:r>
          </w:p>
        </w:tc>
        <w:tc>
          <w:tcPr>
            <w:tcW w:w="100" w:type="dxa"/>
            <w:vAlign w:val="bottom"/>
          </w:tcPr>
          <w:p>
            <w:pPr>
              <w:spacing w:after="0"/>
              <w:rPr>
                <w:sz w:val="12"/>
                <w:szCs w:val="12"/>
                <w:color w:val="auto"/>
              </w:rPr>
            </w:pPr>
          </w:p>
        </w:tc>
        <w:tc>
          <w:tcPr>
            <w:tcW w:w="14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4"/>
              </w:rPr>
              <w:t>contractual term (in</w:t>
            </w:r>
          </w:p>
        </w:tc>
        <w:tc>
          <w:tcPr>
            <w:tcW w:w="160" w:type="dxa"/>
            <w:vAlign w:val="bottom"/>
          </w:tcPr>
          <w:p>
            <w:pPr>
              <w:spacing w:after="0"/>
              <w:rPr>
                <w:sz w:val="12"/>
                <w:szCs w:val="12"/>
                <w:color w:val="auto"/>
              </w:rPr>
            </w:pPr>
          </w:p>
        </w:tc>
        <w:tc>
          <w:tcPr>
            <w:tcW w:w="1440" w:type="dxa"/>
            <w:vAlign w:val="bottom"/>
            <w:gridSpan w:val="2"/>
          </w:tcPr>
          <w:p>
            <w:pPr>
              <w:jc w:val="right"/>
              <w:ind w:right="115"/>
              <w:spacing w:after="0" w:line="149" w:lineRule="exact"/>
              <w:rPr>
                <w:sz w:val="20"/>
                <w:szCs w:val="20"/>
                <w:color w:val="auto"/>
              </w:rPr>
            </w:pPr>
            <w:r>
              <w:rPr>
                <w:rFonts w:ascii="Arial" w:cs="Arial" w:eastAsia="Arial" w:hAnsi="Arial"/>
                <w:sz w:val="14"/>
                <w:szCs w:val="14"/>
                <w:b w:val="1"/>
                <w:bCs w:val="1"/>
                <w:color w:val="auto"/>
                <w:w w:val="95"/>
              </w:rPr>
              <w:t>Aggregate intrinsic</w:t>
            </w:r>
          </w:p>
        </w:tc>
      </w:tr>
      <w:tr>
        <w:trPr>
          <w:trHeight w:val="185"/>
        </w:trPr>
        <w:tc>
          <w:tcPr>
            <w:tcW w:w="4960" w:type="dxa"/>
            <w:vAlign w:val="bottom"/>
          </w:tcPr>
          <w:p>
            <w:pPr>
              <w:spacing w:after="0"/>
              <w:rPr>
                <w:sz w:val="16"/>
                <w:szCs w:val="16"/>
                <w:color w:val="auto"/>
              </w:rPr>
            </w:pPr>
          </w:p>
        </w:tc>
        <w:tc>
          <w:tcPr>
            <w:tcW w:w="14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value</w:t>
            </w:r>
          </w:p>
        </w:tc>
      </w:tr>
      <w:tr>
        <w:trPr>
          <w:trHeight w:val="20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2021</w:t>
            </w:r>
          </w:p>
        </w:tc>
        <w:tc>
          <w:tcPr>
            <w:tcW w:w="14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8,805,850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147,622,562</w:t>
            </w:r>
          </w:p>
        </w:tc>
      </w:tr>
      <w:tr>
        <w:trPr>
          <w:trHeight w:val="216"/>
        </w:trPr>
        <w:tc>
          <w:tcPr>
            <w:tcW w:w="496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690,751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Options exercised</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(883,298 )</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496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1460" w:type="dxa"/>
            <w:vAlign w:val="bottom"/>
          </w:tcPr>
          <w:p>
            <w:pPr>
              <w:jc w:val="right"/>
              <w:spacing w:after="0"/>
              <w:rPr>
                <w:sz w:val="20"/>
                <w:szCs w:val="20"/>
                <w:color w:val="auto"/>
              </w:rPr>
            </w:pPr>
            <w:r>
              <w:rPr>
                <w:rFonts w:ascii="Arial" w:cs="Arial" w:eastAsia="Arial" w:hAnsi="Arial"/>
                <w:sz w:val="18"/>
                <w:szCs w:val="18"/>
                <w:color w:val="auto"/>
              </w:rPr>
              <w:t>(563,951 )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Options expired</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(60,677 )</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r>
      <w:tr>
        <w:trPr>
          <w:trHeight w:val="209"/>
        </w:trPr>
        <w:tc>
          <w:tcPr>
            <w:tcW w:w="4960" w:type="dxa"/>
            <w:vAlign w:val="bottom"/>
          </w:tcPr>
          <w:p>
            <w:pPr>
              <w:ind w:left="20"/>
              <w:spacing w:after="0"/>
              <w:rPr>
                <w:sz w:val="20"/>
                <w:szCs w:val="20"/>
                <w:color w:val="auto"/>
              </w:rPr>
            </w:pPr>
            <w:r>
              <w:rPr>
                <w:rFonts w:ascii="Arial" w:cs="Arial" w:eastAsia="Arial" w:hAnsi="Arial"/>
                <w:sz w:val="18"/>
                <w:szCs w:val="18"/>
                <w:color w:val="auto"/>
              </w:rPr>
              <w:t>Balance as of September 30, 2022</w:t>
            </w: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7,988,675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7.44</w:t>
            </w:r>
          </w:p>
        </w:tc>
        <w:tc>
          <w:tcPr>
            <w:tcW w:w="1580" w:type="dxa"/>
            <w:vAlign w:val="bottom"/>
            <w:gridSpan w:val="2"/>
          </w:tcPr>
          <w:p>
            <w:pPr>
              <w:jc w:val="right"/>
              <w:ind w:right="42"/>
              <w:spacing w:after="0"/>
              <w:rPr>
                <w:sz w:val="20"/>
                <w:szCs w:val="20"/>
                <w:color w:val="auto"/>
              </w:rPr>
            </w:pPr>
            <w:r>
              <w:rPr>
                <w:rFonts w:ascii="Arial" w:cs="Arial" w:eastAsia="Arial" w:hAnsi="Arial"/>
                <w:sz w:val="18"/>
                <w:szCs w:val="18"/>
                <w:color w:val="auto"/>
              </w:rPr>
              <w:t>7.49</w:t>
            </w:r>
          </w:p>
        </w:tc>
        <w:tc>
          <w:tcPr>
            <w:tcW w:w="42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63,886,008</w:t>
            </w:r>
          </w:p>
        </w:tc>
      </w:tr>
      <w:tr>
        <w:trPr>
          <w:trHeight w:val="20"/>
        </w:trPr>
        <w:tc>
          <w:tcPr>
            <w:tcW w:w="49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9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Options exercisable as of September 30, 2022</w:t>
            </w:r>
          </w:p>
        </w:tc>
        <w:tc>
          <w:tcPr>
            <w:tcW w:w="1460" w:type="dxa"/>
            <w:vAlign w:val="bottom"/>
            <w:tcBorders>
              <w:bottom w:val="single" w:sz="8" w:color="auto"/>
            </w:tcBorders>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4,160,074</w:t>
            </w:r>
          </w:p>
        </w:tc>
        <w:tc>
          <w:tcPr>
            <w:tcW w:w="1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4.18</w:t>
            </w:r>
          </w:p>
        </w:tc>
        <w:tc>
          <w:tcPr>
            <w:tcW w:w="10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42"/>
              <w:spacing w:after="0" w:line="196" w:lineRule="exact"/>
              <w:rPr>
                <w:sz w:val="20"/>
                <w:szCs w:val="20"/>
                <w:color w:val="auto"/>
              </w:rPr>
            </w:pPr>
            <w:r>
              <w:rPr>
                <w:rFonts w:ascii="Arial" w:cs="Arial" w:eastAsia="Arial" w:hAnsi="Arial"/>
                <w:sz w:val="18"/>
                <w:szCs w:val="18"/>
                <w:color w:val="auto"/>
              </w:rPr>
              <w:t>6.60</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45,526,814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-334010</wp:posOffset>
            </wp:positionV>
            <wp:extent cx="11112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-334010</wp:posOffset>
            </wp:positionV>
            <wp:extent cx="6858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-334010</wp:posOffset>
            </wp:positionV>
            <wp:extent cx="10287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-25400</wp:posOffset>
            </wp:positionV>
            <wp:extent cx="1111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111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1028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1028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90" w:lineRule="exact"/>
        <w:rPr>
          <w:sz w:val="20"/>
          <w:szCs w:val="20"/>
          <w:color w:val="auto"/>
        </w:rPr>
      </w:pPr>
    </w:p>
    <w:p>
      <w:pPr>
        <w:jc w:val="both"/>
        <w:ind w:right="240" w:firstLine="590"/>
        <w:spacing w:after="0" w:line="270" w:lineRule="auto"/>
        <w:rPr>
          <w:sz w:val="20"/>
          <w:szCs w:val="20"/>
          <w:color w:val="auto"/>
        </w:rPr>
      </w:pPr>
      <w:r>
        <w:rPr>
          <w:rFonts w:ascii="Arial" w:cs="Arial" w:eastAsia="Arial" w:hAnsi="Arial"/>
          <w:sz w:val="17"/>
          <w:szCs w:val="17"/>
          <w:color w:val="auto"/>
        </w:rPr>
        <w:t>The Company did not grant any stock options during the three months ended September 30, 2022. The weighted-average grant date fair value of options granted during the three months ended September 30, 2021 was $12.56 per share. The weighted-average grant date fair value of options granted during the nine months ended September 30, 2022 and 2021 was $8.14 and $10.43 per share, respectively.</w:t>
      </w:r>
    </w:p>
    <w:p>
      <w:pPr>
        <w:spacing w:after="0" w:line="137" w:lineRule="exact"/>
        <w:rPr>
          <w:sz w:val="20"/>
          <w:szCs w:val="20"/>
          <w:color w:val="auto"/>
        </w:rPr>
      </w:pPr>
    </w:p>
    <w:p>
      <w:pPr>
        <w:jc w:val="both"/>
        <w:ind w:right="220" w:firstLine="554"/>
        <w:spacing w:after="0" w:line="248" w:lineRule="auto"/>
        <w:rPr>
          <w:sz w:val="20"/>
          <w:szCs w:val="20"/>
          <w:color w:val="auto"/>
        </w:rPr>
      </w:pPr>
      <w:r>
        <w:rPr>
          <w:rFonts w:ascii="Arial" w:cs="Arial" w:eastAsia="Arial" w:hAnsi="Arial"/>
          <w:sz w:val="18"/>
          <w:szCs w:val="18"/>
          <w:color w:val="auto"/>
        </w:rPr>
        <w:t>There was $31.6 million and $42.7 million of unrecognized stock-based compensation expense related to unvested stock options as of September 30, 2022 and 2021, respectively. The unrecognized stock-based compensation expense is estimated to be recognized over a period of 2.42 years and 3.23 years as of September 30, 2022 and 2021, respectively.</w:t>
      </w:r>
    </w:p>
    <w:p>
      <w:pPr>
        <w:spacing w:after="0" w:line="1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currently uses authorized and unissued shares to satisfy option exercises</w:t>
      </w:r>
      <w:r>
        <w:rPr>
          <w:rFonts w:ascii="Arial" w:cs="Arial" w:eastAsia="Arial" w:hAnsi="Arial"/>
          <w:sz w:val="21"/>
          <w:szCs w:val="21"/>
          <w:color w:val="auto"/>
        </w:rPr>
        <w:t>.</w:t>
      </w:r>
    </w:p>
    <w:p>
      <w:pPr>
        <w:spacing w:after="0" w:line="225" w:lineRule="exact"/>
        <w:rPr>
          <w:sz w:val="20"/>
          <w:szCs w:val="20"/>
          <w:color w:val="auto"/>
        </w:rPr>
      </w:pPr>
    </w:p>
    <w:p>
      <w:pPr>
        <w:ind w:firstLine="563"/>
        <w:spacing w:after="0" w:line="274" w:lineRule="auto"/>
        <w:rPr>
          <w:sz w:val="20"/>
          <w:szCs w:val="20"/>
          <w:color w:val="auto"/>
        </w:rPr>
      </w:pPr>
      <w:r>
        <w:rPr>
          <w:rFonts w:ascii="Arial" w:cs="Arial" w:eastAsia="Arial" w:hAnsi="Arial"/>
          <w:sz w:val="18"/>
          <w:szCs w:val="18"/>
          <w:color w:val="auto"/>
        </w:rPr>
        <w:t>The aggregate intrinsic value is calculated as the difference between the exercise price and the estimated fair value of the Company’s common stock as of September 30, 2022</w:t>
      </w:r>
      <w:r>
        <w:rPr>
          <w:rFonts w:ascii="Arial" w:cs="Arial" w:eastAsia="Arial" w:hAnsi="Arial"/>
          <w:sz w:val="21"/>
          <w:szCs w:val="21"/>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 Awards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RSU awards activity during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68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7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4"/>
              </w:rPr>
              <w:t>Weighted-average grant</w:t>
            </w:r>
          </w:p>
        </w:tc>
        <w:tc>
          <w:tcPr>
            <w:tcW w:w="0" w:type="dxa"/>
            <w:vAlign w:val="bottom"/>
          </w:tcPr>
          <w:p>
            <w:pPr>
              <w:spacing w:after="0"/>
              <w:rPr>
                <w:sz w:val="1"/>
                <w:szCs w:val="1"/>
                <w:color w:val="auto"/>
              </w:rPr>
            </w:pPr>
          </w:p>
        </w:tc>
      </w:tr>
      <w:tr>
        <w:trPr>
          <w:trHeight w:val="171"/>
        </w:trPr>
        <w:tc>
          <w:tcPr>
            <w:tcW w:w="7660" w:type="dxa"/>
            <w:vAlign w:val="bottom"/>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w w:val="94"/>
              </w:rPr>
              <w:t>date fair value per share</w:t>
            </w:r>
          </w:p>
        </w:tc>
        <w:tc>
          <w:tcPr>
            <w:tcW w:w="0" w:type="dxa"/>
            <w:vAlign w:val="bottom"/>
          </w:tcPr>
          <w:p>
            <w:pPr>
              <w:spacing w:after="0"/>
              <w:rPr>
                <w:sz w:val="1"/>
                <w:szCs w:val="1"/>
                <w:color w:val="auto"/>
              </w:rPr>
            </w:pPr>
          </w:p>
        </w:tc>
      </w:tr>
      <w:tr>
        <w:trPr>
          <w:trHeight w:val="210"/>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balance at December 31, 2021</w:t>
            </w:r>
          </w:p>
        </w:tc>
        <w:tc>
          <w:tcPr>
            <w:tcW w:w="16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104,876</w:t>
            </w:r>
          </w:p>
        </w:tc>
        <w:tc>
          <w:tcPr>
            <w:tcW w:w="20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1,306,076</w:t>
            </w:r>
          </w:p>
        </w:tc>
        <w:tc>
          <w:tcPr>
            <w:tcW w:w="84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(135,476 )</w:t>
            </w:r>
          </w:p>
        </w:tc>
        <w:tc>
          <w:tcPr>
            <w:tcW w:w="840" w:type="dxa"/>
            <w:vAlign w:val="bottom"/>
            <w:gridSpan w:val="2"/>
            <w:shd w:val="clear" w:color="auto" w:fill="CFF0FC"/>
          </w:tcPr>
          <w:p>
            <w:pPr>
              <w:jc w:val="right"/>
              <w:ind w:right="459"/>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76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680" w:type="dxa"/>
            <w:vAlign w:val="bottom"/>
          </w:tcPr>
          <w:p>
            <w:pPr>
              <w:jc w:val="right"/>
              <w:spacing w:after="0"/>
              <w:rPr>
                <w:sz w:val="20"/>
                <w:szCs w:val="20"/>
                <w:color w:val="auto"/>
              </w:rPr>
            </w:pPr>
            <w:r>
              <w:rPr>
                <w:rFonts w:ascii="Arial" w:cs="Arial" w:eastAsia="Arial" w:hAnsi="Arial"/>
                <w:sz w:val="18"/>
                <w:szCs w:val="18"/>
                <w:color w:val="auto"/>
              </w:rPr>
              <w:t>(58,262 )</w:t>
            </w:r>
          </w:p>
        </w:tc>
        <w:tc>
          <w:tcPr>
            <w:tcW w:w="84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4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balance at September 30, 2022</w:t>
            </w:r>
          </w:p>
        </w:tc>
        <w:tc>
          <w:tcPr>
            <w:tcW w:w="16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1,217,214</w:t>
            </w:r>
          </w:p>
        </w:tc>
        <w:tc>
          <w:tcPr>
            <w:tcW w:w="2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top w:val="single" w:sz="8" w:color="auto"/>
              <w:bottom w:val="single" w:sz="8" w:color="auto"/>
            </w:tcBorders>
            <w:shd w:val="clear" w:color="auto" w:fill="CFF0FC"/>
          </w:tcPr>
          <w:p>
            <w:pPr>
              <w:jc w:val="right"/>
              <w:ind w:right="459"/>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-25400</wp:posOffset>
            </wp:positionV>
            <wp:extent cx="1200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1200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74" w:lineRule="exact"/>
        <w:rPr>
          <w:sz w:val="20"/>
          <w:szCs w:val="20"/>
          <w:color w:val="auto"/>
        </w:rPr>
      </w:pPr>
    </w:p>
    <w:p>
      <w:pPr>
        <w:ind w:right="580" w:firstLine="509"/>
        <w:spacing w:after="0" w:line="342" w:lineRule="auto"/>
        <w:rPr>
          <w:sz w:val="20"/>
          <w:szCs w:val="20"/>
          <w:color w:val="auto"/>
        </w:rPr>
      </w:pPr>
      <w:r>
        <w:rPr>
          <w:rFonts w:ascii="Arial" w:cs="Arial" w:eastAsia="Arial" w:hAnsi="Arial"/>
          <w:sz w:val="16"/>
          <w:szCs w:val="16"/>
          <w:color w:val="auto"/>
        </w:rPr>
        <w:t>There was $15.1 million of unrecognized stock-based compensation expense related to unvested RSU awards as of September 30, 2022. The unrecognized stock-based compensation expense is estimated to be recognized over a period of 3.44 years as of September 30, 2022.</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shows the allocation of stock-based compensation expense related to the Company’s stock-based awards (in thousands):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24</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80" w:type="dxa"/>
            <w:vAlign w:val="bottom"/>
          </w:tcPr>
          <w:p>
            <w:pPr>
              <w:spacing w:after="0"/>
              <w:rPr>
                <w:sz w:val="14"/>
                <w:szCs w:val="14"/>
                <w:color w:val="auto"/>
              </w:rPr>
            </w:pPr>
          </w:p>
        </w:tc>
        <w:tc>
          <w:tcPr>
            <w:tcW w:w="2680" w:type="dxa"/>
            <w:vAlign w:val="bottom"/>
            <w:tcBorders>
              <w:bottom w:val="single" w:sz="8" w:color="auto"/>
            </w:tcBorders>
            <w:gridSpan w:val="5"/>
          </w:tcPr>
          <w:p>
            <w:pPr>
              <w:jc w:val="right"/>
              <w:ind w:right="213"/>
              <w:spacing w:after="0"/>
              <w:rPr>
                <w:sz w:val="20"/>
                <w:szCs w:val="20"/>
                <w:color w:val="auto"/>
              </w:rPr>
            </w:pPr>
            <w:r>
              <w:rPr>
                <w:rFonts w:ascii="Arial" w:cs="Arial" w:eastAsia="Arial" w:hAnsi="Arial"/>
                <w:sz w:val="14"/>
                <w:szCs w:val="14"/>
                <w:b w:val="1"/>
                <w:bCs w:val="1"/>
                <w:color w:val="auto"/>
                <w:w w:val="99"/>
              </w:rPr>
              <w:t>Three months ended September 30,</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69"/>
        </w:trPr>
        <w:tc>
          <w:tcPr>
            <w:tcW w:w="578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10"/>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759</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559</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2,214</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791</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1,248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1,002</w:t>
            </w:r>
          </w:p>
        </w:tc>
      </w:tr>
      <w:tr>
        <w:trPr>
          <w:trHeight w:val="21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4"/>
              </w:rPr>
              <w:t>1,097</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2,731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781</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4"/>
              </w:rPr>
              <w:t>1,255</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3,585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1,004</w:t>
            </w:r>
          </w:p>
        </w:tc>
      </w:tr>
      <w:tr>
        <w:trPr>
          <w:trHeight w:val="249"/>
        </w:trPr>
        <w:tc>
          <w:tcPr>
            <w:tcW w:w="5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stock-based compensation</w:t>
            </w: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4"/>
              </w:rPr>
              <w:t>4,359</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2,455</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12,130</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3,578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-25400</wp:posOffset>
            </wp:positionV>
            <wp:extent cx="946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946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85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weighted-average valuation assumptions used in determining the fair value of employee stock options: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2900" w:type="dxa"/>
            <w:vAlign w:val="bottom"/>
            <w:gridSpan w:val="4"/>
          </w:tcPr>
          <w:p>
            <w:pPr>
              <w:jc w:val="right"/>
              <w:ind w:right="434"/>
              <w:spacing w:after="0"/>
              <w:rPr>
                <w:sz w:val="20"/>
                <w:szCs w:val="20"/>
                <w:color w:val="auto"/>
              </w:rPr>
            </w:pPr>
            <w:r>
              <w:rPr>
                <w:rFonts w:ascii="Arial" w:cs="Arial" w:eastAsia="Arial" w:hAnsi="Arial"/>
                <w:sz w:val="14"/>
                <w:szCs w:val="14"/>
                <w:b w:val="1"/>
                <w:bCs w:val="1"/>
                <w:color w:val="auto"/>
                <w:w w:val="99"/>
              </w:rPr>
              <w:t>Three months ended September 30,</w:t>
            </w:r>
          </w:p>
        </w:tc>
        <w:tc>
          <w:tcPr>
            <w:tcW w:w="26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69"/>
        </w:trPr>
        <w:tc>
          <w:tcPr>
            <w:tcW w:w="57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118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rPr>
              <w:t>6.08</w:t>
            </w:r>
          </w:p>
        </w:tc>
        <w:tc>
          <w:tcPr>
            <w:tcW w:w="11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6.05</w:t>
            </w:r>
          </w:p>
        </w:tc>
        <w:tc>
          <w:tcPr>
            <w:tcW w:w="60" w:type="dxa"/>
            <w:vAlign w:val="bottom"/>
          </w:tcPr>
          <w:p>
            <w:pPr>
              <w:spacing w:after="0"/>
              <w:rPr>
                <w:sz w:val="18"/>
                <w:szCs w:val="18"/>
                <w:color w:val="auto"/>
              </w:rPr>
            </w:pPr>
          </w:p>
        </w:tc>
      </w:tr>
      <w:tr>
        <w:trPr>
          <w:trHeight w:val="216"/>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89.8 %</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75 %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90.1 %</w:t>
            </w:r>
          </w:p>
        </w:tc>
      </w:tr>
      <w:tr>
        <w:trPr>
          <w:trHeight w:val="216"/>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1460" w:type="dxa"/>
            <w:vAlign w:val="bottom"/>
          </w:tcPr>
          <w:p>
            <w:pPr>
              <w:jc w:val="right"/>
              <w:ind w:right="54"/>
              <w:spacing w:after="0"/>
              <w:rPr>
                <w:sz w:val="20"/>
                <w:szCs w:val="20"/>
                <w:color w:val="auto"/>
              </w:rPr>
            </w:pPr>
            <w:r>
              <w:rPr>
                <w:rFonts w:ascii="Arial" w:cs="Arial" w:eastAsia="Arial" w:hAnsi="Arial"/>
                <w:sz w:val="18"/>
                <w:szCs w:val="18"/>
                <w:color w:val="auto"/>
              </w:rPr>
              <w:t>0.88 %</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2.1 %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0.95 %</w:t>
            </w: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75"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The following table summarizes the weighted-average assumptions used in estimating the fair value of the ESPP for the current offering period using the Black-Scholes option-pricing model:</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20" w:type="dxa"/>
            <w:vAlign w:val="bottom"/>
          </w:tcPr>
          <w:p>
            <w:pPr>
              <w:spacing w:after="0"/>
              <w:rPr>
                <w:sz w:val="15"/>
                <w:szCs w:val="15"/>
                <w:color w:val="auto"/>
              </w:rPr>
            </w:pP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Pr>
          <w:p>
            <w:pPr>
              <w:spacing w:after="0"/>
              <w:rPr>
                <w:sz w:val="15"/>
                <w:szCs w:val="15"/>
                <w:color w:val="auto"/>
              </w:rPr>
            </w:pPr>
          </w:p>
        </w:tc>
        <w:tc>
          <w:tcPr>
            <w:tcW w:w="2660" w:type="dxa"/>
            <w:vAlign w:val="bottom"/>
            <w:gridSpan w:val="3"/>
          </w:tcPr>
          <w:p>
            <w:pPr>
              <w:ind w:left="160"/>
              <w:spacing w:after="0"/>
              <w:rPr>
                <w:sz w:val="20"/>
                <w:szCs w:val="20"/>
                <w:color w:val="auto"/>
              </w:rPr>
            </w:pPr>
            <w:r>
              <w:rPr>
                <w:rFonts w:ascii="Arial" w:cs="Arial" w:eastAsia="Arial" w:hAnsi="Arial"/>
                <w:sz w:val="14"/>
                <w:szCs w:val="14"/>
                <w:b w:val="1"/>
                <w:bCs w:val="1"/>
                <w:color w:val="auto"/>
              </w:rPr>
              <w:t>Nine months ended September 30,</w:t>
            </w:r>
          </w:p>
        </w:tc>
      </w:tr>
      <w:tr>
        <w:trPr>
          <w:trHeight w:val="185"/>
        </w:trPr>
        <w:tc>
          <w:tcPr>
            <w:tcW w:w="6560" w:type="dxa"/>
            <w:vAlign w:val="bottom"/>
            <w:gridSpan w:val="2"/>
          </w:tcPr>
          <w:p>
            <w:pPr>
              <w:ind w:left="6160"/>
              <w:spacing w:after="0"/>
              <w:rPr>
                <w:sz w:val="20"/>
                <w:szCs w:val="20"/>
                <w:color w:val="auto"/>
              </w:rPr>
            </w:pPr>
            <w:r>
              <w:rPr>
                <w:rFonts w:ascii="Arial" w:cs="Arial" w:eastAsia="Arial" w:hAnsi="Arial"/>
                <w:sz w:val="14"/>
                <w:szCs w:val="14"/>
                <w:b w:val="1"/>
                <w:bCs w:val="1"/>
                <w:color w:val="auto"/>
              </w:rPr>
              <w:t>2022</w:t>
            </w:r>
          </w:p>
        </w:tc>
        <w:tc>
          <w:tcPr>
            <w:tcW w:w="1560" w:type="dxa"/>
            <w:vAlign w:val="bottom"/>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480" w:type="dxa"/>
            <w:vAlign w:val="bottom"/>
          </w:tcPr>
          <w:p>
            <w:pPr>
              <w:jc w:val="right"/>
              <w:ind w:right="756"/>
              <w:spacing w:after="0"/>
              <w:rPr>
                <w:sz w:val="20"/>
                <w:szCs w:val="20"/>
                <w:color w:val="auto"/>
              </w:rPr>
            </w:pPr>
            <w:r>
              <w:rPr>
                <w:rFonts w:ascii="Arial" w:cs="Arial" w:eastAsia="Arial" w:hAnsi="Arial"/>
                <w:sz w:val="14"/>
                <w:szCs w:val="14"/>
                <w:b w:val="1"/>
                <w:bCs w:val="1"/>
                <w:color w:val="auto"/>
              </w:rPr>
              <w:t>2022</w:t>
            </w:r>
          </w:p>
        </w:tc>
        <w:tc>
          <w:tcPr>
            <w:tcW w:w="1120" w:type="dxa"/>
            <w:vAlign w:val="bottom"/>
          </w:tcPr>
          <w:p>
            <w:pPr>
              <w:ind w:left="26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r>
      <w:tr>
        <w:trPr>
          <w:trHeight w:val="210"/>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84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ind w:right="1154"/>
              <w:spacing w:after="0"/>
              <w:rPr>
                <w:sz w:val="20"/>
                <w:szCs w:val="20"/>
                <w:color w:val="auto"/>
              </w:rPr>
            </w:pPr>
            <w:r>
              <w:rPr>
                <w:rFonts w:ascii="Arial" w:cs="Arial" w:eastAsia="Arial" w:hAnsi="Arial"/>
                <w:sz w:val="18"/>
                <w:szCs w:val="18"/>
                <w:color w:val="auto"/>
              </w:rPr>
              <w:t>0.5</w:t>
            </w:r>
          </w:p>
        </w:tc>
        <w:tc>
          <w:tcPr>
            <w:tcW w:w="5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rPr>
              <w:t>0.5</w:t>
            </w:r>
          </w:p>
        </w:tc>
        <w:tc>
          <w:tcPr>
            <w:tcW w:w="1120" w:type="dxa"/>
            <w:vAlign w:val="bottom"/>
            <w:tcBorders>
              <w:top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560" w:type="dxa"/>
            <w:vAlign w:val="bottom"/>
          </w:tcPr>
          <w:p>
            <w:pPr>
              <w:jc w:val="right"/>
              <w:ind w:right="974"/>
              <w:spacing w:after="0"/>
              <w:rPr>
                <w:sz w:val="20"/>
                <w:szCs w:val="20"/>
                <w:color w:val="auto"/>
              </w:rPr>
            </w:pPr>
            <w:r>
              <w:rPr>
                <w:rFonts w:ascii="Arial" w:cs="Arial" w:eastAsia="Arial" w:hAnsi="Arial"/>
                <w:sz w:val="18"/>
                <w:szCs w:val="18"/>
                <w:color w:val="auto"/>
              </w:rPr>
              <w:t>72 %</w:t>
            </w:r>
          </w:p>
        </w:tc>
        <w:tc>
          <w:tcPr>
            <w:tcW w:w="520" w:type="dxa"/>
            <w:vAlign w:val="bottom"/>
          </w:tcPr>
          <w:p>
            <w:pPr>
              <w:ind w:left="20"/>
              <w:spacing w:after="0"/>
              <w:rPr>
                <w:sz w:val="20"/>
                <w:szCs w:val="20"/>
                <w:color w:val="auto"/>
              </w:rPr>
            </w:pPr>
            <w:r>
              <w:rPr>
                <w:rFonts w:ascii="Arial" w:cs="Arial" w:eastAsia="Arial" w:hAnsi="Arial"/>
                <w:sz w:val="18"/>
                <w:szCs w:val="18"/>
                <w:color w:val="auto"/>
              </w:rPr>
              <w:t>— %</w:t>
            </w:r>
          </w:p>
        </w:tc>
        <w:tc>
          <w:tcPr>
            <w:tcW w:w="1480" w:type="dxa"/>
            <w:vAlign w:val="bottom"/>
          </w:tcPr>
          <w:p>
            <w:pPr>
              <w:jc w:val="right"/>
              <w:ind w:right="176"/>
              <w:spacing w:after="0"/>
              <w:rPr>
                <w:sz w:val="20"/>
                <w:szCs w:val="20"/>
                <w:color w:val="auto"/>
              </w:rPr>
            </w:pPr>
            <w:r>
              <w:rPr>
                <w:rFonts w:ascii="Arial" w:cs="Arial" w:eastAsia="Arial" w:hAnsi="Arial"/>
                <w:sz w:val="18"/>
                <w:szCs w:val="18"/>
                <w:color w:val="auto"/>
              </w:rPr>
              <w:t>74 %</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w w:val="87"/>
              </w:rPr>
              <w:t>— %</w:t>
            </w:r>
          </w:p>
        </w:tc>
      </w:tr>
      <w:tr>
        <w:trPr>
          <w:trHeight w:val="216"/>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right"/>
              <w:ind w:right="974"/>
              <w:spacing w:after="0"/>
              <w:rPr>
                <w:sz w:val="20"/>
                <w:szCs w:val="20"/>
                <w:color w:val="auto"/>
              </w:rPr>
            </w:pPr>
            <w:r>
              <w:rPr>
                <w:rFonts w:ascii="Arial" w:cs="Arial" w:eastAsia="Arial" w:hAnsi="Arial"/>
                <w:sz w:val="18"/>
                <w:szCs w:val="18"/>
                <w:color w:val="auto"/>
              </w:rPr>
              <w:t>1.6 %</w:t>
            </w:r>
          </w:p>
        </w:tc>
        <w:tc>
          <w:tcPr>
            <w:tcW w:w="520" w:type="dxa"/>
            <w:vAlign w:val="bottom"/>
          </w:tcPr>
          <w:p>
            <w:pPr>
              <w:ind w:left="20"/>
              <w:spacing w:after="0"/>
              <w:rPr>
                <w:sz w:val="20"/>
                <w:szCs w:val="20"/>
                <w:color w:val="auto"/>
              </w:rPr>
            </w:pPr>
            <w:r>
              <w:rPr>
                <w:rFonts w:ascii="Arial" w:cs="Arial" w:eastAsia="Arial" w:hAnsi="Arial"/>
                <w:sz w:val="18"/>
                <w:szCs w:val="18"/>
                <w:color w:val="auto"/>
              </w:rPr>
              <w:t>— %</w:t>
            </w:r>
          </w:p>
        </w:tc>
        <w:tc>
          <w:tcPr>
            <w:tcW w:w="1480" w:type="dxa"/>
            <w:vAlign w:val="bottom"/>
          </w:tcPr>
          <w:p>
            <w:pPr>
              <w:jc w:val="right"/>
              <w:ind w:right="176"/>
              <w:spacing w:after="0"/>
              <w:rPr>
                <w:sz w:val="20"/>
                <w:szCs w:val="20"/>
                <w:color w:val="auto"/>
              </w:rPr>
            </w:pPr>
            <w:r>
              <w:rPr>
                <w:rFonts w:ascii="Arial" w:cs="Arial" w:eastAsia="Arial" w:hAnsi="Arial"/>
                <w:sz w:val="18"/>
                <w:szCs w:val="18"/>
                <w:color w:val="auto"/>
              </w:rPr>
              <w:t>1.3 %</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w w:val="87"/>
              </w:rPr>
              <w:t>— %</w:t>
            </w:r>
          </w:p>
        </w:tc>
      </w:tr>
      <w:tr>
        <w:trPr>
          <w:trHeight w:val="230"/>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560" w:type="dxa"/>
            <w:vAlign w:val="bottom"/>
          </w:tcPr>
          <w:p>
            <w:pPr>
              <w:jc w:val="right"/>
              <w:ind w:right="1154"/>
              <w:spacing w:after="0"/>
              <w:rPr>
                <w:sz w:val="20"/>
                <w:szCs w:val="20"/>
                <w:color w:val="auto"/>
              </w:rPr>
            </w:pPr>
            <w:r>
              <w:rPr>
                <w:rFonts w:ascii="Arial" w:cs="Arial" w:eastAsia="Arial" w:hAnsi="Arial"/>
                <w:sz w:val="18"/>
                <w:szCs w:val="18"/>
                <w:color w:val="auto"/>
              </w:rPr>
              <w:t>—</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58"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retirement savings plan</w:t>
      </w:r>
    </w:p>
    <w:p>
      <w:pPr>
        <w:spacing w:after="0" w:line="185" w:lineRule="exact"/>
        <w:rPr>
          <w:sz w:val="20"/>
          <w:szCs w:val="20"/>
          <w:color w:val="auto"/>
        </w:rPr>
      </w:pPr>
    </w:p>
    <w:p>
      <w:pPr>
        <w:jc w:val="both"/>
        <w:ind w:right="60" w:firstLine="509"/>
        <w:spacing w:after="0" w:line="243" w:lineRule="auto"/>
        <w:rPr>
          <w:sz w:val="20"/>
          <w:szCs w:val="20"/>
          <w:color w:val="auto"/>
        </w:rPr>
      </w:pPr>
      <w:r>
        <w:rPr>
          <w:rFonts w:ascii="Arial" w:cs="Arial" w:eastAsia="Arial" w:hAnsi="Arial"/>
          <w:sz w:val="18"/>
          <w:szCs w:val="18"/>
          <w:color w:val="auto"/>
        </w:rPr>
        <w:t>The Company currently maintains a 401(k) retirement savings plan the covers substantially all of its employees (“401(k) Plan”). The 401(k) Plan permits voluntary contributions by employees, a portion of which are matched by the Company. The Company’s contributions to the 401(k) Plan were approximately $273,000 and $791,000 for the three and nine months ended September 30, 2022, respectively, and $205,000 and $572,000 for the three and nine months ended September 30, 2021, respectively.</w:t>
      </w:r>
    </w:p>
    <w:p>
      <w:pPr>
        <w:spacing w:after="0" w:line="157"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ind w:right="60" w:firstLine="509"/>
        <w:spacing w:after="0" w:line="283" w:lineRule="auto"/>
        <w:rPr>
          <w:sz w:val="20"/>
          <w:szCs w:val="20"/>
          <w:color w:val="auto"/>
        </w:rPr>
      </w:pPr>
      <w:r>
        <w:rPr>
          <w:rFonts w:ascii="Arial" w:cs="Arial" w:eastAsia="Arial" w:hAnsi="Arial"/>
          <w:sz w:val="16"/>
          <w:szCs w:val="16"/>
          <w:color w:val="auto"/>
        </w:rPr>
        <w:t>The Company's effective tax rate from continuing operations was 56.8% and 23.7% for the nine months ended September 30, 2022 and 2021, respectively. The Company’s effective tax rate for the nine months ended September 30, 2022 is higher than the U.S. federal statutory tax rate due to nondeductible stock-based compensation, the Company’s mix of earnings between various taxing jurisdictions, partially offset by a deduction for foreign-sourced revenue, stock compensation, and federal and state research credits. The effective income tax rate for the nine months ended September 30, 2021 was lower than the U.S federal statutory tax rate primarily due to higher projected annual profits which resulted in a lower projected tax rate.</w:t>
      </w:r>
    </w:p>
    <w:p>
      <w:pPr>
        <w:spacing w:after="0" w:line="63" w:lineRule="exact"/>
        <w:rPr>
          <w:sz w:val="20"/>
          <w:szCs w:val="20"/>
          <w:color w:val="auto"/>
        </w:rPr>
      </w:pPr>
    </w:p>
    <w:p>
      <w:pPr>
        <w:jc w:val="both"/>
        <w:ind w:right="60" w:firstLine="509"/>
        <w:spacing w:after="0" w:line="249" w:lineRule="auto"/>
        <w:rPr>
          <w:sz w:val="20"/>
          <w:szCs w:val="20"/>
          <w:color w:val="auto"/>
        </w:rPr>
      </w:pPr>
      <w:r>
        <w:rPr>
          <w:rFonts w:ascii="Arial" w:cs="Arial" w:eastAsia="Arial" w:hAnsi="Arial"/>
          <w:sz w:val="18"/>
          <w:szCs w:val="18"/>
          <w:color w:val="auto"/>
        </w:rPr>
        <w:t>Realization of the Company's deferred tax assets is dependent primarily on the generation of future taxable income. In considering the need for a valuation allowance, the Company considers its historical, as well as future projected, taxable income along with other objectively verifiable evidence. Objectively verifiable evidence includes the Company's realization of tax attributes, assessment of tax credits, and utilization of net operating loss carryforwards during the year.</w:t>
      </w:r>
    </w:p>
    <w:p>
      <w:pPr>
        <w:spacing w:after="0" w:line="69"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Lease</w:t>
      </w:r>
    </w:p>
    <w:p>
      <w:pPr>
        <w:spacing w:after="0" w:line="189" w:lineRule="exact"/>
        <w:rPr>
          <w:sz w:val="20"/>
          <w:szCs w:val="20"/>
          <w:color w:val="auto"/>
        </w:rPr>
      </w:pPr>
    </w:p>
    <w:p>
      <w:pPr>
        <w:jc w:val="both"/>
        <w:ind w:right="60" w:firstLine="554"/>
        <w:spacing w:after="0" w:line="245" w:lineRule="auto"/>
        <w:rPr>
          <w:sz w:val="20"/>
          <w:szCs w:val="20"/>
          <w:color w:val="auto"/>
        </w:rPr>
      </w:pPr>
      <w:r>
        <w:rPr>
          <w:rFonts w:ascii="Arial" w:cs="Arial" w:eastAsia="Arial" w:hAnsi="Arial"/>
          <w:sz w:val="18"/>
          <w:szCs w:val="18"/>
          <w:color w:val="auto"/>
        </w:rPr>
        <w:t>The Company determines if an arrangement is or contains a lease at inception, which is the date on which the terms of the contract are agreed to, and the agreement creates enforceable rights and obligations. Under Topic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spacing w:after="0" w:line="159" w:lineRule="exact"/>
        <w:rPr>
          <w:sz w:val="20"/>
          <w:szCs w:val="20"/>
          <w:color w:val="auto"/>
        </w:rPr>
      </w:pPr>
    </w:p>
    <w:p>
      <w:pPr>
        <w:jc w:val="both"/>
        <w:ind w:right="80" w:firstLine="509"/>
        <w:spacing w:after="0" w:line="261" w:lineRule="auto"/>
        <w:rPr>
          <w:sz w:val="20"/>
          <w:szCs w:val="20"/>
          <w:color w:val="auto"/>
        </w:rPr>
      </w:pPr>
      <w:r>
        <w:rPr>
          <w:rFonts w:ascii="Arial" w:cs="Arial" w:eastAsia="Arial" w:hAnsi="Arial"/>
          <w:sz w:val="18"/>
          <w:szCs w:val="18"/>
          <w:color w:val="auto"/>
        </w:rPr>
        <w:t>The Company leases office facilities and equipment from unrelated parties under operating lease agreements that have initial terms ranging from 1 to 7.25 years. Some leases include one or more options to renew, generally at the Company's sole discretion, with renewal</w:t>
      </w:r>
    </w:p>
    <w:p>
      <w:pPr>
        <w:spacing w:after="0" w:line="14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25</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terms that can extend the lease term up to 5 years. In addition, certain leases contain termination options, where the rights to terminate are held by either the Company, the lessor, or both parties. These options to extend or terminate a lease are included in the lease terms when it is reasonably certain that the Company will exercise that option. The Company’s leases generally do not contain any material restrictive covenants. The Company is a sub-lessor in an agreement with a term of 3 years.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Operating lease cost is recognized on a straight-line basis over the lease term. The components of lease expense are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tcPr>
          <w:p>
            <w:pPr>
              <w:jc w:val="right"/>
              <w:ind w:right="397"/>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9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w w:val="99"/>
              </w:rPr>
              <w:t>September 30, 2022</w:t>
            </w:r>
          </w:p>
        </w:tc>
      </w:tr>
      <w:tr>
        <w:trPr>
          <w:trHeight w:val="210"/>
        </w:trPr>
        <w:tc>
          <w:tcPr>
            <w:tcW w:w="9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2,370</w:t>
            </w:r>
          </w:p>
        </w:tc>
      </w:tr>
      <w:tr>
        <w:trPr>
          <w:trHeight w:val="216"/>
        </w:trPr>
        <w:tc>
          <w:tcPr>
            <w:tcW w:w="92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Short-term lease cost</w:t>
            </w:r>
          </w:p>
        </w:tc>
        <w:tc>
          <w:tcPr>
            <w:tcW w:w="2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37</w:t>
            </w:r>
          </w:p>
        </w:tc>
      </w:tr>
      <w:tr>
        <w:trPr>
          <w:trHeight w:val="249"/>
        </w:trPr>
        <w:tc>
          <w:tcPr>
            <w:tcW w:w="9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 lease cost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2,407</w:t>
            </w: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three and nine months ended September 30, 2022, sublease income was $66,000 and $199,000, respectively, recorded as other income.</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leases is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jc w:val="right"/>
              <w:ind w:right="375"/>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9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9"/>
              </w:rPr>
              <w:t>September 30, 2022</w:t>
            </w:r>
          </w:p>
        </w:tc>
      </w:tr>
      <w:tr>
        <w:trPr>
          <w:trHeight w:val="210"/>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2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r>
      <w:tr>
        <w:trPr>
          <w:trHeight w:val="230"/>
        </w:trPr>
        <w:tc>
          <w:tcPr>
            <w:tcW w:w="9220" w:type="dxa"/>
            <w:vAlign w:val="bottom"/>
          </w:tcPr>
          <w:p>
            <w:pPr>
              <w:ind w:left="200"/>
              <w:spacing w:after="0"/>
              <w:rPr>
                <w:sz w:val="20"/>
                <w:szCs w:val="20"/>
                <w:color w:val="auto"/>
              </w:rPr>
            </w:pPr>
            <w:r>
              <w:rPr>
                <w:rFonts w:ascii="Arial" w:cs="Arial" w:eastAsia="Arial" w:hAnsi="Arial"/>
                <w:sz w:val="18"/>
                <w:szCs w:val="18"/>
                <w:color w:val="auto"/>
              </w:rPr>
              <w:t>Operating cash outflows - payments on operating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5"/>
              <w:spacing w:after="0"/>
              <w:rPr>
                <w:sz w:val="20"/>
                <w:szCs w:val="20"/>
                <w:color w:val="auto"/>
              </w:rPr>
            </w:pPr>
            <w:r>
              <w:rPr>
                <w:rFonts w:ascii="Arial" w:cs="Arial" w:eastAsia="Arial" w:hAnsi="Arial"/>
                <w:sz w:val="18"/>
                <w:szCs w:val="18"/>
                <w:color w:val="auto"/>
              </w:rPr>
              <w:t>1,629</w:t>
            </w:r>
          </w:p>
        </w:tc>
      </w:tr>
      <w:tr>
        <w:trPr>
          <w:trHeight w:val="202"/>
        </w:trPr>
        <w:tc>
          <w:tcPr>
            <w:tcW w:w="9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for new lease obligations:</w:t>
            </w:r>
          </w:p>
        </w:tc>
        <w:tc>
          <w:tcPr>
            <w:tcW w:w="2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r>
      <w:tr>
        <w:trPr>
          <w:trHeight w:val="230"/>
        </w:trPr>
        <w:tc>
          <w:tcPr>
            <w:tcW w:w="922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5"/>
              <w:spacing w:after="0"/>
              <w:rPr>
                <w:sz w:val="20"/>
                <w:szCs w:val="20"/>
                <w:color w:val="auto"/>
              </w:rPr>
            </w:pPr>
            <w:r>
              <w:rPr>
                <w:rFonts w:ascii="Arial" w:cs="Arial" w:eastAsia="Arial" w:hAnsi="Arial"/>
                <w:sz w:val="18"/>
                <w:szCs w:val="18"/>
                <w:color w:val="auto"/>
              </w:rPr>
              <w:t>16,741</w:t>
            </w:r>
          </w:p>
        </w:tc>
      </w:tr>
      <w:tr>
        <w:trPr>
          <w:trHeight w:val="620"/>
        </w:trPr>
        <w:tc>
          <w:tcPr>
            <w:tcW w:w="9220" w:type="dxa"/>
            <w:vAlign w:val="bottom"/>
          </w:tcPr>
          <w:p>
            <w:pPr>
              <w:spacing w:after="0"/>
              <w:rPr>
                <w:sz w:val="20"/>
                <w:szCs w:val="20"/>
                <w:color w:val="auto"/>
              </w:rPr>
            </w:pPr>
            <w:r>
              <w:rPr>
                <w:rFonts w:ascii="Arial" w:cs="Arial" w:eastAsia="Arial" w:hAnsi="Arial"/>
                <w:sz w:val="18"/>
                <w:szCs w:val="18"/>
                <w:color w:val="auto"/>
              </w:rPr>
              <w:t>Supplemental balance sheet information related to leases is as follows (in thousands):</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4"/>
        </w:trPr>
        <w:tc>
          <w:tcPr>
            <w:tcW w:w="9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9"/>
              </w:rPr>
              <w:t>September 30, 2022</w:t>
            </w:r>
          </w:p>
        </w:tc>
      </w:tr>
      <w:tr>
        <w:trPr>
          <w:trHeight w:val="210"/>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14,416</w:t>
            </w: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Included in other current liabilities:</w:t>
            </w: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92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1,413</w:t>
            </w: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14,326</w:t>
            </w:r>
          </w:p>
        </w:tc>
      </w:tr>
      <w:tr>
        <w:trPr>
          <w:trHeight w:val="250"/>
        </w:trPr>
        <w:tc>
          <w:tcPr>
            <w:tcW w:w="9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operating lease liabilities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15,739</w:t>
            </w:r>
          </w:p>
        </w:tc>
      </w:tr>
      <w:tr>
        <w:trPr>
          <w:trHeight w:val="183"/>
        </w:trPr>
        <w:tc>
          <w:tcPr>
            <w:tcW w:w="9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1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24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755"/>
              <w:spacing w:after="0"/>
              <w:rPr>
                <w:sz w:val="20"/>
                <w:szCs w:val="20"/>
                <w:color w:val="auto"/>
              </w:rPr>
            </w:pPr>
            <w:r>
              <w:rPr>
                <w:rFonts w:ascii="Arial" w:cs="Arial" w:eastAsia="Arial" w:hAnsi="Arial"/>
                <w:sz w:val="18"/>
                <w:szCs w:val="18"/>
                <w:color w:val="auto"/>
              </w:rPr>
              <w:t>5.54</w:t>
            </w:r>
          </w:p>
        </w:tc>
      </w:tr>
      <w:tr>
        <w:trPr>
          <w:trHeight w:val="432"/>
        </w:trPr>
        <w:tc>
          <w:tcPr>
            <w:tcW w:w="922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240" w:type="dxa"/>
            <w:vAlign w:val="bottom"/>
          </w:tcPr>
          <w:p>
            <w:pPr>
              <w:spacing w:after="0"/>
              <w:rPr>
                <w:sz w:val="24"/>
                <w:szCs w:val="24"/>
                <w:color w:val="auto"/>
              </w:rPr>
            </w:pPr>
          </w:p>
        </w:tc>
        <w:tc>
          <w:tcPr>
            <w:tcW w:w="1780" w:type="dxa"/>
            <w:vAlign w:val="bottom"/>
          </w:tcPr>
          <w:p>
            <w:pPr>
              <w:jc w:val="right"/>
              <w:ind w:right="735"/>
              <w:spacing w:after="0"/>
              <w:rPr>
                <w:sz w:val="20"/>
                <w:szCs w:val="20"/>
                <w:color w:val="auto"/>
              </w:rPr>
            </w:pPr>
            <w:r>
              <w:rPr>
                <w:rFonts w:ascii="Arial" w:cs="Arial" w:eastAsia="Arial" w:hAnsi="Arial"/>
                <w:sz w:val="18"/>
                <w:szCs w:val="18"/>
                <w:color w:val="auto"/>
              </w:rPr>
              <w:t>2.6%</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Future undiscounted cash flows for each of the next five years and thereafter and reconciliation to the lease liabilities recognized on the balance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sheet as of September 30, 2022 is as follows (in thousands):</w:t>
            </w:r>
          </w:p>
        </w:tc>
        <w:tc>
          <w:tcPr>
            <w:tcW w:w="4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86"/>
        </w:trPr>
        <w:tc>
          <w:tcPr>
            <w:tcW w:w="49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 (excluding the nine months ended September 30)</w:t>
            </w:r>
          </w:p>
        </w:tc>
        <w:tc>
          <w:tcPr>
            <w:tcW w:w="506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805</w:t>
            </w: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2023</w:t>
            </w:r>
          </w:p>
        </w:tc>
        <w:tc>
          <w:tcPr>
            <w:tcW w:w="4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3,352</w:t>
            </w:r>
          </w:p>
        </w:tc>
      </w:tr>
      <w:tr>
        <w:trPr>
          <w:trHeight w:val="21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4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2,991</w:t>
            </w: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2025</w:t>
            </w:r>
          </w:p>
        </w:tc>
        <w:tc>
          <w:tcPr>
            <w:tcW w:w="4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2,602</w:t>
            </w:r>
          </w:p>
        </w:tc>
      </w:tr>
      <w:tr>
        <w:trPr>
          <w:trHeight w:val="216"/>
        </w:trPr>
        <w:tc>
          <w:tcPr>
            <w:tcW w:w="4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4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2,580</w:t>
            </w:r>
          </w:p>
        </w:tc>
      </w:tr>
      <w:tr>
        <w:trPr>
          <w:trHeight w:val="216"/>
        </w:trPr>
        <w:tc>
          <w:tcPr>
            <w:tcW w:w="4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3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4,710</w:t>
            </w:r>
          </w:p>
        </w:tc>
      </w:tr>
      <w:tr>
        <w:trPr>
          <w:trHeight w:val="250"/>
        </w:trPr>
        <w:tc>
          <w:tcPr>
            <w:tcW w:w="4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lease payments</w:t>
            </w:r>
          </w:p>
        </w:tc>
        <w:tc>
          <w:tcPr>
            <w:tcW w:w="43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17,040</w:t>
            </w:r>
          </w:p>
        </w:tc>
      </w:tr>
      <w:tr>
        <w:trPr>
          <w:trHeight w:val="197"/>
        </w:trPr>
        <w:tc>
          <w:tcPr>
            <w:tcW w:w="4920" w:type="dxa"/>
            <w:vAlign w:val="bottom"/>
          </w:tcPr>
          <w:p>
            <w:pPr>
              <w:ind w:left="20"/>
              <w:spacing w:after="0" w:line="196" w:lineRule="exact"/>
              <w:rPr>
                <w:sz w:val="20"/>
                <w:szCs w:val="20"/>
                <w:color w:val="auto"/>
              </w:rPr>
            </w:pPr>
            <w:r>
              <w:rPr>
                <w:rFonts w:ascii="Arial" w:cs="Arial" w:eastAsia="Arial" w:hAnsi="Arial"/>
                <w:sz w:val="18"/>
                <w:szCs w:val="18"/>
                <w:color w:val="auto"/>
              </w:rPr>
              <w:t>Less imputed interest</w:t>
            </w:r>
          </w:p>
        </w:tc>
        <w:tc>
          <w:tcPr>
            <w:tcW w:w="43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(1,301 )</w:t>
            </w:r>
          </w:p>
        </w:tc>
      </w:tr>
      <w:tr>
        <w:trPr>
          <w:trHeight w:val="249"/>
        </w:trPr>
        <w:tc>
          <w:tcPr>
            <w:tcW w:w="4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present value of lease liabilities</w:t>
            </w:r>
          </w:p>
        </w:tc>
        <w:tc>
          <w:tcPr>
            <w:tcW w:w="43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15,739</w:t>
            </w:r>
          </w:p>
        </w:tc>
      </w:tr>
      <w:tr>
        <w:trPr>
          <w:trHeight w:val="548"/>
        </w:trPr>
        <w:tc>
          <w:tcPr>
            <w:tcW w:w="4920" w:type="dxa"/>
            <w:vAlign w:val="bottom"/>
          </w:tcPr>
          <w:p>
            <w:pPr>
              <w:spacing w:after="0"/>
              <w:rPr>
                <w:sz w:val="24"/>
                <w:szCs w:val="24"/>
                <w:color w:val="auto"/>
              </w:rPr>
            </w:pPr>
          </w:p>
        </w:tc>
        <w:tc>
          <w:tcPr>
            <w:tcW w:w="4300" w:type="dxa"/>
            <w:vAlign w:val="bottom"/>
          </w:tcPr>
          <w:p>
            <w:pPr>
              <w:jc w:val="right"/>
              <w:ind w:right="3410"/>
              <w:spacing w:after="0"/>
              <w:rPr>
                <w:sz w:val="20"/>
                <w:szCs w:val="20"/>
                <w:color w:val="auto"/>
              </w:rPr>
            </w:pPr>
            <w:r>
              <w:rPr>
                <w:rFonts w:ascii="Arial" w:cs="Arial" w:eastAsia="Arial" w:hAnsi="Arial"/>
                <w:sz w:val="18"/>
                <w:szCs w:val="18"/>
                <w:color w:val="auto"/>
              </w:rPr>
              <w:t>25</w:t>
            </w: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88"/>
        </w:trPr>
        <w:tc>
          <w:tcPr>
            <w:tcW w:w="4920" w:type="dxa"/>
            <w:vAlign w:val="bottom"/>
            <w:tcBorders>
              <w:bottom w:val="single" w:sz="8" w:color="9A9A9A"/>
            </w:tcBorders>
          </w:tcPr>
          <w:p>
            <w:pPr>
              <w:spacing w:after="0"/>
              <w:rPr>
                <w:sz w:val="7"/>
                <w:szCs w:val="7"/>
                <w:color w:val="auto"/>
              </w:rPr>
            </w:pPr>
          </w:p>
        </w:tc>
        <w:tc>
          <w:tcPr>
            <w:tcW w:w="43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26</w:t>
      </w:r>
    </w:p>
    <w:p>
      <w:pPr>
        <w:spacing w:after="0" w:line="212"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As of December 31, 2021, a summary of the Company's future minimum lease payments, as determined under Topic 840, for all non-cancelable operating leases, excluding minimum sublease rentals of $0.6 million due in the future under a non-cancelable sublease, was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Operating leases</w:t>
            </w:r>
          </w:p>
        </w:tc>
      </w:tr>
      <w:tr>
        <w:trPr>
          <w:trHeight w:val="20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2,251</w:t>
            </w: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2,803</w:t>
            </w:r>
          </w:p>
        </w:tc>
      </w:tr>
      <w:tr>
        <w:trPr>
          <w:trHeight w:val="21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2,417</w:t>
            </w: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8"/>
                <w:szCs w:val="18"/>
                <w:color w:val="auto"/>
              </w:rPr>
            </w:pPr>
          </w:p>
        </w:tc>
        <w:tc>
          <w:tcPr>
            <w:tcW w:w="1740" w:type="dxa"/>
            <w:vAlign w:val="bottom"/>
          </w:tcPr>
          <w:p>
            <w:pPr>
              <w:jc w:val="right"/>
              <w:ind w:right="32"/>
              <w:spacing w:after="0"/>
              <w:rPr>
                <w:sz w:val="20"/>
                <w:szCs w:val="20"/>
                <w:color w:val="auto"/>
              </w:rPr>
            </w:pPr>
            <w:r>
              <w:rPr>
                <w:rFonts w:ascii="Arial" w:cs="Arial" w:eastAsia="Arial" w:hAnsi="Arial"/>
                <w:sz w:val="18"/>
                <w:szCs w:val="18"/>
                <w:color w:val="auto"/>
              </w:rPr>
              <w:t>2,215</w:t>
            </w:r>
          </w:p>
        </w:tc>
      </w:tr>
      <w:tr>
        <w:trPr>
          <w:trHeight w:val="21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2,220</w:t>
            </w:r>
          </w:p>
        </w:tc>
      </w:tr>
      <w:tr>
        <w:trPr>
          <w:trHeight w:val="216"/>
        </w:trPr>
        <w:tc>
          <w:tcPr>
            <w:tcW w:w="9220" w:type="dxa"/>
            <w:vAlign w:val="bottom"/>
          </w:tcPr>
          <w:p>
            <w:pPr>
              <w:ind w:left="20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4,571</w:t>
            </w:r>
          </w:p>
        </w:tc>
      </w:tr>
      <w:tr>
        <w:trPr>
          <w:trHeight w:val="249"/>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16,477</w:t>
            </w:r>
          </w:p>
        </w:tc>
      </w:tr>
    </w:tbl>
    <w:p>
      <w:pPr>
        <w:spacing w:after="0" w:line="292"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w:t>
      </w:r>
    </w:p>
    <w:p>
      <w:pPr>
        <w:spacing w:after="0" w:line="18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On March 27, 2020, the Coronavirus Aid, Relief, and Economic Security Act (the “CARES Act”) was enacted to, amongst other provisions, provide emergency assistance for individuals, families and businesses affected by the COVID-19 pandemic. The CARES Act includes a Paycheck Protection Program (“PPP”) administered through the Small Business Association (“SBA”). Under the PPP, beginning April 3, 2020, small businesses and other entities and individuals could apply for loans from existing SBA lenders and other approved regulated lenders that enroll in the program, subject to numerous limitations and eligibility criteria.</w:t>
      </w:r>
    </w:p>
    <w:p>
      <w:pPr>
        <w:spacing w:after="0" w:line="15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On May 7, 2020, the Company received gross proceeds in the amount of approximately $4.1 million under the PPP. The PPP, established as part of the CARES Act, provides for loans to qualifying businesses for amounts up to 2.5 times the average monthly payroll expenses of the qualifying business. On May 4, 2021, the Company fully repaid the PPP loan.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8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w:t>
      </w:r>
    </w:p>
    <w:p>
      <w:pPr>
        <w:spacing w:after="0" w:line="15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is not currently involved in legal actions, nor is management aware of any potential claims or legal actions, for which the ultimate disposition could have a material effect on the Company’s financial position, results of operations or liquidity.</w:t>
      </w:r>
    </w:p>
    <w:p>
      <w:pPr>
        <w:spacing w:after="0" w:line="140"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Cytek Japan</w:t>
      </w:r>
    </w:p>
    <w:p>
      <w:pPr>
        <w:spacing w:after="0" w:line="189"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In May 2019, the Company jointly formed Cytek Japan with TOMY Digital Biology (“TOMY”). Cytek Japan was created for the purpose of expanding the Company’s presence in Japan. The Company and TOMY each purchased $46,000 of common stock of Cytek Japan. The Company previously accounted for its 50% interest in Cytek Japan as an equity method investment. The Company recorded $40,000 for its proportionate share of Cytek Japan’s earnings prior to its additional investment, which is included in other income (expense), net in the consolidated statements of operations and comprehensive income for the three months ended September 30, 2022.</w:t>
      </w:r>
    </w:p>
    <w:p>
      <w:pPr>
        <w:spacing w:after="0" w:line="159"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In March 2021, the Company purchased an additional $688,000 of common stock of Cytek Japan and TOMY purchased an additional $229,000 of common stock of Cytek Japan. The Company’s interest in Cytek Japan increased from 50% to 73% giving the Company controlling interest. The Company consolidated Cytek Japan as of March 31, 2021 under the VOE model as Cytek Japan does not meet the definition of a VIE and as TOMY does not have substantive voting, participating or liquidation rights.</w:t>
      </w:r>
    </w:p>
    <w:p>
      <w:pPr>
        <w:spacing w:after="0" w:line="15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recognized net assets of $1.1 million, consisting primarily of $1.0 million cash. The Company recorded noncontrolling interest of $315,000 on the unaudited interim consolidated financial statements as of March 31, 2021. The net loss attributable to noncontrolling interest was $40,000 and $281,000 for the three and nine months ended September 30, 2022, respectively. The net income attributable to noncontrolling interest was de minimis for the three and nine months ended September 30, 2021.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27</w:t>
      </w:r>
    </w:p>
    <w:p>
      <w:pPr>
        <w:spacing w:after="0" w:line="316"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warranty</w:t>
      </w:r>
    </w:p>
    <w:p>
      <w:pPr>
        <w:spacing w:after="0" w:line="12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following table shows the activity in the product warranty accrual included in accrued expenses on the consolidated balance sheets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r>
      <w:tr>
        <w:trPr>
          <w:trHeight w:val="20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the period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1,760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969</w:t>
            </w: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Accrual for current year warranties</w:t>
            </w:r>
          </w:p>
        </w:tc>
        <w:tc>
          <w:tcPr>
            <w:tcW w:w="220" w:type="dxa"/>
            <w:vAlign w:val="bottom"/>
          </w:tcPr>
          <w:p>
            <w:pPr>
              <w:spacing w:after="0"/>
              <w:rPr>
                <w:sz w:val="18"/>
                <w:szCs w:val="18"/>
                <w:color w:val="auto"/>
              </w:rPr>
            </w:pP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1,933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3,304</w:t>
            </w: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Warranty cost incurred</w:t>
            </w:r>
          </w:p>
        </w:tc>
        <w:tc>
          <w:tcPr>
            <w:tcW w:w="2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(1,758 )</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(2,513 )</w:t>
            </w:r>
          </w:p>
        </w:tc>
      </w:tr>
      <w:tr>
        <w:trPr>
          <w:trHeight w:val="209"/>
        </w:trPr>
        <w:tc>
          <w:tcPr>
            <w:tcW w:w="7680" w:type="dxa"/>
            <w:vAlign w:val="bottom"/>
          </w:tcPr>
          <w:p>
            <w:pPr>
              <w:ind w:left="20"/>
              <w:spacing w:after="0"/>
              <w:rPr>
                <w:sz w:val="20"/>
                <w:szCs w:val="20"/>
                <w:color w:val="auto"/>
              </w:rPr>
            </w:pPr>
            <w:r>
              <w:rPr>
                <w:rFonts w:ascii="Arial" w:cs="Arial" w:eastAsia="Arial" w:hAnsi="Arial"/>
                <w:sz w:val="18"/>
                <w:szCs w:val="18"/>
                <w:color w:val="auto"/>
              </w:rPr>
              <w:t>Balance, end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6"/>
              <w:spacing w:after="0"/>
              <w:rPr>
                <w:sz w:val="20"/>
                <w:szCs w:val="20"/>
                <w:color w:val="auto"/>
              </w:rPr>
            </w:pPr>
            <w:r>
              <w:rPr>
                <w:rFonts w:ascii="Arial" w:cs="Arial" w:eastAsia="Arial" w:hAnsi="Arial"/>
                <w:sz w:val="18"/>
                <w:szCs w:val="18"/>
                <w:color w:val="auto"/>
              </w:rPr>
              <w:t>1,935</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6"/>
              <w:spacing w:after="0"/>
              <w:rPr>
                <w:sz w:val="20"/>
                <w:szCs w:val="20"/>
                <w:color w:val="auto"/>
              </w:rPr>
            </w:pPr>
            <w:r>
              <w:rPr>
                <w:rFonts w:ascii="Arial" w:cs="Arial" w:eastAsia="Arial" w:hAnsi="Arial"/>
                <w:sz w:val="18"/>
                <w:szCs w:val="18"/>
                <w:color w:val="auto"/>
              </w:rPr>
              <w:t>1,760</w:t>
            </w:r>
          </w:p>
        </w:tc>
      </w:tr>
      <w:tr>
        <w:trPr>
          <w:trHeight w:val="20"/>
        </w:trPr>
        <w:tc>
          <w:tcPr>
            <w:tcW w:w="7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-170815</wp:posOffset>
            </wp:positionV>
            <wp:extent cx="11112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367"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attributable to common stockholders per share</w:t>
      </w:r>
    </w:p>
    <w:p>
      <w:pPr>
        <w:spacing w:after="0" w:line="189"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following table sets forth the computation of the Company’s basic and diluted net income (loss) attributable to common stockholders per share for the three and nine months ended September 30, 2022 and 2021 (in thousands except share and per share data):</w:t>
      </w:r>
    </w:p>
    <w:p>
      <w:pPr>
        <w:spacing w:after="0" w:line="337"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w w:val="92"/>
              </w:rPr>
              <w:t>Three months ended September 30,</w:t>
            </w: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69"/>
        </w:trPr>
        <w:tc>
          <w:tcPr>
            <w:tcW w:w="5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5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Numerator</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1,626</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1,420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(1,234 )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16"/>
        </w:trPr>
        <w:tc>
          <w:tcPr>
            <w:tcW w:w="55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 net loss allocated to noncontrolling interests</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Less: net income allocated to participating securities</w:t>
            </w:r>
          </w:p>
        </w:tc>
        <w:tc>
          <w:tcPr>
            <w:tcW w:w="12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(1,074 )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(4,192 )</w:t>
            </w:r>
          </w:p>
        </w:tc>
        <w:tc>
          <w:tcPr>
            <w:tcW w:w="0" w:type="dxa"/>
            <w:vAlign w:val="bottom"/>
          </w:tcPr>
          <w:p>
            <w:pPr>
              <w:spacing w:after="0"/>
              <w:rPr>
                <w:sz w:val="1"/>
                <w:szCs w:val="1"/>
                <w:color w:val="auto"/>
              </w:rPr>
            </w:pPr>
          </w:p>
        </w:tc>
      </w:tr>
      <w:tr>
        <w:trPr>
          <w:trHeight w:val="216"/>
        </w:trPr>
        <w:tc>
          <w:tcPr>
            <w:tcW w:w="55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5520" w:type="dxa"/>
            <w:vAlign w:val="bottom"/>
          </w:tcPr>
          <w:p>
            <w:pPr>
              <w:ind w:left="360"/>
              <w:spacing w:after="0" w:line="168" w:lineRule="exact"/>
              <w:rPr>
                <w:sz w:val="20"/>
                <w:szCs w:val="20"/>
                <w:color w:val="auto"/>
              </w:rPr>
            </w:pPr>
            <w:r>
              <w:rPr>
                <w:rFonts w:ascii="Arial" w:cs="Arial" w:eastAsia="Arial" w:hAnsi="Arial"/>
                <w:sz w:val="18"/>
                <w:szCs w:val="18"/>
                <w:color w:val="auto"/>
                <w:w w:val="98"/>
              </w:rPr>
              <w:t>Net income (loss) attributable to common stockholders, basic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ind w:right="53"/>
              <w:spacing w:after="0"/>
              <w:rPr>
                <w:sz w:val="20"/>
                <w:szCs w:val="20"/>
                <w:color w:val="auto"/>
              </w:rPr>
            </w:pPr>
            <w:r>
              <w:rPr>
                <w:rFonts w:ascii="Arial" w:cs="Arial" w:eastAsia="Arial" w:hAnsi="Arial"/>
                <w:sz w:val="18"/>
                <w:szCs w:val="18"/>
                <w:color w:val="auto"/>
              </w:rPr>
              <w:t>1,666</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32"/>
              <w:spacing w:after="0"/>
              <w:rPr>
                <w:sz w:val="20"/>
                <w:szCs w:val="20"/>
                <w:color w:val="auto"/>
              </w:rPr>
            </w:pPr>
            <w:r>
              <w:rPr>
                <w:rFonts w:ascii="Arial" w:cs="Arial" w:eastAsia="Arial" w:hAnsi="Arial"/>
                <w:sz w:val="18"/>
                <w:szCs w:val="18"/>
                <w:color w:val="auto"/>
              </w:rPr>
              <w:t>346</w:t>
            </w: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(953 )</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5520" w:type="dxa"/>
            <w:vAlign w:val="bottom"/>
          </w:tcPr>
          <w:p>
            <w:pPr>
              <w:ind w:left="360"/>
              <w:spacing w:after="0" w:line="190" w:lineRule="exact"/>
              <w:rPr>
                <w:sz w:val="20"/>
                <w:szCs w:val="20"/>
                <w:color w:val="auto"/>
              </w:rPr>
            </w:pPr>
            <w:r>
              <w:rPr>
                <w:rFonts w:ascii="Arial" w:cs="Arial" w:eastAsia="Arial" w:hAnsi="Arial"/>
                <w:sz w:val="18"/>
                <w:szCs w:val="18"/>
                <w:color w:val="auto"/>
              </w:rPr>
              <w:t>diluted</w:t>
            </w:r>
          </w:p>
        </w:tc>
        <w:tc>
          <w:tcPr>
            <w:tcW w:w="1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i w:val="1"/>
                <w:iCs w:val="1"/>
                <w:color w:val="auto"/>
              </w:rPr>
              <w:t>Denominator</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520" w:type="dxa"/>
            <w:vAlign w:val="bottom"/>
            <w:shd w:val="clear" w:color="auto" w:fill="CFF0FC"/>
          </w:tcPr>
          <w:p>
            <w:pPr>
              <w:ind w:left="180"/>
              <w:spacing w:after="0" w:line="175" w:lineRule="exact"/>
              <w:rPr>
                <w:sz w:val="20"/>
                <w:szCs w:val="20"/>
                <w:color w:val="auto"/>
              </w:rPr>
            </w:pPr>
            <w:r>
              <w:rPr>
                <w:rFonts w:ascii="Arial" w:cs="Arial" w:eastAsia="Arial" w:hAnsi="Arial"/>
                <w:sz w:val="18"/>
                <w:szCs w:val="18"/>
                <w:color w:val="auto"/>
                <w:w w:val="93"/>
              </w:rPr>
              <w:t>Weighted-average common shares outstanding, attributable to common</w:t>
            </w: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stockholders, basic</w:t>
            </w: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93"/>
              </w:rPr>
              <w:t>134,711,701</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5"/>
              </w:rPr>
              <w:t>108,322,433</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134,342,059</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95"/>
              </w:rPr>
              <w:t>57,534,080</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Effect of employee stock plans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3,997,634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5,314,945</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4,561,195</w:t>
            </w:r>
          </w:p>
        </w:tc>
        <w:tc>
          <w:tcPr>
            <w:tcW w:w="0" w:type="dxa"/>
            <w:vAlign w:val="bottom"/>
          </w:tcPr>
          <w:p>
            <w:pPr>
              <w:spacing w:after="0"/>
              <w:rPr>
                <w:sz w:val="1"/>
                <w:szCs w:val="1"/>
                <w:color w:val="auto"/>
              </w:rPr>
            </w:pPr>
          </w:p>
        </w:tc>
      </w:tr>
      <w:tr>
        <w:trPr>
          <w:trHeight w:val="168"/>
        </w:trPr>
        <w:tc>
          <w:tcPr>
            <w:tcW w:w="5520" w:type="dxa"/>
            <w:vAlign w:val="bottom"/>
            <w:shd w:val="clear" w:color="auto" w:fill="CFF0FC"/>
          </w:tcPr>
          <w:p>
            <w:pPr>
              <w:ind w:left="180"/>
              <w:spacing w:after="0" w:line="168" w:lineRule="exact"/>
              <w:rPr>
                <w:sz w:val="20"/>
                <w:szCs w:val="20"/>
                <w:color w:val="auto"/>
              </w:rPr>
            </w:pPr>
            <w:r>
              <w:rPr>
                <w:rFonts w:ascii="Arial" w:cs="Arial" w:eastAsia="Arial" w:hAnsi="Arial"/>
                <w:sz w:val="18"/>
                <w:szCs w:val="18"/>
                <w:color w:val="auto"/>
                <w:w w:val="93"/>
              </w:rPr>
              <w:t>Weighted-average common shares outstanding, attributable to common</w:t>
            </w:r>
          </w:p>
        </w:tc>
        <w:tc>
          <w:tcPr>
            <w:tcW w:w="12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ind w:right="53"/>
              <w:spacing w:after="0"/>
              <w:rPr>
                <w:sz w:val="20"/>
                <w:szCs w:val="20"/>
                <w:color w:val="auto"/>
              </w:rPr>
            </w:pPr>
            <w:r>
              <w:rPr>
                <w:rFonts w:ascii="Arial" w:cs="Arial" w:eastAsia="Arial" w:hAnsi="Arial"/>
                <w:sz w:val="18"/>
                <w:szCs w:val="18"/>
                <w:color w:val="auto"/>
                <w:w w:val="93"/>
              </w:rPr>
              <w:t>138,709,335</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w w:val="95"/>
              </w:rPr>
              <w:t>113,637,377</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134,342,059</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w w:val="95"/>
              </w:rPr>
              <w:t>62,095,275</w:t>
            </w:r>
          </w:p>
        </w:tc>
        <w:tc>
          <w:tcPr>
            <w:tcW w:w="0" w:type="dxa"/>
            <w:vAlign w:val="bottom"/>
          </w:tcPr>
          <w:p>
            <w:pPr>
              <w:spacing w:after="0"/>
              <w:rPr>
                <w:sz w:val="1"/>
                <w:szCs w:val="1"/>
                <w:color w:val="auto"/>
              </w:rPr>
            </w:pPr>
          </w:p>
        </w:tc>
      </w:tr>
      <w:tr>
        <w:trPr>
          <w:trHeight w:val="217"/>
        </w:trPr>
        <w:tc>
          <w:tcPr>
            <w:tcW w:w="55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stockholders, diluted</w:t>
            </w: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6"/>
              </w:rPr>
              <w:t>Net income (loss) attributable to common stockholders per share, basic</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0.01</w:t>
            </w:r>
          </w:p>
        </w:tc>
        <w:tc>
          <w:tcPr>
            <w:tcW w:w="30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(0.01 )</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520" w:type="dxa"/>
            <w:vAlign w:val="bottom"/>
          </w:tcPr>
          <w:p>
            <w:pPr>
              <w:spacing w:after="0" w:line="196" w:lineRule="exact"/>
              <w:rPr>
                <w:sz w:val="20"/>
                <w:szCs w:val="20"/>
                <w:color w:val="auto"/>
              </w:rPr>
            </w:pPr>
            <w:r>
              <w:rPr>
                <w:rFonts w:ascii="Arial" w:cs="Arial" w:eastAsia="Arial" w:hAnsi="Arial"/>
                <w:sz w:val="18"/>
                <w:szCs w:val="18"/>
                <w:color w:val="auto"/>
                <w:w w:val="95"/>
              </w:rPr>
              <w:t>Net income (loss) attributable to common stockholders per share, diluted</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3"/>
              <w:spacing w:after="0" w:line="196" w:lineRule="exact"/>
              <w:rPr>
                <w:sz w:val="20"/>
                <w:szCs w:val="20"/>
                <w:color w:val="auto"/>
              </w:rPr>
            </w:pPr>
            <w:r>
              <w:rPr>
                <w:rFonts w:ascii="Arial" w:cs="Arial" w:eastAsia="Arial" w:hAnsi="Arial"/>
                <w:sz w:val="18"/>
                <w:szCs w:val="18"/>
                <w:color w:val="auto"/>
              </w:rPr>
              <w:t>0.01</w:t>
            </w:r>
          </w:p>
        </w:tc>
        <w:tc>
          <w:tcPr>
            <w:tcW w:w="3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(0.01 )</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-1662430</wp:posOffset>
            </wp:positionV>
            <wp:extent cx="76835" cy="265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-1662430</wp:posOffset>
            </wp:positionV>
            <wp:extent cx="111125" cy="265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125" cy="26543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-1662430</wp:posOffset>
            </wp:positionV>
            <wp:extent cx="68580" cy="265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26543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-471170</wp:posOffset>
            </wp:positionV>
            <wp:extent cx="76835"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-471170</wp:posOffset>
            </wp:positionV>
            <wp:extent cx="111125"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125" cy="14605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-471170</wp:posOffset>
            </wp:positionV>
            <wp:extent cx="68580"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-187960</wp:posOffset>
            </wp:positionV>
            <wp:extent cx="6858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areas</w:t>
      </w:r>
    </w:p>
    <w:p>
      <w:pPr>
        <w:spacing w:after="0" w:line="18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Company sells its products worldwide and attributes revenue to the geography where the product is delivered. The geographical distribution of revenue for the three and nine months ended September 30, 2022 and 2021 was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w w:val="93"/>
              </w:rPr>
              <w:t>Three months ended September 30,</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4"/>
                <w:szCs w:val="14"/>
                <w:b w:val="1"/>
                <w:bCs w:val="1"/>
                <w:color w:val="auto"/>
                <w:w w:val="90"/>
              </w:rPr>
              <w:t>Nine months ended September 30,</w:t>
            </w:r>
          </w:p>
        </w:tc>
        <w:tc>
          <w:tcPr>
            <w:tcW w:w="120" w:type="dxa"/>
            <w:vAlign w:val="bottom"/>
          </w:tcPr>
          <w:p>
            <w:pPr>
              <w:spacing w:after="0"/>
              <w:rPr>
                <w:sz w:val="16"/>
                <w:szCs w:val="16"/>
                <w:color w:val="auto"/>
              </w:rPr>
            </w:pPr>
          </w:p>
        </w:tc>
      </w:tr>
      <w:tr>
        <w:trPr>
          <w:trHeight w:val="169"/>
        </w:trPr>
        <w:tc>
          <w:tcPr>
            <w:tcW w:w="34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210"/>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4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22,811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23,980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67,896</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54,579</w:t>
            </w:r>
          </w:p>
        </w:tc>
        <w:tc>
          <w:tcPr>
            <w:tcW w:w="120" w:type="dxa"/>
            <w:vAlign w:val="bottom"/>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EMEA</w:t>
            </w:r>
          </w:p>
        </w:tc>
        <w:tc>
          <w:tcPr>
            <w:tcW w:w="2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10,301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6,179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27,823</w:t>
            </w:r>
          </w:p>
        </w:tc>
        <w:tc>
          <w:tcPr>
            <w:tcW w:w="300" w:type="dxa"/>
            <w:vAlign w:val="bottom"/>
          </w:tcPr>
          <w:p>
            <w:pPr>
              <w:spacing w:after="0"/>
              <w:rPr>
                <w:sz w:val="18"/>
                <w:szCs w:val="18"/>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23,482</w:t>
            </w:r>
          </w:p>
        </w:tc>
        <w:tc>
          <w:tcPr>
            <w:tcW w:w="120" w:type="dxa"/>
            <w:vAlign w:val="bottom"/>
          </w:tcPr>
          <w:p>
            <w:pPr>
              <w:spacing w:after="0"/>
              <w:rPr>
                <w:sz w:val="18"/>
                <w:szCs w:val="18"/>
                <w:color w:val="auto"/>
              </w:rPr>
            </w:pPr>
          </w:p>
        </w:tc>
      </w:tr>
      <w:tr>
        <w:trPr>
          <w:trHeight w:val="216"/>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APAC</w:t>
            </w:r>
          </w:p>
        </w:tc>
        <w:tc>
          <w:tcPr>
            <w:tcW w:w="2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7,153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2,801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18,306</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9,447</w:t>
            </w:r>
          </w:p>
        </w:tc>
        <w:tc>
          <w:tcPr>
            <w:tcW w:w="120" w:type="dxa"/>
            <w:vAlign w:val="bottom"/>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Other</w:t>
            </w:r>
          </w:p>
        </w:tc>
        <w:tc>
          <w:tcPr>
            <w:tcW w:w="2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1,416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8"/>
                <w:szCs w:val="18"/>
                <w:color w:val="auto"/>
              </w:rPr>
            </w:pPr>
          </w:p>
        </w:tc>
      </w:tr>
      <w:tr>
        <w:trPr>
          <w:trHeight w:val="249"/>
        </w:trPr>
        <w:tc>
          <w:tcPr>
            <w:tcW w:w="3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 net</w:t>
            </w:r>
          </w:p>
        </w:tc>
        <w:tc>
          <w:tcPr>
            <w:tcW w:w="24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40,477</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34,376</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115,700</w:t>
            </w:r>
          </w:p>
        </w:tc>
        <w:tc>
          <w:tcPr>
            <w:tcW w:w="3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89,056</w:t>
            </w:r>
          </w:p>
        </w:tc>
        <w:tc>
          <w:tcPr>
            <w:tcW w:w="120" w:type="dxa"/>
            <w:vAlign w:val="bottom"/>
          </w:tcPr>
          <w:p>
            <w:pPr>
              <w:spacing w:after="0"/>
              <w:rPr>
                <w:sz w:val="21"/>
                <w:szCs w:val="21"/>
                <w:color w:val="auto"/>
              </w:rPr>
            </w:pPr>
          </w:p>
        </w:tc>
      </w:tr>
      <w:tr>
        <w:trPr>
          <w:trHeight w:val="561"/>
        </w:trPr>
        <w:tc>
          <w:tcPr>
            <w:tcW w:w="3420" w:type="dxa"/>
            <w:vAlign w:val="bottom"/>
          </w:tcPr>
          <w:p>
            <w:pPr>
              <w:spacing w:after="0"/>
              <w:rPr>
                <w:sz w:val="24"/>
                <w:szCs w:val="24"/>
                <w:color w:val="auto"/>
              </w:rPr>
            </w:pPr>
          </w:p>
        </w:tc>
        <w:tc>
          <w:tcPr>
            <w:tcW w:w="24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8"/>
        </w:trPr>
        <w:tc>
          <w:tcPr>
            <w:tcW w:w="3420" w:type="dxa"/>
            <w:vAlign w:val="bottom"/>
            <w:tcBorders>
              <w:bottom w:val="single" w:sz="8" w:color="9A9A9A"/>
            </w:tcBorders>
          </w:tcPr>
          <w:p>
            <w:pPr>
              <w:spacing w:after="0"/>
              <w:rPr>
                <w:sz w:val="7"/>
                <w:szCs w:val="7"/>
                <w:color w:val="auto"/>
              </w:rPr>
            </w:pPr>
          </w:p>
        </w:tc>
        <w:tc>
          <w:tcPr>
            <w:tcW w:w="24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-462280</wp:posOffset>
            </wp:positionV>
            <wp:extent cx="93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-445135</wp:posOffset>
            </wp:positionV>
            <wp:extent cx="939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-462280</wp:posOffset>
            </wp:positionV>
            <wp:extent cx="857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-445135</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28</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EMEA includes Europe, the Middle East and Africa; APAC includes Asia and the Pacific countries; Other includes Canada and Latin America.</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and nine months ended September 30, 2022 and 2021, the Company had no major customers.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As of September 30, 2022 and December 31, 2021, the Company’s long-lived assets by geographic area were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ind w:right="417"/>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397"/>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7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9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2021</w:t>
            </w:r>
          </w:p>
        </w:tc>
      </w:tr>
      <w:tr>
        <w:trPr>
          <w:trHeight w:val="210"/>
        </w:trPr>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6,124</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3,801</w:t>
            </w: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APAC</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1,720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2,050</w:t>
            </w:r>
          </w:p>
        </w:tc>
      </w:tr>
      <w:tr>
        <w:trPr>
          <w:trHeight w:val="25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7,844</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5,851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9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September 30, 2022 and December 31, 2021, substantially all of the Company’s long-lived assets were located in the United States and in Wuxi, China.</w:t>
      </w:r>
    </w:p>
    <w:p>
      <w:pPr>
        <w:spacing w:after="0" w:line="112"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324" w:lineRule="exact"/>
        <w:rPr>
          <w:sz w:val="20"/>
          <w:szCs w:val="20"/>
          <w:color w:val="auto"/>
        </w:rPr>
      </w:pPr>
    </w:p>
    <w:p>
      <w:pPr>
        <w:jc w:val="both"/>
        <w:ind w:left="520" w:firstLine="509"/>
        <w:spacing w:after="0" w:line="246" w:lineRule="auto"/>
        <w:rPr>
          <w:sz w:val="20"/>
          <w:szCs w:val="20"/>
          <w:color w:val="auto"/>
        </w:rPr>
      </w:pPr>
      <w:r>
        <w:rPr>
          <w:rFonts w:ascii="Arial" w:cs="Arial" w:eastAsia="Arial" w:hAnsi="Arial"/>
          <w:sz w:val="18"/>
          <w:szCs w:val="18"/>
          <w:color w:val="auto"/>
        </w:rPr>
        <w:t>On May 7, 2022, the Company’s wholly-owned Hong Kong subsidiary (“Cytek HK”) completed an investment of $1.6 million in Tianjin Deep Analysis Intelligent Technology Development Co., Ltd, a company incorporated under the laws of the People’s Republic of China (“DeepCyto”) in consideration for the issuance of Series A preferred shares of DeepCyto, representing an ownership interest of approximately 3.3%. An entity affiliated with Northern Light Venture Capital (“NLVC”) has a significant ownership interest in DeepCyto and has a representative serving on the DeepCyto board of directors. The founding managing partner of NLVC served as a member of the Company’s board of directors until June 1, 2022.</w:t>
      </w:r>
    </w:p>
    <w:p>
      <w:pPr>
        <w:spacing w:after="0" w:line="141"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1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In November 2022, the Company's wholly-owned subsidiary, Cytek Biosciences (Wuxi) Co., Ltd. ("Cytek Wuxi"), entered into an agreement to purchase a building, comprised of approximately 769,800 square feet, in Wuxi, China to expand the operations at the location. The purchase price is approximately $5.8 million. Cytek Wuxi entered into a loan agreement on November 7, 2022, to finance approximately $2.8 million for this purchase. The loan term is 60 months from receiving of principal amount. The loan bears interest at a fixed annual rate of 4.5%.</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29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ind w:left="20" w:firstLine="509"/>
        <w:spacing w:after="0" w:line="24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interim consolidated financial statements and related notes included in this Quarterly Report on Form 10-Q and the audited consolidated financial statements and notes thereto as of and for the year ended December 31, 2021 and the related Management’s Discussion and Analysis of Financial Condition and Results of Operations, both of which are contained in our Annual Report on Form 10-K filed with the Securities and Exchange Commission (the “SEC”) on March 17, 2022. Unless the context requires otherwise, references in this Quarterly Report on Form 10-Q to “we,” “us” and “our” refer to Cytek Biosciences, Inc.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7"/>
          <w:szCs w:val="17"/>
          <w:i w:val="1"/>
          <w:iCs w:val="1"/>
          <w:color w:val="auto"/>
        </w:rPr>
        <w:t>The information in this discussion contains forward-looking statements and information within the meaning of Section 27A of the Securities Act of 1933, as amended, (the Securities Act) and Section 21E of the Securities Exchange Act of 1934, as amended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We are a leading cell analysis solutions company advancing the next generation of cell analysis tools by leveraging novel technical approaches. Our goal is to become the premier cell analysis company through continued innovation that facilitates scientific advances in biomedical research and clinical applications. We believe our core instruments, the Aurora and Northern Lights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 or “FSP”). Our novel approach harnesses the power of information within the entire spectrum of a fluorescent signal to achieve a higher level of multiplexing with exquisite sensitivity. Our patented FSP technology optimizes sensitivity and accuracy through its novel optical and electronic designs that utilize an innovative method of light detection and distribution. Our FSP platform includes instruments, reagents, software and services to provide a comprehensive and integrated suite of solutions for our customers. Since our first U.S. commercial launch in mid-2017, we have sold and deployed over 1,500 instruments—primarily comprised of our Aurora and Northern Lights systems—to customers around the world, including the largest pharmaceutical companies, over 150 biopharma companies, leading academic research centers, and clinical research organizations (“CROs”). In June 2021, we began shipping the Aurora cell sorter (“Aurora CS”), which uses our FSP technology to further broaden our potential applications across cell analysis.</w:t>
      </w:r>
    </w:p>
    <w:p>
      <w:pPr>
        <w:spacing w:after="0" w:line="148"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manufacture our instruments in our facilities in Fremont, California and in Wuxi, China. We have designed our operating model to be capital efficient and to scale efficiently as our product volumes grow.</w:t>
      </w:r>
    </w:p>
    <w:p>
      <w:pPr>
        <w:spacing w:after="0" w:line="14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Our total revenue was $40.5 million and $115.7 million in the three and nine months ended September 30, 2022, respectively, and $34.4 million and $89.1 million in the three and nine months ended September 30, 2021, respectively. The increase was primarily due to continued demand across our full portfolio of product offerings and an increase in the average blended selling price due to product mix.</w:t>
      </w:r>
    </w:p>
    <w:p>
      <w:pPr>
        <w:spacing w:after="0" w:line="134"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To date, we have adopted a direct sales model in North America, Europe, China, and several other countries in the Asia-Pacific region, and sell our products through third-party distributors in certain countries in Europe, Latin America, the Middle East, Africa and the Asia-Pacific region. Revenue from direct sales represented 75% and 82% of total revenue for the three and nine months ended September 30, 2022, respectively, and 90% and 86% for the three and nine months ended September 30, 2021, respectively, and revenue from distributors represented 25% and 18% of total revenue for the three and nine months ended September 30, 2022, respectively, and 10% and 14% for the three and nine months ended September 30, 2021, respectively.</w:t>
      </w:r>
    </w:p>
    <w:p>
      <w:pPr>
        <w:spacing w:after="0" w:line="12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$8.7 million and $25.1 million for the three and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30</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nine months ended September 30, 2022, respectively, and $6.1 million and $17.4 million for the three and nine months ended September 30, 2021, respectively. We intend to continue to make significant investments in research and development in the future.</w:t>
      </w:r>
    </w:p>
    <w:p>
      <w:pPr>
        <w:spacing w:after="0" w:line="116"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7"/>
          <w:szCs w:val="17"/>
          <w:color w:val="auto"/>
        </w:rPr>
        <w:t>We expect to continue to invest in our commercial infrastructure through hiring additional employees with strong scientific and technical backgrounds to support growth in sales of our Aurora, Northern Lights and Aurora CS systems, as well as our planned expansion of reagents offerings and panel design capabilities. We also plan to continue to invest in sales, marketing and business development across the globe to drive commercialization of our products. We incurred sales and marketing expenses of $8.8 million and $24.2 million for the three and nine months ended September 30, 2022, respectively, and $6.6 million and $16.4 million for the three and nine months ended September 30, 2021, respectively.</w:t>
      </w:r>
    </w:p>
    <w:p>
      <w:pPr>
        <w:spacing w:after="0" w:line="14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Since our inception in 2014, we have financed our operations primarily through sales of our securities and revenue from the sale of our products and services.</w:t>
      </w:r>
    </w:p>
    <w:p>
      <w:pPr>
        <w:spacing w:after="0" w:line="14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Our net income was $1.6 million for the three months ended September 30, 2022 and net loss was $1.2 million for the nine months ended September 30, 2022. Our net income was $1.4 million and $4.2 million for the three and nine months ended September 30, 2021, respectively. The change for the three and nine months ended September 30, 2022 compared to the three and nine months ended September 30, 2021 resulted primarily from expenses driven by an increase in headcount and salaries and efforts in research and development and marketing initiatives.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expenses will increase substantially in connection with our ongoing activities, as we:</w:t>
      </w:r>
    </w:p>
    <w:p>
      <w:pPr>
        <w:spacing w:after="0" w:line="104"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invest in processes, commercial infrastructure and supporting functions to scale our business and introduce new products and services;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support our research and development efforts;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to expand geographically;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protect and defend our intellectual property;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strategic investments in complementary businesses, services, products or technologies.</w:t>
      </w:r>
    </w:p>
    <w:p>
      <w:pPr>
        <w:spacing w:after="0" w:line="18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 xml:space="preserve">On November 2, 2021, we completed the acquisition of the reagents business of Tonbo Biotechnologies Corporation as detailed in Note 8, </w:t>
      </w:r>
      <w:r>
        <w:rPr>
          <w:rFonts w:ascii="Arial" w:cs="Arial" w:eastAsia="Arial" w:hAnsi="Arial"/>
          <w:sz w:val="18"/>
          <w:szCs w:val="18"/>
          <w:i w:val="1"/>
          <w:iCs w:val="1"/>
          <w:color w:val="auto"/>
        </w:rPr>
        <w:t xml:space="preserve">Acquisition, </w:t>
      </w:r>
      <w:r>
        <w:rPr>
          <w:rFonts w:ascii="Arial" w:cs="Arial" w:eastAsia="Arial" w:hAnsi="Arial"/>
          <w:sz w:val="18"/>
          <w:szCs w:val="18"/>
          <w:color w:val="auto"/>
        </w:rPr>
        <w:t>to our unaudited interim consolidated financial statements included elsewhere in this Quarterly Report on Form 10-Q. The acquired assets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 portfolio of life science research reagents related to cell preparation, flow cytometry, molecular immunology/polymerase chain reaction and cell culture covering application areas across immunology, apoptosis and immunoprofiling.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 of operations and future performance</w:t>
      </w:r>
    </w:p>
    <w:p>
      <w:pPr>
        <w:spacing w:after="0" w:line="189"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Quarterly Report on Form 10-Q.</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Global customer adoption</w:t>
      </w:r>
    </w:p>
    <w:p>
      <w:pPr>
        <w:spacing w:after="0" w:line="18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As part of this effort, we increased our direct sales force by 34% and 39% in the three and nine months ended September 30, 2022 compared to the three and nine months ended September 30, 2021. We intend to continue increasing our workforce in line with our growth.</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Recurring revenues</w:t>
      </w:r>
    </w:p>
    <w:p>
      <w:pPr>
        <w:spacing w:after="0" w:line="18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We expect recurring revenue on an absolute basis to increase and become an increasingly important contributor to our revenue as our installed base expands.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31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mix and gross margin</w:t>
      </w:r>
    </w:p>
    <w:p>
      <w:pPr>
        <w:spacing w:after="0" w:line="18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7"/>
          <w:szCs w:val="17"/>
          <w:color w:val="auto"/>
        </w:rPr>
        <w:t>Our revenue is primarily derived from sales of our instruments and services with our instruments recognizing higher gross margins than our services. Although we expect sales of our instruments to continue to represent the largest percentage of our revenue in the future, we expect reagent sales to increase as a percentage of our total revenue and our gross margins to experience a corresponding improvement as we grow our installed base and increase our focus on commercializing reagents. We also expect a higher gross margin on our instruments as we increase manufacturing efficiency, instrument reliability and training for personnel using our instruments, which we expect to lead to a reduction in warranty claims. Our sales in certain regions, particularly outside of the United States, are realized through third-party distribution partners that typically receive discounted prices, thus resulting in lower gross margins than those recognized by our direct sales organization. Furthermore, our gross margins and instrument selling prices may fluctuate in the future as we continue to grow our volume of third-party distribution partners in geographies outside of the United States, introduce new products and reduce our production costs as a result of variability in the timing of new product introductions.</w:t>
      </w:r>
    </w:p>
    <w:p>
      <w:pPr>
        <w:spacing w:after="0" w:line="14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the near term, we expect the continued optimization of our manufacturing processes related to our instruments and the expansion of product manufacturing distribution facilities to have the greatest impact on our gross margin. In addition to the impact of competing products entering the market, the future gross margin profiles of our instruments, services and reagents will depend on the outcome of any royalties we are required to pay and the royalty rates and products to which such royalties apply.</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Expansion into new markets</w:t>
      </w:r>
    </w:p>
    <w:p>
      <w:pPr>
        <w:spacing w:after="0" w:line="18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We focus our research and development efforts on the greatest value-additive FSP products to meet the growing and unmet needs of the research and clinical markets. We work closely with researchers and clinicians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KOLs and industry partners. We plan to continue to invest in new product development and enhancements to support our expansion into new markets.</w:t>
      </w:r>
    </w:p>
    <w:p>
      <w:pPr>
        <w:spacing w:after="0" w:line="14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Our Northern Lights system obtained clinical certification in China in 2019 and received CE Marking under the European Union In Vitro Diagnostic Medical Devices Directive in September 2020. With these achievements, our Northern Lights system is available for clinical diagnostic use in hospitals, laboratories, and clinics in China and the European Union.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8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8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Nine months ended September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30,</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Dollar</w:t>
            </w:r>
          </w:p>
        </w:tc>
        <w:tc>
          <w:tcPr>
            <w:tcW w:w="0" w:type="dxa"/>
            <w:vAlign w:val="bottom"/>
          </w:tcPr>
          <w:p>
            <w:pPr>
              <w:spacing w:after="0"/>
              <w:rPr>
                <w:sz w:val="1"/>
                <w:szCs w:val="1"/>
                <w:color w:val="auto"/>
              </w:rPr>
            </w:pPr>
          </w:p>
        </w:tc>
      </w:tr>
      <w:tr>
        <w:trPr>
          <w:trHeight w:val="138"/>
        </w:trPr>
        <w:tc>
          <w:tcPr>
            <w:tcW w:w="4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6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335"/>
              <w:spacing w:after="0"/>
              <w:rPr>
                <w:sz w:val="20"/>
                <w:szCs w:val="20"/>
                <w:color w:val="auto"/>
              </w:rPr>
            </w:pPr>
            <w:r>
              <w:rPr>
                <w:rFonts w:ascii="Arial" w:cs="Arial" w:eastAsia="Arial" w:hAnsi="Arial"/>
                <w:sz w:val="14"/>
                <w:szCs w:val="14"/>
                <w:b w:val="1"/>
                <w:bCs w:val="1"/>
                <w:color w:val="auto"/>
                <w:w w:val="97"/>
              </w:rPr>
              <w:t>Change</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3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6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Sales channel mix</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ind w:left="160"/>
              <w:spacing w:after="0"/>
              <w:rPr>
                <w:sz w:val="20"/>
                <w:szCs w:val="20"/>
                <w:color w:val="auto"/>
              </w:rPr>
            </w:pPr>
            <w:r>
              <w:rPr>
                <w:rFonts w:ascii="Arial" w:cs="Arial" w:eastAsia="Arial" w:hAnsi="Arial"/>
                <w:sz w:val="18"/>
                <w:szCs w:val="18"/>
                <w:color w:val="auto"/>
              </w:rPr>
              <w:t>Direct sales channel</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30,204</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30,841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(637 )</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94,725</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76,406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18,319</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Distributor channel</w:t>
            </w: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10,273</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3,535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8"/>
                <w:szCs w:val="18"/>
                <w:color w:val="auto"/>
              </w:rPr>
              <w:t>6,738</w:t>
            </w: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20,975</w:t>
            </w: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12,650</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09"/>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Total revenue, net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40,477</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34,376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6,101</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115,700</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89,056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26,644</w:t>
            </w:r>
          </w:p>
        </w:tc>
        <w:tc>
          <w:tcPr>
            <w:tcW w:w="0" w:type="dxa"/>
            <w:vAlign w:val="bottom"/>
          </w:tcPr>
          <w:p>
            <w:pPr>
              <w:spacing w:after="0"/>
              <w:rPr>
                <w:sz w:val="1"/>
                <w:szCs w:val="1"/>
                <w:color w:val="auto"/>
              </w:rPr>
            </w:pPr>
          </w:p>
        </w:tc>
      </w:tr>
      <w:tr>
        <w:trPr>
          <w:trHeight w:val="20"/>
        </w:trPr>
        <w:tc>
          <w:tcPr>
            <w:tcW w:w="46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Customer mix</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ind w:left="140"/>
              <w:spacing w:after="0"/>
              <w:rPr>
                <w:sz w:val="20"/>
                <w:szCs w:val="20"/>
                <w:color w:val="auto"/>
              </w:rPr>
            </w:pPr>
            <w:r>
              <w:rPr>
                <w:rFonts w:ascii="Arial" w:cs="Arial" w:eastAsia="Arial" w:hAnsi="Arial"/>
                <w:sz w:val="18"/>
                <w:szCs w:val="18"/>
                <w:color w:val="auto"/>
              </w:rPr>
              <w:t>Academia and government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18,983</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18,593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390</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48,796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42,463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6,333</w:t>
            </w:r>
          </w:p>
        </w:tc>
        <w:tc>
          <w:tcPr>
            <w:tcW w:w="0" w:type="dxa"/>
            <w:vAlign w:val="bottom"/>
          </w:tcPr>
          <w:p>
            <w:pPr>
              <w:spacing w:after="0"/>
              <w:rPr>
                <w:sz w:val="1"/>
                <w:szCs w:val="1"/>
                <w:color w:val="auto"/>
              </w:rPr>
            </w:pPr>
          </w:p>
        </w:tc>
      </w:tr>
      <w:tr>
        <w:trPr>
          <w:trHeight w:val="175"/>
        </w:trPr>
        <w:tc>
          <w:tcPr>
            <w:tcW w:w="4640" w:type="dxa"/>
            <w:vAlign w:val="bottom"/>
            <w:gridSpan w:val="2"/>
            <w:shd w:val="clear" w:color="auto" w:fill="CFF0FC"/>
          </w:tcPr>
          <w:p>
            <w:pPr>
              <w:ind w:left="240"/>
              <w:spacing w:after="0" w:line="175" w:lineRule="exact"/>
              <w:rPr>
                <w:sz w:val="20"/>
                <w:szCs w:val="20"/>
                <w:color w:val="auto"/>
              </w:rPr>
            </w:pPr>
            <w:r>
              <w:rPr>
                <w:rFonts w:ascii="Arial" w:cs="Arial" w:eastAsia="Arial" w:hAnsi="Arial"/>
                <w:sz w:val="18"/>
                <w:szCs w:val="18"/>
                <w:color w:val="auto"/>
              </w:rPr>
              <w:t>Biotechnology, pharmaceutical, distributor and</w:t>
            </w:r>
          </w:p>
        </w:tc>
        <w:tc>
          <w:tcPr>
            <w:tcW w:w="20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21,494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ind w:right="53"/>
              <w:spacing w:after="0"/>
              <w:rPr>
                <w:sz w:val="20"/>
                <w:szCs w:val="20"/>
                <w:color w:val="auto"/>
              </w:rPr>
            </w:pPr>
            <w:r>
              <w:rPr>
                <w:rFonts w:ascii="Arial" w:cs="Arial" w:eastAsia="Arial" w:hAnsi="Arial"/>
                <w:sz w:val="18"/>
                <w:szCs w:val="18"/>
                <w:color w:val="auto"/>
              </w:rPr>
              <w:t>15,783</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ind w:right="135"/>
              <w:spacing w:after="0"/>
              <w:rPr>
                <w:sz w:val="20"/>
                <w:szCs w:val="20"/>
                <w:color w:val="auto"/>
              </w:rPr>
            </w:pPr>
            <w:r>
              <w:rPr>
                <w:rFonts w:ascii="Arial" w:cs="Arial" w:eastAsia="Arial" w:hAnsi="Arial"/>
                <w:sz w:val="18"/>
                <w:szCs w:val="18"/>
                <w:color w:val="auto"/>
              </w:rPr>
              <w:t>5,711</w:t>
            </w:r>
          </w:p>
        </w:tc>
        <w:tc>
          <w:tcPr>
            <w:tcW w:w="180" w:type="dxa"/>
            <w:vAlign w:val="bottom"/>
            <w:shd w:val="clear" w:color="auto" w:fill="CFF0FC"/>
          </w:tcPr>
          <w:p>
            <w:pPr>
              <w:spacing w:after="0"/>
              <w:rPr>
                <w:sz w:val="15"/>
                <w:szCs w:val="15"/>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66,904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ind w:right="33"/>
              <w:spacing w:after="0"/>
              <w:rPr>
                <w:sz w:val="20"/>
                <w:szCs w:val="20"/>
                <w:color w:val="auto"/>
              </w:rPr>
            </w:pPr>
            <w:r>
              <w:rPr>
                <w:rFonts w:ascii="Arial" w:cs="Arial" w:eastAsia="Arial" w:hAnsi="Arial"/>
                <w:sz w:val="18"/>
                <w:szCs w:val="18"/>
                <w:color w:val="auto"/>
              </w:rPr>
              <w:t>46,593</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ind w:right="35"/>
              <w:spacing w:after="0"/>
              <w:rPr>
                <w:sz w:val="20"/>
                <w:szCs w:val="20"/>
                <w:color w:val="auto"/>
              </w:rPr>
            </w:pPr>
            <w:r>
              <w:rPr>
                <w:rFonts w:ascii="Arial" w:cs="Arial" w:eastAsia="Arial" w:hAnsi="Arial"/>
                <w:sz w:val="18"/>
                <w:szCs w:val="18"/>
                <w:color w:val="auto"/>
              </w:rPr>
              <w:t>20,311</w:t>
            </w:r>
          </w:p>
        </w:tc>
        <w:tc>
          <w:tcPr>
            <w:tcW w:w="0" w:type="dxa"/>
            <w:vAlign w:val="bottom"/>
          </w:tcPr>
          <w:p>
            <w:pPr>
              <w:spacing w:after="0"/>
              <w:rPr>
                <w:sz w:val="1"/>
                <w:szCs w:val="1"/>
                <w:color w:val="auto"/>
              </w:rPr>
            </w:pPr>
          </w:p>
        </w:tc>
      </w:tr>
      <w:tr>
        <w:trPr>
          <w:trHeight w:val="217"/>
        </w:trPr>
        <w:tc>
          <w:tcPr>
            <w:tcW w:w="4640" w:type="dxa"/>
            <w:vAlign w:val="bottom"/>
            <w:tcBorders>
              <w:bottom w:val="single" w:sz="8" w:color="CFF0FC"/>
            </w:tcBorders>
            <w:gridSpan w:val="2"/>
            <w:shd w:val="clear" w:color="auto" w:fill="CFF0FC"/>
          </w:tcPr>
          <w:p>
            <w:pPr>
              <w:ind w:left="340"/>
              <w:spacing w:after="0"/>
              <w:rPr>
                <w:sz w:val="20"/>
                <w:szCs w:val="20"/>
                <w:color w:val="auto"/>
              </w:rPr>
            </w:pPr>
            <w:r>
              <w:rPr>
                <w:rFonts w:ascii="Arial" w:cs="Arial" w:eastAsia="Arial" w:hAnsi="Arial"/>
                <w:sz w:val="18"/>
                <w:szCs w:val="18"/>
                <w:color w:val="auto"/>
              </w:rPr>
              <w:t>CRO</w:t>
            </w: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Total revenue, net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40,477</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3"/>
              <w:spacing w:after="0"/>
              <w:rPr>
                <w:sz w:val="20"/>
                <w:szCs w:val="20"/>
                <w:color w:val="auto"/>
              </w:rPr>
            </w:pPr>
            <w:r>
              <w:rPr>
                <w:rFonts w:ascii="Arial" w:cs="Arial" w:eastAsia="Arial" w:hAnsi="Arial"/>
                <w:sz w:val="18"/>
                <w:szCs w:val="18"/>
                <w:color w:val="auto"/>
              </w:rPr>
              <w:t>34,376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6,101</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115,700</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89,056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26,644</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-864870</wp:posOffset>
            </wp:positionV>
            <wp:extent cx="7683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-864870</wp:posOffset>
            </wp:positionV>
            <wp:extent cx="7747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-864870</wp:posOffset>
            </wp:positionV>
            <wp:extent cx="6858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-864870</wp:posOffset>
            </wp:positionV>
            <wp:extent cx="6858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-170815</wp:posOffset>
            </wp:positionV>
            <wp:extent cx="76835"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-170815</wp:posOffset>
            </wp:positionV>
            <wp:extent cx="7747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-170815</wp:posOffset>
            </wp:positionV>
            <wp:extent cx="6858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-170815</wp:posOffset>
            </wp:positionV>
            <wp:extent cx="6858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Distributors typically sell to end customers identified in other customer categories.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sets forth our cumulative instruments shipped as of the dates presented: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5"/>
                <w:szCs w:val="15"/>
                <w:color w:val="auto"/>
              </w:rPr>
            </w:pPr>
          </w:p>
        </w:tc>
        <w:tc>
          <w:tcPr>
            <w:tcW w:w="126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5"/>
                <w:szCs w:val="15"/>
                <w:color w:val="auto"/>
              </w:rPr>
            </w:pPr>
          </w:p>
        </w:tc>
        <w:tc>
          <w:tcPr>
            <w:tcW w:w="1100" w:type="dxa"/>
            <w:vAlign w:val="bottom"/>
          </w:tcPr>
          <w:p>
            <w:pPr>
              <w:jc w:val="center"/>
              <w:ind w:right="19"/>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5"/>
                <w:szCs w:val="15"/>
                <w:color w:val="auto"/>
              </w:rPr>
            </w:pPr>
          </w:p>
        </w:tc>
        <w:tc>
          <w:tcPr>
            <w:tcW w:w="114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3500" w:type="dxa"/>
            <w:vAlign w:val="bottom"/>
          </w:tcPr>
          <w:p>
            <w:pPr>
              <w:spacing w:after="0"/>
              <w:rPr>
                <w:sz w:val="16"/>
                <w:szCs w:val="16"/>
                <w:color w:val="auto"/>
              </w:rPr>
            </w:pPr>
          </w:p>
        </w:tc>
        <w:tc>
          <w:tcPr>
            <w:tcW w:w="388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38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122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2022</w:t>
            </w:r>
          </w:p>
        </w:tc>
        <w:tc>
          <w:tcPr>
            <w:tcW w:w="1260" w:type="dxa"/>
            <w:vAlign w:val="bottom"/>
            <w:gridSpan w:val="2"/>
          </w:tcPr>
          <w:p>
            <w:pPr>
              <w:jc w:val="right"/>
              <w:ind w:right="399"/>
              <w:spacing w:after="0"/>
              <w:rPr>
                <w:sz w:val="20"/>
                <w:szCs w:val="20"/>
                <w:color w:val="auto"/>
              </w:rPr>
            </w:pPr>
            <w:r>
              <w:rPr>
                <w:rFonts w:ascii="Arial" w:cs="Arial" w:eastAsia="Arial" w:hAnsi="Arial"/>
                <w:sz w:val="14"/>
                <w:szCs w:val="14"/>
                <w:b w:val="1"/>
                <w:bCs w:val="1"/>
                <w:color w:val="auto"/>
              </w:rPr>
              <w:t>2021</w:t>
            </w:r>
          </w:p>
        </w:tc>
      </w:tr>
      <w:tr>
        <w:trPr>
          <w:trHeight w:val="210"/>
        </w:trPr>
        <w:tc>
          <w:tcPr>
            <w:tcW w:w="35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Instruments shipped</w:t>
            </w:r>
          </w:p>
        </w:tc>
        <w:tc>
          <w:tcPr>
            <w:tcW w:w="25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1,501</w:t>
            </w:r>
          </w:p>
        </w:tc>
        <w:tc>
          <w:tcPr>
            <w:tcW w:w="12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1,359</w:t>
            </w:r>
          </w:p>
        </w:tc>
        <w:tc>
          <w:tcPr>
            <w:tcW w:w="1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1,226</w:t>
            </w:r>
          </w:p>
        </w:tc>
        <w:tc>
          <w:tcPr>
            <w:tcW w:w="1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1,110</w:t>
            </w:r>
          </w:p>
        </w:tc>
      </w:tr>
      <w:tr>
        <w:trPr>
          <w:trHeight w:val="567"/>
        </w:trPr>
        <w:tc>
          <w:tcPr>
            <w:tcW w:w="3500" w:type="dxa"/>
            <w:vAlign w:val="bottom"/>
          </w:tcPr>
          <w:p>
            <w:pPr>
              <w:spacing w:after="0"/>
              <w:rPr>
                <w:sz w:val="24"/>
                <w:szCs w:val="24"/>
                <w:color w:val="auto"/>
              </w:rPr>
            </w:pPr>
          </w:p>
        </w:tc>
        <w:tc>
          <w:tcPr>
            <w:tcW w:w="2520" w:type="dxa"/>
            <w:vAlign w:val="bottom"/>
          </w:tcPr>
          <w:p>
            <w:pPr>
              <w:jc w:val="right"/>
              <w:ind w:right="219"/>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32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Events and Uncertainties</w:t>
      </w:r>
    </w:p>
    <w:p>
      <w:pPr>
        <w:spacing w:after="0" w:line="108"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color w:val="auto"/>
        </w:rPr>
        <w:t>The global COVID-19 pandemic continues to evolve and we intend to continue to monitor it closely. In response to the COVID-19 pandemic and various resulting government directives, we took proactive measures to protect the health and safety of our employees, contractors, customers and visiting vendors and suppliers, including implementing social distancing and other protective measures, restricting business travel and limiting access to our facilities to vendors, suppliers and partners who are critical to our business operations. We communicate regularly with our suppliers so that our supply chain remains intact, and we have not experienced any material supply issues. We also developed, and continue to develop, remote learning capabilities to help our customers and partners operate and reduce the number of required customer/partner on-site visits for our field application scientists and field support engineers to comply with travel restrictions and country-specific quarantine requirements. While the COVID-19 pandemic has not had a material adverse effect on our business, results of operations or the operation of financial reporting systems, internal control over financial reporting and disclosure controls and procedures, given the considerable uncertainty around the duration and extent of the pandemic, including the resurgence of infections or new strains of the virus, the related financial and operational impact cannot be reasonably estimated. We continue to monitor the implications of the COVID-19 pandemic on our business, as well as our customers’ and suppliers’ business. Potential impacts of the COVID-19 pandemic, some of which we have already experienced, include those described throughout the “Risk Factors” section, including “A pandemic, epidemic or outbreak of an infectious disease in the United States or worldwide could adversely affect our business. The COVID-19 pandemic has had and could continue to have an adverse impact on our business, operations, and the markets and communities in which we, our partners, and customers operate.”</w:t>
      </w:r>
    </w:p>
    <w:p>
      <w:pPr>
        <w:spacing w:after="0" w:line="13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7"/>
          <w:szCs w:val="17"/>
          <w:color w:val="auto"/>
        </w:rPr>
        <w:t>Additionally, the recent trends towards rising inflation may also adversely affect our business and corresponding financial position and cash flows. Inflationary factors, such as increases in the cost of materials and supplies, interest rates and overhead costs may adversely affect our operating results. The general consensus among economists suggests that we should expect a higher recession risk to continue over the next year, which could result in further economic uncertainty and volatility in the capital markets in the near term, and could negatively affect our operations. Although we do not believe that inflation has had a material impact on our financial position or results of operations to date, we may experience increases in the near future (especially if inflation rates continue to rise) on our operating costs, including our labor costs and research and development costs, due to supply chain constraints, consequences associated with COVID-19 and the ongoing conflict between Russia and Ukraine.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revenue, net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currently generate our total revenue, net from product revenue and service revenue.</w:t>
      </w:r>
    </w:p>
    <w:p>
      <w:pPr>
        <w:spacing w:after="0" w:line="185"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i w:val="1"/>
          <w:iCs w:val="1"/>
          <w:color w:val="auto"/>
        </w:rPr>
        <w:t>Product</w:t>
      </w:r>
      <w:r>
        <w:rPr>
          <w:rFonts w:ascii="Arial" w:cs="Arial" w:eastAsia="Arial" w:hAnsi="Arial"/>
          <w:sz w:val="17"/>
          <w:szCs w:val="17"/>
          <w:color w:val="auto"/>
        </w:rPr>
        <w:t>. Our product revenue primarily consists of sales of our instruments, including the Aurora, Northern Lights and Aurora CS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accessories, such as loaders and consumables, such as reagents. We offer multiple versions of our Aurora and Northern Lights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spacing w:after="0" w:line="13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i w:val="1"/>
          <w:iCs w:val="1"/>
          <w:color w:val="auto"/>
        </w:rPr>
        <w:t>Service</w:t>
      </w:r>
      <w:r>
        <w:rPr>
          <w:rFonts w:ascii="Arial" w:cs="Arial" w:eastAsia="Arial" w:hAnsi="Arial"/>
          <w:sz w:val="18"/>
          <w:szCs w:val="18"/>
          <w:color w:val="auto"/>
        </w:rPr>
        <w:t>. Our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134"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6"/>
          <w:szCs w:val="16"/>
          <w:color w:val="auto"/>
        </w:rPr>
        <w:t>We expect our revenue to increase in absolute dollars as we expand our sales organization and sales territories, broaden our customer base, and expand awareness of our products with new and existing customers. Our revenue was $40.5 million and $115.7 million for the three and nine months ended September 30, 2022, respectively, and $34.4 million and $89.1 million for the three and nine months ended September 30, 2021, respectively.</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cost of sales, gross profit and gross margin</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total cost of sales is comprised of product cost of sales and service cost of sales.</w:t>
      </w:r>
    </w:p>
    <w:p>
      <w:pPr>
        <w:spacing w:after="0" w:line="18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i w:val="1"/>
          <w:iCs w:val="1"/>
          <w:color w:val="auto"/>
        </w:rPr>
        <w:t xml:space="preserve">Product. </w:t>
      </w:r>
      <w:r>
        <w:rPr>
          <w:rFonts w:ascii="Arial" w:cs="Arial" w:eastAsia="Arial" w:hAnsi="Arial"/>
          <w:sz w:val="18"/>
          <w:szCs w:val="18"/>
          <w:color w:val="auto"/>
        </w:rPr>
        <w:t>Cost of sales associated with our products primarily consist of manufacturing-related costs incurred in the production process, inventory</w:t>
      </w:r>
      <w:r>
        <w:rPr>
          <w:rFonts w:ascii="Arial" w:cs="Arial" w:eastAsia="Arial" w:hAnsi="Arial"/>
          <w:sz w:val="18"/>
          <w:szCs w:val="18"/>
          <w:i w:val="1"/>
          <w:iCs w:val="1"/>
          <w:color w:val="auto"/>
        </w:rPr>
        <w:t xml:space="preserve"> </w:t>
      </w:r>
      <w:r>
        <w:rPr>
          <w:rFonts w:ascii="Arial" w:cs="Arial" w:eastAsia="Arial" w:hAnsi="Arial"/>
          <w:sz w:val="18"/>
          <w:szCs w:val="18"/>
          <w:color w:val="auto"/>
        </w:rPr>
        <w:t>write-downs, warranty costs, third party royalty costs, personnel and related costs, costs of component materials, overhead, packaging and delivery and depreciation expense.</w:t>
      </w:r>
    </w:p>
    <w:p>
      <w:pPr>
        <w:spacing w:after="0" w:line="15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i w:val="1"/>
          <w:iCs w:val="1"/>
          <w:color w:val="auto"/>
        </w:rPr>
        <w:t>Service</w:t>
      </w:r>
      <w:r>
        <w:rPr>
          <w:rFonts w:ascii="Arial" w:cs="Arial" w:eastAsia="Arial" w:hAnsi="Arial"/>
          <w:sz w:val="18"/>
          <w:szCs w:val="18"/>
          <w:color w:val="auto"/>
        </w:rPr>
        <w:t>. Cost of sales associated with our services primarily consists of personnel and related costs, expenses related to product replacements,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updates and qualification validation of our products and depreciation expense.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33</w:t>
      </w:r>
    </w:p>
    <w:p>
      <w:pPr>
        <w:spacing w:after="0" w:line="10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expect our total cost of sales to increase in absolute dollars in future periods, corresponding to our anticipated growth in revenue and employee headcount to support our manufacturing, operations, field service team and support organizations.</w:t>
      </w:r>
    </w:p>
    <w:p>
      <w:pPr>
        <w:spacing w:after="0" w:line="116"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Our operating expenses are primarily comprised of research and development, sales and marketing, and general and administrative expenses, depreciation and amortization, and related overhead.</w:t>
      </w:r>
    </w:p>
    <w:p>
      <w:pPr>
        <w:spacing w:after="0" w:line="144"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Our research and development expenses primarily consist of salaries, benefits, stock-based compensation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 our research and development department, independent contractor costs, laboratory supplies, equipment maintenance and materials expenses.</w:t>
      </w:r>
    </w:p>
    <w:p>
      <w:pPr>
        <w:spacing w:after="0" w:line="2"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We plan to continue to invest in our research and development efforts, including hiring additional employees to enhance existing products and develop new products. We expect research and development expense will increase in absolute dollars in future periods and vary from period to period as a percentage of revenue due to our continuing investment in product development.</w:t>
      </w:r>
    </w:p>
    <w:p>
      <w:pPr>
        <w:spacing w:after="0" w:line="6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Our sales and marketing expenses consist primarily of salaries, benefits, and stock-based compensation costs for employees in</w:t>
      </w:r>
      <w:r>
        <w:rPr>
          <w:rFonts w:ascii="Arial" w:cs="Arial" w:eastAsia="Arial" w:hAnsi="Arial"/>
          <w:sz w:val="17"/>
          <w:szCs w:val="17"/>
          <w:i w:val="1"/>
          <w:iCs w:val="1"/>
          <w:color w:val="auto"/>
        </w:rPr>
        <w:t xml:space="preserve"> </w:t>
      </w:r>
      <w:r>
        <w:rPr>
          <w:rFonts w:ascii="Arial" w:cs="Arial" w:eastAsia="Arial" w:hAnsi="Arial"/>
          <w:sz w:val="17"/>
          <w:szCs w:val="17"/>
          <w:color w:val="auto"/>
        </w:rPr>
        <w:t>our sales and marketing department, sales commissions, marketing material costs, travel expenses and costs related to trade shows, trainings and various workshops. We expect our sales and marketing expense to increase in absolute dollars as we expand our commercial sales, marketing, and business development teams, increase our presence globally and increase marketing activities to drive awareness and adoption of our platform. While these expenses may vary from period to period as a percentage of revenue, we expect these expenses to increase as a percentage of sales in the short-term as we continue to grow our commercial organization to support anticipated growth of the business.</w:t>
      </w:r>
    </w:p>
    <w:p>
      <w:pPr>
        <w:spacing w:after="0" w:line="79"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primarily consist of salaries, benefits, and stock-based compensation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 our executive, accounting and finance, legal and human resource functions, as well as professional services fees, such as consulting, audit, tax, legal, general corporate costs and allocated overhead expenses. We expect our operating expenses to increase as a public company. In particular, we expect our accounting, legal, personnel-related expenses and directors’ and officers’ insurance costs reported within general and administrative expense to increase as we establish more comprehensive compliance and governance functions, maintain IT costs, review internal controls over financial reporting in accordance with the Sarbanes-Oxley Act and prepare and distribute periodic reports as required by the rules and regulations of the SEC. As a result, our historical results of operations may not be indicative of our results of operations in future periods.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these expenses to vary from period to period as a percentage of revenue.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85"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consists primarily of accretion of the present value of the litigation settlement liability. See Note 10 to our</w:t>
      </w:r>
      <w:r>
        <w:rPr>
          <w:rFonts w:ascii="Arial" w:cs="Arial" w:eastAsia="Arial" w:hAnsi="Arial"/>
          <w:sz w:val="16"/>
          <w:szCs w:val="16"/>
          <w:i w:val="1"/>
          <w:iCs w:val="1"/>
          <w:color w:val="auto"/>
        </w:rPr>
        <w:t xml:space="preserve"> </w:t>
      </w:r>
      <w:r>
        <w:rPr>
          <w:rFonts w:ascii="Arial" w:cs="Arial" w:eastAsia="Arial" w:hAnsi="Arial"/>
          <w:sz w:val="16"/>
          <w:szCs w:val="16"/>
          <w:color w:val="auto"/>
        </w:rPr>
        <w:t>unaudited interim consolidated financial statements included elsewhere in this Quarterly Report on Form 10-Q for further details regarding the settlement.</w:t>
      </w:r>
    </w:p>
    <w:p>
      <w:pPr>
        <w:spacing w:after="0" w:line="3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Our interest income consists primarily of interest earned on our cash and cash equivalents which are invested in cash deposits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 money market funds.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Our other expense, net consists primarily of foreign exchange gains and losses.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Our provision for (benefit from) income taxes consists primarily of provision for federal taxes and local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34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2022 and 2021</w:t>
      </w:r>
    </w:p>
    <w:p>
      <w:pPr>
        <w:spacing w:after="0" w:line="185" w:lineRule="exact"/>
        <w:rPr>
          <w:sz w:val="20"/>
          <w:szCs w:val="20"/>
          <w:color w:val="auto"/>
        </w:rPr>
      </w:pPr>
    </w:p>
    <w:p>
      <w:pPr>
        <w:jc w:val="both"/>
        <w:ind w:right="80" w:firstLine="509"/>
        <w:spacing w:after="0" w:line="261" w:lineRule="auto"/>
        <w:rPr>
          <w:sz w:val="20"/>
          <w:szCs w:val="20"/>
          <w:color w:val="auto"/>
        </w:rPr>
      </w:pPr>
      <w:r>
        <w:rPr>
          <w:rFonts w:ascii="Arial" w:cs="Arial" w:eastAsia="Arial" w:hAnsi="Arial"/>
          <w:sz w:val="18"/>
          <w:szCs w:val="18"/>
          <w:color w:val="auto"/>
        </w:rPr>
        <w:t>The results of operations presented below should be reviewed in conjunction with the unaudited interim consolidated financial statements and related notes included elsewhere in this Quarterly Report on Form 10-Q.</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our interim consolidated results of operations and comprehensive income (loss) data for the periods presented: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w w:val="94"/>
              </w:rPr>
              <w:t>Three months ended September 30,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69"/>
        </w:trPr>
        <w:tc>
          <w:tcPr>
            <w:tcW w:w="3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Revenue, net:</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Product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36,389</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32,191</w:t>
            </w:r>
          </w:p>
        </w:tc>
        <w:tc>
          <w:tcPr>
            <w:tcW w:w="8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88"/>
              <w:spacing w:after="0"/>
              <w:rPr>
                <w:sz w:val="20"/>
                <w:szCs w:val="20"/>
                <w:color w:val="auto"/>
              </w:rPr>
            </w:pPr>
            <w:r>
              <w:rPr>
                <w:rFonts w:ascii="Arial" w:cs="Arial" w:eastAsia="Arial" w:hAnsi="Arial"/>
                <w:sz w:val="18"/>
                <w:szCs w:val="18"/>
                <w:color w:val="auto"/>
              </w:rPr>
              <w:t>104,963</w:t>
            </w:r>
          </w:p>
        </w:tc>
        <w:tc>
          <w:tcPr>
            <w:tcW w:w="3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83,567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Service</w:t>
            </w:r>
          </w:p>
        </w:tc>
        <w:tc>
          <w:tcPr>
            <w:tcW w:w="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4,088</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w:t>
            </w:r>
          </w:p>
        </w:tc>
        <w:tc>
          <w:tcPr>
            <w:tcW w:w="8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3"/>
            <w:shd w:val="clear" w:color="auto" w:fill="CFF0FC"/>
          </w:tcPr>
          <w:p>
            <w:pPr>
              <w:jc w:val="right"/>
              <w:ind w:right="88"/>
              <w:spacing w:after="0"/>
              <w:rPr>
                <w:sz w:val="20"/>
                <w:szCs w:val="20"/>
                <w:color w:val="auto"/>
              </w:rPr>
            </w:pPr>
            <w:r>
              <w:rPr>
                <w:rFonts w:ascii="Arial" w:cs="Arial" w:eastAsia="Arial" w:hAnsi="Arial"/>
                <w:sz w:val="18"/>
                <w:szCs w:val="18"/>
                <w:color w:val="auto"/>
                <w:w w:val="87"/>
              </w:rPr>
              <w:t>10,737</w:t>
            </w:r>
          </w:p>
        </w:tc>
        <w:tc>
          <w:tcPr>
            <w:tcW w:w="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Total revenue, net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90"/>
              </w:rPr>
              <w:t>40,477</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34,376</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8"/>
                <w:szCs w:val="18"/>
                <w:color w:val="auto"/>
              </w:rPr>
              <w:t>115,700</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89,056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Product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10,606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3"/>
          </w:tcPr>
          <w:p>
            <w:pPr>
              <w:jc w:val="right"/>
              <w:ind w:right="88"/>
              <w:spacing w:after="0"/>
              <w:rPr>
                <w:sz w:val="20"/>
                <w:szCs w:val="20"/>
                <w:color w:val="auto"/>
              </w:rPr>
            </w:pPr>
            <w:r>
              <w:rPr>
                <w:rFonts w:ascii="Arial" w:cs="Arial" w:eastAsia="Arial" w:hAnsi="Arial"/>
                <w:sz w:val="18"/>
                <w:szCs w:val="18"/>
                <w:color w:val="auto"/>
                <w:w w:val="87"/>
              </w:rPr>
              <w:t>34,153</w:t>
            </w:r>
          </w:p>
        </w:tc>
        <w:tc>
          <w:tcPr>
            <w:tcW w:w="3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Service</w:t>
            </w:r>
          </w:p>
        </w:tc>
        <w:tc>
          <w:tcPr>
            <w:tcW w:w="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3,009</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3,075</w:t>
            </w:r>
          </w:p>
        </w:tc>
        <w:tc>
          <w:tcPr>
            <w:tcW w:w="8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3"/>
            <w:shd w:val="clear" w:color="auto" w:fill="CFF0FC"/>
          </w:tcPr>
          <w:p>
            <w:pPr>
              <w:jc w:val="right"/>
              <w:ind w:right="88"/>
              <w:spacing w:after="0"/>
              <w:rPr>
                <w:sz w:val="20"/>
                <w:szCs w:val="20"/>
                <w:color w:val="auto"/>
              </w:rPr>
            </w:pPr>
            <w:r>
              <w:rPr>
                <w:rFonts w:ascii="Arial" w:cs="Arial" w:eastAsia="Arial" w:hAnsi="Arial"/>
                <w:sz w:val="18"/>
                <w:szCs w:val="18"/>
                <w:color w:val="auto"/>
              </w:rPr>
              <w:t>9,947</w:t>
            </w:r>
          </w:p>
        </w:tc>
        <w:tc>
          <w:tcPr>
            <w:tcW w:w="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Total cost of sales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90"/>
              </w:rPr>
              <w:t>13,615</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13,099</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8"/>
                <w:szCs w:val="18"/>
                <w:color w:val="auto"/>
                <w:w w:val="87"/>
              </w:rPr>
              <w:t>44,100</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33,548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w w:val="90"/>
              </w:rPr>
              <w:t>26,862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21,277</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w w:val="87"/>
              </w:rPr>
              <w:t>71,600</w:t>
            </w:r>
          </w:p>
        </w:tc>
        <w:tc>
          <w:tcPr>
            <w:tcW w:w="3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55,508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8,650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6,078</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w w:val="87"/>
              </w:rPr>
              <w:t>25,111</w:t>
            </w:r>
          </w:p>
        </w:tc>
        <w:tc>
          <w:tcPr>
            <w:tcW w:w="3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17,366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8,810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6,553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3"/>
          </w:tcPr>
          <w:p>
            <w:pPr>
              <w:jc w:val="right"/>
              <w:ind w:right="88"/>
              <w:spacing w:after="0"/>
              <w:rPr>
                <w:sz w:val="20"/>
                <w:szCs w:val="20"/>
                <w:color w:val="auto"/>
              </w:rPr>
            </w:pPr>
            <w:r>
              <w:rPr>
                <w:rFonts w:ascii="Arial" w:cs="Arial" w:eastAsia="Arial" w:hAnsi="Arial"/>
                <w:sz w:val="18"/>
                <w:szCs w:val="18"/>
                <w:color w:val="auto"/>
                <w:w w:val="87"/>
              </w:rPr>
              <w:t>24,201</w:t>
            </w:r>
          </w:p>
        </w:tc>
        <w:tc>
          <w:tcPr>
            <w:tcW w:w="3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16,406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8,042</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5,749</w:t>
            </w:r>
          </w:p>
        </w:tc>
        <w:tc>
          <w:tcPr>
            <w:tcW w:w="8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3"/>
            <w:shd w:val="clear" w:color="auto" w:fill="CFF0FC"/>
          </w:tcPr>
          <w:p>
            <w:pPr>
              <w:jc w:val="right"/>
              <w:ind w:right="88"/>
              <w:spacing w:after="0"/>
              <w:rPr>
                <w:sz w:val="20"/>
                <w:szCs w:val="20"/>
                <w:color w:val="auto"/>
              </w:rPr>
            </w:pPr>
            <w:r>
              <w:rPr>
                <w:rFonts w:ascii="Arial" w:cs="Arial" w:eastAsia="Arial" w:hAnsi="Arial"/>
                <w:sz w:val="18"/>
                <w:szCs w:val="18"/>
                <w:color w:val="auto"/>
                <w:w w:val="87"/>
              </w:rPr>
              <w:t>24,176</w:t>
            </w:r>
          </w:p>
        </w:tc>
        <w:tc>
          <w:tcPr>
            <w:tcW w:w="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13,896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w w:val="90"/>
              </w:rPr>
              <w:t>25,502</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18,380</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8"/>
                <w:szCs w:val="18"/>
                <w:color w:val="auto"/>
                <w:w w:val="87"/>
              </w:rPr>
              <w:t>73,488</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47,668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1,360</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2,897</w:t>
            </w: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w w:val="90"/>
              </w:rPr>
              <w:t>(1,888 )</w:t>
            </w:r>
          </w:p>
        </w:tc>
        <w:tc>
          <w:tcPr>
            <w:tcW w:w="3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7,840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(649 )</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(441 )</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6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w w:val="90"/>
              </w:rPr>
              <w:t>(1,886 )</w:t>
            </w:r>
          </w:p>
        </w:tc>
        <w:tc>
          <w:tcPr>
            <w:tcW w:w="3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(1,249 )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1,584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gridSpan w:val="3"/>
          </w:tcPr>
          <w:p>
            <w:pPr>
              <w:jc w:val="right"/>
              <w:ind w:right="88"/>
              <w:spacing w:after="0"/>
              <w:rPr>
                <w:sz w:val="20"/>
                <w:szCs w:val="20"/>
                <w:color w:val="auto"/>
              </w:rPr>
            </w:pPr>
            <w:r>
              <w:rPr>
                <w:rFonts w:ascii="Arial" w:cs="Arial" w:eastAsia="Arial" w:hAnsi="Arial"/>
                <w:sz w:val="18"/>
                <w:szCs w:val="18"/>
                <w:color w:val="auto"/>
              </w:rPr>
              <w:t>1,993</w:t>
            </w:r>
          </w:p>
        </w:tc>
        <w:tc>
          <w:tcPr>
            <w:tcW w:w="3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Other expense, net</w:t>
            </w:r>
          </w:p>
        </w:tc>
        <w:tc>
          <w:tcPr>
            <w:tcW w:w="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(445 )</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(393 )</w:t>
            </w: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3"/>
            <w:shd w:val="clear" w:color="auto" w:fill="CFF0FC"/>
          </w:tcPr>
          <w:p>
            <w:pPr>
              <w:jc w:val="right"/>
              <w:ind w:right="8"/>
              <w:spacing w:after="0"/>
              <w:rPr>
                <w:sz w:val="20"/>
                <w:szCs w:val="20"/>
                <w:color w:val="auto"/>
              </w:rPr>
            </w:pPr>
            <w:r>
              <w:rPr>
                <w:rFonts w:ascii="Arial" w:cs="Arial" w:eastAsia="Arial" w:hAnsi="Arial"/>
                <w:sz w:val="18"/>
                <w:szCs w:val="18"/>
                <w:color w:val="auto"/>
                <w:w w:val="90"/>
              </w:rPr>
              <w:t>(1,073 )</w:t>
            </w:r>
          </w:p>
        </w:tc>
        <w:tc>
          <w:tcPr>
            <w:tcW w:w="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(1,128 )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1,850</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8"/>
                <w:szCs w:val="18"/>
                <w:color w:val="auto"/>
                <w:w w:val="90"/>
              </w:rPr>
              <w:t>(2,854 )</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224</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8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3"/>
            <w:shd w:val="clear" w:color="auto" w:fill="CFF0FC"/>
          </w:tcPr>
          <w:p>
            <w:pPr>
              <w:jc w:val="right"/>
              <w:ind w:right="8"/>
              <w:spacing w:after="0"/>
              <w:rPr>
                <w:sz w:val="20"/>
                <w:szCs w:val="20"/>
                <w:color w:val="auto"/>
              </w:rPr>
            </w:pPr>
            <w:r>
              <w:rPr>
                <w:rFonts w:ascii="Arial" w:cs="Arial" w:eastAsia="Arial" w:hAnsi="Arial"/>
                <w:sz w:val="18"/>
                <w:szCs w:val="18"/>
                <w:color w:val="auto"/>
                <w:w w:val="90"/>
              </w:rPr>
              <w:t>(1,620 )</w:t>
            </w:r>
          </w:p>
        </w:tc>
        <w:tc>
          <w:tcPr>
            <w:tcW w:w="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gridSpan w:val="2"/>
          </w:tcPr>
          <w:p>
            <w:pPr>
              <w:ind w:left="12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1,626</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1,420</w:t>
            </w:r>
          </w:p>
        </w:tc>
        <w:tc>
          <w:tcPr>
            <w:tcW w:w="8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60" w:type="dxa"/>
            <w:vAlign w:val="bottom"/>
            <w:gridSpan w:val="3"/>
          </w:tcPr>
          <w:p>
            <w:pPr>
              <w:jc w:val="right"/>
              <w:ind w:right="8"/>
              <w:spacing w:after="0"/>
              <w:rPr>
                <w:sz w:val="20"/>
                <w:szCs w:val="20"/>
                <w:color w:val="auto"/>
              </w:rPr>
            </w:pPr>
            <w:r>
              <w:rPr>
                <w:rFonts w:ascii="Arial" w:cs="Arial" w:eastAsia="Arial" w:hAnsi="Arial"/>
                <w:sz w:val="18"/>
                <w:szCs w:val="18"/>
                <w:color w:val="auto"/>
                <w:w w:val="90"/>
              </w:rPr>
              <w:t>(1,234 )</w:t>
            </w:r>
          </w:p>
        </w:tc>
        <w:tc>
          <w:tcPr>
            <w:tcW w:w="3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w w:val="96"/>
              </w:rPr>
              <w:t>Foreign currency translation adjustment, net of tax</w:t>
            </w:r>
          </w:p>
        </w:tc>
        <w:tc>
          <w:tcPr>
            <w:tcW w:w="1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(758 )</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3"/>
            <w:shd w:val="clear" w:color="auto" w:fill="CFF0FC"/>
          </w:tcPr>
          <w:p>
            <w:pPr>
              <w:jc w:val="right"/>
              <w:ind w:right="8"/>
              <w:spacing w:after="0"/>
              <w:rPr>
                <w:sz w:val="20"/>
                <w:szCs w:val="20"/>
                <w:color w:val="auto"/>
              </w:rPr>
            </w:pPr>
            <w:r>
              <w:rPr>
                <w:rFonts w:ascii="Arial" w:cs="Arial" w:eastAsia="Arial" w:hAnsi="Arial"/>
                <w:sz w:val="18"/>
                <w:szCs w:val="18"/>
                <w:color w:val="auto"/>
                <w:w w:val="90"/>
              </w:rPr>
              <w:t>(1,427 )</w:t>
            </w:r>
          </w:p>
        </w:tc>
        <w:tc>
          <w:tcPr>
            <w:tcW w:w="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gridSpan w:val="2"/>
          </w:tcPr>
          <w:p>
            <w:pPr>
              <w:ind w:left="120"/>
              <w:spacing w:after="0"/>
              <w:rPr>
                <w:sz w:val="20"/>
                <w:szCs w:val="20"/>
                <w:color w:val="auto"/>
              </w:rPr>
            </w:pPr>
            <w:r>
              <w:rPr>
                <w:rFonts w:ascii="Arial" w:cs="Arial" w:eastAsia="Arial" w:hAnsi="Arial"/>
                <w:sz w:val="18"/>
                <w:szCs w:val="18"/>
                <w:color w:val="auto"/>
              </w:rPr>
              <w:t>Net comprehensive income (loss)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868</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1,454</w:t>
            </w:r>
          </w:p>
        </w:tc>
        <w:tc>
          <w:tcPr>
            <w:tcW w:w="8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660" w:type="dxa"/>
            <w:vAlign w:val="bottom"/>
            <w:gridSpan w:val="3"/>
          </w:tcPr>
          <w:p>
            <w:pPr>
              <w:jc w:val="right"/>
              <w:ind w:right="8"/>
              <w:spacing w:after="0"/>
              <w:rPr>
                <w:sz w:val="20"/>
                <w:szCs w:val="20"/>
                <w:color w:val="auto"/>
              </w:rPr>
            </w:pPr>
            <w:r>
              <w:rPr>
                <w:rFonts w:ascii="Arial" w:cs="Arial" w:eastAsia="Arial" w:hAnsi="Arial"/>
                <w:sz w:val="18"/>
                <w:szCs w:val="18"/>
                <w:color w:val="auto"/>
                <w:w w:val="90"/>
              </w:rPr>
              <w:t>(2,661 )</w:t>
            </w:r>
          </w:p>
        </w:tc>
        <w:tc>
          <w:tcPr>
            <w:tcW w:w="32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ind w:left="560"/>
              <w:spacing w:after="0"/>
              <w:rPr>
                <w:sz w:val="20"/>
                <w:szCs w:val="20"/>
                <w:color w:val="auto"/>
              </w:rPr>
            </w:pPr>
            <w:r>
              <w:rPr>
                <w:rFonts w:ascii="Arial" w:cs="Arial" w:eastAsia="Arial" w:hAnsi="Arial"/>
                <w:sz w:val="18"/>
                <w:szCs w:val="18"/>
                <w:b w:val="1"/>
                <w:bCs w:val="1"/>
                <w:i w:val="1"/>
                <w:iCs w:val="1"/>
                <w:color w:val="auto"/>
              </w:rPr>
              <w:t>Total revenue, net</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6"/>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6"/>
          </w:tcPr>
          <w:p>
            <w:pPr>
              <w:jc w:val="right"/>
              <w:ind w:right="299"/>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6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ind w:left="24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83"/>
              </w:rPr>
              <w:t>2021</w:t>
            </w:r>
          </w:p>
        </w:tc>
        <w:tc>
          <w:tcPr>
            <w:tcW w:w="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top w:val="single" w:sz="8" w:color="auto"/>
            </w:tcBorders>
            <w:gridSpan w:val="2"/>
          </w:tcPr>
          <w:p>
            <w:pPr>
              <w:jc w:val="right"/>
              <w:ind w:right="95"/>
              <w:spacing w:after="0"/>
              <w:rPr>
                <w:sz w:val="20"/>
                <w:szCs w:val="20"/>
                <w:color w:val="auto"/>
              </w:rPr>
            </w:pPr>
            <w:r>
              <w:rPr>
                <w:rFonts w:ascii="Arial" w:cs="Arial" w:eastAsia="Arial" w:hAnsi="Arial"/>
                <w:sz w:val="14"/>
                <w:szCs w:val="14"/>
                <w:b w:val="1"/>
                <w:bCs w:val="1"/>
                <w:color w:val="auto"/>
              </w:rPr>
              <w:t>Amount</w:t>
            </w:r>
          </w:p>
        </w:tc>
        <w:tc>
          <w:tcPr>
            <w:tcW w:w="9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Revenue, net</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Product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9"/>
              <w:spacing w:after="0"/>
              <w:rPr>
                <w:sz w:val="20"/>
                <w:szCs w:val="20"/>
                <w:color w:val="auto"/>
              </w:rPr>
            </w:pPr>
            <w:r>
              <w:rPr>
                <w:rFonts w:ascii="Arial" w:cs="Arial" w:eastAsia="Arial" w:hAnsi="Arial"/>
                <w:sz w:val="18"/>
                <w:szCs w:val="18"/>
                <w:color w:val="auto"/>
                <w:w w:val="94"/>
              </w:rPr>
              <w:t>36,389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55"/>
              <w:spacing w:after="0"/>
              <w:rPr>
                <w:sz w:val="20"/>
                <w:szCs w:val="20"/>
                <w:color w:val="auto"/>
              </w:rPr>
            </w:pPr>
            <w:r>
              <w:rPr>
                <w:rFonts w:ascii="Arial" w:cs="Arial" w:eastAsia="Arial" w:hAnsi="Arial"/>
                <w:sz w:val="18"/>
                <w:szCs w:val="18"/>
                <w:color w:val="auto"/>
                <w:w w:val="98"/>
              </w:rPr>
              <w:t>32,191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4,198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4"/>
          </w:tcPr>
          <w:p>
            <w:pPr>
              <w:jc w:val="right"/>
              <w:ind w:right="33"/>
              <w:spacing w:after="0"/>
              <w:rPr>
                <w:sz w:val="20"/>
                <w:szCs w:val="20"/>
                <w:color w:val="auto"/>
              </w:rPr>
            </w:pPr>
            <w:r>
              <w:rPr>
                <w:rFonts w:ascii="Arial" w:cs="Arial" w:eastAsia="Arial" w:hAnsi="Arial"/>
                <w:sz w:val="18"/>
                <w:szCs w:val="18"/>
                <w:color w:val="auto"/>
                <w:w w:val="96"/>
              </w:rPr>
              <w:t>13 % $ 104,963</w:t>
            </w:r>
          </w:p>
        </w:tc>
        <w:tc>
          <w:tcPr>
            <w:tcW w:w="8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99"/>
              </w:rPr>
              <w:t>$ 83,567</w:t>
            </w:r>
          </w:p>
        </w:tc>
        <w:tc>
          <w:tcPr>
            <w:tcW w:w="980" w:type="dxa"/>
            <w:vAlign w:val="bottom"/>
            <w:gridSpan w:val="4"/>
          </w:tcPr>
          <w:p>
            <w:pPr>
              <w:jc w:val="right"/>
              <w:ind w:right="35"/>
              <w:spacing w:after="0"/>
              <w:rPr>
                <w:sz w:val="20"/>
                <w:szCs w:val="20"/>
                <w:color w:val="auto"/>
              </w:rPr>
            </w:pPr>
            <w:r>
              <w:rPr>
                <w:rFonts w:ascii="Arial" w:cs="Arial" w:eastAsia="Arial" w:hAnsi="Arial"/>
                <w:sz w:val="18"/>
                <w:szCs w:val="18"/>
                <w:color w:val="auto"/>
              </w:rPr>
              <w:t>$ 21,396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16"/>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Service</w:t>
            </w:r>
          </w:p>
        </w:tc>
        <w:tc>
          <w:tcPr>
            <w:tcW w:w="140" w:type="dxa"/>
            <w:vAlign w:val="bottom"/>
          </w:tcPr>
          <w:p>
            <w:pPr>
              <w:spacing w:after="0"/>
              <w:rPr>
                <w:sz w:val="18"/>
                <w:szCs w:val="18"/>
                <w:color w:val="auto"/>
              </w:rPr>
            </w:pPr>
          </w:p>
        </w:tc>
        <w:tc>
          <w:tcPr>
            <w:tcW w:w="680" w:type="dxa"/>
            <w:vAlign w:val="bottom"/>
          </w:tcPr>
          <w:p>
            <w:pPr>
              <w:jc w:val="right"/>
              <w:ind w:right="59"/>
              <w:spacing w:after="0"/>
              <w:rPr>
                <w:sz w:val="20"/>
                <w:szCs w:val="20"/>
                <w:color w:val="auto"/>
              </w:rPr>
            </w:pPr>
            <w:r>
              <w:rPr>
                <w:rFonts w:ascii="Arial" w:cs="Arial" w:eastAsia="Arial" w:hAnsi="Arial"/>
                <w:sz w:val="18"/>
                <w:szCs w:val="18"/>
                <w:color w:val="auto"/>
              </w:rPr>
              <w:t>4,088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55"/>
              <w:spacing w:after="0"/>
              <w:rPr>
                <w:sz w:val="20"/>
                <w:szCs w:val="20"/>
                <w:color w:val="auto"/>
              </w:rPr>
            </w:pPr>
            <w:r>
              <w:rPr>
                <w:rFonts w:ascii="Arial" w:cs="Arial" w:eastAsia="Arial" w:hAnsi="Arial"/>
                <w:sz w:val="18"/>
                <w:szCs w:val="18"/>
                <w:color w:val="auto"/>
              </w:rPr>
              <w:t>2,185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1,903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rPr>
              <w:t>87 %</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10,737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5,489</w:t>
            </w:r>
          </w:p>
        </w:tc>
        <w:tc>
          <w:tcPr>
            <w:tcW w:w="980" w:type="dxa"/>
            <w:vAlign w:val="bottom"/>
            <w:gridSpan w:val="4"/>
          </w:tcPr>
          <w:p>
            <w:pPr>
              <w:jc w:val="right"/>
              <w:ind w:right="35"/>
              <w:spacing w:after="0"/>
              <w:rPr>
                <w:sz w:val="20"/>
                <w:szCs w:val="20"/>
                <w:color w:val="auto"/>
              </w:rPr>
            </w:pPr>
            <w:r>
              <w:rPr>
                <w:rFonts w:ascii="Arial" w:cs="Arial" w:eastAsia="Arial" w:hAnsi="Arial"/>
                <w:sz w:val="18"/>
                <w:szCs w:val="18"/>
                <w:color w:val="auto"/>
              </w:rPr>
              <w:t>5,248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20"/>
              <w:spacing w:after="0"/>
              <w:rPr>
                <w:sz w:val="20"/>
                <w:szCs w:val="20"/>
                <w:color w:val="auto"/>
              </w:rPr>
            </w:pPr>
            <w:r>
              <w:rPr>
                <w:rFonts w:ascii="Arial" w:cs="Arial" w:eastAsia="Arial" w:hAnsi="Arial"/>
                <w:sz w:val="18"/>
                <w:szCs w:val="18"/>
                <w:color w:val="auto"/>
              </w:rPr>
              <w:t>Total revenue, net</w:t>
            </w:r>
          </w:p>
        </w:tc>
        <w:tc>
          <w:tcPr>
            <w:tcW w:w="1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59"/>
              <w:spacing w:after="0"/>
              <w:rPr>
                <w:sz w:val="20"/>
                <w:szCs w:val="20"/>
                <w:color w:val="auto"/>
              </w:rPr>
            </w:pPr>
            <w:r>
              <w:rPr>
                <w:rFonts w:ascii="Arial" w:cs="Arial" w:eastAsia="Arial" w:hAnsi="Arial"/>
                <w:sz w:val="18"/>
                <w:szCs w:val="18"/>
                <w:color w:val="auto"/>
                <w:w w:val="94"/>
              </w:rPr>
              <w:t>40,477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5"/>
              <w:spacing w:after="0"/>
              <w:rPr>
                <w:sz w:val="20"/>
                <w:szCs w:val="20"/>
                <w:color w:val="auto"/>
              </w:rPr>
            </w:pPr>
            <w:r>
              <w:rPr>
                <w:rFonts w:ascii="Arial" w:cs="Arial" w:eastAsia="Arial" w:hAnsi="Arial"/>
                <w:sz w:val="18"/>
                <w:szCs w:val="18"/>
                <w:color w:val="auto"/>
                <w:w w:val="98"/>
              </w:rPr>
              <w:t>34,376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6,101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gridSpan w:val="4"/>
          </w:tcPr>
          <w:p>
            <w:pPr>
              <w:jc w:val="right"/>
              <w:ind w:right="33"/>
              <w:spacing w:after="0"/>
              <w:rPr>
                <w:sz w:val="20"/>
                <w:szCs w:val="20"/>
                <w:color w:val="auto"/>
              </w:rPr>
            </w:pPr>
            <w:r>
              <w:rPr>
                <w:rFonts w:ascii="Arial" w:cs="Arial" w:eastAsia="Arial" w:hAnsi="Arial"/>
                <w:sz w:val="18"/>
                <w:szCs w:val="18"/>
                <w:color w:val="auto"/>
                <w:w w:val="96"/>
              </w:rPr>
              <w:t>18 % $ 115,700</w:t>
            </w:r>
          </w:p>
        </w:tc>
        <w:tc>
          <w:tcPr>
            <w:tcW w:w="8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99"/>
              </w:rPr>
              <w:t>$ 89,056</w:t>
            </w:r>
          </w:p>
        </w:tc>
        <w:tc>
          <w:tcPr>
            <w:tcW w:w="980" w:type="dxa"/>
            <w:vAlign w:val="bottom"/>
            <w:gridSpan w:val="4"/>
          </w:tcPr>
          <w:p>
            <w:pPr>
              <w:jc w:val="right"/>
              <w:ind w:right="35"/>
              <w:spacing w:after="0"/>
              <w:rPr>
                <w:sz w:val="20"/>
                <w:szCs w:val="20"/>
                <w:color w:val="auto"/>
              </w:rPr>
            </w:pPr>
            <w:r>
              <w:rPr>
                <w:rFonts w:ascii="Arial" w:cs="Arial" w:eastAsia="Arial" w:hAnsi="Arial"/>
                <w:sz w:val="18"/>
                <w:szCs w:val="18"/>
                <w:color w:val="auto"/>
              </w:rPr>
              <w:t>$ 26,644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
        </w:trPr>
        <w:tc>
          <w:tcPr>
            <w:tcW w:w="3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-4293870</wp:posOffset>
            </wp:positionV>
            <wp:extent cx="93980" cy="1543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-4293870</wp:posOffset>
            </wp:positionV>
            <wp:extent cx="85725"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-3728085</wp:posOffset>
            </wp:positionV>
            <wp:extent cx="9398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-3728085</wp:posOffset>
            </wp:positionV>
            <wp:extent cx="85725"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-2888615</wp:posOffset>
            </wp:positionV>
            <wp:extent cx="9398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-2888615</wp:posOffset>
            </wp:positionV>
            <wp:extent cx="85725"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-2047875</wp:posOffset>
            </wp:positionV>
            <wp:extent cx="9398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-2047875</wp:posOffset>
            </wp:positionV>
            <wp:extent cx="85725"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-1757045</wp:posOffset>
            </wp:positionV>
            <wp:extent cx="93980"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3980" cy="14605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-1757045</wp:posOffset>
            </wp:positionV>
            <wp:extent cx="85725"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-1473835</wp:posOffset>
            </wp:positionV>
            <wp:extent cx="9398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-1473835</wp:posOffset>
            </wp:positionV>
            <wp:extent cx="85725"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291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90" w:lineRule="exact"/>
        <w:rPr>
          <w:sz w:val="20"/>
          <w:szCs w:val="20"/>
          <w:color w:val="auto"/>
        </w:rPr>
      </w:pPr>
    </w:p>
    <w:p>
      <w:pPr>
        <w:jc w:val="both"/>
        <w:ind w:right="60" w:firstLine="509"/>
        <w:spacing w:after="0" w:line="268" w:lineRule="auto"/>
        <w:rPr>
          <w:sz w:val="20"/>
          <w:szCs w:val="20"/>
          <w:color w:val="auto"/>
        </w:rPr>
      </w:pPr>
      <w:r>
        <w:rPr>
          <w:rFonts w:ascii="Arial" w:cs="Arial" w:eastAsia="Arial" w:hAnsi="Arial"/>
          <w:sz w:val="17"/>
          <w:szCs w:val="17"/>
          <w:color w:val="auto"/>
        </w:rPr>
        <w:t>Total revenue, net increased by $6.1 million, or 18%, for the three months ended September 30, 2022 as compared to the three months ended September 30, 2021. Total revenue, net increased by $26.6 million, or 30%, for the nine months ended September 30, 2022 as compared to the nine months ended September 30, 2021. The increase in revenue was primarily driven by an increase in sales of our Aurora CS system, which commercially launched in June 2021, recently launched reagents and consumables, and our Northern Lights systems.</w:t>
      </w:r>
    </w:p>
    <w:p>
      <w:pPr>
        <w:spacing w:after="0" w:line="139" w:lineRule="exact"/>
        <w:rPr>
          <w:sz w:val="20"/>
          <w:szCs w:val="20"/>
          <w:color w:val="auto"/>
        </w:rPr>
      </w:pPr>
    </w:p>
    <w:p>
      <w:pPr>
        <w:jc w:val="both"/>
        <w:ind w:right="60" w:firstLine="509"/>
        <w:spacing w:after="0" w:line="268" w:lineRule="auto"/>
        <w:rPr>
          <w:sz w:val="20"/>
          <w:szCs w:val="20"/>
          <w:color w:val="auto"/>
        </w:rPr>
      </w:pPr>
      <w:r>
        <w:rPr>
          <w:rFonts w:ascii="Arial" w:cs="Arial" w:eastAsia="Arial" w:hAnsi="Arial"/>
          <w:sz w:val="17"/>
          <w:szCs w:val="17"/>
          <w:color w:val="auto"/>
        </w:rPr>
        <w:t>Product revenue increased by $4.2 million or 13%, to $36.4 million, for the three months ended September 30, 2022 as compared to the three months ended September 30, 2021. Product revenue increased by $21.4 million, or 26%, to $105.0 million, for the nine months ended September 30, 2022 as compared to the nine months ended September 30, 2021. The increase was primarily driven by an increase in our Aurora CS system, which commercially launched in June 2021, recently launched reagents and consumables, and our Northern Lights systems.</w:t>
      </w:r>
    </w:p>
    <w:p>
      <w:pPr>
        <w:spacing w:after="0" w:line="13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35</w:t>
      </w:r>
    </w:p>
    <w:p>
      <w:pPr>
        <w:spacing w:after="0" w:line="104" w:lineRule="exact"/>
        <w:rPr>
          <w:sz w:val="20"/>
          <w:szCs w:val="20"/>
          <w:color w:val="auto"/>
        </w:rPr>
      </w:pPr>
    </w:p>
    <w:p>
      <w:pPr>
        <w:jc w:val="both"/>
        <w:ind w:right="60" w:firstLine="509"/>
        <w:spacing w:after="0" w:line="303" w:lineRule="auto"/>
        <w:rPr>
          <w:sz w:val="20"/>
          <w:szCs w:val="20"/>
          <w:color w:val="auto"/>
        </w:rPr>
      </w:pPr>
      <w:r>
        <w:rPr>
          <w:rFonts w:ascii="Arial" w:cs="Arial" w:eastAsia="Arial" w:hAnsi="Arial"/>
          <w:sz w:val="16"/>
          <w:szCs w:val="16"/>
          <w:color w:val="auto"/>
        </w:rPr>
        <w:t>Service revenue increased by $1.9 million, or 87%, to $4.1 million, for the three months ended September 30, 2022 as compared to the three months ended September 30, 2021. Service revenue increased by $5.2 million, or 96%, to $10.7 million, for the nine months ended September 30, 2022 as compared to the nine months ended September 30, 2021.The increase in service revenue was mainly driven by more instruments coming off warranty.</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cost of sales, gross profit and gross margin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w:t>
            </w:r>
          </w:p>
        </w:tc>
        <w:tc>
          <w:tcPr>
            <w:tcW w:w="160" w:type="dxa"/>
            <w:vAlign w:val="bottom"/>
          </w:tcPr>
          <w:p>
            <w:pPr>
              <w:spacing w:after="0"/>
              <w:rPr>
                <w:sz w:val="14"/>
                <w:szCs w:val="14"/>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4"/>
              </w:rPr>
              <w:t>Nine months ended September</w:t>
            </w:r>
          </w:p>
        </w:tc>
        <w:tc>
          <w:tcPr>
            <w:tcW w:w="140" w:type="dxa"/>
            <w:vAlign w:val="bottom"/>
          </w:tcPr>
          <w:p>
            <w:pPr>
              <w:spacing w:after="0"/>
              <w:rPr>
                <w:sz w:val="14"/>
                <w:szCs w:val="14"/>
                <w:color w:val="auto"/>
              </w:rPr>
            </w:pPr>
          </w:p>
        </w:tc>
        <w:tc>
          <w:tcPr>
            <w:tcW w:w="88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97"/>
              </w:rPr>
              <w:t>Change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Pr>
          <w:p>
            <w:pPr>
              <w:spacing w:after="0"/>
              <w:rPr>
                <w:sz w:val="14"/>
                <w:szCs w:val="14"/>
                <w:color w:val="auto"/>
              </w:rPr>
            </w:pPr>
          </w:p>
        </w:tc>
        <w:tc>
          <w:tcPr>
            <w:tcW w:w="800" w:type="dxa"/>
            <w:vAlign w:val="bottom"/>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980" w:type="dxa"/>
            <w:vAlign w:val="bottom"/>
            <w:gridSpan w:val="4"/>
          </w:tcPr>
          <w:p>
            <w:pPr>
              <w:ind w:left="80"/>
              <w:spacing w:after="0"/>
              <w:rPr>
                <w:sz w:val="20"/>
                <w:szCs w:val="20"/>
                <w:color w:val="auto"/>
              </w:rPr>
            </w:pPr>
            <w:r>
              <w:rPr>
                <w:rFonts w:ascii="Arial" w:cs="Arial" w:eastAsia="Arial" w:hAnsi="Arial"/>
                <w:sz w:val="14"/>
                <w:szCs w:val="14"/>
                <w:b w:val="1"/>
                <w:bCs w:val="1"/>
                <w:color w:val="auto"/>
              </w:rPr>
              <w:t>Amount</w:t>
            </w:r>
          </w:p>
        </w:tc>
        <w:tc>
          <w:tcPr>
            <w:tcW w:w="500" w:type="dxa"/>
            <w:vAlign w:val="bottom"/>
          </w:tcPr>
          <w:p>
            <w:pPr>
              <w:jc w:val="right"/>
              <w:ind w:right="19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020" w:type="dxa"/>
            <w:vAlign w:val="bottom"/>
            <w:gridSpan w:val="4"/>
          </w:tcPr>
          <w:p>
            <w:pPr>
              <w:ind w:left="60"/>
              <w:spacing w:after="0"/>
              <w:rPr>
                <w:sz w:val="20"/>
                <w:szCs w:val="20"/>
                <w:color w:val="auto"/>
              </w:rPr>
            </w:pPr>
            <w:r>
              <w:rPr>
                <w:rFonts w:ascii="Arial" w:cs="Arial" w:eastAsia="Arial" w:hAnsi="Arial"/>
                <w:sz w:val="14"/>
                <w:szCs w:val="14"/>
                <w:b w:val="1"/>
                <w:bCs w:val="1"/>
                <w:color w:val="auto"/>
              </w:rPr>
              <w:t>Amount</w:t>
            </w:r>
          </w:p>
        </w:tc>
        <w:tc>
          <w:tcPr>
            <w:tcW w:w="540" w:type="dxa"/>
            <w:vAlign w:val="bottom"/>
          </w:tcPr>
          <w:p>
            <w:pPr>
              <w:jc w:val="right"/>
              <w:ind w:right="27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ind w:left="160"/>
              <w:spacing w:after="0"/>
              <w:rPr>
                <w:sz w:val="20"/>
                <w:szCs w:val="20"/>
                <w:color w:val="auto"/>
              </w:rPr>
            </w:pPr>
            <w:r>
              <w:rPr>
                <w:rFonts w:ascii="Arial" w:cs="Arial" w:eastAsia="Arial" w:hAnsi="Arial"/>
                <w:sz w:val="18"/>
                <w:szCs w:val="18"/>
                <w:color w:val="auto"/>
              </w:rPr>
              <w:t>Product</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5"/>
              <w:spacing w:after="0"/>
              <w:rPr>
                <w:sz w:val="20"/>
                <w:szCs w:val="20"/>
                <w:color w:val="auto"/>
              </w:rPr>
            </w:pPr>
            <w:r>
              <w:rPr>
                <w:rFonts w:ascii="Arial" w:cs="Arial" w:eastAsia="Arial" w:hAnsi="Arial"/>
                <w:sz w:val="18"/>
                <w:szCs w:val="18"/>
                <w:color w:val="auto"/>
              </w:rPr>
              <w:t>10,606</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10,024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4"/>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8"/>
              <w:spacing w:after="0"/>
              <w:rPr>
                <w:sz w:val="20"/>
                <w:szCs w:val="20"/>
                <w:color w:val="auto"/>
              </w:rPr>
            </w:pPr>
            <w:r>
              <w:rPr>
                <w:rFonts w:ascii="Arial" w:cs="Arial" w:eastAsia="Arial" w:hAnsi="Arial"/>
                <w:sz w:val="18"/>
                <w:szCs w:val="18"/>
                <w:color w:val="auto"/>
              </w:rPr>
              <w:t>6 % $</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34,153</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25,264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3"/>
              <w:spacing w:after="0"/>
              <w:rPr>
                <w:sz w:val="20"/>
                <w:szCs w:val="20"/>
                <w:color w:val="auto"/>
              </w:rPr>
            </w:pPr>
            <w:r>
              <w:rPr>
                <w:rFonts w:ascii="Arial" w:cs="Arial" w:eastAsia="Arial" w:hAnsi="Arial"/>
                <w:sz w:val="18"/>
                <w:szCs w:val="18"/>
                <w:color w:val="auto"/>
                <w:w w:val="93"/>
              </w:rPr>
              <w:t>8,889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6"/>
        </w:trPr>
        <w:tc>
          <w:tcPr>
            <w:tcW w:w="3540" w:type="dxa"/>
            <w:vAlign w:val="bottom"/>
            <w:gridSpan w:val="2"/>
          </w:tcPr>
          <w:p>
            <w:pPr>
              <w:ind w:left="160"/>
              <w:spacing w:after="0"/>
              <w:rPr>
                <w:sz w:val="20"/>
                <w:szCs w:val="20"/>
                <w:color w:val="auto"/>
              </w:rPr>
            </w:pPr>
            <w:r>
              <w:rPr>
                <w:rFonts w:ascii="Arial" w:cs="Arial" w:eastAsia="Arial" w:hAnsi="Arial"/>
                <w:sz w:val="18"/>
                <w:szCs w:val="18"/>
                <w:color w:val="auto"/>
              </w:rPr>
              <w:t>Service</w:t>
            </w:r>
          </w:p>
        </w:tc>
        <w:tc>
          <w:tcPr>
            <w:tcW w:w="200" w:type="dxa"/>
            <w:vAlign w:val="bottom"/>
          </w:tcPr>
          <w:p>
            <w:pPr>
              <w:spacing w:after="0"/>
              <w:rPr>
                <w:sz w:val="18"/>
                <w:szCs w:val="18"/>
                <w:color w:val="auto"/>
              </w:rPr>
            </w:pPr>
          </w:p>
        </w:tc>
        <w:tc>
          <w:tcPr>
            <w:tcW w:w="800" w:type="dxa"/>
            <w:vAlign w:val="bottom"/>
          </w:tcPr>
          <w:p>
            <w:pPr>
              <w:jc w:val="right"/>
              <w:ind w:right="55"/>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3,075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220" w:type="dxa"/>
            <w:vAlign w:val="bottom"/>
          </w:tcPr>
          <w:p>
            <w:pPr>
              <w:spacing w:after="0"/>
              <w:rPr>
                <w:sz w:val="18"/>
                <w:szCs w:val="18"/>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9,947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8,284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33"/>
              <w:spacing w:after="0"/>
              <w:rPr>
                <w:sz w:val="20"/>
                <w:szCs w:val="20"/>
                <w:color w:val="auto"/>
              </w:rPr>
            </w:pPr>
            <w:r>
              <w:rPr>
                <w:rFonts w:ascii="Arial" w:cs="Arial" w:eastAsia="Arial" w:hAnsi="Arial"/>
                <w:sz w:val="18"/>
                <w:szCs w:val="18"/>
                <w:color w:val="auto"/>
                <w:w w:val="93"/>
              </w:rPr>
              <w:t>1,663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168"/>
        </w:trPr>
        <w:tc>
          <w:tcPr>
            <w:tcW w:w="3540" w:type="dxa"/>
            <w:vAlign w:val="bottom"/>
            <w:gridSpan w:val="2"/>
            <w:vMerge w:val="restart"/>
          </w:tcPr>
          <w:p>
            <w:pPr>
              <w:ind w:left="20"/>
              <w:spacing w:after="0"/>
              <w:rPr>
                <w:sz w:val="20"/>
                <w:szCs w:val="20"/>
                <w:color w:val="auto"/>
              </w:rPr>
            </w:pPr>
            <w:r>
              <w:rPr>
                <w:rFonts w:ascii="Arial" w:cs="Arial" w:eastAsia="Arial" w:hAnsi="Arial"/>
                <w:sz w:val="18"/>
                <w:szCs w:val="18"/>
                <w:color w:val="auto"/>
              </w:rPr>
              <w:t>Total cost of sales</w:t>
            </w: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33"/>
              <w:spacing w:after="0" w:line="168" w:lineRule="exact"/>
              <w:rPr>
                <w:sz w:val="20"/>
                <w:szCs w:val="20"/>
                <w:color w:val="auto"/>
              </w:rPr>
            </w:pPr>
            <w:r>
              <w:rPr>
                <w:rFonts w:ascii="Arial" w:cs="Arial" w:eastAsia="Arial" w:hAnsi="Arial"/>
                <w:sz w:val="18"/>
                <w:szCs w:val="18"/>
                <w:color w:val="auto"/>
                <w:w w:val="93"/>
              </w:rPr>
              <w:t>10,55</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540" w:type="dxa"/>
            <w:vAlign w:val="bottom"/>
            <w:gridSpan w:val="2"/>
            <w:vMerge w:val="continue"/>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55"/>
              <w:spacing w:after="0"/>
              <w:rPr>
                <w:sz w:val="20"/>
                <w:szCs w:val="20"/>
                <w:color w:val="auto"/>
              </w:rPr>
            </w:pPr>
            <w:r>
              <w:rPr>
                <w:rFonts w:ascii="Arial" w:cs="Arial" w:eastAsia="Arial" w:hAnsi="Arial"/>
                <w:sz w:val="18"/>
                <w:szCs w:val="18"/>
                <w:color w:val="auto"/>
              </w:rPr>
              <w:t>13,615</w:t>
            </w:r>
          </w:p>
        </w:tc>
        <w:tc>
          <w:tcPr>
            <w:tcW w:w="120" w:type="dxa"/>
            <w:vAlign w:val="bottom"/>
          </w:tcPr>
          <w:p>
            <w:pPr>
              <w:spacing w:after="0"/>
              <w:rPr>
                <w:sz w:val="11"/>
                <w:szCs w:val="11"/>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ind w:right="53"/>
              <w:spacing w:after="0"/>
              <w:rPr>
                <w:sz w:val="20"/>
                <w:szCs w:val="20"/>
                <w:color w:val="auto"/>
              </w:rPr>
            </w:pPr>
            <w:r>
              <w:rPr>
                <w:rFonts w:ascii="Arial" w:cs="Arial" w:eastAsia="Arial" w:hAnsi="Arial"/>
                <w:sz w:val="18"/>
                <w:szCs w:val="18"/>
                <w:color w:val="auto"/>
              </w:rPr>
              <w:t>13,099</w:t>
            </w: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ind w:right="34"/>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jc w:val="right"/>
              <w:ind w:right="48"/>
              <w:spacing w:after="0"/>
              <w:rPr>
                <w:sz w:val="20"/>
                <w:szCs w:val="20"/>
                <w:color w:val="auto"/>
              </w:rPr>
            </w:pPr>
            <w:r>
              <w:rPr>
                <w:rFonts w:ascii="Arial" w:cs="Arial" w:eastAsia="Arial" w:hAnsi="Arial"/>
                <w:sz w:val="18"/>
                <w:szCs w:val="18"/>
                <w:color w:val="auto"/>
              </w:rPr>
              <w:t>4 % $</w:t>
            </w:r>
          </w:p>
        </w:tc>
        <w:tc>
          <w:tcPr>
            <w:tcW w:w="860" w:type="dxa"/>
            <w:vAlign w:val="bottom"/>
            <w:vMerge w:val="restart"/>
          </w:tcPr>
          <w:p>
            <w:pPr>
              <w:jc w:val="right"/>
              <w:ind w:right="35"/>
              <w:spacing w:after="0"/>
              <w:rPr>
                <w:sz w:val="20"/>
                <w:szCs w:val="20"/>
                <w:color w:val="auto"/>
              </w:rPr>
            </w:pPr>
            <w:r>
              <w:rPr>
                <w:rFonts w:ascii="Arial" w:cs="Arial" w:eastAsia="Arial" w:hAnsi="Arial"/>
                <w:sz w:val="18"/>
                <w:szCs w:val="18"/>
                <w:color w:val="auto"/>
              </w:rPr>
              <w:t>44,100</w:t>
            </w:r>
          </w:p>
        </w:tc>
        <w:tc>
          <w:tcPr>
            <w:tcW w:w="120" w:type="dxa"/>
            <w:vAlign w:val="bottom"/>
          </w:tcPr>
          <w:p>
            <w:pPr>
              <w:spacing w:after="0"/>
              <w:rPr>
                <w:sz w:val="11"/>
                <w:szCs w:val="11"/>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ind w:right="33"/>
              <w:spacing w:after="0"/>
              <w:rPr>
                <w:sz w:val="20"/>
                <w:szCs w:val="20"/>
                <w:color w:val="auto"/>
              </w:rPr>
            </w:pPr>
            <w:r>
              <w:rPr>
                <w:rFonts w:ascii="Arial" w:cs="Arial" w:eastAsia="Arial" w:hAnsi="Arial"/>
                <w:sz w:val="18"/>
                <w:szCs w:val="18"/>
                <w:color w:val="auto"/>
              </w:rPr>
              <w:t>33,548</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94"/>
        </w:trPr>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540" w:type="dxa"/>
            <w:vAlign w:val="bottom"/>
            <w:gridSpan w:val="2"/>
            <w:vMerge w:val="restart"/>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33"/>
              <w:spacing w:after="0" w:line="175" w:lineRule="exact"/>
              <w:rPr>
                <w:sz w:val="20"/>
                <w:szCs w:val="20"/>
                <w:color w:val="auto"/>
              </w:rPr>
            </w:pPr>
            <w:r>
              <w:rPr>
                <w:rFonts w:ascii="Arial" w:cs="Arial" w:eastAsia="Arial" w:hAnsi="Arial"/>
                <w:sz w:val="18"/>
                <w:szCs w:val="18"/>
                <w:color w:val="auto"/>
                <w:w w:val="93"/>
              </w:rPr>
              <w:t>16,09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540" w:type="dxa"/>
            <w:vAlign w:val="bottom"/>
            <w:gridSpan w:val="2"/>
            <w:vMerge w:val="continue"/>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55"/>
              <w:spacing w:after="0"/>
              <w:rPr>
                <w:sz w:val="20"/>
                <w:szCs w:val="20"/>
                <w:color w:val="auto"/>
              </w:rPr>
            </w:pPr>
            <w:r>
              <w:rPr>
                <w:rFonts w:ascii="Arial" w:cs="Arial" w:eastAsia="Arial" w:hAnsi="Arial"/>
                <w:sz w:val="18"/>
                <w:szCs w:val="18"/>
                <w:color w:val="auto"/>
              </w:rPr>
              <w:t>26,862</w:t>
            </w:r>
          </w:p>
        </w:tc>
        <w:tc>
          <w:tcPr>
            <w:tcW w:w="120" w:type="dxa"/>
            <w:vAlign w:val="bottom"/>
          </w:tcPr>
          <w:p>
            <w:pPr>
              <w:spacing w:after="0"/>
              <w:rPr>
                <w:sz w:val="11"/>
                <w:szCs w:val="11"/>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ind w:right="53"/>
              <w:spacing w:after="0"/>
              <w:rPr>
                <w:sz w:val="20"/>
                <w:szCs w:val="20"/>
                <w:color w:val="auto"/>
              </w:rPr>
            </w:pPr>
            <w:r>
              <w:rPr>
                <w:rFonts w:ascii="Arial" w:cs="Arial" w:eastAsia="Arial" w:hAnsi="Arial"/>
                <w:sz w:val="18"/>
                <w:szCs w:val="18"/>
                <w:color w:val="auto"/>
              </w:rPr>
              <w:t>21,277</w:t>
            </w: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ind w:right="34"/>
              <w:spacing w:after="0"/>
              <w:rPr>
                <w:sz w:val="20"/>
                <w:szCs w:val="20"/>
                <w:color w:val="auto"/>
              </w:rPr>
            </w:pPr>
            <w:r>
              <w:rPr>
                <w:rFonts w:ascii="Arial" w:cs="Arial" w:eastAsia="Arial" w:hAnsi="Arial"/>
                <w:sz w:val="18"/>
                <w:szCs w:val="18"/>
                <w:color w:val="auto"/>
              </w:rPr>
              <w:t>5,585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restart"/>
          </w:tcPr>
          <w:p>
            <w:pPr>
              <w:jc w:val="right"/>
              <w:ind w:right="48"/>
              <w:spacing w:after="0"/>
              <w:rPr>
                <w:sz w:val="20"/>
                <w:szCs w:val="20"/>
                <w:color w:val="auto"/>
              </w:rPr>
            </w:pPr>
            <w:r>
              <w:rPr>
                <w:rFonts w:ascii="Arial" w:cs="Arial" w:eastAsia="Arial" w:hAnsi="Arial"/>
                <w:sz w:val="18"/>
                <w:szCs w:val="18"/>
                <w:color w:val="auto"/>
              </w:rPr>
              <w:t>26 % $</w:t>
            </w:r>
          </w:p>
        </w:tc>
        <w:tc>
          <w:tcPr>
            <w:tcW w:w="860" w:type="dxa"/>
            <w:vAlign w:val="bottom"/>
            <w:vMerge w:val="restart"/>
          </w:tcPr>
          <w:p>
            <w:pPr>
              <w:jc w:val="right"/>
              <w:ind w:right="35"/>
              <w:spacing w:after="0"/>
              <w:rPr>
                <w:sz w:val="20"/>
                <w:szCs w:val="20"/>
                <w:color w:val="auto"/>
              </w:rPr>
            </w:pPr>
            <w:r>
              <w:rPr>
                <w:rFonts w:ascii="Arial" w:cs="Arial" w:eastAsia="Arial" w:hAnsi="Arial"/>
                <w:sz w:val="18"/>
                <w:szCs w:val="18"/>
                <w:color w:val="auto"/>
              </w:rPr>
              <w:t>71,600</w:t>
            </w:r>
          </w:p>
        </w:tc>
        <w:tc>
          <w:tcPr>
            <w:tcW w:w="120" w:type="dxa"/>
            <w:vAlign w:val="bottom"/>
          </w:tcPr>
          <w:p>
            <w:pPr>
              <w:spacing w:after="0"/>
              <w:rPr>
                <w:sz w:val="11"/>
                <w:szCs w:val="11"/>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ind w:right="33"/>
              <w:spacing w:after="0"/>
              <w:rPr>
                <w:sz w:val="20"/>
                <w:szCs w:val="20"/>
                <w:color w:val="auto"/>
              </w:rPr>
            </w:pPr>
            <w:r>
              <w:rPr>
                <w:rFonts w:ascii="Arial" w:cs="Arial" w:eastAsia="Arial" w:hAnsi="Arial"/>
                <w:sz w:val="18"/>
                <w:szCs w:val="18"/>
                <w:color w:val="auto"/>
              </w:rPr>
              <w:t>55,508</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94"/>
        </w:trPr>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66 %</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62 %</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62 %</w:t>
            </w: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62 %</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6597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659765"/>
                    </a:xfrm>
                    <a:prstGeom prst="rect">
                      <a:avLst/>
                    </a:prstGeom>
                    <a:noFill/>
                  </pic:spPr>
                </pic:pic>
              </a:graphicData>
            </a:graphic>
          </wp:anchor>
        </w:drawing>
      </w:r>
    </w:p>
    <w:p>
      <w:pPr>
        <w:spacing w:after="0" w:line="290" w:lineRule="exact"/>
        <w:rPr>
          <w:sz w:val="20"/>
          <w:szCs w:val="20"/>
          <w:color w:val="auto"/>
        </w:rPr>
      </w:pPr>
    </w:p>
    <w:p>
      <w:pPr>
        <w:jc w:val="both"/>
        <w:ind w:right="60" w:firstLine="509"/>
        <w:spacing w:after="0" w:line="246" w:lineRule="auto"/>
        <w:rPr>
          <w:sz w:val="20"/>
          <w:szCs w:val="20"/>
          <w:color w:val="auto"/>
        </w:rPr>
      </w:pPr>
      <w:r>
        <w:rPr>
          <w:rFonts w:ascii="Arial" w:cs="Arial" w:eastAsia="Arial" w:hAnsi="Arial"/>
          <w:sz w:val="18"/>
          <w:szCs w:val="18"/>
          <w:color w:val="auto"/>
        </w:rPr>
        <w:t>Total cost of sales increased by $0.5 million, or 4%, for the three months ended September 30, 2022 as compared to the three months ended September 30, 2021, and increased by $10.6 million, or 31%, for the nine months ended September 30, 2022 as compared to the nine months ended September 30, 2021. This is primarily due to more instruments shipped, increased material costs, and increased service and manufacturing headcount and associated personnel cost, including an increase of $0.2 million in stock-based compensation for the three months ended September 30, 2022 as compared to the three months ended September 30, 2021, and an increase of $1.4 million in stock-based compensation for the nine months ended September 30, 2022 as compared to the nine months ended September 30, 2021.</w:t>
      </w:r>
    </w:p>
    <w:p>
      <w:pPr>
        <w:spacing w:after="0" w:line="145" w:lineRule="exact"/>
        <w:rPr>
          <w:sz w:val="20"/>
          <w:szCs w:val="20"/>
          <w:color w:val="auto"/>
        </w:rPr>
      </w:pPr>
    </w:p>
    <w:p>
      <w:pPr>
        <w:jc w:val="both"/>
        <w:ind w:right="60" w:firstLine="509"/>
        <w:spacing w:after="0" w:line="256" w:lineRule="auto"/>
        <w:rPr>
          <w:sz w:val="20"/>
          <w:szCs w:val="20"/>
          <w:color w:val="auto"/>
        </w:rPr>
      </w:pPr>
      <w:r>
        <w:rPr>
          <w:rFonts w:ascii="Arial" w:cs="Arial" w:eastAsia="Arial" w:hAnsi="Arial"/>
          <w:sz w:val="18"/>
          <w:szCs w:val="18"/>
          <w:color w:val="auto"/>
        </w:rPr>
        <w:t>Total gross profit margin was 66% and 62% as a percent of total revenue for the three months ended September 30, 2022 and 2021, respectively, and 62% for each of the nine months ended September 30, 2022 and 2021. The increase is primarily due to increased sales of our Aurora CS system, which has higher gross margin, for the three months ended September 30, 2022.</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w:t>
            </w:r>
          </w:p>
        </w:tc>
        <w:tc>
          <w:tcPr>
            <w:tcW w:w="180" w:type="dxa"/>
            <w:vAlign w:val="bottom"/>
          </w:tcPr>
          <w:p>
            <w:pPr>
              <w:spacing w:after="0"/>
              <w:rPr>
                <w:sz w:val="14"/>
                <w:szCs w:val="14"/>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Nine months ended September</w:t>
            </w:r>
          </w:p>
        </w:tc>
        <w:tc>
          <w:tcPr>
            <w:tcW w:w="140" w:type="dxa"/>
            <w:vAlign w:val="bottom"/>
          </w:tcPr>
          <w:p>
            <w:pPr>
              <w:spacing w:after="0"/>
              <w:rPr>
                <w:sz w:val="14"/>
                <w:szCs w:val="14"/>
                <w:color w:val="auto"/>
              </w:rPr>
            </w:pPr>
          </w:p>
        </w:tc>
        <w:tc>
          <w:tcPr>
            <w:tcW w:w="86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7"/>
              </w:rPr>
              <w:t>Change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30,</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5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Pr>
          <w:p>
            <w:pPr>
              <w:spacing w:after="0"/>
              <w:rPr>
                <w:sz w:val="14"/>
                <w:szCs w:val="14"/>
                <w:color w:val="auto"/>
              </w:rPr>
            </w:pPr>
          </w:p>
        </w:tc>
        <w:tc>
          <w:tcPr>
            <w:tcW w:w="800" w:type="dxa"/>
            <w:vAlign w:val="bottom"/>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020" w:type="dxa"/>
            <w:vAlign w:val="bottom"/>
            <w:gridSpan w:val="4"/>
          </w:tcPr>
          <w:p>
            <w:pPr>
              <w:ind w:left="80"/>
              <w:spacing w:after="0"/>
              <w:rPr>
                <w:sz w:val="20"/>
                <w:szCs w:val="20"/>
                <w:color w:val="auto"/>
              </w:rPr>
            </w:pPr>
            <w:r>
              <w:rPr>
                <w:rFonts w:ascii="Arial" w:cs="Arial" w:eastAsia="Arial" w:hAnsi="Arial"/>
                <w:sz w:val="14"/>
                <w:szCs w:val="14"/>
                <w:b w:val="1"/>
                <w:bCs w:val="1"/>
                <w:color w:val="auto"/>
              </w:rPr>
              <w:t>Amount</w:t>
            </w:r>
          </w:p>
        </w:tc>
        <w:tc>
          <w:tcPr>
            <w:tcW w:w="500" w:type="dxa"/>
            <w:vAlign w:val="bottom"/>
          </w:tcPr>
          <w:p>
            <w:pPr>
              <w:jc w:val="right"/>
              <w:ind w:right="21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540" w:type="dxa"/>
            <w:vAlign w:val="bottom"/>
          </w:tcPr>
          <w:p>
            <w:pPr>
              <w:jc w:val="right"/>
              <w:ind w:right="273"/>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Product:</w:t>
            </w: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40" w:type="dxa"/>
            <w:vAlign w:val="bottom"/>
            <w:gridSpan w:val="2"/>
            <w:vMerge w:val="restart"/>
          </w:tcPr>
          <w:p>
            <w:pPr>
              <w:ind w:left="160"/>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32"/>
              <w:spacing w:after="0" w:line="175" w:lineRule="exact"/>
              <w:rPr>
                <w:sz w:val="20"/>
                <w:szCs w:val="20"/>
                <w:color w:val="auto"/>
              </w:rPr>
            </w:pPr>
            <w:r>
              <w:rPr>
                <w:rFonts w:ascii="Arial" w:cs="Arial" w:eastAsia="Arial" w:hAnsi="Arial"/>
                <w:sz w:val="18"/>
                <w:szCs w:val="18"/>
                <w:color w:val="auto"/>
                <w:w w:val="88"/>
              </w:rPr>
              <w:t>21,39</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540" w:type="dxa"/>
            <w:vAlign w:val="bottom"/>
            <w:gridSpan w:val="2"/>
            <w:vMerge w:val="continue"/>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54"/>
              <w:spacing w:after="0"/>
              <w:rPr>
                <w:sz w:val="20"/>
                <w:szCs w:val="20"/>
                <w:color w:val="auto"/>
              </w:rPr>
            </w:pPr>
            <w:r>
              <w:rPr>
                <w:rFonts w:ascii="Arial" w:cs="Arial" w:eastAsia="Arial" w:hAnsi="Arial"/>
                <w:sz w:val="18"/>
                <w:szCs w:val="18"/>
                <w:color w:val="auto"/>
              </w:rPr>
              <w:t>36,389</w:t>
            </w:r>
          </w:p>
        </w:tc>
        <w:tc>
          <w:tcPr>
            <w:tcW w:w="120" w:type="dxa"/>
            <w:vAlign w:val="bottom"/>
          </w:tcPr>
          <w:p>
            <w:pPr>
              <w:spacing w:after="0"/>
              <w:rPr>
                <w:sz w:val="11"/>
                <w:szCs w:val="11"/>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ind w:right="52"/>
              <w:spacing w:after="0"/>
              <w:rPr>
                <w:sz w:val="20"/>
                <w:szCs w:val="20"/>
                <w:color w:val="auto"/>
              </w:rPr>
            </w:pPr>
            <w:r>
              <w:rPr>
                <w:rFonts w:ascii="Arial" w:cs="Arial" w:eastAsia="Arial" w:hAnsi="Arial"/>
                <w:sz w:val="18"/>
                <w:szCs w:val="18"/>
                <w:color w:val="auto"/>
              </w:rPr>
              <w:t>32,191</w:t>
            </w:r>
          </w:p>
        </w:tc>
        <w:tc>
          <w:tcPr>
            <w:tcW w:w="12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ind w:right="33"/>
              <w:spacing w:after="0"/>
              <w:rPr>
                <w:sz w:val="20"/>
                <w:szCs w:val="20"/>
                <w:color w:val="auto"/>
              </w:rPr>
            </w:pPr>
            <w:r>
              <w:rPr>
                <w:rFonts w:ascii="Arial" w:cs="Arial" w:eastAsia="Arial" w:hAnsi="Arial"/>
                <w:sz w:val="18"/>
                <w:szCs w:val="18"/>
                <w:color w:val="auto"/>
              </w:rPr>
              <w:t>4,198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vMerge w:val="restart"/>
          </w:tcPr>
          <w:p>
            <w:pPr>
              <w:jc w:val="right"/>
              <w:ind w:right="48"/>
              <w:spacing w:after="0"/>
              <w:rPr>
                <w:sz w:val="20"/>
                <w:szCs w:val="20"/>
                <w:color w:val="auto"/>
              </w:rPr>
            </w:pPr>
            <w:r>
              <w:rPr>
                <w:rFonts w:ascii="Arial" w:cs="Arial" w:eastAsia="Arial" w:hAnsi="Arial"/>
                <w:sz w:val="18"/>
                <w:szCs w:val="18"/>
                <w:color w:val="auto"/>
              </w:rPr>
              <w:t>13 % $</w:t>
            </w:r>
          </w:p>
        </w:tc>
        <w:tc>
          <w:tcPr>
            <w:tcW w:w="840" w:type="dxa"/>
            <w:vAlign w:val="bottom"/>
            <w:vMerge w:val="restart"/>
          </w:tcPr>
          <w:p>
            <w:pPr>
              <w:jc w:val="right"/>
              <w:ind w:right="34"/>
              <w:spacing w:after="0"/>
              <w:rPr>
                <w:sz w:val="20"/>
                <w:szCs w:val="20"/>
                <w:color w:val="auto"/>
              </w:rPr>
            </w:pPr>
            <w:r>
              <w:rPr>
                <w:rFonts w:ascii="Arial" w:cs="Arial" w:eastAsia="Arial" w:hAnsi="Arial"/>
                <w:sz w:val="18"/>
                <w:szCs w:val="18"/>
                <w:color w:val="auto"/>
              </w:rPr>
              <w:t>104,963</w:t>
            </w:r>
          </w:p>
        </w:tc>
        <w:tc>
          <w:tcPr>
            <w:tcW w:w="10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32"/>
              <w:spacing w:after="0"/>
              <w:rPr>
                <w:sz w:val="20"/>
                <w:szCs w:val="20"/>
                <w:color w:val="auto"/>
              </w:rPr>
            </w:pPr>
            <w:r>
              <w:rPr>
                <w:rFonts w:ascii="Arial" w:cs="Arial" w:eastAsia="Arial" w:hAnsi="Arial"/>
                <w:sz w:val="18"/>
                <w:szCs w:val="18"/>
                <w:color w:val="auto"/>
              </w:rPr>
              <w:t>83,567</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94"/>
        </w:trPr>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ind w:left="16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10,606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10,024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6 %</w:t>
            </w:r>
          </w:p>
        </w:tc>
        <w:tc>
          <w:tcPr>
            <w:tcW w:w="22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34,153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25,264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w w:val="88"/>
              </w:rPr>
              <w:t>8,889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168"/>
        </w:trPr>
        <w:tc>
          <w:tcPr>
            <w:tcW w:w="3540" w:type="dxa"/>
            <w:vAlign w:val="bottom"/>
            <w:gridSpan w:val="2"/>
            <w:vMerge w:val="restart"/>
          </w:tcPr>
          <w:p>
            <w:pPr>
              <w:ind w:left="20"/>
              <w:spacing w:after="0"/>
              <w:rPr>
                <w:sz w:val="20"/>
                <w:szCs w:val="20"/>
                <w:color w:val="auto"/>
              </w:rPr>
            </w:pPr>
            <w:r>
              <w:rPr>
                <w:rFonts w:ascii="Arial" w:cs="Arial" w:eastAsia="Arial" w:hAnsi="Arial"/>
                <w:sz w:val="18"/>
                <w:szCs w:val="18"/>
                <w:color w:val="auto"/>
              </w:rPr>
              <w:t>Product gross profit</w:t>
            </w: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32"/>
              <w:spacing w:after="0" w:line="168" w:lineRule="exact"/>
              <w:rPr>
                <w:sz w:val="20"/>
                <w:szCs w:val="20"/>
                <w:color w:val="auto"/>
              </w:rPr>
            </w:pPr>
            <w:r>
              <w:rPr>
                <w:rFonts w:ascii="Arial" w:cs="Arial" w:eastAsia="Arial" w:hAnsi="Arial"/>
                <w:sz w:val="18"/>
                <w:szCs w:val="18"/>
                <w:color w:val="auto"/>
                <w:w w:val="88"/>
              </w:rPr>
              <w:t>12,50</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540" w:type="dxa"/>
            <w:vAlign w:val="bottom"/>
            <w:gridSpan w:val="2"/>
            <w:vMerge w:val="continue"/>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54"/>
              <w:spacing w:after="0"/>
              <w:rPr>
                <w:sz w:val="20"/>
                <w:szCs w:val="20"/>
                <w:color w:val="auto"/>
              </w:rPr>
            </w:pPr>
            <w:r>
              <w:rPr>
                <w:rFonts w:ascii="Arial" w:cs="Arial" w:eastAsia="Arial" w:hAnsi="Arial"/>
                <w:sz w:val="18"/>
                <w:szCs w:val="18"/>
                <w:color w:val="auto"/>
              </w:rPr>
              <w:t>25,783</w:t>
            </w:r>
          </w:p>
        </w:tc>
        <w:tc>
          <w:tcPr>
            <w:tcW w:w="120" w:type="dxa"/>
            <w:vAlign w:val="bottom"/>
          </w:tcPr>
          <w:p>
            <w:pPr>
              <w:spacing w:after="0"/>
              <w:rPr>
                <w:sz w:val="11"/>
                <w:szCs w:val="11"/>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ind w:right="52"/>
              <w:spacing w:after="0"/>
              <w:rPr>
                <w:sz w:val="20"/>
                <w:szCs w:val="20"/>
                <w:color w:val="auto"/>
              </w:rPr>
            </w:pPr>
            <w:r>
              <w:rPr>
                <w:rFonts w:ascii="Arial" w:cs="Arial" w:eastAsia="Arial" w:hAnsi="Arial"/>
                <w:sz w:val="18"/>
                <w:szCs w:val="18"/>
                <w:color w:val="auto"/>
              </w:rPr>
              <w:t>22,167</w:t>
            </w:r>
          </w:p>
        </w:tc>
        <w:tc>
          <w:tcPr>
            <w:tcW w:w="120" w:type="dxa"/>
            <w:vAlign w:val="bottom"/>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ind w:right="33"/>
              <w:spacing w:after="0"/>
              <w:rPr>
                <w:sz w:val="20"/>
                <w:szCs w:val="20"/>
                <w:color w:val="auto"/>
              </w:rPr>
            </w:pPr>
            <w:r>
              <w:rPr>
                <w:rFonts w:ascii="Arial" w:cs="Arial" w:eastAsia="Arial" w:hAnsi="Arial"/>
                <w:sz w:val="18"/>
                <w:szCs w:val="18"/>
                <w:color w:val="auto"/>
              </w:rPr>
              <w:t>3,616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3"/>
            <w:vMerge w:val="restart"/>
          </w:tcPr>
          <w:p>
            <w:pPr>
              <w:jc w:val="right"/>
              <w:ind w:right="48"/>
              <w:spacing w:after="0"/>
              <w:rPr>
                <w:sz w:val="20"/>
                <w:szCs w:val="20"/>
                <w:color w:val="auto"/>
              </w:rPr>
            </w:pPr>
            <w:r>
              <w:rPr>
                <w:rFonts w:ascii="Arial" w:cs="Arial" w:eastAsia="Arial" w:hAnsi="Arial"/>
                <w:sz w:val="18"/>
                <w:szCs w:val="18"/>
                <w:color w:val="auto"/>
              </w:rPr>
              <w:t>16 % $</w:t>
            </w:r>
          </w:p>
        </w:tc>
        <w:tc>
          <w:tcPr>
            <w:tcW w:w="840" w:type="dxa"/>
            <w:vAlign w:val="bottom"/>
            <w:vMerge w:val="restart"/>
          </w:tcPr>
          <w:p>
            <w:pPr>
              <w:jc w:val="right"/>
              <w:ind w:right="34"/>
              <w:spacing w:after="0"/>
              <w:rPr>
                <w:sz w:val="20"/>
                <w:szCs w:val="20"/>
                <w:color w:val="auto"/>
              </w:rPr>
            </w:pPr>
            <w:r>
              <w:rPr>
                <w:rFonts w:ascii="Arial" w:cs="Arial" w:eastAsia="Arial" w:hAnsi="Arial"/>
                <w:sz w:val="18"/>
                <w:szCs w:val="18"/>
                <w:color w:val="auto"/>
              </w:rPr>
              <w:t>70,810</w:t>
            </w:r>
          </w:p>
        </w:tc>
        <w:tc>
          <w:tcPr>
            <w:tcW w:w="100" w:type="dxa"/>
            <w:vAlign w:val="bottom"/>
          </w:tcPr>
          <w:p>
            <w:pPr>
              <w:spacing w:after="0"/>
              <w:rPr>
                <w:sz w:val="11"/>
                <w:szCs w:val="1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32"/>
              <w:spacing w:after="0"/>
              <w:rPr>
                <w:sz w:val="20"/>
                <w:szCs w:val="20"/>
                <w:color w:val="auto"/>
              </w:rPr>
            </w:pPr>
            <w:r>
              <w:rPr>
                <w:rFonts w:ascii="Arial" w:cs="Arial" w:eastAsia="Arial" w:hAnsi="Arial"/>
                <w:sz w:val="18"/>
                <w:szCs w:val="18"/>
                <w:color w:val="auto"/>
              </w:rPr>
              <w:t>58,303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94"/>
        </w:trPr>
        <w:tc>
          <w:tcPr>
            <w:tcW w:w="3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71 %</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69 %</w:t>
            </w: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67 %</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70 %</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54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4,088</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2,185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1,903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48"/>
              <w:spacing w:after="0"/>
              <w:rPr>
                <w:sz w:val="20"/>
                <w:szCs w:val="20"/>
                <w:color w:val="auto"/>
              </w:rPr>
            </w:pPr>
            <w:r>
              <w:rPr>
                <w:rFonts w:ascii="Arial" w:cs="Arial" w:eastAsia="Arial" w:hAnsi="Arial"/>
                <w:sz w:val="18"/>
                <w:szCs w:val="18"/>
                <w:color w:val="auto"/>
              </w:rPr>
              <w:t>87 % $</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10,737</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w w:val="88"/>
              </w:rPr>
              <w:t>5,248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16"/>
        </w:trPr>
        <w:tc>
          <w:tcPr>
            <w:tcW w:w="3540" w:type="dxa"/>
            <w:vAlign w:val="bottom"/>
            <w:gridSpan w:val="2"/>
          </w:tcPr>
          <w:p>
            <w:pPr>
              <w:ind w:left="16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8"/>
                <w:szCs w:val="18"/>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3,075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-2 %</w:t>
            </w:r>
          </w:p>
        </w:tc>
        <w:tc>
          <w:tcPr>
            <w:tcW w:w="220" w:type="dxa"/>
            <w:vAlign w:val="bottom"/>
          </w:tcPr>
          <w:p>
            <w:pPr>
              <w:spacing w:after="0"/>
              <w:rPr>
                <w:sz w:val="18"/>
                <w:szCs w:val="18"/>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9,947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8,284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w w:val="88"/>
              </w:rPr>
              <w:t>1,663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ind w:left="20"/>
              <w:spacing w:after="0"/>
              <w:rPr>
                <w:sz w:val="20"/>
                <w:szCs w:val="20"/>
                <w:color w:val="auto"/>
              </w:rPr>
            </w:pPr>
            <w:r>
              <w:rPr>
                <w:rFonts w:ascii="Arial" w:cs="Arial" w:eastAsia="Arial" w:hAnsi="Arial"/>
                <w:sz w:val="18"/>
                <w:szCs w:val="18"/>
                <w:color w:val="auto"/>
              </w:rPr>
              <w:t>Service gross profit</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gridSpan w:val="2"/>
            <w:vMerge w:val="continue"/>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(890 )</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1,969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48"/>
              <w:spacing w:after="0"/>
              <w:rPr>
                <w:sz w:val="20"/>
                <w:szCs w:val="20"/>
                <w:color w:val="auto"/>
              </w:rPr>
            </w:pPr>
            <w:r>
              <w:rPr>
                <w:rFonts w:ascii="Arial" w:cs="Arial" w:eastAsia="Arial" w:hAnsi="Arial"/>
                <w:sz w:val="18"/>
                <w:szCs w:val="18"/>
                <w:color w:val="auto"/>
              </w:rPr>
              <w:t>221 % $</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(2,795 )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w w:val="88"/>
              </w:rPr>
              <w:t>3,585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26 %</w:t>
            </w: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-41 %</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7 %</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-51 %</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-1379220</wp:posOffset>
            </wp:positionV>
            <wp:extent cx="7132320" cy="4032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0" w:lineRule="exact"/>
        <w:rPr>
          <w:sz w:val="20"/>
          <w:szCs w:val="20"/>
          <w:color w:val="auto"/>
        </w:rPr>
      </w:pPr>
    </w:p>
    <w:p>
      <w:pPr>
        <w:jc w:val="both"/>
        <w:ind w:right="60" w:firstLine="509"/>
        <w:spacing w:after="0" w:line="249" w:lineRule="auto"/>
        <w:rPr>
          <w:sz w:val="20"/>
          <w:szCs w:val="20"/>
          <w:color w:val="auto"/>
        </w:rPr>
      </w:pPr>
      <w:r>
        <w:rPr>
          <w:rFonts w:ascii="Arial" w:cs="Arial" w:eastAsia="Arial" w:hAnsi="Arial"/>
          <w:sz w:val="18"/>
          <w:szCs w:val="18"/>
          <w:color w:val="auto"/>
        </w:rPr>
        <w:t>Product gross profit and product revenue for the three months ended September 30, 2022 increased 16% and 13%, respectively, as compared to the three months ended September 30, 2021. Service gross profit and service revenue for the three months ended September 30, 2022 increased 221% and increased 87%, respectively, as compared to the three months ended September 30, 2021. Service cost of sales for the three months ended September 30, 2022 decreased by 2% as compared to the same period in 2021.</w:t>
      </w:r>
    </w:p>
    <w:p>
      <w:pPr>
        <w:spacing w:after="0" w:line="356" w:lineRule="exact"/>
        <w:rPr>
          <w:sz w:val="20"/>
          <w:szCs w:val="20"/>
          <w:color w:val="auto"/>
        </w:rPr>
      </w:pPr>
    </w:p>
    <w:p>
      <w:pPr>
        <w:jc w:val="both"/>
        <w:ind w:right="60" w:firstLine="509"/>
        <w:spacing w:after="0" w:line="256" w:lineRule="auto"/>
        <w:rPr>
          <w:sz w:val="20"/>
          <w:szCs w:val="20"/>
          <w:color w:val="auto"/>
        </w:rPr>
      </w:pPr>
      <w:r>
        <w:rPr>
          <w:rFonts w:ascii="Arial" w:cs="Arial" w:eastAsia="Arial" w:hAnsi="Arial"/>
          <w:sz w:val="18"/>
          <w:szCs w:val="18"/>
          <w:color w:val="auto"/>
        </w:rPr>
        <w:t>Product gross profit and product revenue for the nine months ended September 30, 2022 increased 21% and 26%, respectively, as compared to the nine months ended September 30, 2021. Service product profit and service revenue for the nine months ended September 30, 2022 increased 128% and increased 96%, respectively, as compared to the nine months ended September 30, 2021.</w:t>
      </w:r>
    </w:p>
    <w:p>
      <w:pPr>
        <w:spacing w:after="0" w:line="200" w:lineRule="exact"/>
        <w:rPr>
          <w:sz w:val="20"/>
          <w:szCs w:val="20"/>
          <w:color w:val="auto"/>
        </w:rPr>
      </w:pPr>
    </w:p>
    <w:p>
      <w:pPr>
        <w:spacing w:after="0" w:line="36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36</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center"/>
              <w:ind w:right="59"/>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11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8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97"/>
              </w:rPr>
              <w:t>Change</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840" w:type="dxa"/>
            <w:vAlign w:val="bottom"/>
          </w:tcPr>
          <w:p>
            <w:pPr>
              <w:jc w:val="right"/>
              <w:ind w:right="64"/>
              <w:spacing w:after="0"/>
              <w:rPr>
                <w:sz w:val="20"/>
                <w:szCs w:val="20"/>
                <w:color w:val="auto"/>
              </w:rPr>
            </w:pPr>
            <w:r>
              <w:rPr>
                <w:rFonts w:ascii="Arial" w:cs="Arial" w:eastAsia="Arial" w:hAnsi="Arial"/>
                <w:sz w:val="18"/>
                <w:szCs w:val="18"/>
                <w:color w:val="auto"/>
              </w:rPr>
              <w:t>$  8,650</w:t>
            </w: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8"/>
                <w:szCs w:val="18"/>
                <w:color w:val="auto"/>
              </w:rPr>
              <w:t>$  6,078</w:t>
            </w:r>
          </w:p>
        </w:tc>
        <w:tc>
          <w:tcPr>
            <w:tcW w:w="120" w:type="dxa"/>
            <w:vAlign w:val="bottom"/>
          </w:tcPr>
          <w:p>
            <w:pPr>
              <w:spacing w:after="0"/>
              <w:rPr>
                <w:sz w:val="18"/>
                <w:szCs w:val="18"/>
                <w:color w:val="auto"/>
              </w:rPr>
            </w:pPr>
          </w:p>
        </w:tc>
        <w:tc>
          <w:tcPr>
            <w:tcW w:w="780" w:type="dxa"/>
            <w:vAlign w:val="bottom"/>
          </w:tcPr>
          <w:p>
            <w:pPr>
              <w:jc w:val="right"/>
              <w:ind w:right="62"/>
              <w:spacing w:after="0"/>
              <w:rPr>
                <w:sz w:val="20"/>
                <w:szCs w:val="20"/>
                <w:color w:val="auto"/>
              </w:rPr>
            </w:pPr>
            <w:r>
              <w:rPr>
                <w:rFonts w:ascii="Arial" w:cs="Arial" w:eastAsia="Arial" w:hAnsi="Arial"/>
                <w:sz w:val="18"/>
                <w:szCs w:val="18"/>
                <w:color w:val="auto"/>
                <w:w w:val="95"/>
              </w:rPr>
              <w:t>$  2,572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48"/>
              <w:spacing w:after="0"/>
              <w:rPr>
                <w:sz w:val="20"/>
                <w:szCs w:val="20"/>
                <w:color w:val="auto"/>
              </w:rPr>
            </w:pPr>
            <w:r>
              <w:rPr>
                <w:rFonts w:ascii="Arial" w:cs="Arial" w:eastAsia="Arial" w:hAnsi="Arial"/>
                <w:sz w:val="18"/>
                <w:szCs w:val="18"/>
                <w:color w:val="auto"/>
                <w:w w:val="98"/>
              </w:rPr>
              <w:t>42 % $ 25,111</w:t>
            </w:r>
          </w:p>
        </w:tc>
        <w:tc>
          <w:tcPr>
            <w:tcW w:w="10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8"/>
                <w:szCs w:val="18"/>
                <w:color w:val="auto"/>
                <w:w w:val="94"/>
              </w:rPr>
              <w:t>$ 17,366</w:t>
            </w:r>
          </w:p>
        </w:tc>
        <w:tc>
          <w:tcPr>
            <w:tcW w:w="100" w:type="dxa"/>
            <w:vAlign w:val="bottom"/>
          </w:tcPr>
          <w:p>
            <w:pPr>
              <w:spacing w:after="0"/>
              <w:rPr>
                <w:sz w:val="18"/>
                <w:szCs w:val="18"/>
                <w:color w:val="auto"/>
              </w:rPr>
            </w:pPr>
          </w:p>
        </w:tc>
        <w:tc>
          <w:tcPr>
            <w:tcW w:w="720" w:type="dxa"/>
            <w:vAlign w:val="bottom"/>
          </w:tcPr>
          <w:p>
            <w:pPr>
              <w:jc w:val="right"/>
              <w:ind w:right="42"/>
              <w:spacing w:after="0"/>
              <w:rPr>
                <w:sz w:val="20"/>
                <w:szCs w:val="20"/>
                <w:color w:val="auto"/>
              </w:rPr>
            </w:pPr>
            <w:r>
              <w:rPr>
                <w:rFonts w:ascii="Arial" w:cs="Arial" w:eastAsia="Arial" w:hAnsi="Arial"/>
                <w:sz w:val="18"/>
                <w:szCs w:val="18"/>
                <w:color w:val="auto"/>
                <w:w w:val="96"/>
              </w:rPr>
              <w:t>$ 7,745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0" w:lineRule="exact"/>
        <w:rPr>
          <w:sz w:val="20"/>
          <w:szCs w:val="20"/>
          <w:color w:val="auto"/>
        </w:rPr>
      </w:pPr>
    </w:p>
    <w:p>
      <w:pPr>
        <w:jc w:val="both"/>
        <w:ind w:right="60" w:firstLine="509"/>
        <w:spacing w:after="0" w:line="256" w:lineRule="auto"/>
        <w:rPr>
          <w:sz w:val="20"/>
          <w:szCs w:val="20"/>
          <w:color w:val="auto"/>
        </w:rPr>
      </w:pPr>
      <w:r>
        <w:rPr>
          <w:rFonts w:ascii="Arial" w:cs="Arial" w:eastAsia="Arial" w:hAnsi="Arial"/>
          <w:sz w:val="18"/>
          <w:szCs w:val="18"/>
          <w:color w:val="auto"/>
        </w:rPr>
        <w:t>Research and development expenses were $8.7 million for the three months ended September 30, 2022 as compared to $6.1 million for the three months ended September 30, 2021. The increase of $2.6 million in research and development expenses was primarily due to an increase in headcount and personnel-related expenses, including stock-based compensation of $0.6 million.</w:t>
      </w:r>
    </w:p>
    <w:p>
      <w:pPr>
        <w:spacing w:after="0" w:line="148" w:lineRule="exact"/>
        <w:rPr>
          <w:sz w:val="20"/>
          <w:szCs w:val="20"/>
          <w:color w:val="auto"/>
        </w:rPr>
      </w:pPr>
    </w:p>
    <w:p>
      <w:pPr>
        <w:jc w:val="both"/>
        <w:ind w:right="60" w:firstLine="509"/>
        <w:spacing w:after="0" w:line="256" w:lineRule="auto"/>
        <w:rPr>
          <w:sz w:val="20"/>
          <w:szCs w:val="20"/>
          <w:color w:val="auto"/>
        </w:rPr>
      </w:pPr>
      <w:r>
        <w:rPr>
          <w:rFonts w:ascii="Arial" w:cs="Arial" w:eastAsia="Arial" w:hAnsi="Arial"/>
          <w:sz w:val="18"/>
          <w:szCs w:val="18"/>
          <w:color w:val="auto"/>
        </w:rPr>
        <w:t>Research and development expenses were $25.1 million for the nine months ended September 30, 2022 as compared to $17.4 million for the nine months ended September 30, 2021. The increase of $7.7 million in research and development expenses was primarily due to an increase in headcount and personnel-related expenses, including stock-based compensation of $2.6 million.</w:t>
      </w:r>
    </w:p>
    <w:p>
      <w:pPr>
        <w:spacing w:after="0" w:line="134" w:lineRule="exact"/>
        <w:rPr>
          <w:sz w:val="20"/>
          <w:szCs w:val="20"/>
          <w:color w:val="auto"/>
        </w:rPr>
      </w:pPr>
    </w:p>
    <w:p>
      <w:pPr>
        <w:jc w:val="both"/>
        <w:ind w:right="60" w:firstLine="509"/>
        <w:spacing w:after="0" w:line="277" w:lineRule="auto"/>
        <w:rPr>
          <w:sz w:val="20"/>
          <w:szCs w:val="20"/>
          <w:color w:val="auto"/>
        </w:rPr>
      </w:pPr>
      <w:r>
        <w:rPr>
          <w:rFonts w:ascii="Arial" w:cs="Arial" w:eastAsia="Arial" w:hAnsi="Arial"/>
          <w:sz w:val="18"/>
          <w:szCs w:val="18"/>
          <w:color w:val="auto"/>
        </w:rPr>
        <w:t>We expect our research and development expense to increase in absolute dollars as we continue to develop new products and enhance existing instruments and technologies.</w:t>
      </w:r>
    </w:p>
    <w:p>
      <w:pPr>
        <w:spacing w:after="0" w:line="13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37</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3"/>
          </w:tcPr>
          <w:p>
            <w:pPr>
              <w:jc w:val="center"/>
              <w:ind w:right="59"/>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11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tcPr>
          <w:p>
            <w:pPr>
              <w:ind w:left="2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8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97"/>
              </w:rPr>
              <w:t>Change</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08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840" w:type="dxa"/>
            <w:vAlign w:val="bottom"/>
          </w:tcPr>
          <w:p>
            <w:pPr>
              <w:jc w:val="right"/>
              <w:ind w:right="64"/>
              <w:spacing w:after="0"/>
              <w:rPr>
                <w:sz w:val="20"/>
                <w:szCs w:val="20"/>
                <w:color w:val="auto"/>
              </w:rPr>
            </w:pPr>
            <w:r>
              <w:rPr>
                <w:rFonts w:ascii="Arial" w:cs="Arial" w:eastAsia="Arial" w:hAnsi="Arial"/>
                <w:sz w:val="18"/>
                <w:szCs w:val="18"/>
                <w:color w:val="auto"/>
              </w:rPr>
              <w:t>$  8,810</w:t>
            </w: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8"/>
                <w:szCs w:val="18"/>
                <w:color w:val="auto"/>
              </w:rPr>
              <w:t>$  6,553</w:t>
            </w:r>
          </w:p>
        </w:tc>
        <w:tc>
          <w:tcPr>
            <w:tcW w:w="120" w:type="dxa"/>
            <w:vAlign w:val="bottom"/>
          </w:tcPr>
          <w:p>
            <w:pPr>
              <w:spacing w:after="0"/>
              <w:rPr>
                <w:sz w:val="18"/>
                <w:szCs w:val="18"/>
                <w:color w:val="auto"/>
              </w:rPr>
            </w:pPr>
          </w:p>
        </w:tc>
        <w:tc>
          <w:tcPr>
            <w:tcW w:w="780" w:type="dxa"/>
            <w:vAlign w:val="bottom"/>
          </w:tcPr>
          <w:p>
            <w:pPr>
              <w:jc w:val="right"/>
              <w:ind w:right="62"/>
              <w:spacing w:after="0"/>
              <w:rPr>
                <w:sz w:val="20"/>
                <w:szCs w:val="20"/>
                <w:color w:val="auto"/>
              </w:rPr>
            </w:pPr>
            <w:r>
              <w:rPr>
                <w:rFonts w:ascii="Arial" w:cs="Arial" w:eastAsia="Arial" w:hAnsi="Arial"/>
                <w:sz w:val="18"/>
                <w:szCs w:val="18"/>
                <w:color w:val="auto"/>
                <w:w w:val="95"/>
              </w:rPr>
              <w:t>$  2,257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3"/>
          </w:tcPr>
          <w:p>
            <w:pPr>
              <w:jc w:val="right"/>
              <w:ind w:right="48"/>
              <w:spacing w:after="0"/>
              <w:rPr>
                <w:sz w:val="20"/>
                <w:szCs w:val="20"/>
                <w:color w:val="auto"/>
              </w:rPr>
            </w:pPr>
            <w:r>
              <w:rPr>
                <w:rFonts w:ascii="Arial" w:cs="Arial" w:eastAsia="Arial" w:hAnsi="Arial"/>
                <w:sz w:val="18"/>
                <w:szCs w:val="18"/>
                <w:color w:val="auto"/>
                <w:w w:val="98"/>
              </w:rPr>
              <w:t>34 % $ 24,201</w:t>
            </w:r>
          </w:p>
        </w:tc>
        <w:tc>
          <w:tcPr>
            <w:tcW w:w="10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8"/>
                <w:szCs w:val="18"/>
                <w:color w:val="auto"/>
                <w:w w:val="94"/>
              </w:rPr>
              <w:t>$ 16,406</w:t>
            </w:r>
          </w:p>
        </w:tc>
        <w:tc>
          <w:tcPr>
            <w:tcW w:w="100" w:type="dxa"/>
            <w:vAlign w:val="bottom"/>
          </w:tcPr>
          <w:p>
            <w:pPr>
              <w:spacing w:after="0"/>
              <w:rPr>
                <w:sz w:val="18"/>
                <w:szCs w:val="18"/>
                <w:color w:val="auto"/>
              </w:rPr>
            </w:pPr>
          </w:p>
        </w:tc>
        <w:tc>
          <w:tcPr>
            <w:tcW w:w="720" w:type="dxa"/>
            <w:vAlign w:val="bottom"/>
          </w:tcPr>
          <w:p>
            <w:pPr>
              <w:jc w:val="right"/>
              <w:ind w:right="42"/>
              <w:spacing w:after="0"/>
              <w:rPr>
                <w:sz w:val="20"/>
                <w:szCs w:val="20"/>
                <w:color w:val="auto"/>
              </w:rPr>
            </w:pPr>
            <w:r>
              <w:rPr>
                <w:rFonts w:ascii="Arial" w:cs="Arial" w:eastAsia="Arial" w:hAnsi="Arial"/>
                <w:sz w:val="18"/>
                <w:szCs w:val="18"/>
                <w:color w:val="auto"/>
                <w:w w:val="96"/>
              </w:rPr>
              <w:t>$ 7,795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Sales and marketing expenses were $8.8 million for the three months ended September 30, 2022 as compared to $6.6 million for the three months</w:t>
      </w:r>
    </w:p>
    <w:p>
      <w:pPr>
        <w:spacing w:after="0" w:line="46" w:lineRule="exact"/>
        <w:rPr>
          <w:sz w:val="20"/>
          <w:szCs w:val="20"/>
          <w:color w:val="auto"/>
        </w:rPr>
      </w:pPr>
    </w:p>
    <w:p>
      <w:pPr>
        <w:jc w:val="both"/>
        <w:ind w:right="60"/>
        <w:spacing w:after="0" w:line="260" w:lineRule="auto"/>
        <w:rPr>
          <w:sz w:val="20"/>
          <w:szCs w:val="20"/>
          <w:color w:val="auto"/>
        </w:rPr>
      </w:pPr>
      <w:r>
        <w:rPr>
          <w:rFonts w:ascii="Arial" w:cs="Arial" w:eastAsia="Arial" w:hAnsi="Arial"/>
          <w:sz w:val="18"/>
          <w:szCs w:val="18"/>
          <w:color w:val="auto"/>
        </w:rPr>
        <w:t>ended September 30, 2021. The increase of $2.3 million in sales and marketing expenses was primarily due to an increase in headcount, commissions, and personnel-related expenses of $1.5 million, including stock-based compensation of $0.6 million.</w:t>
      </w:r>
    </w:p>
    <w:p>
      <w:pPr>
        <w:spacing w:after="0" w:line="145" w:lineRule="exact"/>
        <w:rPr>
          <w:sz w:val="20"/>
          <w:szCs w:val="20"/>
          <w:color w:val="auto"/>
        </w:rPr>
      </w:pPr>
    </w:p>
    <w:p>
      <w:pPr>
        <w:jc w:val="both"/>
        <w:ind w:right="60" w:firstLine="509"/>
        <w:spacing w:after="0" w:line="249" w:lineRule="auto"/>
        <w:rPr>
          <w:sz w:val="20"/>
          <w:szCs w:val="20"/>
          <w:color w:val="auto"/>
        </w:rPr>
      </w:pPr>
      <w:r>
        <w:rPr>
          <w:rFonts w:ascii="Arial" w:cs="Arial" w:eastAsia="Arial" w:hAnsi="Arial"/>
          <w:sz w:val="18"/>
          <w:szCs w:val="18"/>
          <w:color w:val="auto"/>
        </w:rPr>
        <w:t>Sales and marketing expenses were $24.2 million for the nine months ended September 30, 2022 as compared to $16.4 million for the nine months ended September 30, 2021. The increase of $7.8 million in sales and marketing expenses was primarily due to an increase in headcount, commissions, and personnel-related expenses of $5.1 million, including stock-based compensation of $2.0 million. There was also an increase in advertising and marketing activities of $0.5 million.</w:t>
      </w:r>
    </w:p>
    <w:p>
      <w:pPr>
        <w:spacing w:after="0" w:line="154" w:lineRule="exact"/>
        <w:rPr>
          <w:sz w:val="20"/>
          <w:szCs w:val="20"/>
          <w:color w:val="auto"/>
        </w:rPr>
      </w:pPr>
    </w:p>
    <w:p>
      <w:pPr>
        <w:jc w:val="both"/>
        <w:ind w:right="60" w:firstLine="509"/>
        <w:spacing w:after="0" w:line="291" w:lineRule="auto"/>
        <w:rPr>
          <w:sz w:val="20"/>
          <w:szCs w:val="20"/>
          <w:color w:val="auto"/>
        </w:rPr>
      </w:pPr>
      <w:r>
        <w:rPr>
          <w:rFonts w:ascii="Arial" w:cs="Arial" w:eastAsia="Arial" w:hAnsi="Arial"/>
          <w:sz w:val="17"/>
          <w:szCs w:val="17"/>
          <w:color w:val="auto"/>
        </w:rPr>
        <w:t>We expect our sales and marketing expenses to increase in absolute dollars as we hire additional sales and marketing personnel, expand our sales support infrastructure and invest in our brand and product awareness to further penetrate the United States and the international markets.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14"/>
                <w:szCs w:val="14"/>
                <w:color w:val="auto"/>
              </w:rPr>
            </w:pPr>
          </w:p>
        </w:tc>
        <w:tc>
          <w:tcPr>
            <w:tcW w:w="11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220" w:type="dxa"/>
            <w:vAlign w:val="bottom"/>
          </w:tcPr>
          <w:p>
            <w:pPr>
              <w:spacing w:after="0"/>
              <w:rPr>
                <w:sz w:val="14"/>
                <w:szCs w:val="14"/>
                <w:color w:val="auto"/>
              </w:rPr>
            </w:pPr>
          </w:p>
        </w:tc>
        <w:tc>
          <w:tcPr>
            <w:tcW w:w="11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00" w:type="dxa"/>
            <w:vAlign w:val="bottom"/>
          </w:tcPr>
          <w:p>
            <w:pPr>
              <w:jc w:val="right"/>
              <w:ind w:right="124"/>
              <w:spacing w:after="0"/>
              <w:rPr>
                <w:sz w:val="20"/>
                <w:szCs w:val="20"/>
                <w:color w:val="auto"/>
              </w:rPr>
            </w:pPr>
            <w:r>
              <w:rPr>
                <w:rFonts w:ascii="Arial" w:cs="Arial" w:eastAsia="Arial" w:hAnsi="Arial"/>
                <w:sz w:val="14"/>
                <w:szCs w:val="14"/>
                <w:b w:val="1"/>
                <w:bCs w:val="1"/>
                <w:color w:val="auto"/>
              </w:rPr>
              <w:t>2022</w:t>
            </w:r>
          </w:p>
        </w:tc>
        <w:tc>
          <w:tcPr>
            <w:tcW w:w="96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1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4"/>
              <w:spacing w:after="0"/>
              <w:rPr>
                <w:sz w:val="20"/>
                <w:szCs w:val="20"/>
                <w:color w:val="auto"/>
              </w:rPr>
            </w:pPr>
            <w:r>
              <w:rPr>
                <w:rFonts w:ascii="Arial" w:cs="Arial" w:eastAsia="Arial" w:hAnsi="Arial"/>
                <w:sz w:val="14"/>
                <w:szCs w:val="14"/>
                <w:b w:val="1"/>
                <w:bCs w:val="1"/>
                <w:color w:val="auto"/>
              </w:rPr>
              <w:t>2022</w:t>
            </w:r>
          </w:p>
        </w:tc>
        <w:tc>
          <w:tcPr>
            <w:tcW w:w="9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1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520" w:type="dxa"/>
            <w:vAlign w:val="bottom"/>
          </w:tcPr>
          <w:p>
            <w:pPr>
              <w:jc w:val="right"/>
              <w:ind w:right="239"/>
              <w:spacing w:after="0"/>
              <w:rPr>
                <w:sz w:val="20"/>
                <w:szCs w:val="20"/>
                <w:color w:val="auto"/>
              </w:rPr>
            </w:pPr>
            <w:r>
              <w:rPr>
                <w:rFonts w:ascii="Arial" w:cs="Arial" w:eastAsia="Arial" w:hAnsi="Arial"/>
                <w:sz w:val="14"/>
                <w:szCs w:val="14"/>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8,042</w:t>
            </w:r>
          </w:p>
        </w:tc>
        <w:tc>
          <w:tcPr>
            <w:tcW w:w="2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5,749</w:t>
            </w:r>
          </w:p>
        </w:tc>
        <w:tc>
          <w:tcPr>
            <w:tcW w:w="2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2,293</w:t>
            </w: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40" w:type="dxa"/>
            <w:vAlign w:val="bottom"/>
            <w:vMerge w:val="continue"/>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$ 24,176</w:t>
            </w:r>
          </w:p>
        </w:tc>
        <w:tc>
          <w:tcPr>
            <w:tcW w:w="2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$ 13,896</w:t>
            </w:r>
          </w:p>
        </w:tc>
        <w:tc>
          <w:tcPr>
            <w:tcW w:w="22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$ 10,280</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4" w:lineRule="exact"/>
        <w:rPr>
          <w:sz w:val="20"/>
          <w:szCs w:val="20"/>
          <w:color w:val="auto"/>
        </w:rPr>
      </w:pPr>
    </w:p>
    <w:p>
      <w:pPr>
        <w:jc w:val="both"/>
        <w:ind w:right="60" w:firstLine="509"/>
        <w:spacing w:after="0" w:line="249" w:lineRule="auto"/>
        <w:rPr>
          <w:sz w:val="20"/>
          <w:szCs w:val="20"/>
          <w:color w:val="auto"/>
        </w:rPr>
      </w:pPr>
      <w:r>
        <w:rPr>
          <w:rFonts w:ascii="Arial" w:cs="Arial" w:eastAsia="Arial" w:hAnsi="Arial"/>
          <w:sz w:val="18"/>
          <w:szCs w:val="18"/>
          <w:color w:val="auto"/>
        </w:rPr>
        <w:t>General and administrative expenses were $8.0 million for the three months ended September 30, 2022, as compared to $5.7 million for the three months ended September 30, 2021. The increase of $2.3 million in general and administrative expenses was primarily due to an increase in general corporate personnel-related costs and infrastructure services to support the growth of our overall operations. The increase in personnel-related costs was primarily due to increased headcount and stock-based compensation of $0.5 million.</w:t>
      </w:r>
    </w:p>
    <w:p>
      <w:pPr>
        <w:spacing w:after="0" w:line="154" w:lineRule="exact"/>
        <w:rPr>
          <w:sz w:val="20"/>
          <w:szCs w:val="20"/>
          <w:color w:val="auto"/>
        </w:rPr>
      </w:pPr>
    </w:p>
    <w:p>
      <w:pPr>
        <w:jc w:val="both"/>
        <w:ind w:right="60" w:firstLine="509"/>
        <w:spacing w:after="0" w:line="249" w:lineRule="auto"/>
        <w:rPr>
          <w:sz w:val="20"/>
          <w:szCs w:val="20"/>
          <w:color w:val="auto"/>
        </w:rPr>
      </w:pPr>
      <w:r>
        <w:rPr>
          <w:rFonts w:ascii="Arial" w:cs="Arial" w:eastAsia="Arial" w:hAnsi="Arial"/>
          <w:sz w:val="18"/>
          <w:szCs w:val="18"/>
          <w:color w:val="auto"/>
        </w:rPr>
        <w:t>General and administrative expenses were $24.2 million for the nine months ended September 30, 2022 as compared to $13.9 million for the nine months ended September 30, 2021. The increase of $10.3 million in general and administrative expenses was primarily due to an increase in general corporate personnel-related costs and infrastructure services to support the growth of our overall operations. The increase in personnel-related costs was primarily due to increased headcount and stock-based compensation of $2.6 million.</w:t>
      </w:r>
    </w:p>
    <w:p>
      <w:pPr>
        <w:spacing w:after="0" w:line="140" w:lineRule="exact"/>
        <w:rPr>
          <w:sz w:val="20"/>
          <w:szCs w:val="20"/>
          <w:color w:val="auto"/>
        </w:rPr>
      </w:pPr>
    </w:p>
    <w:p>
      <w:pPr>
        <w:jc w:val="both"/>
        <w:ind w:right="60" w:firstLine="509"/>
        <w:spacing w:after="0" w:line="303" w:lineRule="auto"/>
        <w:rPr>
          <w:sz w:val="20"/>
          <w:szCs w:val="20"/>
          <w:color w:val="auto"/>
        </w:rPr>
      </w:pPr>
      <w:r>
        <w:rPr>
          <w:rFonts w:ascii="Arial" w:cs="Arial" w:eastAsia="Arial" w:hAnsi="Arial"/>
          <w:sz w:val="16"/>
          <w:szCs w:val="16"/>
          <w:color w:val="auto"/>
        </w:rPr>
        <w:t>We expect to continue to incur additional general and administrative expenses as a result of operating as a public company, including expenses related to compliance with the rules and regulations of the SEC and the Nasdaq Stock Market, additional insurance costs, investor relations activities and other administrative and professional services. As a result, we expect general and administrative expenses to increase in absolute dollars in future periods.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4"/>
          </w:tcPr>
          <w:p>
            <w:pPr>
              <w:jc w:val="center"/>
              <w:ind w:right="150"/>
              <w:spacing w:after="0"/>
              <w:rPr>
                <w:sz w:val="20"/>
                <w:szCs w:val="20"/>
                <w:color w:val="auto"/>
              </w:rPr>
            </w:pPr>
            <w:r>
              <w:rPr>
                <w:rFonts w:ascii="Arial" w:cs="Arial" w:eastAsia="Arial" w:hAnsi="Arial"/>
                <w:sz w:val="14"/>
                <w:szCs w:val="14"/>
                <w:b w:val="1"/>
                <w:bCs w:val="1"/>
                <w:color w:val="auto"/>
                <w:w w:val="90"/>
              </w:rPr>
              <w:t>Nine months ended</w:t>
            </w:r>
          </w:p>
        </w:tc>
        <w:tc>
          <w:tcPr>
            <w:tcW w:w="11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5"/>
          </w:tcPr>
          <w:p>
            <w:pPr>
              <w:ind w:left="240"/>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4"/>
          </w:tcPr>
          <w:p>
            <w:pPr>
              <w:jc w:val="center"/>
              <w:ind w:right="130"/>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gridSpan w:val="3"/>
            <w:vMerge w:val="continue"/>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c>
          <w:tcPr>
            <w:tcW w:w="114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top w:val="single" w:sz="8" w:color="auto"/>
            </w:tcBorders>
          </w:tcPr>
          <w:p>
            <w:pPr>
              <w:jc w:val="right"/>
              <w:ind w:right="144"/>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1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8"/>
              </w:rPr>
              <w:t>(649</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  (1,886</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 (1,249</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76" w:lineRule="exact"/>
        <w:rPr>
          <w:sz w:val="20"/>
          <w:szCs w:val="20"/>
          <w:color w:val="auto"/>
        </w:rPr>
      </w:pPr>
    </w:p>
    <w:p>
      <w:pPr>
        <w:jc w:val="both"/>
        <w:ind w:right="60" w:firstLine="509"/>
        <w:spacing w:after="0" w:line="268" w:lineRule="auto"/>
        <w:rPr>
          <w:sz w:val="20"/>
          <w:szCs w:val="20"/>
          <w:color w:val="auto"/>
        </w:rPr>
      </w:pPr>
      <w:r>
        <w:rPr>
          <w:rFonts w:ascii="Arial" w:cs="Arial" w:eastAsia="Arial" w:hAnsi="Arial"/>
          <w:sz w:val="17"/>
          <w:szCs w:val="17"/>
          <w:color w:val="auto"/>
        </w:rPr>
        <w:t>Interest expense was $0.6 million and $1.9 million for the three and nine months ended September 30, 2022, respectively, as compared to $0.4 million and $1.2 million for the three and nine months ended September 30, 2021, respectively. The increase was mainly due to the accretion of the present value discount related to the settlement agreement with Becton, Dickinson and Company (“BD”). See Note 10 to our unaudited interim consolidated financial statements included elsewhere in this Quarterly Report on Form 10-Q for further details.</w:t>
      </w:r>
    </w:p>
    <w:p>
      <w:pPr>
        <w:spacing w:after="0" w:line="13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38</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center"/>
              <w:ind w:right="79"/>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11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4"/>
          </w:tcPr>
          <w:p>
            <w:pPr>
              <w:jc w:val="center"/>
              <w:ind w:right="199"/>
              <w:spacing w:after="0"/>
              <w:rPr>
                <w:sz w:val="20"/>
                <w:szCs w:val="20"/>
                <w:color w:val="auto"/>
              </w:rPr>
            </w:pPr>
            <w:r>
              <w:rPr>
                <w:rFonts w:ascii="Arial" w:cs="Arial" w:eastAsia="Arial" w:hAnsi="Arial"/>
                <w:sz w:val="14"/>
                <w:szCs w:val="14"/>
                <w:b w:val="1"/>
                <w:bCs w:val="1"/>
                <w:color w:val="auto"/>
                <w:w w:val="90"/>
              </w:rPr>
              <w:t>Nine months ended</w:t>
            </w:r>
          </w:p>
        </w:tc>
        <w:tc>
          <w:tcPr>
            <w:tcW w:w="120" w:type="dxa"/>
            <w:vAlign w:val="bottom"/>
          </w:tcPr>
          <w:p>
            <w:pPr>
              <w:spacing w:after="0"/>
              <w:rPr>
                <w:sz w:val="14"/>
                <w:szCs w:val="14"/>
                <w:color w:val="auto"/>
              </w:rPr>
            </w:pPr>
          </w:p>
        </w:tc>
        <w:tc>
          <w:tcPr>
            <w:tcW w:w="110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bottom w:val="single" w:sz="8" w:color="auto"/>
            </w:tcBorders>
            <w:gridSpan w:val="4"/>
          </w:tcPr>
          <w:p>
            <w:pPr>
              <w:jc w:val="center"/>
              <w:ind w:right="19"/>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right="139"/>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8"/>
                <w:szCs w:val="18"/>
                <w:color w:val="auto"/>
              </w:rPr>
              <w:t>$  1,584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59"/>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760" w:type="dxa"/>
            <w:vAlign w:val="bottom"/>
          </w:tcPr>
          <w:p>
            <w:pPr>
              <w:jc w:val="right"/>
              <w:ind w:right="42"/>
              <w:spacing w:after="0"/>
              <w:rPr>
                <w:sz w:val="20"/>
                <w:szCs w:val="20"/>
                <w:color w:val="auto"/>
              </w:rPr>
            </w:pPr>
            <w:r>
              <w:rPr>
                <w:rFonts w:ascii="Arial" w:cs="Arial" w:eastAsia="Arial" w:hAnsi="Arial"/>
                <w:sz w:val="18"/>
                <w:szCs w:val="18"/>
                <w:color w:val="auto"/>
              </w:rPr>
              <w:t>1,572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3"/>
          </w:tcPr>
          <w:p>
            <w:pPr>
              <w:ind w:left="60"/>
              <w:spacing w:after="0"/>
              <w:rPr>
                <w:sz w:val="20"/>
                <w:szCs w:val="20"/>
                <w:color w:val="auto"/>
              </w:rPr>
            </w:pPr>
            <w:r>
              <w:rPr>
                <w:rFonts w:ascii="Arial" w:cs="Arial" w:eastAsia="Arial" w:hAnsi="Arial"/>
                <w:sz w:val="18"/>
                <w:szCs w:val="18"/>
                <w:color w:val="auto"/>
                <w:w w:val="95"/>
              </w:rPr>
              <w:t>13100 % $</w:t>
            </w:r>
          </w:p>
        </w:tc>
        <w:tc>
          <w:tcPr>
            <w:tcW w:w="660" w:type="dxa"/>
            <w:vAlign w:val="bottom"/>
          </w:tcPr>
          <w:p>
            <w:pPr>
              <w:jc w:val="right"/>
              <w:ind w:right="44"/>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9"/>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740" w:type="dxa"/>
            <w:vAlign w:val="bottom"/>
          </w:tcPr>
          <w:p>
            <w:pPr>
              <w:jc w:val="right"/>
              <w:ind w:right="42"/>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6329 %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76" w:lineRule="exact"/>
        <w:rPr>
          <w:sz w:val="20"/>
          <w:szCs w:val="20"/>
          <w:color w:val="auto"/>
        </w:rPr>
      </w:pPr>
    </w:p>
    <w:p>
      <w:pPr>
        <w:jc w:val="both"/>
        <w:ind w:right="60" w:firstLine="509"/>
        <w:spacing w:after="0" w:line="271" w:lineRule="auto"/>
        <w:rPr>
          <w:sz w:val="20"/>
          <w:szCs w:val="20"/>
          <w:color w:val="auto"/>
        </w:rPr>
      </w:pPr>
      <w:r>
        <w:rPr>
          <w:rFonts w:ascii="Arial" w:cs="Arial" w:eastAsia="Arial" w:hAnsi="Arial"/>
          <w:sz w:val="18"/>
          <w:szCs w:val="18"/>
          <w:color w:val="auto"/>
        </w:rPr>
        <w:t>Interest income was $1.6 million and $2.0 million for the three and nine months ended September 30, 2022, respectively, as compared to $12,000 and $31,000 for the three and nine months ended September 30, 2021, respectively. The increase in interest income was the result of higher interest earned on our cash and cash equivalents due to an increase in interest rates as compared to 2021.</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14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tcPr>
          <w:p>
            <w:pPr>
              <w:jc w:val="center"/>
              <w:ind w:right="59"/>
              <w:spacing w:after="0"/>
              <w:rPr>
                <w:sz w:val="20"/>
                <w:szCs w:val="20"/>
                <w:color w:val="auto"/>
              </w:rPr>
            </w:pPr>
            <w:r>
              <w:rPr>
                <w:rFonts w:ascii="Arial" w:cs="Arial" w:eastAsia="Arial" w:hAnsi="Arial"/>
                <w:sz w:val="14"/>
                <w:szCs w:val="14"/>
                <w:b w:val="1"/>
                <w:bCs w:val="1"/>
                <w:color w:val="auto"/>
                <w:w w:val="90"/>
              </w:rPr>
              <w:t>Nine months ended</w:t>
            </w:r>
          </w:p>
        </w:tc>
        <w:tc>
          <w:tcPr>
            <w:tcW w:w="120" w:type="dxa"/>
            <w:vAlign w:val="bottom"/>
          </w:tcPr>
          <w:p>
            <w:pPr>
              <w:spacing w:after="0"/>
              <w:rPr>
                <w:sz w:val="14"/>
                <w:szCs w:val="14"/>
                <w:color w:val="auto"/>
              </w:rPr>
            </w:pPr>
          </w:p>
        </w:tc>
        <w:tc>
          <w:tcPr>
            <w:tcW w:w="11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6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240"/>
              <w:spacing w:after="0"/>
              <w:rPr>
                <w:sz w:val="20"/>
                <w:szCs w:val="20"/>
                <w:color w:val="auto"/>
              </w:rPr>
            </w:pPr>
            <w:r>
              <w:rPr>
                <w:rFonts w:ascii="Arial" w:cs="Arial" w:eastAsia="Arial" w:hAnsi="Arial"/>
                <w:sz w:val="18"/>
                <w:szCs w:val="18"/>
                <w:color w:val="auto"/>
                <w:w w:val="97"/>
              </w:rPr>
              <w:t>(445 )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(393 )</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w w:val="98"/>
              </w:rPr>
              <w:t>13 % $  (1,073 )</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 (1,128 )</w:t>
            </w:r>
          </w:p>
        </w:tc>
        <w:tc>
          <w:tcPr>
            <w:tcW w:w="120" w:type="dxa"/>
            <w:vAlign w:val="bottom"/>
          </w:tcPr>
          <w:p>
            <w:pPr>
              <w:spacing w:after="0"/>
              <w:rPr>
                <w:sz w:val="18"/>
                <w:szCs w:val="18"/>
                <w:color w:val="auto"/>
              </w:rPr>
            </w:pPr>
          </w:p>
        </w:tc>
        <w:tc>
          <w:tcPr>
            <w:tcW w:w="780" w:type="dxa"/>
            <w:vAlign w:val="bottom"/>
          </w:tcPr>
          <w:p>
            <w:pPr>
              <w:jc w:val="right"/>
              <w:ind w:right="4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76" w:lineRule="exact"/>
        <w:rPr>
          <w:sz w:val="20"/>
          <w:szCs w:val="20"/>
          <w:color w:val="auto"/>
        </w:rPr>
      </w:pPr>
    </w:p>
    <w:p>
      <w:pPr>
        <w:jc w:val="both"/>
        <w:ind w:right="60" w:firstLine="509"/>
        <w:spacing w:after="0" w:line="268" w:lineRule="auto"/>
        <w:rPr>
          <w:sz w:val="20"/>
          <w:szCs w:val="20"/>
          <w:color w:val="auto"/>
        </w:rPr>
      </w:pPr>
      <w:r>
        <w:rPr>
          <w:rFonts w:ascii="Arial" w:cs="Arial" w:eastAsia="Arial" w:hAnsi="Arial"/>
          <w:sz w:val="17"/>
          <w:szCs w:val="17"/>
          <w:color w:val="auto"/>
        </w:rPr>
        <w:t>Other expense, net was $445,000 and $1.1 million for the three and nine months ended September 30, 2022, respectively, as compared to other expense, net of $393,000 and $1.1 million for the three and nine months ended September 30, 2021, respectively. The increase of $52,000 was primarily the result of the net impact of foreign exchange gains and losses during the three months ended September 30, 2022. The decrease of $55,000 was primarily the result of the net impact of foreign exchange gains and losses during the nine months ended September 30, 2022.</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11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3"/>
          </w:tcPr>
          <w:p>
            <w:pPr>
              <w:jc w:val="center"/>
              <w:ind w:right="59"/>
              <w:spacing w:after="0"/>
              <w:rPr>
                <w:sz w:val="20"/>
                <w:szCs w:val="20"/>
                <w:color w:val="auto"/>
              </w:rPr>
            </w:pPr>
            <w:r>
              <w:rPr>
                <w:rFonts w:ascii="Arial" w:cs="Arial" w:eastAsia="Arial" w:hAnsi="Arial"/>
                <w:sz w:val="14"/>
                <w:szCs w:val="14"/>
                <w:b w:val="1"/>
                <w:bCs w:val="1"/>
                <w:color w:val="auto"/>
                <w:w w:val="90"/>
              </w:rPr>
              <w:t>Nine months ended</w:t>
            </w:r>
          </w:p>
        </w:tc>
        <w:tc>
          <w:tcPr>
            <w:tcW w:w="120" w:type="dxa"/>
            <w:vAlign w:val="bottom"/>
          </w:tcPr>
          <w:p>
            <w:pPr>
              <w:spacing w:after="0"/>
              <w:rPr>
                <w:sz w:val="14"/>
                <w:szCs w:val="14"/>
                <w:color w:val="auto"/>
              </w:rPr>
            </w:pPr>
          </w:p>
        </w:tc>
        <w:tc>
          <w:tcPr>
            <w:tcW w:w="110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44"/>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59"/>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(431 )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w w:val="95"/>
              </w:rPr>
              <w:t>-66 % $  (1,620 )</w:t>
            </w:r>
          </w:p>
        </w:tc>
        <w:tc>
          <w:tcPr>
            <w:tcW w:w="12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8"/>
                <w:szCs w:val="18"/>
                <w:color w:val="auto"/>
                <w:w w:val="95"/>
              </w:rPr>
              <w:t>$  1,302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76" w:lineRule="exact"/>
        <w:rPr>
          <w:sz w:val="20"/>
          <w:szCs w:val="20"/>
          <w:color w:val="auto"/>
        </w:rPr>
      </w:pPr>
    </w:p>
    <w:p>
      <w:pPr>
        <w:jc w:val="both"/>
        <w:ind w:right="60" w:firstLine="509"/>
        <w:spacing w:after="0" w:line="249" w:lineRule="auto"/>
        <w:rPr>
          <w:sz w:val="20"/>
          <w:szCs w:val="20"/>
          <w:color w:val="auto"/>
        </w:rPr>
      </w:pPr>
      <w:r>
        <w:rPr>
          <w:rFonts w:ascii="Arial" w:cs="Arial" w:eastAsia="Arial" w:hAnsi="Arial"/>
          <w:sz w:val="18"/>
          <w:szCs w:val="18"/>
          <w:color w:val="auto"/>
        </w:rPr>
        <w:t>Provision for income tax was $224,000 and benefit from income taxes was $1.6 million for the three and nine months ended September 30, 2022, respectively, as compared to income tax expense of $0.7 million and $1.3 million for the three and nine months ended September 30, 2021, respectively. The net change of $2.9 million was the result of net loss in the nine months ended September 30, 2022, which caused income tax benefit to be recorded at the expected annual effective tax rate.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To date, our primary sources of capital have been through sales of our securities and revenue from the sale of our products and services. As of September 30, 2022 and December 31, 2021, we had approximately $341.5 million and $364.6 million, respectively, in cash and cash equivalents, which were primarily held in U.S. short-term bank deposit accounts and money market funds.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and material cash requirements</w:t>
      </w:r>
    </w:p>
    <w:p>
      <w:pPr>
        <w:spacing w:after="0" w:line="185" w:lineRule="exact"/>
        <w:rPr>
          <w:sz w:val="20"/>
          <w:szCs w:val="20"/>
          <w:color w:val="auto"/>
        </w:rPr>
      </w:pPr>
    </w:p>
    <w:p>
      <w:pPr>
        <w:jc w:val="both"/>
        <w:ind w:right="60" w:firstLine="509"/>
        <w:spacing w:after="0" w:line="260" w:lineRule="auto"/>
        <w:rPr>
          <w:sz w:val="20"/>
          <w:szCs w:val="20"/>
          <w:color w:val="auto"/>
        </w:rPr>
      </w:pPr>
      <w:r>
        <w:rPr>
          <w:rFonts w:ascii="Arial" w:cs="Arial" w:eastAsia="Arial" w:hAnsi="Arial"/>
          <w:sz w:val="17"/>
          <w:szCs w:val="17"/>
          <w:color w:val="auto"/>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new and continued impacts of the COVID-19 pandemic,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spacing w:after="0" w:line="147" w:lineRule="exact"/>
        <w:rPr>
          <w:sz w:val="20"/>
          <w:szCs w:val="20"/>
          <w:color w:val="auto"/>
        </w:rPr>
      </w:pPr>
    </w:p>
    <w:p>
      <w:pPr>
        <w:jc w:val="both"/>
        <w:ind w:right="60" w:firstLine="509"/>
        <w:spacing w:after="0" w:line="342" w:lineRule="auto"/>
        <w:rPr>
          <w:sz w:val="20"/>
          <w:szCs w:val="20"/>
          <w:color w:val="auto"/>
        </w:rPr>
      </w:pPr>
      <w:r>
        <w:rPr>
          <w:rFonts w:ascii="Arial" w:cs="Arial" w:eastAsia="Arial" w:hAnsi="Arial"/>
          <w:sz w:val="16"/>
          <w:szCs w:val="16"/>
          <w:color w:val="auto"/>
        </w:rPr>
        <w:t>We currently anticipate making additional capital expenditures during the next 12 months, which is expected to primarily include equipment to be used for manufacturing and investment in research and development, as well as spend associated with the expansion of our facilities in Wuxi, China.</w:t>
      </w:r>
    </w:p>
    <w:p>
      <w:pPr>
        <w:spacing w:after="0" w:line="70" w:lineRule="exact"/>
        <w:rPr>
          <w:sz w:val="20"/>
          <w:szCs w:val="20"/>
          <w:color w:val="auto"/>
        </w:rPr>
      </w:pPr>
    </w:p>
    <w:p>
      <w:pPr>
        <w:jc w:val="both"/>
        <w:ind w:right="60" w:firstLine="509"/>
        <w:spacing w:after="0" w:line="342" w:lineRule="auto"/>
        <w:rPr>
          <w:sz w:val="20"/>
          <w:szCs w:val="20"/>
          <w:color w:val="auto"/>
        </w:rPr>
      </w:pPr>
      <w:r>
        <w:rPr>
          <w:rFonts w:ascii="Arial" w:cs="Arial" w:eastAsia="Arial" w:hAnsi="Arial"/>
          <w:sz w:val="16"/>
          <w:szCs w:val="16"/>
          <w:color w:val="auto"/>
        </w:rPr>
        <w:t>Based on our current business plan, we believe our existing cash and cash equivalents and anticipated cash flows from operations will be sufficient to meet our working capital and capital expenditure needs for at least the next 12 months from the date of this Quarterly Report on Form 10-Q.</w:t>
      </w:r>
    </w:p>
    <w:p>
      <w:pPr>
        <w:spacing w:after="0" w:line="8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5"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39</w:t>
      </w:r>
    </w:p>
    <w:p>
      <w:pPr>
        <w:spacing w:after="0" w:line="104" w:lineRule="exact"/>
        <w:rPr>
          <w:sz w:val="20"/>
          <w:szCs w:val="20"/>
          <w:color w:val="auto"/>
        </w:rPr>
      </w:pPr>
    </w:p>
    <w:p>
      <w:pPr>
        <w:jc w:val="both"/>
        <w:ind w:right="20" w:firstLine="509"/>
        <w:spacing w:after="0" w:line="256" w:lineRule="auto"/>
        <w:rPr>
          <w:sz w:val="20"/>
          <w:szCs w:val="20"/>
          <w:color w:val="auto"/>
        </w:rPr>
      </w:pPr>
      <w:r>
        <w:rPr>
          <w:rFonts w:ascii="Arial" w:cs="Arial" w:eastAsia="Arial" w:hAnsi="Arial"/>
          <w:sz w:val="18"/>
          <w:szCs w:val="18"/>
          <w:color w:val="auto"/>
        </w:rPr>
        <w:t>In addition, we lease certain office facilities under operating lease arrangements that expire on various dates through fiscal year 2027. Under the terms of the leases, we are responsible for certain expenses related to operations, maintenance, repairs and management fees. Future minimum lease payments under non-cancelable operating leases totaled $17.0 million as of September 30, 2022.</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We have financed our operations primarily through sales of our securities. In July 2021, we completed our IPO, which resulted in net proceeds to us of approximately $215.7 million. We have also benefited from operating cash flows from the sale of our products and services.</w:t>
      </w:r>
    </w:p>
    <w:p>
      <w:pPr>
        <w:spacing w:after="0" w:line="12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On May 7, 2020, we received loan proceeds in the amount of approximately $4.1 million under the PPP. The PPP, established as part of the CARES Act, provides for loans to qualifying businesses for amounts up to 2.5 times of the average monthly payroll expenses of the qualifying business. On May 4, 2021, we fully repaid the PPP loan.</w:t>
      </w:r>
    </w:p>
    <w:p>
      <w:pPr>
        <w:spacing w:after="0" w:line="15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On August 26, 2022, we entered into a sales agreement (the “Sales Agreement”) with Piper Sandler &amp; Co. (“Piper”) as sales agent to sell from time to time up to $150 million of our common stock through an “at the market” offering program. To date, we have not made any sales of common stock pursuant to the Sales Agreement. The securities in this transaction were offered pursuant to an automatic shelf registration statement on Form S-3ASR (File No. 333-267118) that was filed with the SEC on August 26, 2022.</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73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4"/>
                <w:szCs w:val="14"/>
                <w:color w:val="auto"/>
              </w:rPr>
            </w:pPr>
          </w:p>
        </w:tc>
        <w:tc>
          <w:tcPr>
            <w:tcW w:w="1420" w:type="dxa"/>
            <w:vAlign w:val="bottom"/>
          </w:tcPr>
          <w:p>
            <w:pPr>
              <w:jc w:val="right"/>
              <w:ind w:right="75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jc w:val="right"/>
              <w:ind w:right="733"/>
              <w:spacing w:after="0"/>
              <w:rPr>
                <w:sz w:val="20"/>
                <w:szCs w:val="20"/>
                <w:color w:val="auto"/>
              </w:rPr>
            </w:pPr>
            <w:r>
              <w:rPr>
                <w:rFonts w:ascii="Arial" w:cs="Arial" w:eastAsia="Arial" w:hAnsi="Arial"/>
                <w:sz w:val="14"/>
                <w:szCs w:val="14"/>
                <w:b w:val="1"/>
                <w:bCs w:val="1"/>
                <w:color w:val="auto"/>
              </w:rPr>
              <w:t>2021</w:t>
            </w:r>
          </w:p>
        </w:tc>
      </w:tr>
      <w:tr>
        <w:trPr>
          <w:trHeight w:val="209"/>
        </w:trPr>
        <w:tc>
          <w:tcPr>
            <w:tcW w:w="71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20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r>
      <w:tr>
        <w:trPr>
          <w:trHeight w:val="216"/>
        </w:trPr>
        <w:tc>
          <w:tcPr>
            <w:tcW w:w="7380" w:type="dxa"/>
            <w:vAlign w:val="bottom"/>
            <w:gridSpan w:val="2"/>
          </w:tcPr>
          <w:p>
            <w:pPr>
              <w:ind w:left="160"/>
              <w:spacing w:after="0"/>
              <w:rPr>
                <w:sz w:val="20"/>
                <w:szCs w:val="20"/>
                <w:color w:val="auto"/>
              </w:rPr>
            </w:pPr>
            <w:r>
              <w:rPr>
                <w:rFonts w:ascii="Arial" w:cs="Arial" w:eastAsia="Arial" w:hAnsi="Arial"/>
                <w:sz w:val="18"/>
                <w:szCs w:val="18"/>
                <w:color w:val="auto"/>
              </w:rPr>
              <w:t>Operating activities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(18,424 )</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(818 )</w:t>
            </w:r>
          </w:p>
        </w:tc>
      </w:tr>
      <w:tr>
        <w:trPr>
          <w:trHeight w:val="216"/>
        </w:trPr>
        <w:tc>
          <w:tcPr>
            <w:tcW w:w="73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Investing activities</w:t>
            </w: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(4,845 )</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(2,697 )</w:t>
            </w:r>
          </w:p>
        </w:tc>
      </w:tr>
      <w:tr>
        <w:trPr>
          <w:trHeight w:val="216"/>
        </w:trPr>
        <w:tc>
          <w:tcPr>
            <w:tcW w:w="7380" w:type="dxa"/>
            <w:vAlign w:val="bottom"/>
            <w:gridSpan w:val="2"/>
          </w:tcPr>
          <w:p>
            <w:pPr>
              <w:ind w:left="160"/>
              <w:spacing w:after="0"/>
              <w:rPr>
                <w:sz w:val="20"/>
                <w:szCs w:val="20"/>
                <w:color w:val="auto"/>
              </w:rPr>
            </w:pPr>
            <w:r>
              <w:rPr>
                <w:rFonts w:ascii="Arial" w:cs="Arial" w:eastAsia="Arial" w:hAnsi="Arial"/>
                <w:sz w:val="18"/>
                <w:szCs w:val="18"/>
                <w:color w:val="auto"/>
              </w:rPr>
              <w:t>Financing activities</w:t>
            </w:r>
          </w:p>
        </w:tc>
        <w:tc>
          <w:tcPr>
            <w:tcW w:w="420" w:type="dxa"/>
            <w:vAlign w:val="bottom"/>
          </w:tcPr>
          <w:p>
            <w:pPr>
              <w:spacing w:after="0"/>
              <w:rPr>
                <w:sz w:val="18"/>
                <w:szCs w:val="18"/>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1,663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213,542</w:t>
            </w:r>
          </w:p>
        </w:tc>
      </w:tr>
      <w:tr>
        <w:trPr>
          <w:trHeight w:val="216"/>
        </w:trPr>
        <w:tc>
          <w:tcPr>
            <w:tcW w:w="738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Effect of exchange rate changes on cash and cash equivalents</w:t>
            </w:r>
          </w:p>
        </w:tc>
        <w:tc>
          <w:tcPr>
            <w:tcW w:w="4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(1,489 )</w:t>
            </w:r>
          </w:p>
        </w:tc>
        <w:tc>
          <w:tcPr>
            <w:tcW w:w="1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625</w:t>
            </w:r>
          </w:p>
        </w:tc>
      </w:tr>
      <w:tr>
        <w:trPr>
          <w:trHeight w:val="209"/>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(23,095 )</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210,652</w:t>
            </w:r>
          </w:p>
        </w:tc>
      </w:tr>
      <w:tr>
        <w:trPr>
          <w:trHeight w:val="20"/>
        </w:trPr>
        <w:tc>
          <w:tcPr>
            <w:tcW w:w="7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-170815</wp:posOffset>
            </wp:positionV>
            <wp:extent cx="111125"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1125" cy="171450"/>
                    </a:xfrm>
                    <a:prstGeom prst="rect">
                      <a:avLst/>
                    </a:prstGeom>
                    <a:noFill/>
                  </pic:spPr>
                </pic:pic>
              </a:graphicData>
            </a:graphic>
          </wp:anchor>
        </w:drawing>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Net cash used in operating activities for the nine months ended September 30, 2022 was $18.4 million. Net loss was $1.2 million; we also incurred non-cash stock-based compensation expense, depreciation and amortization, amortization of right-of-use assets, and interest expenses for accretion of the legal settlement liabilities of $12.1 million, $1.7 million, $2.1 million, and $1.6 million, respectively. Usage of cash included an increase of inventories of $19.5 million, an increase of trade accounts receivable of $11.8 million due to an increase in sales, and an increase in prepaid expenses and other assets of $15.0 million. This was partially offset by an increase of trade accounts payables of $2.8 million, an increase in deferred revenue of $6.5 million, an increase in accrued expenses and other liabilities of $2.8 million and an increase in the legal settlement liability of $0.5 million.</w:t>
      </w:r>
    </w:p>
    <w:p>
      <w:pPr>
        <w:spacing w:after="0" w:line="13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Net cash used in operating activities for the nine months ended September 30, 2021 was $0.8 million. Net income was $4.2 million; we also incurred non-cash stock-based compensation expense, interest expenses for accretion of the legal settlement liabilities, and depreciation and amortization of $3.6 million, $1.2 million, and $0.6 million, respectively. Usage of cash included an increase of trade accounts receivable of $11.6 million due to an increase in sales, an increase in prepaid expenses and other assets of $5.0 million and an increase in inventories of $4.8 million. This was partially offset by an increase in deferred revenue of $6.6 million, an increase in accrued expenses and other liabilities of $2.1 million, an increase in the legal settlement liability of $1.6 million, and an increase in trade accounts payable of $0.5 million.</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Net cash used in investing activities during the nine months ended September 30, 2022 was $4.8 million driven by purchases of property and equipment of $3.2 million and payment of investments of $1.6 million.</w:t>
      </w:r>
    </w:p>
    <w:p>
      <w:pPr>
        <w:spacing w:after="0" w:line="144"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Net cash used in investing activities during the nine months ended September 30, 2021 was $2.7 million driven by an increase in purchases of property and equipment of $3.1 million partially offset by the payment for the additional investment in Cytek Japan, net of cash acquired of $371,000.</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40</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Net cash provided by financing activities during the nine months ended September 30, 2022 was $1.7 million driven by issuance of our common stock under our equity incentive plans.</w:t>
      </w:r>
    </w:p>
    <w:p>
      <w:pPr>
        <w:spacing w:after="0" w:line="14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Net cash provided by financing activities during the nine months ended September 30, 2021 was $213.5 million primarily driven by our IPO, which resulted in net proceeds to us of approximately $215.7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significant judgments</w:t>
      </w:r>
    </w:p>
    <w:p>
      <w:pPr>
        <w:spacing w:after="0" w:line="202"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7"/>
          <w:szCs w:val="17"/>
          <w:color w:val="auto"/>
        </w:rPr>
        <w:t xml:space="preserve">This management’s discussion and analysis of our financial condition and results of operations is based on our unaudited interim consolidated financial statements, which have been prepared in accordance with accounting principles generally accepted in the United States of America, or GAAP. The preparation of our unaudited interim consolidated financial statements in conformity with GAAP requires management to make estimates and assumptions that affect the amounts reported in the unaudited interim consolidated financial statements and notes to the unaudited interim consolidated financial statements. Some of those judgments can be subjective and complex, and therefore, actual results could differ materially from those estimates are different assumptions and conditions. A summary of our critical accounting policies is presented in our audited financial statements and notes thereto as of and for the year ended December 31, 2021 included in our Annual Report on Form 10-K filed with the SEC on March 17, 2022. There were no material changes to our critical accounting policies during the nine months ended September 30, 2022, except as discussed in “Recently adopted accounting pronouncements” in </w:t>
      </w:r>
      <w:r>
        <w:rPr>
          <w:rFonts w:ascii="Arial" w:cs="Arial" w:eastAsia="Arial" w:hAnsi="Arial"/>
          <w:sz w:val="17"/>
          <w:szCs w:val="17"/>
          <w:i w:val="1"/>
          <w:iCs w:val="1"/>
          <w:color w:val="auto"/>
        </w:rPr>
        <w:t>Note 2</w:t>
      </w:r>
      <w:r>
        <w:rPr>
          <w:rFonts w:ascii="Arial" w:cs="Arial" w:eastAsia="Arial" w:hAnsi="Arial"/>
          <w:sz w:val="17"/>
          <w:szCs w:val="17"/>
          <w:color w:val="auto"/>
        </w:rPr>
        <w:t xml:space="preserve">, </w:t>
      </w:r>
      <w:r>
        <w:rPr>
          <w:rFonts w:ascii="Arial" w:cs="Arial" w:eastAsia="Arial" w:hAnsi="Arial"/>
          <w:sz w:val="17"/>
          <w:szCs w:val="17"/>
          <w:i w:val="1"/>
          <w:iCs w:val="1"/>
          <w:color w:val="auto"/>
        </w:rPr>
        <w:t>Basis of presentation and summary of significant accounting policies</w:t>
      </w:r>
      <w:r>
        <w:rPr>
          <w:rFonts w:ascii="Arial" w:cs="Arial" w:eastAsia="Arial" w:hAnsi="Arial"/>
          <w:sz w:val="17"/>
          <w:szCs w:val="17"/>
          <w:color w:val="auto"/>
        </w:rPr>
        <w:t>, of the Notes to unaudited interim consolidated financial statements included in this quarterly report.</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89" w:lineRule="exact"/>
        <w:rPr>
          <w:sz w:val="20"/>
          <w:szCs w:val="20"/>
          <w:color w:val="auto"/>
        </w:rPr>
      </w:pPr>
    </w:p>
    <w:p>
      <w:pPr>
        <w:jc w:val="both"/>
        <w:ind w:left="20" w:right="20" w:firstLine="509"/>
        <w:spacing w:after="0" w:line="261" w:lineRule="auto"/>
        <w:rPr>
          <w:sz w:val="20"/>
          <w:szCs w:val="20"/>
          <w:color w:val="auto"/>
        </w:rPr>
      </w:pPr>
      <w:r>
        <w:rPr>
          <w:rFonts w:ascii="Arial" w:cs="Arial" w:eastAsia="Arial" w:hAnsi="Arial"/>
          <w:sz w:val="18"/>
          <w:szCs w:val="18"/>
          <w:color w:val="auto"/>
        </w:rPr>
        <w:t>See Note 2 to our unaudited interim consolidated financial statements included elsewhere in this Quarterly Report on Form 10-Q for a description of recent accounting pronouncements applicable to our financial statements.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89" w:lineRule="exact"/>
        <w:rPr>
          <w:sz w:val="20"/>
          <w:szCs w:val="20"/>
          <w:color w:val="auto"/>
        </w:rPr>
      </w:pPr>
    </w:p>
    <w:p>
      <w:pPr>
        <w:jc w:val="both"/>
        <w:ind w:left="20" w:right="20" w:firstLine="509"/>
        <w:spacing w:after="0" w:line="259" w:lineRule="auto"/>
        <w:rPr>
          <w:sz w:val="20"/>
          <w:szCs w:val="20"/>
          <w:color w:val="auto"/>
        </w:rPr>
      </w:pPr>
      <w:r>
        <w:rPr>
          <w:rFonts w:ascii="Arial" w:cs="Arial" w:eastAsia="Arial" w:hAnsi="Arial"/>
          <w:sz w:val="17"/>
          <w:szCs w:val="17"/>
          <w:color w:val="auto"/>
        </w:rPr>
        <w:t>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 We may take advantage of these exemptions until we are no longer an emerging growth company. We will remain an emerging growth company until the end of the 2022 fiscal year.</w:t>
      </w:r>
    </w:p>
    <w:p>
      <w:pPr>
        <w:spacing w:after="0" w:line="148" w:lineRule="exact"/>
        <w:rPr>
          <w:sz w:val="20"/>
          <w:szCs w:val="20"/>
          <w:color w:val="auto"/>
        </w:rPr>
      </w:pPr>
    </w:p>
    <w:p>
      <w:pPr>
        <w:jc w:val="both"/>
        <w:ind w:left="20" w:right="20" w:firstLine="509"/>
        <w:spacing w:after="0" w:line="245" w:lineRule="auto"/>
        <w:rPr>
          <w:sz w:val="20"/>
          <w:szCs w:val="20"/>
          <w:color w:val="auto"/>
        </w:rPr>
      </w:pPr>
      <w:r>
        <w:rPr>
          <w:rFonts w:ascii="Arial" w:cs="Arial" w:eastAsia="Arial" w:hAnsi="Arial"/>
          <w:sz w:val="18"/>
          <w:szCs w:val="18"/>
          <w:color w:val="auto"/>
        </w:rPr>
        <w:t>We are also a “smaller reporting company,” as defined in the Exchange Act and will continue to qualify as a smaller reporting company through the end of the 2022 fiscal year. For as long as we continue to be a smaller reporting company, we may take advantage of certain of the scaled disclosures available to smaller reporting companies. Specifically, as a smaller reporting company we may choose to present only the two most recent fiscal years of audited consolidated financial statements in our Annual Report on Form 10-K and, similar to emerging growth companies, smaller reporting companies have reduced disclosure obligations regarding executive compensation.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41</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2" w:lineRule="exact"/>
        <w:rPr>
          <w:sz w:val="20"/>
          <w:szCs w:val="20"/>
          <w:color w:val="auto"/>
        </w:rPr>
      </w:pPr>
    </w:p>
    <w:p>
      <w:pPr>
        <w:jc w:val="both"/>
        <w:ind w:right="200" w:firstLine="509"/>
        <w:spacing w:after="0" w:line="256"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The market risk inherent in our financial instruments and in our financial condition represents the potential loss arising from adverse changes in interest rates or exchange rates. As of September 30, 2022, we had cash and cash equivalents of $341.5 million, which consisted primarily of money market funds and bank deposits. The primary objective of our investment is to preserve principal and provide liquidity. These money market funds and bank deposits generate interest income at variable rates.</w:t>
      </w:r>
    </w:p>
    <w:p>
      <w:pPr>
        <w:spacing w:after="0" w:line="14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therefore do not believe we are exposed to, nor do we anticipate being in the near future exposed to, material risk due to changes in interest rates because of the short-term nature of our cash and cash equivalents.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1" w:lineRule="exact"/>
        <w:rPr>
          <w:sz w:val="20"/>
          <w:szCs w:val="20"/>
          <w:color w:val="auto"/>
        </w:rPr>
      </w:pPr>
    </w:p>
    <w:p>
      <w:pPr>
        <w:jc w:val="both"/>
        <w:ind w:right="20" w:firstLine="509"/>
        <w:spacing w:after="0" w:line="256" w:lineRule="auto"/>
        <w:rPr>
          <w:sz w:val="20"/>
          <w:szCs w:val="20"/>
          <w:color w:val="auto"/>
        </w:rPr>
      </w:pPr>
      <w:r>
        <w:rPr>
          <w:rFonts w:ascii="Arial" w:cs="Arial" w:eastAsia="Arial" w:hAnsi="Arial"/>
          <w:sz w:val="18"/>
          <w:szCs w:val="18"/>
          <w:color w:val="auto"/>
        </w:rPr>
        <w:t>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w:t>
      </w:r>
    </w:p>
    <w:p>
      <w:pPr>
        <w:spacing w:after="0" w:line="14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spacing w:after="0" w:line="13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do not believe that either inflation or foreign currency risk had a material effect on our business, financial condition, or results of operations during the periods presented.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jc w:val="both"/>
        <w:ind w:left="20" w:firstLine="509"/>
        <w:spacing w:after="0" w:line="263"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have evaluated the effectiveness of our disclosure controls and procedures (as defined in Rules 13a-15(e) and 15d-15(e) of the Exchange Act) as of the end of the period covered by this Quarterly Report on Form 10-Q.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as a result of the material weaknesses in our internal control, our disclosure controls and procedures were not effective as of September 30, 2022.</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w:t>
      </w:r>
    </w:p>
    <w:p>
      <w:pPr>
        <w:spacing w:after="0" w:line="171" w:lineRule="exact"/>
        <w:rPr>
          <w:sz w:val="20"/>
          <w:szCs w:val="20"/>
          <w:color w:val="auto"/>
        </w:rPr>
      </w:pPr>
    </w:p>
    <w:p>
      <w:pPr>
        <w:jc w:val="both"/>
        <w:ind w:left="20" w:right="140" w:firstLine="509"/>
        <w:spacing w:after="0" w:line="261" w:lineRule="auto"/>
        <w:rPr>
          <w:sz w:val="20"/>
          <w:szCs w:val="20"/>
          <w:color w:val="auto"/>
        </w:rPr>
      </w:pPr>
      <w:r>
        <w:rPr>
          <w:rFonts w:ascii="Arial" w:cs="Arial" w:eastAsia="Arial" w:hAnsi="Arial"/>
          <w:sz w:val="17"/>
          <w:szCs w:val="17"/>
          <w:color w:val="auto"/>
        </w:rPr>
        <w:t>Prior to the completion of our IPO in July 2021, we were a private company with limited accounting personnel to adequately execute our accounting processes to address our internal control over financial reporting. In connection with our financial statement close process for the years ended December 31, 2019 and 2020, we identified material weaknesses associated with our control environment and control activities components of the Committee of Sponsoring Organizations (“COSO”) framework related to (i) the lack of sufficient qualified personnel within our accounting and IT function and (ii) establishing policies and procedures to identify, select and apply U.S. GAAP in order to ensure that transactions were being appropriately recorded; and the design of appropriate control activities over information technology systems and financial and reporting processes necessary to ensure the accuracy of financial reporting and the preparation of financial statements.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Remediation efforts on previously reported material weaknesses</w:t>
      </w:r>
    </w:p>
    <w:p>
      <w:pPr>
        <w:spacing w:after="0" w:line="185" w:lineRule="exact"/>
        <w:rPr>
          <w:sz w:val="20"/>
          <w:szCs w:val="20"/>
          <w:color w:val="auto"/>
        </w:rPr>
      </w:pPr>
    </w:p>
    <w:p>
      <w:pPr>
        <w:jc w:val="both"/>
        <w:ind w:left="20" w:right="160" w:firstLine="509"/>
        <w:spacing w:after="0" w:line="278" w:lineRule="auto"/>
        <w:rPr>
          <w:sz w:val="20"/>
          <w:szCs w:val="20"/>
          <w:color w:val="auto"/>
        </w:rPr>
      </w:pPr>
      <w:r>
        <w:rPr>
          <w:rFonts w:ascii="Arial" w:cs="Arial" w:eastAsia="Arial" w:hAnsi="Arial"/>
          <w:sz w:val="17"/>
          <w:szCs w:val="17"/>
          <w:color w:val="auto"/>
        </w:rPr>
        <w:t>We are committed to remediating the control deficiencies that constituted the above material weaknesses by implementing changes to our internal control over financial reporting. During 2021 and the nine months ended September 30, 2022, we executed and continue to execute the following steps intended to remediate the material weaknesses described above and strengthen our internal control over financial reporting: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42</w:t>
      </w:r>
    </w:p>
    <w:p>
      <w:pPr>
        <w:spacing w:after="0" w:line="104" w:lineRule="exact"/>
        <w:rPr>
          <w:sz w:val="20"/>
          <w:szCs w:val="20"/>
          <w:color w:val="auto"/>
        </w:rPr>
      </w:pPr>
    </w:p>
    <w:p>
      <w:pPr>
        <w:ind w:left="1020" w:right="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engaged external consultants to assist us in designing, implementing, and monitoring an appropriate system of internal control, including Information Technology General Controls.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added and will continue to add qualified personnel within our accounting and information technology function.</w:t>
      </w:r>
    </w:p>
    <w:p>
      <w:pPr>
        <w:spacing w:after="0" w:line="103" w:lineRule="exact"/>
        <w:rPr>
          <w:rFonts w:ascii="Arial" w:cs="Arial" w:eastAsia="Arial" w:hAnsi="Arial"/>
          <w:sz w:val="18"/>
          <w:szCs w:val="18"/>
          <w:color w:val="auto"/>
        </w:rPr>
      </w:pPr>
    </w:p>
    <w:p>
      <w:pPr>
        <w:jc w:val="both"/>
        <w:ind w:left="1020" w:hanging="503"/>
        <w:spacing w:after="0" w:line="24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initiated formalizing our internal controls environment and performed a risk assessment and scoped key systems and business processes, including a risk assessment at the financial statement assertion level to ensure that the level of precision of relevant controls is adequate to address the identified risks. We will continue to revise and enhance the design of existing controls and implement new controls, update documentation and strengthen supervisory reviews by our management.</w:t>
      </w:r>
    </w:p>
    <w:p>
      <w:pPr>
        <w:spacing w:after="0" w:line="86"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strengthened, and will continue to strengthen, access and segregation of duties for Information Technology General Controls related to financial accounting and reporting systems including implementing monitoring controls as appropriate.</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implemented automated workflows and enhanced oversight over the execution and review of manual journal entry controls, and will continue to provide training for such enhanced oversight and review.</w:t>
      </w:r>
    </w:p>
    <w:p>
      <w:pPr>
        <w:spacing w:after="0" w:line="7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7"/>
          <w:szCs w:val="17"/>
          <w:color w:val="auto"/>
        </w:rPr>
        <w:t>We plan to continue to devote significant time and attention to remediate the above material weaknesses as soon as reasonably practicable. As we continue to evaluate our controls, we will make the changes described above as well as any others needed to enhance our control environment and remediate the material weaknesses. We believe these actions will be sufficient to remediate the identified material weaknesses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jc w:val="both"/>
        <w:ind w:left="20" w:right="20" w:firstLine="509"/>
        <w:spacing w:after="0" w:line="256" w:lineRule="auto"/>
        <w:rPr>
          <w:sz w:val="20"/>
          <w:szCs w:val="20"/>
          <w:color w:val="auto"/>
        </w:rPr>
      </w:pPr>
      <w:r>
        <w:rPr>
          <w:rFonts w:ascii="Arial" w:cs="Arial" w:eastAsia="Arial" w:hAnsi="Arial"/>
          <w:sz w:val="18"/>
          <w:szCs w:val="18"/>
          <w:color w:val="auto"/>
        </w:rPr>
        <w:t>Other than the changes intended to remediate the material weaknesses noted above, there was no change in our internal control over financial reporting that occurred during the three months ended September 30, 2022 that materially affected, or were reasonably likely to materially affect, our internal control over 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the Effectiveness of Internal Control</w:t>
      </w:r>
    </w:p>
    <w:p>
      <w:pPr>
        <w:spacing w:after="0" w:line="185" w:lineRule="exact"/>
        <w:rPr>
          <w:sz w:val="20"/>
          <w:szCs w:val="20"/>
          <w:color w:val="auto"/>
        </w:rPr>
      </w:pPr>
    </w:p>
    <w:p>
      <w:pPr>
        <w:jc w:val="both"/>
        <w:ind w:left="20" w:right="20" w:firstLine="509"/>
        <w:spacing w:after="0" w:line="290"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119"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b w:val="1"/>
          <w:bCs w:val="1"/>
          <w:color w:val="auto"/>
        </w:rPr>
        <w:t>ITEM 1</w:t>
      </w:r>
      <w:r>
        <w:rPr>
          <w:rFonts w:ascii="Arial" w:cs="Arial" w:eastAsia="Arial" w:hAnsi="Arial"/>
          <w:sz w:val="14"/>
          <w:szCs w:val="14"/>
          <w:b w:val="1"/>
          <w:bCs w:val="1"/>
          <w:color w:val="auto"/>
        </w:rPr>
        <w:t>.</w:t>
      </w:r>
      <w:r>
        <w:rPr>
          <w:sz w:val="20"/>
          <w:szCs w:val="20"/>
          <w:color w:val="auto"/>
        </w:rPr>
        <w:tab/>
      </w:r>
      <w:r>
        <w:rPr>
          <w:rFonts w:ascii="Arial" w:cs="Arial" w:eastAsia="Arial" w:hAnsi="Arial"/>
          <w:sz w:val="17"/>
          <w:szCs w:val="17"/>
          <w:b w:val="1"/>
          <w:bCs w:val="1"/>
          <w:color w:val="auto"/>
        </w:rPr>
        <w:t>LEGAL PROCEEDINGS</w:t>
      </w:r>
    </w:p>
    <w:p>
      <w:pPr>
        <w:spacing w:after="0" w:line="310" w:lineRule="exact"/>
        <w:rPr>
          <w:sz w:val="20"/>
          <w:szCs w:val="20"/>
          <w:color w:val="auto"/>
        </w:rPr>
      </w:pPr>
    </w:p>
    <w:p>
      <w:pPr>
        <w:jc w:val="both"/>
        <w:ind w:right="40" w:firstLine="578"/>
        <w:spacing w:after="0" w:line="271"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presently a party to any legal proceedings that, if determined adversely to us, would individually or taken together have a material adverse effect on our business, operating results, financial condition or cash flows.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345"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310" w:lineRule="exact"/>
        <w:rPr>
          <w:sz w:val="20"/>
          <w:szCs w:val="20"/>
          <w:color w:val="auto"/>
        </w:rPr>
      </w:pPr>
    </w:p>
    <w:p>
      <w:pPr>
        <w:jc w:val="both"/>
        <w:ind w:firstLine="578"/>
        <w:spacing w:after="0" w:line="260" w:lineRule="auto"/>
        <w:rPr>
          <w:sz w:val="20"/>
          <w:szCs w:val="20"/>
          <w:color w:val="auto"/>
        </w:rPr>
      </w:pPr>
      <w:r>
        <w:rPr>
          <w:rFonts w:ascii="Arial" w:cs="Arial" w:eastAsia="Arial" w:hAnsi="Arial"/>
          <w:sz w:val="18"/>
          <w:szCs w:val="18"/>
          <w:i w:val="1"/>
          <w:iCs w:val="1"/>
          <w:color w:val="auto"/>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Quarterly Report on Form 10-Q.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ind w:firstLine="584"/>
        <w:spacing w:after="0" w:line="265" w:lineRule="auto"/>
        <w:rPr>
          <w:sz w:val="20"/>
          <w:szCs w:val="20"/>
          <w:color w:val="auto"/>
        </w:rPr>
      </w:pPr>
      <w:r>
        <w:rPr>
          <w:rFonts w:ascii="Arial" w:cs="Arial" w:eastAsia="Arial" w:hAnsi="Arial"/>
          <w:sz w:val="18"/>
          <w:szCs w:val="18"/>
          <w:color w:val="auto"/>
        </w:rPr>
        <w:t>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w:t>
      </w:r>
    </w:p>
    <w:p>
      <w:pPr>
        <w:spacing w:after="0" w:line="72" w:lineRule="exact"/>
        <w:rPr>
          <w:sz w:val="20"/>
          <w:szCs w:val="20"/>
          <w:color w:val="auto"/>
        </w:rPr>
      </w:pPr>
    </w:p>
    <w:p>
      <w:pPr>
        <w:ind w:left="1020" w:right="20" w:hanging="503"/>
        <w:spacing w:after="0" w:line="291"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52" w:lineRule="exact"/>
        <w:rPr>
          <w:rFonts w:ascii="Arial" w:cs="Arial" w:eastAsia="Arial" w:hAnsi="Arial"/>
          <w:sz w:val="17"/>
          <w:szCs w:val="17"/>
          <w:color w:val="auto"/>
        </w:rPr>
      </w:pPr>
    </w:p>
    <w:p>
      <w:pPr>
        <w:jc w:val="both"/>
        <w:ind w:left="1020" w:hanging="503"/>
        <w:spacing w:after="0" w:line="294"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are highly dependent on a limited number of product offerings. Our revenue has been primarily generated from sales of our core Aurora and Northern Light systems, which require a substantial sales cycle and are prone to quarterly fluctuations in revenue. Our future success depends on our ability to develop and successfully introduce new and enhanced products that meet the needs of our customers.</w:t>
      </w:r>
    </w:p>
    <w:p>
      <w:pPr>
        <w:spacing w:after="0" w:line="52" w:lineRule="exact"/>
        <w:rPr>
          <w:rFonts w:ascii="Arial" w:cs="Arial" w:eastAsia="Arial" w:hAnsi="Arial"/>
          <w:sz w:val="16"/>
          <w:szCs w:val="16"/>
          <w:color w:val="auto"/>
        </w:rPr>
      </w:pPr>
    </w:p>
    <w:p>
      <w:pPr>
        <w:jc w:val="both"/>
        <w:ind w:left="1020" w:hanging="503"/>
        <w:spacing w:after="0" w:line="244"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On August 25, 2021, we and Cytek (Wuxi) Biosciences Co., Ltd, our China subsidiary (the “Subsidiary”), entered into a Supply Agreement (the “Coherent Agreement”) with Coherent NA, Inc. (“Coherent”). Pursuant to the Coherent Agreement, Coherent has agreed to sell and supply to us and the Subsidiary, on a non-exclusive basis, laser products manufactured by Coherent. Other than the Coherent Agreement, we do not currently have long-term supply contracts with our sole and single source suppliers of key components.</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results of operations will be harmed if we are unable to accurately forecast customer demand for our products and manage our inventory.</w:t>
      </w:r>
    </w:p>
    <w:p>
      <w:pPr>
        <w:spacing w:after="0" w:line="126" w:lineRule="exact"/>
        <w:rPr>
          <w:rFonts w:ascii="Arial" w:cs="Arial" w:eastAsia="Arial" w:hAnsi="Arial"/>
          <w:sz w:val="16"/>
          <w:szCs w:val="16"/>
          <w:color w:val="auto"/>
        </w:rPr>
      </w:pPr>
    </w:p>
    <w:p>
      <w:pPr>
        <w:jc w:val="both"/>
        <w:ind w:left="1020" w:hanging="503"/>
        <w:spacing w:after="0" w:line="268"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adopt our products, it will negatively affect our business, financial condition, prospects and results of operations.</w:t>
      </w:r>
    </w:p>
    <w:p>
      <w:pPr>
        <w:spacing w:after="0" w:line="58" w:lineRule="exact"/>
        <w:rPr>
          <w:rFonts w:ascii="Arial" w:cs="Arial" w:eastAsia="Arial" w:hAnsi="Arial"/>
          <w:sz w:val="17"/>
          <w:szCs w:val="17"/>
          <w:color w:val="auto"/>
        </w:rPr>
      </w:pPr>
    </w:p>
    <w:p>
      <w:pPr>
        <w:ind w:left="1020" w:right="2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are unable to manufacture our products in high-quality commercial quantities successfully and consistently to meet demand, our growth will be limited.</w:t>
      </w:r>
    </w:p>
    <w:p>
      <w:pPr>
        <w:spacing w:after="0" w:line="48" w:lineRule="exact"/>
        <w:rPr>
          <w:rFonts w:ascii="Arial" w:cs="Arial" w:eastAsia="Arial" w:hAnsi="Arial"/>
          <w:sz w:val="18"/>
          <w:szCs w:val="18"/>
          <w:color w:val="auto"/>
        </w:rPr>
      </w:pPr>
    </w:p>
    <w:p>
      <w:pPr>
        <w:jc w:val="both"/>
        <w:ind w:left="1020" w:hanging="503"/>
        <w:spacing w:after="0" w:line="25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future success is dependent upon our ability to increase penetration in our existing markets and expand into adjacent markets. If we are unable to successfully expand our commercial operations, including hiring additional qualified sales representatives, technical applications specialists and customer support staff, our business may be adversely affected.</w:t>
      </w:r>
    </w:p>
    <w:p>
      <w:pPr>
        <w:spacing w:after="0" w:line="66" w:lineRule="exact"/>
        <w:rPr>
          <w:rFonts w:ascii="Arial" w:cs="Arial" w:eastAsia="Arial" w:hAnsi="Arial"/>
          <w:sz w:val="18"/>
          <w:szCs w:val="18"/>
          <w:color w:val="auto"/>
        </w:rPr>
      </w:pPr>
    </w:p>
    <w:p>
      <w:pPr>
        <w:jc w:val="both"/>
        <w:ind w:left="1020" w:hanging="503"/>
        <w:spacing w:after="0" w:line="249"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and our suppliers are subject to ongoing regulatory obligations and continued regulatory review, which may result in significant additional expense and subject us to penalties if we fail to comply with applicable regulatory requirements. Our products may become subject to more onerous regulation by the FDA or other regulatory agencies in the future, which could increase our costs and delay or prevent sales of our products or commercialization of new products and product enhancements.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44</w:t>
      </w:r>
    </w:p>
    <w:p>
      <w:pPr>
        <w:spacing w:after="0" w:line="104" w:lineRule="exact"/>
        <w:rPr>
          <w:sz w:val="20"/>
          <w:szCs w:val="20"/>
          <w:color w:val="auto"/>
        </w:rPr>
      </w:pPr>
    </w:p>
    <w:p>
      <w:pPr>
        <w:jc w:val="both"/>
        <w:ind w:left="1020" w:hanging="503"/>
        <w:spacing w:after="0" w:line="267"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Concentration of ownership of our common stock among our executive officers, directors, principal stockholders and their respective affiliates may prevent new investors from influencing significant corporate decisions. Based on shares outstanding as of September 30, 2022, our executive officers, directors, holders of 5% or more of our common stock and their respective affiliates, in the aggregate, own approximately 33.5% of our common stock. These stockholders, acting together, will be able to significantly influence all matters requiring stockholder approval, including the election and removal of directors and any merger or other significant corporate transaction.</w:t>
      </w:r>
    </w:p>
    <w:p>
      <w:pPr>
        <w:spacing w:after="0" w:line="60" w:lineRule="exact"/>
        <w:rPr>
          <w:rFonts w:ascii="Arial" w:cs="Arial" w:eastAsia="Arial" w:hAnsi="Arial"/>
          <w:sz w:val="17"/>
          <w:szCs w:val="17"/>
          <w:color w:val="auto"/>
        </w:rPr>
      </w:pPr>
    </w:p>
    <w:p>
      <w:pPr>
        <w:jc w:val="both"/>
        <w:ind w:left="1020" w:hanging="503"/>
        <w:spacing w:after="0" w:line="24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72" w:lineRule="exact"/>
        <w:rPr>
          <w:rFonts w:ascii="Arial" w:cs="Arial" w:eastAsia="Arial" w:hAnsi="Arial"/>
          <w:sz w:val="18"/>
          <w:szCs w:val="18"/>
          <w:color w:val="auto"/>
        </w:rPr>
      </w:pPr>
    </w:p>
    <w:p>
      <w:pPr>
        <w:ind w:left="1020" w:right="20" w:hanging="503"/>
        <w:spacing w:after="0" w:line="291"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business currently depends significantly on research and development spending by academic institutions and government-owned institutions, a reduction in which could limit demand for our solutions and adversely affect our business and operating results.</w:t>
      </w:r>
    </w:p>
    <w:p>
      <w:pPr>
        <w:spacing w:after="0" w:line="52"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International operations and expansion of our international business exposes us to business, regulatory, political, operational, financial and economic risks associated with doing business outside of the United States.</w:t>
      </w:r>
    </w:p>
    <w:p>
      <w:pPr>
        <w:spacing w:after="0" w:line="62" w:lineRule="exact"/>
        <w:rPr>
          <w:rFonts w:ascii="Arial" w:cs="Arial" w:eastAsia="Arial" w:hAnsi="Arial"/>
          <w:sz w:val="18"/>
          <w:szCs w:val="18"/>
          <w:color w:val="auto"/>
        </w:rPr>
      </w:pPr>
    </w:p>
    <w:p>
      <w:pPr>
        <w:jc w:val="both"/>
        <w:ind w:left="1020" w:hanging="503"/>
        <w:spacing w:after="0" w:line="268"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market for cell analysis technologies and life sciences tools, including flow cytometry, is rapidly evolving and highly competitive. 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71" w:lineRule="exact"/>
        <w:rPr>
          <w:rFonts w:ascii="Arial" w:cs="Arial" w:eastAsia="Arial" w:hAnsi="Arial"/>
          <w:sz w:val="17"/>
          <w:szCs w:val="17"/>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our products do not perform as expected, our operating results, reputation and business will suffer.</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76" w:lineRule="exact"/>
        <w:rPr>
          <w:rFonts w:ascii="Arial" w:cs="Arial" w:eastAsia="Arial" w:hAnsi="Arial"/>
          <w:sz w:val="18"/>
          <w:szCs w:val="18"/>
          <w:color w:val="auto"/>
        </w:rPr>
      </w:pPr>
    </w:p>
    <w:p>
      <w:pPr>
        <w:ind w:left="1020" w:hanging="503"/>
        <w:spacing w:after="0" w:line="324"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16" w:lineRule="exact"/>
        <w:rPr>
          <w:rFonts w:ascii="Arial" w:cs="Arial" w:eastAsia="Arial" w:hAnsi="Arial"/>
          <w:sz w:val="16"/>
          <w:szCs w:val="16"/>
          <w:color w:val="auto"/>
        </w:rPr>
      </w:pPr>
    </w:p>
    <w:p>
      <w:pPr>
        <w:jc w:val="both"/>
        <w:ind w:left="1020" w:hanging="503"/>
        <w:spacing w:after="0" w:line="25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66" w:lineRule="exact"/>
        <w:rPr>
          <w:rFonts w:ascii="Arial" w:cs="Arial" w:eastAsia="Arial" w:hAnsi="Arial"/>
          <w:sz w:val="18"/>
          <w:szCs w:val="18"/>
          <w:color w:val="auto"/>
        </w:rPr>
      </w:pPr>
    </w:p>
    <w:p>
      <w:pPr>
        <w:jc w:val="both"/>
        <w:ind w:left="1020" w:hanging="503"/>
        <w:spacing w:after="0" w:line="25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66"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existing operations, develop our products and/or expand our operations.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COVID-19 pandemic has had and could continue to have an adverse impact on our business, operations, and the markets and communities in which we, our partners, and customers operate.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25"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6"/>
          <w:szCs w:val="16"/>
          <w:color w:val="auto"/>
        </w:rPr>
        <w:t>We have a limited operating history and may encounter unforeseen expenses, difficulties, complications, delays and other known and unknown obstacles. We launched our first core commercial product, the Aurora system, in June 2017. Our limited commercial and operating history makes it difficult to evaluate our current business and predict our future performance. Although we have experienced significant revenue growth in recent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45</w:t>
      </w:r>
    </w:p>
    <w:p>
      <w:pPr>
        <w:spacing w:after="0" w:line="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are highly dependent on a limited number of product offerings. Our revenue has been primarily generated from sale of our core Aurora and Northern Lights systems, which require a substantial sales cycle and are prone to quarterly fluctuations in revenue.</w:t>
      </w:r>
    </w:p>
    <w:p>
      <w:pPr>
        <w:spacing w:after="0" w:line="65" w:lineRule="exact"/>
        <w:rPr>
          <w:sz w:val="20"/>
          <w:szCs w:val="20"/>
          <w:color w:val="auto"/>
        </w:rPr>
      </w:pPr>
    </w:p>
    <w:p>
      <w:pPr>
        <w:jc w:val="both"/>
        <w:ind w:firstLine="578"/>
        <w:spacing w:after="0" w:line="278" w:lineRule="auto"/>
        <w:rPr>
          <w:sz w:val="20"/>
          <w:szCs w:val="20"/>
          <w:color w:val="auto"/>
        </w:rPr>
      </w:pPr>
      <w:r>
        <w:rPr>
          <w:rFonts w:ascii="Arial" w:cs="Arial" w:eastAsia="Arial" w:hAnsi="Arial"/>
          <w:sz w:val="17"/>
          <w:szCs w:val="17"/>
          <w:color w:val="auto"/>
        </w:rPr>
        <w:t>Our Aurora system was commercially launched in June 2017, our Northern Lights system was commercially launched in October 2018 and our Aurora CS was first commercially shipped in June 2021. Sales of the Aurora and Northern Lights systems together accounted for a substantial portion of our revenue for the periods presented. We expect that, for at least the foreseeable future, sales of our Aurora and Northern Lights systems will continue to account for a substantial portion of our revenue. The sales cycle for our flow cytometer instruments is slow and can take up to six months or longer to complete. As a result of this lengthy and unpredictable sales cycle, we will be prone to quarterly fluctuations in our revenue as sales of the Aurora and Northern Lights systems are expected to continue to comprise a significant component of our revenue. Additionally, we experience seasonality in our business, with revenue in the fourth quarter typically being higher as a result of higher sales volume. Quarterly fluctuations may make it difficult for us to predict our future operating results. Consequently, comparisons of our operating results on a period-to-period basis may not be meaningful. Investors should not rely on our past results as an indication of our future performance.</w:t>
      </w:r>
    </w:p>
    <w:p>
      <w:pPr>
        <w:spacing w:after="0" w:line="149" w:lineRule="exact"/>
        <w:rPr>
          <w:sz w:val="20"/>
          <w:szCs w:val="20"/>
          <w:color w:val="auto"/>
        </w:rPr>
      </w:pPr>
    </w:p>
    <w:p>
      <w:pPr>
        <w:jc w:val="both"/>
        <w:ind w:firstLine="578"/>
        <w:spacing w:after="0" w:line="264" w:lineRule="auto"/>
        <w:rPr>
          <w:sz w:val="20"/>
          <w:szCs w:val="20"/>
          <w:color w:val="auto"/>
        </w:rPr>
      </w:pPr>
      <w:r>
        <w:rPr>
          <w:rFonts w:ascii="Arial" w:cs="Arial" w:eastAsia="Arial" w:hAnsi="Arial"/>
          <w:sz w:val="18"/>
          <w:szCs w:val="18"/>
          <w:color w:val="auto"/>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w:t>
      </w:r>
    </w:p>
    <w:p>
      <w:pPr>
        <w:spacing w:after="0" w:line="67" w:lineRule="exact"/>
        <w:rPr>
          <w:sz w:val="20"/>
          <w:szCs w:val="20"/>
          <w:color w:val="auto"/>
        </w:rPr>
      </w:pPr>
    </w:p>
    <w:p>
      <w:pPr>
        <w:jc w:val="both"/>
        <w:ind w:firstLine="578"/>
        <w:spacing w:after="0" w:line="294" w:lineRule="auto"/>
        <w:rPr>
          <w:sz w:val="20"/>
          <w:szCs w:val="20"/>
          <w:color w:val="auto"/>
        </w:rPr>
      </w:pPr>
      <w:r>
        <w:rPr>
          <w:rFonts w:ascii="Arial" w:cs="Arial" w:eastAsia="Arial" w:hAnsi="Arial"/>
          <w:sz w:val="16"/>
          <w:szCs w:val="16"/>
          <w:color w:val="auto"/>
        </w:rPr>
        <w:t>We have sourced and will continue to source certain components of the Aurora, Northern Lights and Aurora CS systems from a limited number of suppliers and, in some cases, sole source suppliers. Key components in our products that are supplied by sole or single source suppliers include certain lasers, semiconductors and mechanical components that are used in our optical, electrical and fluidic subassemblies. On August 25, 2021, we and our China Subsidiary entered into the Coherent Agreement with Coherent. Pursuant to the Coherent Agreement, Coherent has agreed to sell and supply to us and the Subsidiary, on a non-exclusive basis, laser products manufactured by Coherent. We and the Subsidiary provide Coherent with rolling forecasts of our and the Subsidiary’s anticipated orders, which are non-binding. Purchase orders submitted by us and the Subsidiary pursuant to 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qualifying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to supply our products to the market and could affect the performance of our products, resulting in increased costs and negative customer perception.</w:t>
      </w:r>
    </w:p>
    <w:p>
      <w:pPr>
        <w:spacing w:after="0" w:line="139" w:lineRule="exact"/>
        <w:rPr>
          <w:sz w:val="20"/>
          <w:szCs w:val="20"/>
          <w:color w:val="auto"/>
        </w:rPr>
      </w:pPr>
    </w:p>
    <w:p>
      <w:pPr>
        <w:jc w:val="both"/>
        <w:ind w:firstLine="578"/>
        <w:spacing w:after="0" w:line="278" w:lineRule="auto"/>
        <w:rPr>
          <w:sz w:val="20"/>
          <w:szCs w:val="20"/>
          <w:color w:val="auto"/>
        </w:rPr>
      </w:pPr>
      <w:r>
        <w:rPr>
          <w:rFonts w:ascii="Arial" w:cs="Arial" w:eastAsia="Arial" w:hAnsi="Arial"/>
          <w:sz w:val="17"/>
          <w:szCs w:val="17"/>
          <w:color w:val="auto"/>
        </w:rPr>
        <w:t>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quarantines, shelter-in-place and similar government orders related to the COVID-19 pandemic or other infectious disease outbreaks, or the perception that such orders, shutdowns or other restrictions on the conduct of business operations could occur, could impact the suppliers upon which we rely, or the availability or cost of materials, which could disrupt the supply chain for our products.</w:t>
      </w:r>
    </w:p>
    <w:p>
      <w:pPr>
        <w:spacing w:after="0" w:line="146"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8"/>
          <w:szCs w:val="18"/>
          <w:color w:val="auto"/>
        </w:rPr>
        <w:t>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w:t>
      </w:r>
    </w:p>
    <w:p>
      <w:pPr>
        <w:spacing w:after="0" w:line="149"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8"/>
          <w:szCs w:val="18"/>
          <w:color w:val="auto"/>
        </w:rPr>
        <w:t>Supply interruptions have in the past arisen and could arise in the future from effects of the COVID-19 pandemic, shortages of raw materials, labor disputes or weather conditions affecting products or shipments, transportation disruptions, adjustments to our inventory levels or other factors within and beyond our control, and such supply interruption risk is increased by the limited number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46</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suppliers for certain of the components we use in our products.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will be harmed if we are unable to accurately forecast customer demand for our products and manage our inventory.</w:t>
      </w:r>
    </w:p>
    <w:p>
      <w:pPr>
        <w:spacing w:after="0" w:line="127" w:lineRule="exact"/>
        <w:rPr>
          <w:sz w:val="20"/>
          <w:szCs w:val="20"/>
          <w:color w:val="auto"/>
        </w:rPr>
      </w:pPr>
    </w:p>
    <w:p>
      <w:pPr>
        <w:jc w:val="both"/>
        <w:ind w:firstLine="578"/>
        <w:spacing w:after="0" w:line="280" w:lineRule="auto"/>
        <w:rPr>
          <w:sz w:val="20"/>
          <w:szCs w:val="20"/>
          <w:color w:val="auto"/>
        </w:rPr>
      </w:pPr>
      <w:r>
        <w:rPr>
          <w:rFonts w:ascii="Arial" w:cs="Arial" w:eastAsia="Arial" w:hAnsi="Arial"/>
          <w:sz w:val="17"/>
          <w:szCs w:val="17"/>
          <w:color w:val="auto"/>
        </w:rPr>
        <w:t>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the COVID-19 pandemic, seasonal demands, regulatory matters, inflation or weakening of general economic conditions.</w:t>
      </w:r>
    </w:p>
    <w:p>
      <w:pPr>
        <w:spacing w:after="0" w:line="144"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7"/>
          <w:szCs w:val="17"/>
          <w:color w:val="auto"/>
        </w:rPr>
        <w:t>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have limited experience manufacturing our products and if we are unable to manufacture our products in high-quality commercial quantities successfully and consistently to meet demand, our growth will be limited.</w:t>
      </w:r>
    </w:p>
    <w:p>
      <w:pPr>
        <w:spacing w:after="0" w:line="76" w:lineRule="exact"/>
        <w:rPr>
          <w:sz w:val="20"/>
          <w:szCs w:val="20"/>
          <w:color w:val="auto"/>
        </w:rPr>
      </w:pPr>
    </w:p>
    <w:p>
      <w:pPr>
        <w:jc w:val="both"/>
        <w:ind w:firstLine="578"/>
        <w:spacing w:after="0" w:line="284" w:lineRule="auto"/>
        <w:rPr>
          <w:sz w:val="20"/>
          <w:szCs w:val="20"/>
          <w:color w:val="auto"/>
        </w:rPr>
      </w:pPr>
      <w:r>
        <w:rPr>
          <w:rFonts w:ascii="Arial" w:cs="Arial" w:eastAsia="Arial" w:hAnsi="Arial"/>
          <w:sz w:val="17"/>
          <w:szCs w:val="17"/>
          <w:color w:val="auto"/>
        </w:rPr>
        <w:t>We have limited experience manufacturing our products. We currently manufacture our instruments and reagents at our manufacturing facilities in Fremont, California, and Wuxi, China, and reagents at our facility in San Diego, California.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w:t>
      </w:r>
    </w:p>
    <w:p>
      <w:pPr>
        <w:spacing w:after="0" w:line="139" w:lineRule="exact"/>
        <w:rPr>
          <w:sz w:val="20"/>
          <w:szCs w:val="20"/>
          <w:color w:val="auto"/>
        </w:rPr>
      </w:pPr>
    </w:p>
    <w:p>
      <w:pPr>
        <w:jc w:val="both"/>
        <w:ind w:firstLine="578"/>
        <w:spacing w:after="0" w:line="301" w:lineRule="auto"/>
        <w:rPr>
          <w:sz w:val="20"/>
          <w:szCs w:val="20"/>
          <w:color w:val="auto"/>
        </w:rPr>
      </w:pPr>
      <w:r>
        <w:rPr>
          <w:rFonts w:ascii="Arial" w:cs="Arial" w:eastAsia="Arial" w:hAnsi="Arial"/>
          <w:sz w:val="16"/>
          <w:szCs w:val="16"/>
          <w:color w:val="auto"/>
        </w:rPr>
        <w:t>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w:t>
      </w:r>
    </w:p>
    <w:p>
      <w:pPr>
        <w:spacing w:after="0" w:line="129" w:lineRule="exact"/>
        <w:rPr>
          <w:sz w:val="20"/>
          <w:szCs w:val="20"/>
          <w:color w:val="auto"/>
        </w:rPr>
      </w:pPr>
    </w:p>
    <w:p>
      <w:pPr>
        <w:jc w:val="both"/>
        <w:ind w:firstLine="578"/>
        <w:spacing w:after="0" w:line="265" w:lineRule="auto"/>
        <w:rPr>
          <w:sz w:val="20"/>
          <w:szCs w:val="20"/>
          <w:color w:val="auto"/>
        </w:rPr>
      </w:pPr>
      <w:r>
        <w:rPr>
          <w:rFonts w:ascii="Arial" w:cs="Arial" w:eastAsia="Arial" w:hAnsi="Arial"/>
          <w:sz w:val="18"/>
          <w:szCs w:val="18"/>
          <w:color w:val="auto"/>
        </w:rPr>
        <w:t>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w:t>
      </w:r>
    </w:p>
    <w:p>
      <w:pPr>
        <w:spacing w:after="0" w:line="154"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8"/>
          <w:szCs w:val="18"/>
          <w:color w:val="auto"/>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47</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is dependent upon our ability to increase penetration in our existing markets and expand into adjacent markets.</w:t>
      </w:r>
    </w:p>
    <w:p>
      <w:pPr>
        <w:spacing w:after="0" w:line="113" w:lineRule="exact"/>
        <w:rPr>
          <w:sz w:val="20"/>
          <w:szCs w:val="20"/>
          <w:color w:val="auto"/>
        </w:rPr>
      </w:pPr>
    </w:p>
    <w:p>
      <w:pPr>
        <w:jc w:val="both"/>
        <w:ind w:firstLine="578"/>
        <w:spacing w:after="0" w:line="300" w:lineRule="auto"/>
        <w:rPr>
          <w:sz w:val="20"/>
          <w:szCs w:val="20"/>
          <w:color w:val="auto"/>
        </w:rPr>
      </w:pPr>
      <w:r>
        <w:rPr>
          <w:rFonts w:ascii="Arial" w:cs="Arial" w:eastAsia="Arial" w:hAnsi="Arial"/>
          <w:sz w:val="16"/>
          <w:szCs w:val="16"/>
          <w:color w:val="auto"/>
        </w:rPr>
        <w:t>Our customer base includes academic and government institutions, pharmaceutical and biotechnology companies, clinical research organizations and clinical laboratories focused on cell analysis. Approximately 47% and 42% of our revenue came from sales to academic and government-owned institutions and 53% and 58% of our revenue came from sales to pharmaceutical and biotechnology companies, distributors and CROs in the three months ended September 30, 2022 and 2021,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w:t>
      </w:r>
    </w:p>
    <w:p>
      <w:pPr>
        <w:spacing w:after="0" w:line="132" w:lineRule="exact"/>
        <w:rPr>
          <w:sz w:val="20"/>
          <w:szCs w:val="20"/>
          <w:color w:val="auto"/>
        </w:rPr>
      </w:pPr>
    </w:p>
    <w:p>
      <w:pPr>
        <w:jc w:val="both"/>
        <w:ind w:firstLine="578"/>
        <w:spacing w:after="0" w:line="261" w:lineRule="auto"/>
        <w:rPr>
          <w:sz w:val="20"/>
          <w:szCs w:val="20"/>
          <w:color w:val="auto"/>
        </w:rPr>
      </w:pPr>
      <w:r>
        <w:rPr>
          <w:rFonts w:ascii="Arial" w:cs="Arial" w:eastAsia="Arial" w:hAnsi="Arial"/>
          <w:sz w:val="18"/>
          <w:szCs w:val="18"/>
          <w:color w:val="auto"/>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or approval of a pre-market approval application from the FDA. Our failure to further expand in adjacent markets and attract new customers could adversely affect our ability to improve our operating results.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change current practices to adopt our products, it will negatively affect our business, financial condition, prospects and results of operations.</w:t>
      </w:r>
    </w:p>
    <w:p>
      <w:pPr>
        <w:spacing w:after="0" w:line="58" w:lineRule="exact"/>
        <w:rPr>
          <w:sz w:val="20"/>
          <w:szCs w:val="20"/>
          <w:color w:val="auto"/>
        </w:rPr>
      </w:pPr>
    </w:p>
    <w:p>
      <w:pPr>
        <w:jc w:val="both"/>
        <w:ind w:firstLine="578"/>
        <w:spacing w:after="0" w:line="265" w:lineRule="auto"/>
        <w:rPr>
          <w:sz w:val="20"/>
          <w:szCs w:val="20"/>
          <w:color w:val="auto"/>
        </w:rPr>
      </w:pPr>
      <w:r>
        <w:rPr>
          <w:rFonts w:ascii="Arial" w:cs="Arial" w:eastAsia="Arial" w:hAnsi="Arial"/>
          <w:sz w:val="18"/>
          <w:szCs w:val="18"/>
          <w:color w:val="auto"/>
        </w:rPr>
        <w:t>Our primary strategy to grow our revenue is to take a stepwise approach to market our products across key stakeholders in flow cytometry and cell analysis, such as academic and government institutions, clinical research organizations, pharmaceutical companies and clinical laboratories. While the number of customers using our products has increased in recent years, many academic and government institutions, clinical research organizations, pharmaceutical companies and clinical laboratories have not yet adopted our products, and such institutions and companies may choose not to adopt our products for a number of reasons, including:</w:t>
      </w:r>
    </w:p>
    <w:p>
      <w:pPr>
        <w:spacing w:after="0" w:line="153" w:lineRule="exact"/>
        <w:rPr>
          <w:sz w:val="20"/>
          <w:szCs w:val="20"/>
          <w:color w:val="auto"/>
        </w:rPr>
      </w:pPr>
    </w:p>
    <w:p>
      <w:pPr>
        <w:ind w:left="102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inadequate recruiting or training of talented sales force in existing and new markets to facilitate outreach and further adoption and awareness of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lack of experience with our products for cell analysis;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perceived inadequacy of evidence supporting benefits or cost-effectiveness of our products over existing alternatives;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liability risks generally associated with the use of new products and processes;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training required to use new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decrease or delay in the research and development activities using our products as a result of the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competing products and alternatives;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introduction of other novel alternative products for cell analysis.</w:t>
      </w:r>
    </w:p>
    <w:p>
      <w:pPr>
        <w:spacing w:after="0" w:line="320" w:lineRule="exact"/>
        <w:rPr>
          <w:sz w:val="20"/>
          <w:szCs w:val="20"/>
          <w:color w:val="auto"/>
        </w:rPr>
      </w:pPr>
    </w:p>
    <w:p>
      <w:pPr>
        <w:jc w:val="both"/>
        <w:ind w:firstLine="578"/>
        <w:spacing w:after="0" w:line="265" w:lineRule="auto"/>
        <w:rPr>
          <w:sz w:val="20"/>
          <w:szCs w:val="20"/>
          <w:color w:val="auto"/>
        </w:rPr>
      </w:pPr>
      <w:r>
        <w:rPr>
          <w:rFonts w:ascii="Arial" w:cs="Arial" w:eastAsia="Arial" w:hAnsi="Arial"/>
          <w:sz w:val="18"/>
          <w:szCs w:val="18"/>
          <w:color w:val="auto"/>
        </w:rPr>
        <w:t>We believe that educating notable industry KOLs, representatives of academic and government institutions, clinical research organizations, pharmaceutical companies and clinical laboratories, about the merits and benefits of our products for flow cytometry and cell analysis is one of key elements of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63" w:lineRule="exact"/>
        <w:rPr>
          <w:sz w:val="20"/>
          <w:szCs w:val="20"/>
          <w:color w:val="auto"/>
        </w:rPr>
      </w:pPr>
    </w:p>
    <w:p>
      <w:pPr>
        <w:jc w:val="both"/>
        <w:ind w:right="20" w:firstLine="578"/>
        <w:spacing w:after="0" w:line="271" w:lineRule="auto"/>
        <w:rPr>
          <w:sz w:val="20"/>
          <w:szCs w:val="20"/>
          <w:color w:val="auto"/>
        </w:rPr>
      </w:pPr>
      <w:r>
        <w:rPr>
          <w:rFonts w:ascii="Arial" w:cs="Arial" w:eastAsia="Arial" w:hAnsi="Arial"/>
          <w:sz w:val="18"/>
          <w:szCs w:val="18"/>
          <w:color w:val="auto"/>
        </w:rPr>
        <w:t>Approximately 47% and 42% of our revenue came from sales to academic and government-owned institutions in the three months ended September 30, 2022 and 2021, respectively. Much of their funding was, in turn, provided by various state, federal and foreign government agencies. In the near term, we expect that a large portion of our revenue will continue to be derived from sales to academic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48</w:t>
      </w:r>
    </w:p>
    <w:p>
      <w:pPr>
        <w:spacing w:after="0" w:line="104"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and government-owned institutions. As a result, the demand for our solutions may depend upon the research and development budgets of these customers, which are impacted by factors beyond our control, such as:</w:t>
      </w:r>
    </w:p>
    <w:p>
      <w:pPr>
        <w:spacing w:after="0" w:line="129"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including as a result of the COVID-19 pandemic;</w:t>
      </w:r>
    </w:p>
    <w:p>
      <w:pPr>
        <w:spacing w:after="0" w:line="103" w:lineRule="exact"/>
        <w:rPr>
          <w:rFonts w:ascii="Arial" w:cs="Arial" w:eastAsia="Arial" w:hAnsi="Arial"/>
          <w:sz w:val="18"/>
          <w:szCs w:val="18"/>
          <w:color w:val="auto"/>
        </w:rPr>
      </w:pPr>
    </w:p>
    <w:p>
      <w:pPr>
        <w:ind w:left="1020" w:hanging="503"/>
        <w:spacing w:after="0" w:line="291" w:lineRule="auto"/>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to programs that provide funding to research laboratories, hospitals and related institutions, including changes in the amount of funds allocated to different areas of research or changes that have the effect of increasing the length of the funding process;</w:t>
      </w:r>
    </w:p>
    <w:p>
      <w:pPr>
        <w:spacing w:after="0" w:line="52" w:lineRule="exact"/>
        <w:rPr>
          <w:rFonts w:ascii="Arial" w:cs="Arial" w:eastAsia="Arial" w:hAnsi="Arial"/>
          <w:sz w:val="17"/>
          <w:szCs w:val="17"/>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macroeconomic conditions and the political climate;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scientists’ and customers’ opinions of the utility of new products or services;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regulatory environment;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differences in budgetary cycles;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competitor product offerings or pricing;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market-driven pressures to consolidate operations and reduce costs;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 acceptance of relatively new technologies, such as ours.</w:t>
      </w:r>
    </w:p>
    <w:p>
      <w:pPr>
        <w:spacing w:after="0" w:line="104" w:lineRule="exact"/>
        <w:rPr>
          <w:sz w:val="20"/>
          <w:szCs w:val="20"/>
          <w:color w:val="auto"/>
        </w:rPr>
      </w:pPr>
    </w:p>
    <w:p>
      <w:pPr>
        <w:jc w:val="both"/>
        <w:ind w:firstLine="578"/>
        <w:spacing w:after="0" w:line="296" w:lineRule="auto"/>
        <w:rPr>
          <w:sz w:val="20"/>
          <w:szCs w:val="20"/>
          <w:color w:val="auto"/>
        </w:rPr>
      </w:pPr>
      <w:r>
        <w:rPr>
          <w:rFonts w:ascii="Arial" w:cs="Arial" w:eastAsia="Arial" w:hAnsi="Arial"/>
          <w:sz w:val="16"/>
          <w:szCs w:val="16"/>
          <w:color w:val="auto"/>
        </w:rPr>
        <w:t>In addition, various state, federal and foreign agencies that provide grants and other funding may be subject to stringent budgetary constraints that could result in spending reductions, reduced grant making, reduced allocations or budget cutbacks, including as a result of negative or worsening conditions in the general economy, which could jeopardize the ability of these customers, or the customers to whom they provide funding, to purchase our solutions. For example, congressional appropriations to the National Institutes of Health (the “NIH”) have generally increased year-over-year in recent years, but the NIH also experiences occasional year-over-year decreases in appropriations. There is no guarantee that NIH appropriations will not decrease or halt in the future. A decrease in the amount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w:t>
      </w:r>
    </w:p>
    <w:p>
      <w:pPr>
        <w:spacing w:after="0" w:line="136" w:lineRule="exact"/>
        <w:rPr>
          <w:sz w:val="20"/>
          <w:szCs w:val="20"/>
          <w:color w:val="auto"/>
        </w:rPr>
      </w:pPr>
    </w:p>
    <w:p>
      <w:pPr>
        <w:jc w:val="both"/>
        <w:ind w:firstLine="36"/>
        <w:spacing w:after="0" w:line="356" w:lineRule="auto"/>
        <w:rPr>
          <w:sz w:val="20"/>
          <w:szCs w:val="20"/>
          <w:color w:val="auto"/>
        </w:rPr>
      </w:pPr>
      <w:r>
        <w:rPr>
          <w:rFonts w:ascii="Arial" w:cs="Arial" w:eastAsia="Arial" w:hAnsi="Arial"/>
          <w:sz w:val="15"/>
          <w:szCs w:val="15"/>
          <w:b w:val="1"/>
          <w:bCs w:val="1"/>
          <w:i w:val="1"/>
          <w:iCs w:val="1"/>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1" w:lineRule="exact"/>
        <w:rPr>
          <w:sz w:val="20"/>
          <w:szCs w:val="20"/>
          <w:color w:val="auto"/>
        </w:rPr>
      </w:pPr>
    </w:p>
    <w:p>
      <w:pPr>
        <w:jc w:val="both"/>
        <w:ind w:firstLine="578"/>
        <w:spacing w:after="0" w:line="265" w:lineRule="auto"/>
        <w:rPr>
          <w:sz w:val="20"/>
          <w:szCs w:val="20"/>
          <w:color w:val="auto"/>
        </w:rPr>
      </w:pPr>
      <w:r>
        <w:rPr>
          <w:rFonts w:ascii="Arial" w:cs="Arial" w:eastAsia="Arial" w:hAnsi="Arial"/>
          <w:sz w:val="18"/>
          <w:szCs w:val="18"/>
          <w:color w:val="auto"/>
        </w:rPr>
        <w:t>In addition to selling our products through our direct sales force and support organizations in North America, Europe, China, and several other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w:t>
      </w:r>
    </w:p>
    <w:p>
      <w:pPr>
        <w:spacing w:after="0" w:line="154" w:lineRule="exact"/>
        <w:rPr>
          <w:sz w:val="20"/>
          <w:szCs w:val="20"/>
          <w:color w:val="auto"/>
        </w:rPr>
      </w:pPr>
    </w:p>
    <w:p>
      <w:pPr>
        <w:jc w:val="both"/>
        <w:ind w:firstLine="578"/>
        <w:spacing w:after="0" w:line="264" w:lineRule="auto"/>
        <w:rPr>
          <w:sz w:val="20"/>
          <w:szCs w:val="20"/>
          <w:color w:val="auto"/>
        </w:rPr>
      </w:pPr>
      <w:r>
        <w:rPr>
          <w:rFonts w:ascii="Arial" w:cs="Arial" w:eastAsia="Arial" w:hAnsi="Arial"/>
          <w:sz w:val="18"/>
          <w:szCs w:val="18"/>
          <w:color w:val="auto"/>
        </w:rPr>
        <w:t>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International operations and expansion of our international business exposes us to business, regulatory, political, operational, financial and economic risks associated with doing business outside of the United States.</w:t>
      </w:r>
    </w:p>
    <w:p>
      <w:pPr>
        <w:spacing w:after="0" w:line="76" w:lineRule="exact"/>
        <w:rPr>
          <w:sz w:val="20"/>
          <w:szCs w:val="20"/>
          <w:color w:val="auto"/>
        </w:rPr>
      </w:pPr>
    </w:p>
    <w:p>
      <w:pPr>
        <w:jc w:val="both"/>
        <w:ind w:firstLine="578"/>
        <w:spacing w:after="0" w:line="264" w:lineRule="auto"/>
        <w:rPr>
          <w:sz w:val="20"/>
          <w:szCs w:val="20"/>
          <w:color w:val="auto"/>
        </w:rPr>
      </w:pPr>
      <w:r>
        <w:rPr>
          <w:rFonts w:ascii="Arial" w:cs="Arial" w:eastAsia="Arial" w:hAnsi="Arial"/>
          <w:sz w:val="18"/>
          <w:szCs w:val="18"/>
          <w:color w:val="auto"/>
        </w:rPr>
        <w:t>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both the United States and China. Doing business internationally involves a number of risks, including:</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49</w:t>
      </w:r>
    </w:p>
    <w:p>
      <w:pPr>
        <w:spacing w:after="0" w:line="104" w:lineRule="exact"/>
        <w:rPr>
          <w:sz w:val="20"/>
          <w:szCs w:val="20"/>
          <w:color w:val="auto"/>
        </w:rPr>
      </w:pPr>
    </w:p>
    <w:p>
      <w:pPr>
        <w:ind w:left="1020" w:hanging="503"/>
        <w:spacing w:after="0" w:line="342"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multiple, conflicting and changing laws and regulations such as privacy regulations, tax laws, export and import restrictions, tariffs, economic sanctions and embargoes, employment laws, regulatory requirements and other governmental approvals, permits and licenses;</w:t>
      </w:r>
    </w:p>
    <w:p>
      <w:pPr>
        <w:spacing w:after="0" w:line="2" w:lineRule="exact"/>
        <w:rPr>
          <w:rFonts w:ascii="Arial" w:cs="Arial" w:eastAsia="Arial" w:hAnsi="Arial"/>
          <w:sz w:val="16"/>
          <w:szCs w:val="16"/>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by us or our distributors to obtain approvals to conduct our business in various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differing intellectual property rights;</w:t>
      </w:r>
    </w:p>
    <w:p>
      <w:pPr>
        <w:spacing w:after="0" w:line="117"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enforcing our intellectual property and defending against third party intellectual property claims;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logistics and regulations associated with shipping systems and parts and components for our products, as well as transportation delays;</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travel restrictions that limit the ability of marketing, presales, sales, services and support teams to service customers, including those resulting from the COVID-19 pandemic;</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international trade disputes that could result in tariffs and other protective measures;</w:t>
      </w:r>
    </w:p>
    <w:p>
      <w:pPr>
        <w:spacing w:after="0" w:line="103"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such as the ongoing war in Ukraine, outbreak of disease, boycotts, curtailment of trade and other business restrictions; and</w:t>
      </w:r>
    </w:p>
    <w:p>
      <w:pPr>
        <w:spacing w:after="0" w:line="48" w:lineRule="exact"/>
        <w:rPr>
          <w:rFonts w:ascii="Arial" w:cs="Arial" w:eastAsia="Arial" w:hAnsi="Arial"/>
          <w:sz w:val="18"/>
          <w:szCs w:val="18"/>
          <w:color w:val="auto"/>
        </w:rPr>
      </w:pPr>
    </w:p>
    <w:p>
      <w:pPr>
        <w:ind w:left="1020" w:right="20" w:hanging="503"/>
        <w:spacing w:after="0" w:line="324"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regulatory and compliance risks that relate to maintaining accurate information and control over sales and distributors’ activities that may fall within the purview of the U.S. Foreign Corrupt Practices Act (the “FCPA”), its books and records provisions, or its anti-bribery provisions.</w:t>
      </w:r>
    </w:p>
    <w:p>
      <w:pPr>
        <w:spacing w:after="0" w:line="30" w:lineRule="exact"/>
        <w:rPr>
          <w:sz w:val="20"/>
          <w:szCs w:val="20"/>
          <w:color w:val="auto"/>
        </w:rPr>
      </w:pPr>
    </w:p>
    <w:p>
      <w:pPr>
        <w:jc w:val="both"/>
        <w:ind w:firstLine="578"/>
        <w:spacing w:after="0" w:line="265"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including, for example, the effect of the withdrawal of the United Kingdom from the European Union.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w:t>
      </w:r>
    </w:p>
    <w:p>
      <w:pPr>
        <w:spacing w:after="0" w:line="15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39"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7"/>
          <w:szCs w:val="17"/>
          <w:color w:val="auto"/>
        </w:rPr>
        <w:t>We face significant competition in the cell analysis and life sciences tools markets. We currently compete with both established and early stage life sciences technology companies that design, manufacture and market conventional flow cytometry (“CFCs”), spectral flow cytometry and mass cytometry instruments,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Becton, Dickinson and Company (“BD”), Bio-Rad Laboratories, Standard BioTools Inc., Miltenyi Biotec, Sony Biotechnology (Sony Corporation), and Thermo Fisher Scientific.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 These large, established companies have substantially greater financial and other resources than us, including larger research and development staff or more established marketing and sales forces.</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competitors and potential competitors may enjoy a number of competitive advantages over us, including:</w:t>
      </w:r>
    </w:p>
    <w:p>
      <w:pPr>
        <w:spacing w:after="0" w:line="198"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longer operating histories;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larger customer bases;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greater brand recognition and market penetration;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greater financial resources and capabilities;</w:t>
      </w:r>
    </w:p>
    <w:p>
      <w:pPr>
        <w:spacing w:after="0" w:line="117" w:lineRule="exact"/>
        <w:rPr>
          <w:rFonts w:ascii="Arial" w:cs="Arial" w:eastAsia="Arial" w:hAnsi="Arial"/>
          <w:sz w:val="18"/>
          <w:szCs w:val="18"/>
          <w:color w:val="auto"/>
        </w:rPr>
      </w:pPr>
    </w:p>
    <w:p>
      <w:pPr>
        <w:ind w:left="5540" w:right="5520" w:hanging="5023"/>
        <w:spacing w:after="0" w:line="518" w:lineRule="auto"/>
        <w:tabs>
          <w:tab w:leader="none" w:pos="1032" w:val="left"/>
        </w:tabs>
        <w:numPr>
          <w:ilvl w:val="0"/>
          <w:numId w:val="32"/>
        </w:numPr>
        <w:rPr>
          <w:rFonts w:ascii="Arial" w:cs="Arial" w:eastAsia="Arial" w:hAnsi="Arial"/>
          <w:sz w:val="16"/>
          <w:szCs w:val="16"/>
          <w:color w:val="auto"/>
        </w:rPr>
      </w:pPr>
      <w:r>
        <w:rPr>
          <w:rFonts w:ascii="Arial" w:cs="Arial" w:eastAsia="Arial" w:hAnsi="Arial"/>
          <w:sz w:val="16"/>
          <w:szCs w:val="16"/>
          <w:color w:val="auto"/>
        </w:rPr>
        <w:t>greater technological and research and development resources;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50</w:t>
      </w:r>
    </w:p>
    <w:p>
      <w:pPr>
        <w:spacing w:after="0" w:line="104"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larger intellectual property portfolios;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better system reliability and robustness;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greater selling and marketing capabilities;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17"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7"/>
          <w:szCs w:val="17"/>
          <w:color w:val="auto"/>
        </w:rPr>
        <w:t>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develop and successfully introduce new and enhanced products that meet the needs of our customers.</w:t>
      </w:r>
    </w:p>
    <w:p>
      <w:pPr>
        <w:spacing w:after="0" w:line="152" w:lineRule="exact"/>
        <w:rPr>
          <w:sz w:val="20"/>
          <w:szCs w:val="20"/>
          <w:color w:val="auto"/>
        </w:rPr>
      </w:pPr>
    </w:p>
    <w:p>
      <w:pPr>
        <w:jc w:val="both"/>
        <w:ind w:firstLine="578"/>
        <w:spacing w:after="0" w:line="307" w:lineRule="auto"/>
        <w:rPr>
          <w:sz w:val="20"/>
          <w:szCs w:val="20"/>
          <w:color w:val="auto"/>
        </w:rPr>
      </w:pPr>
      <w:r>
        <w:rPr>
          <w:rFonts w:ascii="Arial" w:cs="Arial" w:eastAsia="Arial" w:hAnsi="Arial"/>
          <w:sz w:val="16"/>
          <w:szCs w:val="16"/>
          <w:color w:val="auto"/>
        </w:rPr>
        <w:t>Our current products include instruments, consumables and services to advance high-content and high-sensitivity cell analysis by utilizing our full spectrum profiling (“FSP”) technology.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w:t>
      </w:r>
    </w:p>
    <w:p>
      <w:pPr>
        <w:spacing w:after="0" w:line="125" w:lineRule="exact"/>
        <w:rPr>
          <w:sz w:val="20"/>
          <w:szCs w:val="20"/>
          <w:color w:val="auto"/>
        </w:rPr>
      </w:pPr>
    </w:p>
    <w:p>
      <w:pPr>
        <w:jc w:val="both"/>
        <w:ind w:firstLine="578"/>
        <w:spacing w:after="0" w:line="305" w:lineRule="auto"/>
        <w:rPr>
          <w:sz w:val="20"/>
          <w:szCs w:val="20"/>
          <w:color w:val="auto"/>
        </w:rPr>
      </w:pPr>
      <w:r>
        <w:rPr>
          <w:rFonts w:ascii="Arial" w:cs="Arial" w:eastAsia="Arial" w:hAnsi="Arial"/>
          <w:sz w:val="16"/>
          <w:szCs w:val="16"/>
          <w:color w:val="auto"/>
        </w:rPr>
        <w:t>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the needs of our customers, or effectively coordinate with our suppliers, our net sales may be reduced and our business would be harmed.</w:t>
      </w:r>
    </w:p>
    <w:p>
      <w:pPr>
        <w:spacing w:after="0" w:line="127" w:lineRule="exact"/>
        <w:rPr>
          <w:sz w:val="20"/>
          <w:szCs w:val="20"/>
          <w:color w:val="auto"/>
        </w:rPr>
      </w:pPr>
    </w:p>
    <w:p>
      <w:pPr>
        <w:jc w:val="both"/>
        <w:ind w:firstLine="578"/>
        <w:spacing w:after="0" w:line="307" w:lineRule="auto"/>
        <w:rPr>
          <w:sz w:val="20"/>
          <w:szCs w:val="20"/>
          <w:color w:val="auto"/>
        </w:rPr>
      </w:pPr>
      <w:r>
        <w:rPr>
          <w:rFonts w:ascii="Arial" w:cs="Arial" w:eastAsia="Arial" w:hAnsi="Arial"/>
          <w:sz w:val="16"/>
          <w:szCs w:val="16"/>
          <w:color w:val="auto"/>
        </w:rPr>
        <w:t>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w:t>
      </w:r>
    </w:p>
    <w:p>
      <w:pPr>
        <w:spacing w:after="0" w:line="1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67" w:lineRule="exact"/>
        <w:rPr>
          <w:sz w:val="20"/>
          <w:szCs w:val="20"/>
          <w:color w:val="auto"/>
        </w:rPr>
      </w:pPr>
    </w:p>
    <w:p>
      <w:pPr>
        <w:jc w:val="both"/>
        <w:ind w:firstLine="578"/>
        <w:spacing w:after="0" w:line="300" w:lineRule="auto"/>
        <w:rPr>
          <w:sz w:val="20"/>
          <w:szCs w:val="20"/>
          <w:color w:val="auto"/>
        </w:rPr>
      </w:pPr>
      <w:r>
        <w:rPr>
          <w:rFonts w:ascii="Arial" w:cs="Arial" w:eastAsia="Arial" w:hAnsi="Arial"/>
          <w:sz w:val="16"/>
          <w:szCs w:val="16"/>
          <w:color w:val="auto"/>
        </w:rPr>
        <w:t>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adequately predict our customers’ needs or fail to obtain desired levels of market acceptance, our business may suffer and our operating results could be adversely affected.</w:t>
      </w:r>
    </w:p>
    <w:p>
      <w:pPr>
        <w:spacing w:after="0" w:line="131" w:lineRule="exact"/>
        <w:rPr>
          <w:sz w:val="20"/>
          <w:szCs w:val="20"/>
          <w:color w:val="auto"/>
        </w:rPr>
      </w:pPr>
    </w:p>
    <w:p>
      <w:pPr>
        <w:jc w:val="both"/>
        <w:ind w:firstLine="578"/>
        <w:spacing w:after="0" w:line="262" w:lineRule="auto"/>
        <w:rPr>
          <w:sz w:val="20"/>
          <w:szCs w:val="20"/>
          <w:color w:val="auto"/>
        </w:rPr>
      </w:pPr>
      <w:r>
        <w:rPr>
          <w:rFonts w:ascii="Arial" w:cs="Arial" w:eastAsia="Arial" w:hAnsi="Arial"/>
          <w:sz w:val="18"/>
          <w:szCs w:val="18"/>
          <w:color w:val="auto"/>
        </w:rPr>
        <w:t>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 among our programs to maintain a balance between advancing near-term opportunities and exploring additional markets and use cases for our technology. However, due to the significant resources required for the development of products or services for new markets, we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51</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FSP solutions, it could slow or stop our business growth and negatively impact our business, financial condition, results of operations and prospects.</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New product development involves a lengthy and complex process and we may be unable to develop or commercialize products on a timely basis, or at all.</w:t>
      </w:r>
    </w:p>
    <w:p>
      <w:pPr>
        <w:spacing w:after="0" w:line="63" w:lineRule="exact"/>
        <w:rPr>
          <w:sz w:val="20"/>
          <w:szCs w:val="20"/>
          <w:color w:val="auto"/>
        </w:rPr>
      </w:pPr>
    </w:p>
    <w:p>
      <w:pPr>
        <w:jc w:val="both"/>
        <w:ind w:firstLine="578"/>
        <w:spacing w:after="0" w:line="290" w:lineRule="auto"/>
        <w:rPr>
          <w:sz w:val="20"/>
          <w:szCs w:val="20"/>
          <w:color w:val="auto"/>
        </w:rPr>
      </w:pPr>
      <w:r>
        <w:rPr>
          <w:rFonts w:ascii="Arial" w:cs="Arial" w:eastAsia="Arial" w:hAnsi="Arial"/>
          <w:sz w:val="17"/>
          <w:szCs w:val="17"/>
          <w:color w:val="auto"/>
        </w:rPr>
        <w:t>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to, for example:</w:t>
      </w:r>
    </w:p>
    <w:p>
      <w:pPr>
        <w:spacing w:after="0" w:line="135"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conduct substantial research and development;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 necessary regulatory approval;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further develop and scale our laboratory, engineering and manufacturing processes to accommodate different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source and enter into agreements with new suppliers;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further develop and scale our infrastructure.</w:t>
      </w:r>
    </w:p>
    <w:p>
      <w:pPr>
        <w:spacing w:after="0" w:line="104" w:lineRule="exact"/>
        <w:rPr>
          <w:sz w:val="20"/>
          <w:szCs w:val="20"/>
          <w:color w:val="auto"/>
        </w:rPr>
      </w:pPr>
    </w:p>
    <w:p>
      <w:pPr>
        <w:jc w:val="both"/>
        <w:ind w:firstLine="578"/>
        <w:spacing w:after="0" w:line="293" w:lineRule="auto"/>
        <w:rPr>
          <w:sz w:val="20"/>
          <w:szCs w:val="20"/>
          <w:color w:val="auto"/>
        </w:rPr>
      </w:pPr>
      <w:r>
        <w:rPr>
          <w:rFonts w:ascii="Arial" w:cs="Arial" w:eastAsia="Arial" w:hAnsi="Arial"/>
          <w:sz w:val="18"/>
          <w:szCs w:val="18"/>
          <w:color w:val="auto"/>
        </w:rPr>
        <w:t>Our product development processes involve a high degree of risk, and these efforts may be delayed or fail for many reasons, including failure of the product to perform as expected and failure to reliably demonstrate the advantages of the product.</w:t>
      </w:r>
    </w:p>
    <w:p>
      <w:pPr>
        <w:spacing w:after="0" w:line="129"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8"/>
          <w:szCs w:val="18"/>
          <w:color w:val="auto"/>
        </w:rPr>
        <w:t>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FSP systems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87" w:lineRule="exact"/>
        <w:rPr>
          <w:sz w:val="20"/>
          <w:szCs w:val="20"/>
          <w:color w:val="auto"/>
        </w:rPr>
      </w:pPr>
    </w:p>
    <w:p>
      <w:pPr>
        <w:jc w:val="both"/>
        <w:ind w:firstLine="578"/>
        <w:spacing w:after="0" w:line="260" w:lineRule="auto"/>
        <w:rPr>
          <w:sz w:val="20"/>
          <w:szCs w:val="20"/>
          <w:color w:val="auto"/>
        </w:rPr>
      </w:pPr>
      <w:r>
        <w:rPr>
          <w:rFonts w:ascii="Arial" w:cs="Arial" w:eastAsia="Arial" w:hAnsi="Arial"/>
          <w:sz w:val="18"/>
          <w:szCs w:val="18"/>
          <w:color w:val="auto"/>
        </w:rPr>
        <w:t>Our success depends on our ability to provide reliable, high quality products that enable high-content and high-sensitivity cell analysis through flexible, efficient and cost-effective solutions. Our FSP systems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w:t>
      </w:r>
    </w:p>
    <w:p>
      <w:pPr>
        <w:spacing w:after="0" w:line="161"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8"/>
          <w:szCs w:val="18"/>
          <w:color w:val="auto"/>
        </w:rPr>
        <w:t>Our customers may discover defects in our products after the products have been fully installed and operated. In addition, some of our products include components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149"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customers or orders;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costs of warranty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attract new customers;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52</w:t>
      </w:r>
    </w:p>
    <w:p>
      <w:pPr>
        <w:spacing w:after="0" w:line="104"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development, engineering and manufacturing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actions by governmental authorities;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85" w:lineRule="exact"/>
        <w:rPr>
          <w:sz w:val="20"/>
          <w:szCs w:val="20"/>
          <w:color w:val="auto"/>
        </w:rPr>
      </w:pPr>
    </w:p>
    <w:p>
      <w:pPr>
        <w:jc w:val="both"/>
        <w:ind w:firstLine="578"/>
        <w:spacing w:after="0" w:line="265" w:lineRule="auto"/>
        <w:rPr>
          <w:sz w:val="20"/>
          <w:szCs w:val="20"/>
          <w:color w:val="auto"/>
        </w:rPr>
      </w:pPr>
      <w:r>
        <w:rPr>
          <w:rFonts w:ascii="Arial" w:cs="Arial" w:eastAsia="Arial" w:hAnsi="Arial"/>
          <w:sz w:val="18"/>
          <w:szCs w:val="18"/>
          <w:color w:val="auto"/>
        </w:rPr>
        <w:t>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w:t>
      </w:r>
    </w:p>
    <w:p>
      <w:pPr>
        <w:spacing w:after="0" w:line="153" w:lineRule="exact"/>
        <w:rPr>
          <w:sz w:val="20"/>
          <w:szCs w:val="20"/>
          <w:color w:val="auto"/>
        </w:rPr>
      </w:pPr>
    </w:p>
    <w:p>
      <w:pPr>
        <w:jc w:val="both"/>
        <w:ind w:firstLine="578"/>
        <w:spacing w:after="0" w:line="284" w:lineRule="auto"/>
        <w:rPr>
          <w:sz w:val="20"/>
          <w:szCs w:val="20"/>
          <w:color w:val="auto"/>
        </w:rPr>
      </w:pPr>
      <w:r>
        <w:rPr>
          <w:rFonts w:ascii="Arial" w:cs="Arial" w:eastAsia="Arial" w:hAnsi="Arial"/>
          <w:sz w:val="17"/>
          <w:szCs w:val="17"/>
          <w:color w:val="auto"/>
        </w:rPr>
        <w:t>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w:t>
      </w:r>
    </w:p>
    <w:p>
      <w:pPr>
        <w:spacing w:after="0" w:line="139"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6"/>
          <w:szCs w:val="16"/>
          <w:color w:val="auto"/>
        </w:rPr>
        <w:t>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September 30, 2022, we had accrued approximately $1.9 million in expenses relating to product warranty accruals. Substantial amounts of warranty claims could have an adverse effect on our business, financial condition and results of operations.</w:t>
      </w:r>
    </w:p>
    <w:p>
      <w:pPr>
        <w:spacing w:after="0" w:line="136"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8"/>
          <w:szCs w:val="18"/>
          <w:color w:val="auto"/>
        </w:rPr>
        <w:t>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Shipping is a critical part of our business and any changes in our shipping arrangements or damages or losses sustained during shipping could adversely affect our business, financial condition, results of operations and prospects.</w:t>
      </w:r>
    </w:p>
    <w:p>
      <w:pPr>
        <w:spacing w:after="0" w:line="63"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7"/>
          <w:szCs w:val="17"/>
          <w:color w:val="auto"/>
        </w:rPr>
        <w:t>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California, and Wuxi, China require global shipping services which are subject to certain factors outside of our control, such as increased costs due to fuel surcharges or otherwise, delays passing through customs and disruptions to global shipping routes. We have also experienced shipping delays and difficulties due to the COVID-19 pandemic and may again experience such delays or difficulties due to future quarantines, shelter-in-place and similar government orders related to the COVID-19 pandemic or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76" w:lineRule="exact"/>
        <w:rPr>
          <w:sz w:val="20"/>
          <w:szCs w:val="20"/>
          <w:color w:val="auto"/>
        </w:rPr>
      </w:pPr>
    </w:p>
    <w:p>
      <w:pPr>
        <w:jc w:val="both"/>
        <w:ind w:firstLine="578"/>
        <w:spacing w:after="0" w:line="264" w:lineRule="auto"/>
        <w:rPr>
          <w:sz w:val="20"/>
          <w:szCs w:val="20"/>
          <w:color w:val="auto"/>
        </w:rPr>
      </w:pPr>
      <w:r>
        <w:rPr>
          <w:rFonts w:ascii="Arial" w:cs="Arial" w:eastAsia="Arial" w:hAnsi="Arial"/>
          <w:sz w:val="18"/>
          <w:szCs w:val="18"/>
          <w:color w:val="auto"/>
        </w:rPr>
        <w:t>Our future sales will depend, in large part, on our ability to develop and substantially expand our sales infrastructure, particularly as we enter into new markets, rollout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53</w:t>
      </w:r>
    </w:p>
    <w:p>
      <w:pPr>
        <w:spacing w:after="0" w:line="10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Asia-Pacific region. Our sales and marketing efforts are targeted at academic and governmental institutions, pharmaceutical and biotechnology companies, clinical research organizations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w:t>
      </w:r>
    </w:p>
    <w:p>
      <w:pPr>
        <w:spacing w:after="0" w:line="152" w:lineRule="exact"/>
        <w:rPr>
          <w:sz w:val="20"/>
          <w:szCs w:val="20"/>
          <w:color w:val="auto"/>
        </w:rPr>
      </w:pPr>
    </w:p>
    <w:p>
      <w:pPr>
        <w:jc w:val="both"/>
        <w:ind w:firstLine="578"/>
        <w:spacing w:after="0" w:line="300" w:lineRule="auto"/>
        <w:rPr>
          <w:sz w:val="20"/>
          <w:szCs w:val="20"/>
          <w:color w:val="auto"/>
        </w:rPr>
      </w:pPr>
      <w:r>
        <w:rPr>
          <w:rFonts w:ascii="Arial" w:cs="Arial" w:eastAsia="Arial" w:hAnsi="Arial"/>
          <w:sz w:val="16"/>
          <w:szCs w:val="16"/>
          <w:color w:val="auto"/>
        </w:rPr>
        <w:t>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w:t>
      </w:r>
    </w:p>
    <w:p>
      <w:pPr>
        <w:spacing w:after="0" w:line="132" w:lineRule="exact"/>
        <w:rPr>
          <w:sz w:val="20"/>
          <w:szCs w:val="20"/>
          <w:color w:val="auto"/>
        </w:rPr>
      </w:pPr>
    </w:p>
    <w:p>
      <w:pPr>
        <w:jc w:val="both"/>
        <w:ind w:firstLine="578"/>
        <w:spacing w:after="0" w:line="280" w:lineRule="auto"/>
        <w:rPr>
          <w:sz w:val="20"/>
          <w:szCs w:val="20"/>
          <w:color w:val="auto"/>
        </w:rPr>
      </w:pPr>
      <w:r>
        <w:rPr>
          <w:rFonts w:ascii="Arial" w:cs="Arial" w:eastAsia="Arial" w:hAnsi="Arial"/>
          <w:sz w:val="17"/>
          <w:szCs w:val="17"/>
          <w:color w:val="auto"/>
        </w:rPr>
        <w:t>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76" w:lineRule="exact"/>
        <w:rPr>
          <w:sz w:val="20"/>
          <w:szCs w:val="20"/>
          <w:color w:val="auto"/>
        </w:rPr>
      </w:pPr>
    </w:p>
    <w:p>
      <w:pPr>
        <w:jc w:val="both"/>
        <w:ind w:firstLine="578"/>
        <w:spacing w:after="0" w:line="276" w:lineRule="auto"/>
        <w:rPr>
          <w:sz w:val="20"/>
          <w:szCs w:val="20"/>
          <w:color w:val="auto"/>
        </w:rPr>
      </w:pPr>
      <w:r>
        <w:rPr>
          <w:rFonts w:ascii="Arial" w:cs="Arial" w:eastAsia="Arial" w:hAnsi="Arial"/>
          <w:sz w:val="17"/>
          <w:szCs w:val="17"/>
          <w:color w:val="auto"/>
        </w:rPr>
        <w:t>We rely on a significant base of peer-reviewed publications to showcase and validate the importance and application of our technology in academic and clinical research settings. To date, there have been more than 760 peer-reviewed articles published,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49" w:lineRule="exact"/>
        <w:rPr>
          <w:sz w:val="20"/>
          <w:szCs w:val="20"/>
          <w:color w:val="auto"/>
        </w:rPr>
      </w:pPr>
    </w:p>
    <w:p>
      <w:pPr>
        <w:jc w:val="both"/>
        <w:ind w:firstLine="578"/>
        <w:spacing w:after="0" w:line="284" w:lineRule="auto"/>
        <w:rPr>
          <w:sz w:val="20"/>
          <w:szCs w:val="20"/>
          <w:color w:val="auto"/>
        </w:rPr>
      </w:pPr>
      <w:r>
        <w:rPr>
          <w:rFonts w:ascii="Arial" w:cs="Arial" w:eastAsia="Arial" w:hAnsi="Arial"/>
          <w:sz w:val="17"/>
          <w:szCs w:val="17"/>
          <w:color w:val="auto"/>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spacing w:after="0" w:line="139" w:lineRule="exact"/>
        <w:rPr>
          <w:sz w:val="20"/>
          <w:szCs w:val="20"/>
          <w:color w:val="auto"/>
        </w:rPr>
      </w:pPr>
    </w:p>
    <w:p>
      <w:pPr>
        <w:jc w:val="both"/>
        <w:ind w:firstLine="578"/>
        <w:spacing w:after="0" w:line="280" w:lineRule="auto"/>
        <w:rPr>
          <w:sz w:val="20"/>
          <w:szCs w:val="20"/>
          <w:color w:val="auto"/>
        </w:rPr>
      </w:pPr>
      <w:r>
        <w:rPr>
          <w:rFonts w:ascii="Arial" w:cs="Arial" w:eastAsia="Arial" w:hAnsi="Arial"/>
          <w:sz w:val="17"/>
          <w:szCs w:val="17"/>
          <w:color w:val="auto"/>
        </w:rPr>
        <w:t>Competition for skilled personnel in our market is intense and has recently intensified further due to macro-economic conditions and industry trends in many areas where our employees are located. This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w:t>
      </w:r>
    </w:p>
    <w:p>
      <w:pPr>
        <w:spacing w:after="0" w:line="145"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8"/>
          <w:szCs w:val="18"/>
          <w:color w:val="auto"/>
        </w:rPr>
        <w:t>Many of the other cell analysis technology companies that we compete against for qualified personnel have greater financial and other resources, different risk profiles and a longer history in the industry than we do. They may also provide more diverse opportunities,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54</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better chances for career advancement and higher compensation. Some of these characteristics are more appealing to high 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w:t>
      </w:r>
    </w:p>
    <w:p>
      <w:pPr>
        <w:spacing w:after="0" w:line="132" w:lineRule="exact"/>
        <w:rPr>
          <w:sz w:val="20"/>
          <w:szCs w:val="20"/>
          <w:color w:val="auto"/>
        </w:rPr>
      </w:pPr>
    </w:p>
    <w:p>
      <w:pPr>
        <w:jc w:val="both"/>
        <w:ind w:firstLine="578"/>
        <w:spacing w:after="0" w:line="265"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spacing w:after="0" w:line="154"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8"/>
          <w:szCs w:val="18"/>
          <w:color w:val="auto"/>
        </w:rPr>
        <w:t>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w:t>
      </w:r>
    </w:p>
    <w:p>
      <w:pPr>
        <w:spacing w:after="0" w:line="149"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16"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8"/>
          <w:szCs w:val="18"/>
          <w:color w:val="auto"/>
        </w:rPr>
        <w:t>As of September 30, 2022, we had 574 full-time employees. As our sales and marketing strategies develop, we expect to need additional managerial, operational, sales, marketing, financial and other personnel. Future growth would impose significant added responsibilities on members of management, including:</w:t>
      </w:r>
    </w:p>
    <w:p>
      <w:pPr>
        <w:spacing w:after="0" w:line="149"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03"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contractors and other third parties; and</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04" w:lineRule="exact"/>
        <w:rPr>
          <w:sz w:val="20"/>
          <w:szCs w:val="20"/>
          <w:color w:val="auto"/>
        </w:rPr>
      </w:pPr>
    </w:p>
    <w:p>
      <w:pPr>
        <w:jc w:val="both"/>
        <w:ind w:firstLine="578"/>
        <w:spacing w:after="0" w:line="296" w:lineRule="auto"/>
        <w:rPr>
          <w:sz w:val="20"/>
          <w:szCs w:val="20"/>
          <w:color w:val="auto"/>
        </w:rPr>
      </w:pPr>
      <w:r>
        <w:rPr>
          <w:rFonts w:ascii="Arial" w:cs="Arial" w:eastAsia="Arial" w:hAnsi="Arial"/>
          <w:sz w:val="16"/>
          <w:szCs w:val="16"/>
          <w:color w:val="auto"/>
        </w:rPr>
        <w:t>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finance,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67" w:lineRule="exact"/>
        <w:rPr>
          <w:sz w:val="20"/>
          <w:szCs w:val="20"/>
          <w:color w:val="auto"/>
        </w:rPr>
      </w:pPr>
    </w:p>
    <w:p>
      <w:pPr>
        <w:jc w:val="both"/>
        <w:ind w:firstLine="578"/>
        <w:spacing w:after="0" w:line="280" w:lineRule="auto"/>
        <w:rPr>
          <w:sz w:val="20"/>
          <w:szCs w:val="20"/>
          <w:color w:val="auto"/>
        </w:rPr>
      </w:pPr>
      <w:r>
        <w:rPr>
          <w:rFonts w:ascii="Arial" w:cs="Arial" w:eastAsia="Arial" w:hAnsi="Arial"/>
          <w:sz w:val="17"/>
          <w:szCs w:val="17"/>
          <w:color w:val="auto"/>
        </w:rPr>
        <w:t>Prior to our initial public offering ("IPO") in July 2021, we were a private company with limited accounting personnel to adequately execute our accounting processes to address our internal control over financial reporting. In connection with our financial statement close process for the years ended December 31, 2019 and 2020, we identified material weaknesses associated with our control environment and control activities components of the Committee of Sponsoring Organizations (“COSO”) framework related to (i) the lack of sufficient qualified personnel within its accounting and IT function and (ii) establishing policies and procedures to identify, select and apply GAAP in order to ensure that transactions were being appropriately recorded; and the design of appropriate control activities over information technology systems and financial and reporting processes necessary to ensure the accuracy of financial reporting and the preparation of financial statements.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55</w:t>
      </w:r>
    </w:p>
    <w:p>
      <w:pPr>
        <w:spacing w:after="0" w:line="104" w:lineRule="exact"/>
        <w:rPr>
          <w:sz w:val="20"/>
          <w:szCs w:val="20"/>
          <w:color w:val="auto"/>
        </w:rPr>
      </w:pPr>
    </w:p>
    <w:p>
      <w:pPr>
        <w:jc w:val="both"/>
        <w:ind w:firstLine="578"/>
        <w:spacing w:after="0" w:line="294"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 These deficiencies could result in additional material misstatements to our consolidated financial statements that could not be prevented or detected on a timely basis.</w:t>
      </w:r>
    </w:p>
    <w:p>
      <w:pPr>
        <w:spacing w:after="0" w:line="132"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We cannot be certain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because no such evaluation has been previously required.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to fund our existing operations, develop our products and/or expand our operations.</w:t>
      </w:r>
    </w:p>
    <w:p>
      <w:pPr>
        <w:spacing w:after="0" w:line="104" w:lineRule="exact"/>
        <w:rPr>
          <w:sz w:val="20"/>
          <w:szCs w:val="20"/>
          <w:color w:val="auto"/>
        </w:rPr>
      </w:pPr>
    </w:p>
    <w:p>
      <w:pPr>
        <w:jc w:val="both"/>
        <w:ind w:firstLine="578"/>
        <w:spacing w:after="0" w:line="264" w:lineRule="auto"/>
        <w:rPr>
          <w:sz w:val="20"/>
          <w:szCs w:val="20"/>
          <w:color w:val="auto"/>
        </w:rPr>
      </w:pPr>
      <w:r>
        <w:rPr>
          <w:rFonts w:ascii="Arial" w:cs="Arial" w:eastAsia="Arial" w:hAnsi="Arial"/>
          <w:sz w:val="18"/>
          <w:szCs w:val="18"/>
          <w:color w:val="auto"/>
        </w:rPr>
        <w:t>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w:t>
      </w:r>
    </w:p>
    <w:p>
      <w:pPr>
        <w:spacing w:after="0" w:line="156" w:lineRule="exact"/>
        <w:rPr>
          <w:sz w:val="20"/>
          <w:szCs w:val="20"/>
          <w:color w:val="auto"/>
        </w:rPr>
      </w:pPr>
    </w:p>
    <w:p>
      <w:pPr>
        <w:jc w:val="both"/>
        <w:ind w:right="20" w:firstLine="578"/>
        <w:spacing w:after="0" w:line="320" w:lineRule="auto"/>
        <w:rPr>
          <w:sz w:val="20"/>
          <w:szCs w:val="20"/>
          <w:color w:val="auto"/>
        </w:rPr>
      </w:pPr>
      <w:r>
        <w:rPr>
          <w:rFonts w:ascii="Arial" w:cs="Arial" w:eastAsia="Arial" w:hAnsi="Arial"/>
          <w:sz w:val="16"/>
          <w:szCs w:val="16"/>
          <w:color w:val="auto"/>
        </w:rPr>
        <w:t>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present and future funding requirements will depend on many factors, some of which are beyond our control, including:</w:t>
      </w:r>
    </w:p>
    <w:p>
      <w:pPr>
        <w:spacing w:after="0" w:line="198"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achieve and maintain revenue growth;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expanding our operations, including our sales and marketing efforts;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rate of progress in launching and commercializing new products, and the cost of the sales and marketing activities associated with, establishing adoption of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rate of progress in, and cost of research and development activities associated with, products in research and development;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associated with any product recall that may occur;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related to domestic and international expansion;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attaining, defending and enforcing our intellectual property rights;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and timing of any other collaborative, licensing and other arrangements that we may establish.</w:t>
      </w:r>
    </w:p>
    <w:p>
      <w:pPr>
        <w:spacing w:after="0" w:line="185" w:lineRule="exact"/>
        <w:rPr>
          <w:sz w:val="20"/>
          <w:szCs w:val="20"/>
          <w:color w:val="auto"/>
        </w:rPr>
      </w:pPr>
    </w:p>
    <w:p>
      <w:pPr>
        <w:jc w:val="both"/>
        <w:ind w:firstLine="578"/>
        <w:spacing w:after="0" w:line="262" w:lineRule="auto"/>
        <w:rPr>
          <w:sz w:val="20"/>
          <w:szCs w:val="20"/>
          <w:color w:val="auto"/>
        </w:rPr>
      </w:pPr>
      <w:r>
        <w:rPr>
          <w:rFonts w:ascii="Arial" w:cs="Arial" w:eastAsia="Arial" w:hAnsi="Arial"/>
          <w:sz w:val="18"/>
          <w:szCs w:val="18"/>
          <w:color w:val="auto"/>
        </w:rPr>
        <w:t>Additional funding may not be available on acceptable terms, or at all.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w:t>
      </w:r>
    </w:p>
    <w:p>
      <w:pPr>
        <w:spacing w:after="0" w:line="160" w:lineRule="exact"/>
        <w:rPr>
          <w:sz w:val="20"/>
          <w:szCs w:val="20"/>
          <w:color w:val="auto"/>
        </w:rPr>
      </w:pPr>
    </w:p>
    <w:p>
      <w:pPr>
        <w:jc w:val="both"/>
        <w:ind w:right="20" w:firstLine="578"/>
        <w:spacing w:after="0" w:line="277" w:lineRule="auto"/>
        <w:rPr>
          <w:sz w:val="20"/>
          <w:szCs w:val="20"/>
          <w:color w:val="auto"/>
        </w:rPr>
      </w:pPr>
      <w:r>
        <w:rPr>
          <w:rFonts w:ascii="Arial" w:cs="Arial" w:eastAsia="Arial" w:hAnsi="Arial"/>
          <w:sz w:val="18"/>
          <w:szCs w:val="18"/>
          <w:color w:val="auto"/>
        </w:rPr>
        <w:t>In addition, our ability to raise additional funds may be adversely impacted by potential worsening global economic conditions and the disruptions to, and volatility in, the credit and financial markets in the United States and worldwide resulting from the COVID-19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56</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pandemic, and geopolitical tensions, such as the ongoing war in Ukraine, and rising interest rates. The global economy, including credit and financial markets, has experienced extreme volatility and disruptions, including severely diminished liquidity and credit availability, declines in economic growth, increases in inflation rates, higher interest rates and uncertainty about economic stability. If the equity and credit markets further deteriorate, or do not improve, it may make any necessary debt or equity financing more difficult, more costly and more dilutive. If we are unable to raise additional capital 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3" w:lineRule="exact"/>
        <w:rPr>
          <w:sz w:val="20"/>
          <w:szCs w:val="20"/>
          <w:color w:val="auto"/>
        </w:rPr>
      </w:pPr>
    </w:p>
    <w:p>
      <w:pPr>
        <w:jc w:val="both"/>
        <w:ind w:firstLine="578"/>
        <w:spacing w:after="0" w:line="293"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29"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of demand for any of our products, which may vary significantly;</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manufacturing, regulatory approval and commercialization activities relating to our products, which may change from time to time;</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size, seasonality and customer mix of the cell analysis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and marketing efforts and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newly-hired salespeople become effective;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productivity of our sales force;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effectiveness of our distribution partners in selling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positive or negative coverage in the media or publications of our products or competitive products;</w:t>
      </w:r>
    </w:p>
    <w:p>
      <w:pPr>
        <w:spacing w:after="0" w:line="117"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manufacturing our products, which may vary depending on the quantity of production and the terms of our arrangements with our suppliers;</w:t>
      </w:r>
    </w:p>
    <w:p>
      <w:pPr>
        <w:spacing w:after="0" w:line="62" w:lineRule="exact"/>
        <w:rPr>
          <w:rFonts w:ascii="Arial" w:cs="Arial" w:eastAsia="Arial" w:hAnsi="Arial"/>
          <w:sz w:val="18"/>
          <w:szCs w:val="18"/>
          <w:color w:val="auto"/>
        </w:rPr>
      </w:pPr>
    </w:p>
    <w:p>
      <w:pPr>
        <w:ind w:left="1020" w:right="20" w:hanging="503"/>
        <w:spacing w:after="0" w:line="291"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degree of competition in our industry and any change in the competitive landscape of our industry, including the introduction of new products or enhancements or technologies by us or others in the cell analysis market and competition-related pricing pressures;</w:t>
      </w:r>
    </w:p>
    <w:p>
      <w:pPr>
        <w:spacing w:after="0" w:line="52"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 or applications;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03" w:lineRule="exact"/>
        <w:rPr>
          <w:rFonts w:ascii="Arial" w:cs="Arial" w:eastAsia="Arial" w:hAnsi="Arial"/>
          <w:sz w:val="18"/>
          <w:szCs w:val="18"/>
          <w:color w:val="auto"/>
        </w:rPr>
      </w:pPr>
    </w:p>
    <w:p>
      <w:pPr>
        <w:ind w:left="1020" w:right="20" w:hanging="503"/>
        <w:spacing w:after="0" w:line="308"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disruptions to our business and operations or to the business and operations of our suppliers, distributors, and other third parties with whom we conduct business resulting from the COVID-19 pandemic or other widespread health crises such as the COVID-19 pandemic;</w:t>
      </w:r>
    </w:p>
    <w:p>
      <w:pPr>
        <w:spacing w:after="0" w:line="24"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shipping costs due to increased fuel surcharges and delays due to customs requirements, disruptions to global shipping routes and due to the COVID-19 pandemic;</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global financial crises and economic downturns, including those caused by widespread public health crises;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factors, including changes in inflation, interest rates, foreign currency rates, and the potential effect of such factors on revenues and expenses; and</w:t>
      </w:r>
    </w:p>
    <w:p>
      <w:pPr>
        <w:spacing w:after="0" w:line="76"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44" w:lineRule="exact"/>
        <w:rPr>
          <w:sz w:val="20"/>
          <w:szCs w:val="20"/>
          <w:color w:val="auto"/>
        </w:rPr>
      </w:pPr>
    </w:p>
    <w:p>
      <w:pPr>
        <w:jc w:val="both"/>
        <w:ind w:firstLine="578"/>
        <w:spacing w:after="0" w:line="280" w:lineRule="auto"/>
        <w:rPr>
          <w:sz w:val="20"/>
          <w:szCs w:val="20"/>
          <w:color w:val="auto"/>
        </w:rPr>
      </w:pPr>
      <w:r>
        <w:rPr>
          <w:rFonts w:ascii="Arial" w:cs="Arial" w:eastAsia="Arial" w:hAnsi="Arial"/>
          <w:sz w:val="17"/>
          <w:szCs w:val="17"/>
          <w:color w:val="auto"/>
        </w:rPr>
        <w:t>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57</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sizes of the markets for our products may be smaller than we estimate.</w:t>
      </w:r>
    </w:p>
    <w:p>
      <w:pPr>
        <w:spacing w:after="0" w:line="101" w:lineRule="exact"/>
        <w:rPr>
          <w:sz w:val="20"/>
          <w:szCs w:val="20"/>
          <w:color w:val="auto"/>
        </w:rPr>
      </w:pPr>
    </w:p>
    <w:p>
      <w:pPr>
        <w:jc w:val="both"/>
        <w:ind w:firstLine="578"/>
        <w:spacing w:after="0" w:line="294" w:lineRule="auto"/>
        <w:rPr>
          <w:sz w:val="20"/>
          <w:szCs w:val="20"/>
          <w:color w:val="auto"/>
        </w:rPr>
      </w:pPr>
      <w:r>
        <w:rPr>
          <w:rFonts w:ascii="Arial" w:cs="Arial" w:eastAsia="Arial" w:hAnsi="Arial"/>
          <w:sz w:val="16"/>
          <w:szCs w:val="16"/>
          <w:color w:val="auto"/>
        </w:rPr>
        <w:t xml:space="preserve">Within the life sciences technology market, flow cytometry technologies currently provide solutions largely within cell proliferation, cell counting, cell identification, cell quality control and single-cell applications, representing an initial total addressable market (“TAM”) of nearly $8 billion. However, we believe that the enhanced capabilities of our FSP platform has the potential to capture an increasingly greater share of the broader cell analysis TAM.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While we believe our assumptions and the data underlying our estimates are reasonable, we have not independently verified the accuracy of the third-party data on which we have based our assumptions and estimates, and these assumptions and estimates may not be correct and significantly different than actual market sizes, and the conditions supporting our assumptions or estimates may change at any time, including as a result of factors outside our control, thereby reducing the predictive accuracy of these underlying factors.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w:t>
      </w:r>
    </w:p>
    <w:p>
      <w:pPr>
        <w:spacing w:after="0" w:line="133" w:lineRule="exact"/>
        <w:rPr>
          <w:sz w:val="20"/>
          <w:szCs w:val="20"/>
          <w:color w:val="auto"/>
        </w:rPr>
      </w:pPr>
    </w:p>
    <w:p>
      <w:pPr>
        <w:jc w:val="both"/>
        <w:ind w:firstLine="578"/>
        <w:spacing w:after="0" w:line="265" w:lineRule="auto"/>
        <w:rPr>
          <w:sz w:val="20"/>
          <w:szCs w:val="20"/>
          <w:color w:val="auto"/>
        </w:rPr>
      </w:pPr>
      <w:r>
        <w:rPr>
          <w:rFonts w:ascii="Arial" w:cs="Arial" w:eastAsia="Arial" w:hAnsi="Arial"/>
          <w:sz w:val="18"/>
          <w:szCs w:val="18"/>
          <w:color w:val="auto"/>
        </w:rPr>
        <w:t>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sizes of the annual total addressable market for new markets and new products are even more difficult to predict.</w:t>
      </w:r>
    </w:p>
    <w:p>
      <w:pPr>
        <w:spacing w:after="0" w:line="15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If we were to be sued for product liability, we could face substantial liabilities that exceed our resources, limit sales of our existing products and limit commercialization of any products that we may develop.</w:t>
      </w:r>
    </w:p>
    <w:p>
      <w:pPr>
        <w:spacing w:after="0" w:line="63" w:lineRule="exact"/>
        <w:rPr>
          <w:sz w:val="20"/>
          <w:szCs w:val="20"/>
          <w:color w:val="auto"/>
        </w:rPr>
      </w:pPr>
    </w:p>
    <w:p>
      <w:pPr>
        <w:jc w:val="both"/>
        <w:ind w:firstLine="578"/>
        <w:spacing w:after="0" w:line="265" w:lineRule="auto"/>
        <w:rPr>
          <w:sz w:val="20"/>
          <w:szCs w:val="20"/>
          <w:color w:val="auto"/>
        </w:rPr>
      </w:pPr>
      <w:r>
        <w:rPr>
          <w:rFonts w:ascii="Arial" w:cs="Arial" w:eastAsia="Arial" w:hAnsi="Arial"/>
          <w:sz w:val="18"/>
          <w:szCs w:val="18"/>
          <w:color w:val="auto"/>
        </w:rPr>
        <w:t>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p>
    <w:p>
      <w:pPr>
        <w:spacing w:after="0" w:line="154"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substantial litigation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commercialize our products or new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damage to our business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recalls or withdrawals from the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sales;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termination of existing agreements by our partners and potential partners failing to partner with us.</w:t>
      </w:r>
    </w:p>
    <w:p>
      <w:pPr>
        <w:spacing w:after="0" w:line="185"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w:t>
      </w:r>
    </w:p>
    <w:p>
      <w:pPr>
        <w:spacing w:after="0" w:line="157"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8"/>
          <w:szCs w:val="18"/>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58</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harm our business.</w:t>
      </w:r>
    </w:p>
    <w:p>
      <w:pPr>
        <w:spacing w:after="0" w:line="117" w:lineRule="exact"/>
        <w:rPr>
          <w:sz w:val="20"/>
          <w:szCs w:val="20"/>
          <w:color w:val="auto"/>
        </w:rPr>
      </w:pPr>
    </w:p>
    <w:p>
      <w:pPr>
        <w:jc w:val="both"/>
        <w:ind w:firstLine="578"/>
        <w:spacing w:after="0" w:line="276" w:lineRule="auto"/>
        <w:rPr>
          <w:sz w:val="20"/>
          <w:szCs w:val="20"/>
          <w:color w:val="auto"/>
        </w:rPr>
      </w:pPr>
      <w:r>
        <w:rPr>
          <w:rFonts w:ascii="Arial" w:cs="Arial" w:eastAsia="Arial" w:hAnsi="Arial"/>
          <w:sz w:val="17"/>
          <w:szCs w:val="17"/>
          <w:color w:val="auto"/>
        </w:rPr>
        <w:t>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United States or worldwide could adversely affect our business. The COVID-19 pandemic has had and could continue to have an adverse impact on our business, operations, and the markets and communities in which we, our partners, and customers operate.</w:t>
      </w:r>
    </w:p>
    <w:p>
      <w:pPr>
        <w:spacing w:after="0" w:line="67" w:lineRule="exact"/>
        <w:rPr>
          <w:sz w:val="20"/>
          <w:szCs w:val="20"/>
          <w:color w:val="auto"/>
        </w:rPr>
      </w:pPr>
    </w:p>
    <w:p>
      <w:pPr>
        <w:jc w:val="both"/>
        <w:ind w:firstLine="578"/>
        <w:spacing w:after="0" w:line="280" w:lineRule="auto"/>
        <w:rPr>
          <w:sz w:val="20"/>
          <w:szCs w:val="20"/>
          <w:color w:val="auto"/>
        </w:rPr>
      </w:pPr>
      <w:r>
        <w:rPr>
          <w:rFonts w:ascii="Arial" w:cs="Arial" w:eastAsia="Arial" w:hAnsi="Arial"/>
          <w:sz w:val="17"/>
          <w:szCs w:val="17"/>
          <w:color w:val="auto"/>
        </w:rPr>
        <w:t>If a pandemic, epidemic or outbreak of an infectious disease occurs in the United States or worldwide, our business may be adversely affected. The COVID-19 pandemic has caused general business disruption worldwide beginning in January 2020. While the duration and extent of the COVID-19 pandemic depends on future developments and potential resurgences of infections or new strains of the virus that cannot be accurately predicted at this time, such as the extent and effectiveness of containment actions and available vaccines, the pandemic has had an adverse effect on the global economy and the ultimate societal and economic impact of the COVID-19 pandemic remains unknown. The potential impact and duration of the COVID-19 pandemic on the global economy and our business are difficult to assess or predict, due in part to new variant strains of the virus and the degree of their vaccine resistance. Potential impacts, some of which we have already experienced, include:</w:t>
      </w:r>
    </w:p>
    <w:p>
      <w:pPr>
        <w:spacing w:after="0" w:line="145" w:lineRule="exact"/>
        <w:rPr>
          <w:sz w:val="20"/>
          <w:szCs w:val="20"/>
          <w:color w:val="auto"/>
        </w:rPr>
      </w:pPr>
    </w:p>
    <w:p>
      <w:pPr>
        <w:jc w:val="both"/>
        <w:ind w:left="1020" w:hanging="503"/>
        <w:spacing w:after="0" w:line="278"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customer prospects and our existing customers may experience slowdowns in their businesses, and our academic institution customers may experience decreases in government funding of research and development, which in turn may result in reduced demand for our products, lengthening of sales cycles, loss of customers, difficulties in collections, and inaccurate inventory forecasting;</w:t>
      </w:r>
    </w:p>
    <w:p>
      <w:pPr>
        <w:spacing w:after="0" w:line="49"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 of or delays in receiving supplies from the third parties we rely on to manufacture components to our products, which may impair our ability sell our products;</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 of or delays in installation of our products for our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interruption of or delays in the shipments of purchased products to customers or to our distribution partners;</w:t>
      </w:r>
    </w:p>
    <w:p>
      <w:pPr>
        <w:spacing w:after="0" w:line="103"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employee productivity and morale, with increased employee attrition and risk of a cyberattack resulting from certain employees working from home;</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disruptions and significant costs to our growth planning, such as for facilities and international expansion;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legal liability for safe workplace claims;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loss of critical vendors or third-party partners, which may go out of business;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cancellation of in-person marketing events, including industry conferences, and prolonged delays in our ability to reschedule or conduct in-person marketing events and other sales and marketing activities.</w:t>
      </w:r>
    </w:p>
    <w:p>
      <w:pPr>
        <w:spacing w:after="0" w:line="279"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8"/>
          <w:szCs w:val="18"/>
          <w:color w:val="auto"/>
        </w:rPr>
        <w:t>The impact of any of the foregoing, individually or collectively, could adversely affect our business, financial condition, and results of operations. Moreover, to the extent the COVID-19 pandemic adversely affects our business, financial condition, and results of operations, it may also have the effect of heightening many of the other risks described in this “Risk Factors” section.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59</w:t>
      </w:r>
    </w:p>
    <w:p>
      <w:pPr>
        <w:spacing w:after="0" w:line="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If our security measures, or those maintained on our behalf, are compromised now, or in the future, or the security, confidentiality, integrity or availability of our information technology, software, services, networks, communications or data is compromised, limited or fails, this could have a material adverse effect on our business, financial condition and results of operations.</w:t>
      </w:r>
    </w:p>
    <w:p>
      <w:pPr>
        <w:spacing w:after="0" w:line="77" w:lineRule="exact"/>
        <w:rPr>
          <w:sz w:val="20"/>
          <w:szCs w:val="20"/>
          <w:color w:val="auto"/>
        </w:rPr>
      </w:pPr>
    </w:p>
    <w:p>
      <w:pPr>
        <w:jc w:val="both"/>
        <w:ind w:firstLine="584"/>
        <w:spacing w:after="0" w:line="249" w:lineRule="auto"/>
        <w:rPr>
          <w:sz w:val="20"/>
          <w:szCs w:val="20"/>
          <w:color w:val="auto"/>
        </w:rPr>
      </w:pPr>
      <w:r>
        <w:rPr>
          <w:rFonts w:ascii="Arial" w:cs="Arial" w:eastAsia="Arial" w:hAnsi="Arial"/>
          <w:sz w:val="18"/>
          <w:szCs w:val="18"/>
          <w:color w:val="auto"/>
        </w:rPr>
        <w:t>In the ordinary course of our business, we may collect, use, store, safeguard, disclose, share, transfer, secure and otherwise process (collectively, “Process” or “Processing”) proprietary, confidential and sensitive data, including personal data (such as key-coded data, health information and other special categories of personal data), intellectual property, trade secrets and proprietary business information owned or controlled by ourselves, our customers and other parties (collectively “Sensitive Information”). We may rely upon third parties (such as service providers) for our data processing– related activities. We may share or receive sensitive data with or from third parties.</w:t>
      </w:r>
    </w:p>
    <w:p>
      <w:pPr>
        <w:spacing w:after="0" w:line="141"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7"/>
          <w:szCs w:val="17"/>
          <w:color w:val="auto"/>
        </w:rPr>
        <w:t>We face a variety of evolving threats, which could cause security incidents. Cyberattacks, malicious internet-based activity, and online and offline fraud are prevalent and continue to increase. These threats are becoming increasingly difficult to detect. These threats come from a variety of sources. In addition to traditional computer “hackers,” threat actors, personnel (such as through theft or misuse), sophisticated nation-states, and nation-state-supported actors now engage in attacks.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goods and services. We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and other similar threats.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The COVID-19 pandemic and our remote workforce poses increased risks to our information technology systems and data, as more of our employees work from home, utilizing network connections outside our premises.</w:t>
      </w:r>
    </w:p>
    <w:p>
      <w:pPr>
        <w:spacing w:after="0" w:line="147" w:lineRule="exact"/>
        <w:rPr>
          <w:sz w:val="20"/>
          <w:szCs w:val="20"/>
          <w:color w:val="auto"/>
        </w:rPr>
      </w:pPr>
    </w:p>
    <w:p>
      <w:pPr>
        <w:jc w:val="both"/>
        <w:ind w:firstLine="584"/>
        <w:spacing w:after="0" w:line="273" w:lineRule="auto"/>
        <w:rPr>
          <w:sz w:val="20"/>
          <w:szCs w:val="20"/>
          <w:color w:val="auto"/>
        </w:rPr>
      </w:pPr>
      <w:r>
        <w:rPr>
          <w:rFonts w:ascii="Arial" w:cs="Arial" w:eastAsia="Arial" w:hAnsi="Arial"/>
          <w:sz w:val="16"/>
          <w:szCs w:val="16"/>
          <w:color w:val="auto"/>
        </w:rPr>
        <w:t>Any of the previously identified or similar threats could cause a security incident. A security incident could result in unauthorized, unlawful, or accidental acquisition, modification, destruction, loss, alteration, encryption, disclosure of, or access to data. A security incident could disrupt our ability (and that of third parties upon whom we rely) to provide our platform. We may expend significant resources or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data. 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Applicable data privacy and security obligations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and services, deter new customers from purchasing our products and services, and negatively impact our ability to grow and operate our business.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85" w:lineRule="exact"/>
        <w:rPr>
          <w:sz w:val="20"/>
          <w:szCs w:val="20"/>
          <w:color w:val="auto"/>
        </w:rPr>
      </w:pPr>
    </w:p>
    <w:p>
      <w:pPr>
        <w:jc w:val="both"/>
        <w:ind w:firstLine="584"/>
        <w:spacing w:after="0" w:line="277" w:lineRule="auto"/>
        <w:rPr>
          <w:sz w:val="20"/>
          <w:szCs w:val="20"/>
          <w:color w:val="auto"/>
        </w:rPr>
      </w:pPr>
      <w:r>
        <w:rPr>
          <w:rFonts w:ascii="Arial" w:cs="Arial" w:eastAsia="Arial" w:hAnsi="Arial"/>
          <w:sz w:val="16"/>
          <w:szCs w:val="16"/>
          <w:color w:val="auto"/>
        </w:rPr>
        <w:t>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including the COVID-19 pandemic,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including interruptions related to the COVID-19 pandemic. In addition, our corporate headquarters is located in Fremont, California and one of our reagents manufacturing facilities is located in San Diego,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60</w:t>
      </w:r>
    </w:p>
    <w:p>
      <w:pPr>
        <w:spacing w:after="0" w:line="104" w:lineRule="exact"/>
        <w:rPr>
          <w:sz w:val="20"/>
          <w:szCs w:val="20"/>
          <w:color w:val="auto"/>
        </w:rPr>
      </w:pPr>
    </w:p>
    <w:p>
      <w:pPr>
        <w:jc w:val="both"/>
        <w:ind w:firstLine="584"/>
        <w:spacing w:after="0" w:line="275" w:lineRule="auto"/>
        <w:rPr>
          <w:sz w:val="20"/>
          <w:szCs w:val="20"/>
          <w:color w:val="auto"/>
        </w:rPr>
      </w:pPr>
      <w:r>
        <w:rPr>
          <w:rFonts w:ascii="Arial" w:cs="Arial" w:eastAsia="Arial" w:hAnsi="Arial"/>
          <w:sz w:val="16"/>
          <w:szCs w:val="16"/>
          <w:color w:val="auto"/>
        </w:rPr>
        <w:t>We manufacture our products at our manufacturing facilities located in Fremont and San Diego, California, and Wuxi, China, 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leaves us exposed to significant uninsured liabilities.</w:t>
      </w:r>
    </w:p>
    <w:p>
      <w:pPr>
        <w:spacing w:after="0" w:line="140"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7"/>
          <w:szCs w:val="17"/>
          <w:color w:val="auto"/>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spacing w:after="0" w:line="154" w:lineRule="exact"/>
        <w:rPr>
          <w:sz w:val="20"/>
          <w:szCs w:val="20"/>
          <w:color w:val="auto"/>
        </w:rPr>
      </w:pPr>
    </w:p>
    <w:p>
      <w:pPr>
        <w:jc w:val="both"/>
        <w:ind w:firstLine="578"/>
        <w:spacing w:after="0" w:line="301" w:lineRule="auto"/>
        <w:rPr>
          <w:sz w:val="20"/>
          <w:szCs w:val="20"/>
          <w:color w:val="auto"/>
        </w:rPr>
      </w:pPr>
      <w:r>
        <w:rPr>
          <w:rFonts w:ascii="Arial" w:cs="Arial" w:eastAsia="Arial" w:hAnsi="Arial"/>
          <w:sz w:val="16"/>
          <w:szCs w:val="16"/>
          <w:color w:val="auto"/>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w:t>
      </w:r>
    </w:p>
    <w:p>
      <w:pPr>
        <w:spacing w:after="0" w:line="67" w:lineRule="exact"/>
        <w:rPr>
          <w:sz w:val="20"/>
          <w:szCs w:val="20"/>
          <w:color w:val="auto"/>
        </w:rPr>
      </w:pPr>
    </w:p>
    <w:p>
      <w:pPr>
        <w:jc w:val="both"/>
        <w:ind w:firstLine="578"/>
        <w:spacing w:after="0" w:line="280" w:lineRule="auto"/>
        <w:rPr>
          <w:sz w:val="20"/>
          <w:szCs w:val="20"/>
          <w:color w:val="auto"/>
        </w:rPr>
      </w:pPr>
      <w:r>
        <w:rPr>
          <w:rFonts w:ascii="Arial" w:cs="Arial" w:eastAsia="Arial" w:hAnsi="Arial"/>
          <w:sz w:val="17"/>
          <w:szCs w:val="17"/>
          <w:color w:val="auto"/>
        </w:rPr>
        <w:t>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w:t>
      </w:r>
    </w:p>
    <w:p>
      <w:pPr>
        <w:spacing w:after="0" w:line="147"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6"/>
          <w:szCs w:val="16"/>
          <w:color w:val="auto"/>
        </w:rPr>
        <w:t>In addition, because our product contains metals and electronic components which are purchased from third-party vendors, we may be required under rules promulgated by the U.S. Securities and Exchange Commission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or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61</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w:t>
      </w:r>
    </w:p>
    <w:p>
      <w:pPr>
        <w:spacing w:after="0" w:line="154" w:lineRule="exact"/>
        <w:rPr>
          <w:sz w:val="20"/>
          <w:szCs w:val="20"/>
          <w:color w:val="auto"/>
        </w:rPr>
      </w:pPr>
    </w:p>
    <w:p>
      <w:pPr>
        <w:jc w:val="both"/>
        <w:ind w:firstLine="578"/>
        <w:spacing w:after="0" w:line="264" w:lineRule="auto"/>
        <w:rPr>
          <w:sz w:val="20"/>
          <w:szCs w:val="20"/>
          <w:color w:val="auto"/>
        </w:rPr>
      </w:pPr>
      <w:r>
        <w:rPr>
          <w:rFonts w:ascii="Arial" w:cs="Arial" w:eastAsia="Arial" w:hAnsi="Arial"/>
          <w:sz w:val="18"/>
          <w:szCs w:val="18"/>
          <w:color w:val="auto"/>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received funding under the Coronavirus Aid, Relief and Economic Security Act, or the CARES Act.</w:t>
      </w:r>
    </w:p>
    <w:p>
      <w:pPr>
        <w:spacing w:after="0" w:line="104" w:lineRule="exact"/>
        <w:rPr>
          <w:sz w:val="20"/>
          <w:szCs w:val="20"/>
          <w:color w:val="auto"/>
        </w:rPr>
      </w:pPr>
    </w:p>
    <w:p>
      <w:pPr>
        <w:jc w:val="both"/>
        <w:ind w:firstLine="578"/>
        <w:spacing w:after="0" w:line="265" w:lineRule="auto"/>
        <w:rPr>
          <w:sz w:val="20"/>
          <w:szCs w:val="20"/>
          <w:color w:val="auto"/>
        </w:rPr>
      </w:pPr>
      <w:r>
        <w:rPr>
          <w:rFonts w:ascii="Arial" w:cs="Arial" w:eastAsia="Arial" w:hAnsi="Arial"/>
          <w:sz w:val="18"/>
          <w:szCs w:val="18"/>
          <w:color w:val="auto"/>
        </w:rPr>
        <w:t>In June 2020, we executed a note in favor of Wells Fargo Bank, National Association, evidencing an unsecured loan, (“PPP loan”), in the aggregate principal amount of $4.1 million, which was made pursuant to the Paycheck Protection Program, or the PPP. The PPP was established under the CARES Act, which was enacted on March 27, 2020, and is administered by the U.S. Small Business Administration, or the SBA. We have used all of the proceeds from the loan to retain employees, maintain payroll and make lease and utility payments and expect to repay the PPP loan in the second quarter of 2021. On May 4, 2021, we fully repaid the PPP loan.</w:t>
      </w:r>
    </w:p>
    <w:p>
      <w:pPr>
        <w:spacing w:after="0" w:line="153" w:lineRule="exact"/>
        <w:rPr>
          <w:sz w:val="20"/>
          <w:szCs w:val="20"/>
          <w:color w:val="auto"/>
        </w:rPr>
      </w:pPr>
    </w:p>
    <w:p>
      <w:pPr>
        <w:jc w:val="both"/>
        <w:ind w:firstLine="578"/>
        <w:spacing w:after="0" w:line="280" w:lineRule="auto"/>
        <w:rPr>
          <w:sz w:val="20"/>
          <w:szCs w:val="20"/>
          <w:color w:val="auto"/>
        </w:rPr>
      </w:pPr>
      <w:r>
        <w:rPr>
          <w:rFonts w:ascii="Arial" w:cs="Arial" w:eastAsia="Arial" w:hAnsi="Arial"/>
          <w:sz w:val="17"/>
          <w:szCs w:val="17"/>
          <w:color w:val="auto"/>
        </w:rPr>
        <w:t>The PPP loan application required us to certify, among other things, that the current economic uncertainty made the PPP loan request necessary to support our ongoing operations. In 2020, the SBA, in consultation with the Department of Treasury, issued new guidance requiring borrowers to consider their ability to access other sources of liquidity before certifying in their loan applications that current economic uncertainty makes this loan request necessary to support the ongoing operations. We made the certification in good faith after analyzing our financial situation and access to capital and believe that we satisfied all eligibility criteria for the PPP loan. However, the SBA guidance and criteria are subject to interpretation, including by the new Biden Administration, and if we are found to have been ineligible, we could be subject to significant penalties. If we become subject to penalties, it could result in harm to our business, results of operation and financial condition.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foreign currency exchange risk.</w:t>
      </w:r>
    </w:p>
    <w:p>
      <w:pPr>
        <w:spacing w:after="0" w:line="104" w:lineRule="exact"/>
        <w:rPr>
          <w:sz w:val="20"/>
          <w:szCs w:val="20"/>
          <w:color w:val="auto"/>
        </w:rPr>
      </w:pPr>
    </w:p>
    <w:p>
      <w:pPr>
        <w:jc w:val="both"/>
        <w:ind w:firstLine="578"/>
        <w:spacing w:after="0" w:line="280" w:lineRule="auto"/>
        <w:rPr>
          <w:sz w:val="20"/>
          <w:szCs w:val="20"/>
          <w:color w:val="auto"/>
        </w:rPr>
      </w:pPr>
      <w:r>
        <w:rPr>
          <w:rFonts w:ascii="Arial" w:cs="Arial" w:eastAsia="Arial" w:hAnsi="Arial"/>
          <w:sz w:val="17"/>
          <w:szCs w:val="17"/>
          <w:color w:val="auto"/>
        </w:rPr>
        <w:t>A substantial amount of our revenues is derived from international operations, and we anticipate that a significant portion of our sales will continue to come from outside the United States in the future. As we have experienced in the nine months ended September 30, 2022, where our prices are denominated in U.S. dollars, our sales and revenues could be adversely affected by declines in foreign currencies relative to the U.S. dollar.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impact resulting from unfavorable changes in foreign currency exchange rates. We cannot predict with any certainty changes in foreign currency exchange rates or the degree to which we can mitigate these risks.</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39" w:lineRule="exact"/>
        <w:rPr>
          <w:sz w:val="20"/>
          <w:szCs w:val="20"/>
          <w:color w:val="auto"/>
        </w:rPr>
      </w:pPr>
    </w:p>
    <w:p>
      <w:pPr>
        <w:jc w:val="both"/>
        <w:ind w:firstLine="578"/>
        <w:spacing w:after="0" w:line="298" w:lineRule="auto"/>
        <w:rPr>
          <w:sz w:val="20"/>
          <w:szCs w:val="20"/>
          <w:color w:val="auto"/>
        </w:rPr>
      </w:pPr>
      <w:r>
        <w:rPr>
          <w:rFonts w:ascii="Arial" w:cs="Arial" w:eastAsia="Arial" w:hAnsi="Arial"/>
          <w:sz w:val="16"/>
          <w:szCs w:val="16"/>
          <w:color w:val="auto"/>
        </w:rPr>
        <w:t>Although we currently have no agreements or commitments to complete any such transactions, we may pursue acquisitions of businesses and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62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and Our Industry</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p>
    <w:p>
      <w:pPr>
        <w:spacing w:after="0" w:line="148" w:lineRule="exact"/>
        <w:rPr>
          <w:sz w:val="20"/>
          <w:szCs w:val="20"/>
          <w:color w:val="auto"/>
        </w:rPr>
      </w:pPr>
    </w:p>
    <w:p>
      <w:pPr>
        <w:jc w:val="both"/>
        <w:ind w:firstLine="578"/>
        <w:spacing w:after="0" w:line="295" w:lineRule="auto"/>
        <w:rPr>
          <w:sz w:val="20"/>
          <w:szCs w:val="20"/>
          <w:color w:val="auto"/>
        </w:rPr>
      </w:pPr>
      <w:r>
        <w:rPr>
          <w:rFonts w:ascii="Arial" w:cs="Arial" w:eastAsia="Arial" w:hAnsi="Arial"/>
          <w:sz w:val="16"/>
          <w:szCs w:val="16"/>
          <w:color w:val="auto"/>
        </w:rPr>
        <w:t>Currently, our Northern Lights CLC system is available for clinical use in only China and the European Union. Our Aurora and Northern Lights systems are otherwise available to customers as research-use-only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w:t>
      </w:r>
    </w:p>
    <w:p>
      <w:pPr>
        <w:spacing w:after="0" w:line="135" w:lineRule="exact"/>
        <w:rPr>
          <w:sz w:val="20"/>
          <w:szCs w:val="20"/>
          <w:color w:val="auto"/>
        </w:rPr>
      </w:pPr>
    </w:p>
    <w:p>
      <w:pPr>
        <w:jc w:val="both"/>
        <w:ind w:firstLine="578"/>
        <w:spacing w:after="0" w:line="275" w:lineRule="auto"/>
        <w:rPr>
          <w:sz w:val="20"/>
          <w:szCs w:val="20"/>
          <w:color w:val="auto"/>
        </w:rPr>
      </w:pPr>
      <w:r>
        <w:rPr>
          <w:rFonts w:ascii="Arial" w:cs="Arial" w:eastAsia="Arial" w:hAnsi="Arial"/>
          <w:sz w:val="17"/>
          <w:szCs w:val="17"/>
          <w:color w:val="auto"/>
        </w:rPr>
        <w:t>As part of our growth strategy, we plan to seek approval to offer our Aurora and Northern Lights systems for clinical use in the United States and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63" w:lineRule="exact"/>
        <w:rPr>
          <w:sz w:val="20"/>
          <w:szCs w:val="20"/>
          <w:color w:val="auto"/>
        </w:rPr>
      </w:pPr>
    </w:p>
    <w:p>
      <w:pPr>
        <w:jc w:val="both"/>
        <w:ind w:firstLine="578"/>
        <w:spacing w:after="0" w:line="280" w:lineRule="auto"/>
        <w:rPr>
          <w:sz w:val="20"/>
          <w:szCs w:val="20"/>
          <w:color w:val="auto"/>
        </w:rPr>
      </w:pPr>
      <w:r>
        <w:rPr>
          <w:rFonts w:ascii="Arial" w:cs="Arial" w:eastAsia="Arial" w:hAnsi="Arial"/>
          <w:sz w:val="17"/>
          <w:szCs w:val="17"/>
          <w:color w:val="auto"/>
        </w:rPr>
        <w:t>Any medical device we market will be subject to continued regulatory review, oversight, requirements, and periodic inspections by the FDA and other domestic and foreign regulatory bodies. In particular, unless exempt, we and our suppliers are required to comply with the FDA’s Quality System Regulation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145"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customer notifications for repair, replacement or refunds;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63</w:t>
      </w:r>
    </w:p>
    <w:p>
      <w:pPr>
        <w:spacing w:after="0" w:line="104" w:lineRule="exact"/>
        <w:rPr>
          <w:sz w:val="20"/>
          <w:szCs w:val="20"/>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510(k) clearances on PMA approvals that have already been granted;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8"/>
          <w:szCs w:val="18"/>
          <w:color w:val="auto"/>
        </w:rPr>
        <w:t>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49" w:lineRule="exact"/>
        <w:rPr>
          <w:sz w:val="20"/>
          <w:szCs w:val="20"/>
          <w:color w:val="auto"/>
        </w:rPr>
      </w:pPr>
    </w:p>
    <w:p>
      <w:pPr>
        <w:jc w:val="both"/>
        <w:ind w:firstLine="584"/>
        <w:spacing w:after="0" w:line="249" w:lineRule="auto"/>
        <w:rPr>
          <w:sz w:val="20"/>
          <w:szCs w:val="20"/>
          <w:color w:val="auto"/>
        </w:rPr>
      </w:pPr>
      <w:r>
        <w:rPr>
          <w:rFonts w:ascii="Arial" w:cs="Arial" w:eastAsia="Arial" w:hAnsi="Arial"/>
          <w:sz w:val="18"/>
          <w:szCs w:val="18"/>
          <w:color w:val="auto"/>
        </w:rPr>
        <w:t>Later discovery of previously unknown problems with our products, including manufacturing problems, or failure to comply with regulatory requirements such as the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41" w:lineRule="exact"/>
        <w:rPr>
          <w:sz w:val="20"/>
          <w:szCs w:val="20"/>
          <w:color w:val="auto"/>
        </w:rPr>
      </w:pPr>
    </w:p>
    <w:p>
      <w:pPr>
        <w:jc w:val="both"/>
        <w:ind w:firstLine="584"/>
        <w:spacing w:after="0" w:line="24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154" w:lineRule="exact"/>
        <w:rPr>
          <w:sz w:val="20"/>
          <w:szCs w:val="20"/>
          <w:color w:val="auto"/>
        </w:rPr>
      </w:pPr>
    </w:p>
    <w:p>
      <w:pPr>
        <w:jc w:val="both"/>
        <w:spacing w:after="0" w:line="366" w:lineRule="auto"/>
        <w:rPr>
          <w:sz w:val="20"/>
          <w:szCs w:val="20"/>
          <w:color w:val="auto"/>
        </w:rPr>
      </w:pPr>
      <w:r>
        <w:rPr>
          <w:rFonts w:ascii="Arial" w:cs="Arial" w:eastAsia="Arial" w:hAnsi="Arial"/>
          <w:sz w:val="15"/>
          <w:szCs w:val="15"/>
          <w:b w:val="1"/>
          <w:bCs w:val="1"/>
          <w:i w:val="1"/>
          <w:iCs w:val="1"/>
          <w:color w:val="auto"/>
        </w:rPr>
        <w:t>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w:t>
      </w:r>
    </w:p>
    <w:p>
      <w:pPr>
        <w:jc w:val="both"/>
        <w:ind w:firstLine="584"/>
        <w:spacing w:after="0" w:line="257" w:lineRule="auto"/>
        <w:rPr>
          <w:sz w:val="20"/>
          <w:szCs w:val="20"/>
          <w:color w:val="auto"/>
        </w:rPr>
      </w:pPr>
      <w:r>
        <w:rPr>
          <w:rFonts w:ascii="Arial" w:cs="Arial" w:eastAsia="Arial" w:hAnsi="Arial"/>
          <w:sz w:val="17"/>
          <w:szCs w:val="17"/>
          <w:color w:val="auto"/>
        </w:rPr>
        <w:t>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w:t>
      </w:r>
    </w:p>
    <w:p>
      <w:pPr>
        <w:spacing w:after="0" w:line="154" w:lineRule="exact"/>
        <w:rPr>
          <w:sz w:val="20"/>
          <w:szCs w:val="20"/>
          <w:color w:val="auto"/>
        </w:rPr>
      </w:pPr>
    </w:p>
    <w:p>
      <w:pPr>
        <w:jc w:val="both"/>
        <w:ind w:firstLine="584"/>
        <w:spacing w:after="0" w:line="245" w:lineRule="auto"/>
        <w:rPr>
          <w:sz w:val="20"/>
          <w:szCs w:val="20"/>
          <w:color w:val="auto"/>
        </w:rPr>
      </w:pPr>
      <w:r>
        <w:rPr>
          <w:rFonts w:ascii="Arial" w:cs="Arial" w:eastAsia="Arial" w:hAnsi="Arial"/>
          <w:sz w:val="18"/>
          <w:szCs w:val="18"/>
          <w:color w:val="auto"/>
        </w:rPr>
        <w:t>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w:t>
      </w:r>
    </w:p>
    <w:p>
      <w:pPr>
        <w:spacing w:after="0" w:line="15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w:t>
      </w:r>
    </w:p>
    <w:p>
      <w:pPr>
        <w:spacing w:after="0" w:line="30" w:lineRule="exact"/>
        <w:rPr>
          <w:sz w:val="20"/>
          <w:szCs w:val="20"/>
          <w:color w:val="auto"/>
        </w:rPr>
      </w:pPr>
    </w:p>
    <w:p>
      <w:pPr>
        <w:jc w:val="both"/>
        <w:ind w:firstLine="578"/>
        <w:spacing w:after="0" w:line="261" w:lineRule="auto"/>
        <w:rPr>
          <w:sz w:val="20"/>
          <w:szCs w:val="20"/>
          <w:color w:val="auto"/>
        </w:rPr>
      </w:pPr>
      <w:r>
        <w:rPr>
          <w:rFonts w:ascii="Arial" w:cs="Arial" w:eastAsia="Arial" w:hAnsi="Arial"/>
          <w:sz w:val="18"/>
          <w:szCs w:val="18"/>
          <w:color w:val="auto"/>
        </w:rPr>
        <w:t>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64</w:t>
      </w:r>
    </w:p>
    <w:p>
      <w:pPr>
        <w:spacing w:after="0" w:line="104"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8"/>
          <w:szCs w:val="18"/>
          <w:color w:val="auto"/>
        </w:rPr>
        <w:t>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w:t>
      </w:r>
    </w:p>
    <w:p>
      <w:pPr>
        <w:spacing w:after="0" w:line="15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Changes in tariffs or other government trade policies may materially adversely affect our business and results of operations, including by reducing demand for our products.</w:t>
      </w:r>
    </w:p>
    <w:p>
      <w:pPr>
        <w:spacing w:after="0" w:line="63" w:lineRule="exact"/>
        <w:rPr>
          <w:sz w:val="20"/>
          <w:szCs w:val="20"/>
          <w:color w:val="auto"/>
        </w:rPr>
      </w:pPr>
    </w:p>
    <w:p>
      <w:pPr>
        <w:jc w:val="both"/>
        <w:ind w:firstLine="578"/>
        <w:spacing w:after="0" w:line="276" w:lineRule="auto"/>
        <w:rPr>
          <w:sz w:val="20"/>
          <w:szCs w:val="20"/>
          <w:color w:val="auto"/>
        </w:rPr>
      </w:pPr>
      <w:r>
        <w:rPr>
          <w:rFonts w:ascii="Arial" w:cs="Arial" w:eastAsia="Arial" w:hAnsi="Arial"/>
          <w:sz w:val="17"/>
          <w:szCs w:val="17"/>
          <w:color w:val="auto"/>
        </w:rPr>
        <w:t>The imposition of tariffs and trade restrictions as a result of international trade disputes or changes in trade policies may adversely affect our sales and profitability. For example, in 2018 and 2019, the U.S. government imposed and proposed, among other actions, new or higher tariffs on specified imported products originating from China in response to what it characterized as unfair trade practices, and China responded by imposing and proposing new or higher tariffs on specified U.S. products. There can be no assurance that a broader trade agreement will be successfully negotiated between the United States and China to reduce or eliminate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controls that could impair our ability to compete in international markets due to licensing requirements and subject us to liability if we are not in compliance with applicable laws.</w:t>
      </w:r>
    </w:p>
    <w:p>
      <w:pPr>
        <w:spacing w:after="0" w:line="49" w:lineRule="exact"/>
        <w:rPr>
          <w:sz w:val="20"/>
          <w:szCs w:val="20"/>
          <w:color w:val="auto"/>
        </w:rPr>
      </w:pPr>
    </w:p>
    <w:p>
      <w:pPr>
        <w:jc w:val="both"/>
        <w:ind w:firstLine="578"/>
        <w:spacing w:after="0" w:line="278" w:lineRule="auto"/>
        <w:rPr>
          <w:sz w:val="20"/>
          <w:szCs w:val="20"/>
          <w:color w:val="auto"/>
        </w:rPr>
      </w:pPr>
      <w:r>
        <w:rPr>
          <w:rFonts w:ascii="Arial" w:cs="Arial" w:eastAsia="Arial" w:hAnsi="Arial"/>
          <w:sz w:val="17"/>
          <w:szCs w:val="17"/>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14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are subject to stringent and changing data privacy and security laws, regulations and standards as well as policies, contracts and other obligations related to data privacy and security. Our actual or perceived failure to comply with such obligations could lead to government enforcement actions (that could include fines and penalties), a disruption of our business or commercialization of our products, private litigation, harm to our reputation, or other adverse effects on our business or prospects.</w:t>
      </w:r>
    </w:p>
    <w:p>
      <w:pPr>
        <w:spacing w:after="0" w:line="86"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7"/>
          <w:szCs w:val="17"/>
          <w:color w:val="auto"/>
        </w:rPr>
        <w:t>In the course of our operations, we process an increasing volume of personal data, including from our employees and third parties with whom we conduct business.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spacing w:after="0" w:line="137" w:lineRule="exact"/>
        <w:rPr>
          <w:sz w:val="20"/>
          <w:szCs w:val="20"/>
          <w:color w:val="auto"/>
        </w:rPr>
      </w:pPr>
    </w:p>
    <w:p>
      <w:pPr>
        <w:jc w:val="both"/>
        <w:ind w:firstLine="584"/>
        <w:spacing w:after="0" w:line="258" w:lineRule="auto"/>
        <w:rPr>
          <w:sz w:val="20"/>
          <w:szCs w:val="20"/>
          <w:color w:val="auto"/>
        </w:rPr>
      </w:pPr>
      <w:r>
        <w:rPr>
          <w:rFonts w:ascii="Arial" w:cs="Arial" w:eastAsia="Arial" w:hAnsi="Arial"/>
          <w:sz w:val="17"/>
          <w:szCs w:val="17"/>
          <w:color w:val="auto"/>
        </w:rPr>
        <w:t>In the United States, federal, state, and local governments have enacted numerous data privacy and security laws, including data breach notification laws, personal data privacy and security laws, and consumer protection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The California Consumer Privacy Act of 2018 (“CCPA”) imposes obligations on businesses to which it applies. These obligations include, but are not limited to, providing specific disclosures in privacy notices and affording California residents certain rights related to their personal data. The CCPA allows for statutory fines for noncompliance (up to $7,500 per violation). In addition, it is anticipated that the California Privacy Rights Act of 2020 (“CPRA”), effective January 1, 2023, will expand the CCPA including by applying to personal information of business representatives and employees. For example, the CPRA establishes a new California Privacy Protection Agency to implement and enforce the CCPA (as amended), which could increase the risk of an enforcement action. Other states have enacted data privacy and security laws. For example, Virginia, Colorado, Utah, and Connecticut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65</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have similarly enacted comprehensive data privacy and security laws, all of which share similarities with but also differ from the CPRA and become effective in 2023.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154"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7"/>
          <w:szCs w:val="17"/>
          <w:color w:val="auto"/>
        </w:rPr>
        <w:t>Outside the United States, an increasing number of laws, regulations, and industry standards apply to data privacy and security. For example, the European Union’s General Data Protection Regulation (“EU GDPR”) and the United Kingdom’s General Data Protection Regulation (“UK GDPR”) impose strict requirements for processing the personal data of individuals located, respectively within the European Economic Area (“EEA”) and the United Kingdom (“UK”). For example, under the EU GDPR, government regulators may impose temporary or definitive bans on data processing, as well as fines of up to 20 million euros or 4% of annual global revenue, whichever is greater. Further, individuals may initiate litigation related to our processing of their personal data. Furthermore, in Europe, there is a proposed regulation related to artificial intelligence (“AI”) that, if adopted, could impose onerous obligations related to the use of AI-related systems. Other countries outside of Europe have enacted or are considering enacting similar comprehensive data privacy and security laws and regulations, which could increase the cost and complexity of delivering our services and operating our business. For example, China’s cybersecurity law, which took effect in June 2017, and the Personal Information Protection Law, which took effect on November 1, 2021, broadly regulate data privacy and security practices and their applicability and scope are evolving and aspects of the law are uncertain. As another example, Canada has enacted the Personal Information Protection and Electronic Documents Act and Canada’s Anti-Spam Legislation, which broadly regulate the Processing of personal data and imposes compliance obligations and penalties comparable to those of European data privacy and security laws. Complying with these and other similar laws and regulations (to the extent applicable) may cause us to incur substantial operational costs or require us to change our business practices, and could lead to material fines, penalties and liability.</w:t>
      </w:r>
    </w:p>
    <w:p>
      <w:pPr>
        <w:spacing w:after="0" w:line="148"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6"/>
          <w:szCs w:val="16"/>
          <w:color w:val="auto"/>
        </w:rPr>
        <w:t>In addition, many jurisdictions have enacted data localization laws and cross-border persona data transfer laws. These laws may make it more difficult for us to transfer personal data across jurisdictions, which could impede our business. Certain jurisdictions have enacted data localization laws and cross-border personal data transfer laws. For example, absent appropriate safeguards or other circumstances, the EU GDPR generally restricts the transfer of personal data to countries outside of the EEA, such as the United States, which the European Commission does not consider to provide an adequate level of data privacy and security. The European Commission released a set of Standard Contractual Clauses that are designed to be a mechanism by which entities can transfer personal data out of the EEA to jurisdictions that the European Commission has not found to provide an adequate level of protection. Currently, these Standard Contractual clauses are a valid mechanism to transfer personal data outside of the EEA. The Standard Contractual Clauses, however, require parties that rely upon that legal mechanism to comply with additional obligations, such as conducting transfer impact assessments to determine whether additional security measures are necessary to protect the at-issue personal data. Moreover, due to potential legal challenges, there exists some uncertainty regarding whether the Standard Contractual Clauses will remain a valid mechanism for transfers of personal data out of the EEA. In addition, laws in Switzerland and the UK similarly restrict transfers of personal data outside of those jurisdictions to countries such as the United States of America that do not provide an adequate level of personal data protection. In addition to European restrictions on cross-border transfers of personal data, other jurisdictions have enacted or are considering similar cross-border personal data transfer laws and local personal data residency laws, any of which could increase the cost and complexity of doing business. If we cannot implement a valid compliance mechanism for cross-border data privacy and security transfers, we may face increased exposure to regulatory actions, substantial fines, and injunctions against processing or transferring personal data from Europe or elsewhere. The inability to import personal data to the United States could significantly and negatively impact our business operations, including by limiting our ability to collaborate with parties that are subject to European and other data privacy and security laws or requiring us to increase our personal data processing capabilities in Europe and/or elsewhere at significant expense.</w:t>
      </w:r>
    </w:p>
    <w:p>
      <w:pPr>
        <w:spacing w:after="0" w:line="148" w:lineRule="exact"/>
        <w:rPr>
          <w:sz w:val="20"/>
          <w:szCs w:val="20"/>
          <w:color w:val="auto"/>
        </w:rPr>
      </w:pPr>
    </w:p>
    <w:p>
      <w:pPr>
        <w:jc w:val="both"/>
        <w:ind w:firstLine="584"/>
        <w:spacing w:after="0" w:line="244" w:lineRule="auto"/>
        <w:rPr>
          <w:sz w:val="20"/>
          <w:szCs w:val="20"/>
          <w:color w:val="auto"/>
        </w:rPr>
      </w:pPr>
      <w:r>
        <w:rPr>
          <w:rFonts w:ascii="Arial" w:cs="Arial" w:eastAsia="Arial" w:hAnsi="Arial"/>
          <w:sz w:val="18"/>
          <w:szCs w:val="18"/>
          <w:color w:val="auto"/>
        </w:rPr>
        <w:t>Privacy advocates and industry groups have proposed, and may propose in the future, standards with which we are legally or contractually bound to comply. For example, we are also/may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w:t>
      </w:r>
    </w:p>
    <w:p>
      <w:pPr>
        <w:spacing w:after="0" w:line="160" w:lineRule="exact"/>
        <w:rPr>
          <w:sz w:val="20"/>
          <w:szCs w:val="20"/>
          <w:color w:val="auto"/>
        </w:rPr>
      </w:pPr>
    </w:p>
    <w:p>
      <w:pPr>
        <w:jc w:val="both"/>
        <w:ind w:firstLine="584"/>
        <w:spacing w:after="0" w:line="244" w:lineRule="auto"/>
        <w:rPr>
          <w:sz w:val="20"/>
          <w:szCs w:val="20"/>
          <w:color w:val="auto"/>
        </w:rPr>
      </w:pPr>
      <w:r>
        <w:rPr>
          <w:rFonts w:ascii="Arial" w:cs="Arial" w:eastAsia="Arial" w:hAnsi="Arial"/>
          <w:sz w:val="18"/>
          <w:szCs w:val="18"/>
          <w:color w:val="auto"/>
        </w:rPr>
        <w:t>Our obligations related to data privacy and security are quickly changing in an increasingly stringent fashion.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data on our behalf.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upon whom we rely may fail to comply with such obligations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66</w:t>
      </w:r>
    </w:p>
    <w:p>
      <w:pPr>
        <w:spacing w:after="0" w:line="10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which could impact our compliance posture.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are subject to U.S. and certain foreign anti-corruption and anti-money laundering laws and regulations. We can face criminal liability and other serious consequences for violations, which can harm our business.</w:t>
      </w:r>
    </w:p>
    <w:p>
      <w:pPr>
        <w:spacing w:after="0" w:line="76" w:lineRule="exact"/>
        <w:rPr>
          <w:sz w:val="20"/>
          <w:szCs w:val="20"/>
          <w:color w:val="auto"/>
        </w:rPr>
      </w:pPr>
    </w:p>
    <w:p>
      <w:pPr>
        <w:jc w:val="both"/>
        <w:ind w:firstLine="584"/>
        <w:spacing w:after="0" w:line="244" w:lineRule="auto"/>
        <w:rPr>
          <w:sz w:val="20"/>
          <w:szCs w:val="20"/>
          <w:color w:val="auto"/>
        </w:rPr>
      </w:pPr>
      <w:r>
        <w:rPr>
          <w:rFonts w:ascii="Arial" w:cs="Arial" w:eastAsia="Arial" w:hAnsi="Arial"/>
          <w:sz w:val="18"/>
          <w:szCs w:val="18"/>
          <w:color w:val="auto"/>
        </w:rPr>
        <w:t>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w:t>
      </w:r>
    </w:p>
    <w:p>
      <w:pPr>
        <w:spacing w:after="0" w:line="147" w:lineRule="exact"/>
        <w:rPr>
          <w:sz w:val="20"/>
          <w:szCs w:val="20"/>
          <w:color w:val="auto"/>
        </w:rPr>
      </w:pPr>
    </w:p>
    <w:p>
      <w:pPr>
        <w:jc w:val="both"/>
        <w:ind w:firstLine="584"/>
        <w:spacing w:after="0" w:line="261" w:lineRule="auto"/>
        <w:rPr>
          <w:sz w:val="20"/>
          <w:szCs w:val="20"/>
          <w:color w:val="auto"/>
        </w:rPr>
      </w:pPr>
      <w:r>
        <w:rPr>
          <w:rFonts w:ascii="Arial" w:cs="Arial" w:eastAsia="Arial" w:hAnsi="Arial"/>
          <w:sz w:val="17"/>
          <w:szCs w:val="17"/>
          <w:color w:val="auto"/>
        </w:rPr>
        <w:t>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45"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If we fail to comply with U.S. federal and state fraud and abuse and other healthcare laws and regulations, including those relating to kickbacks and false claims, we could face substantial penalties and our business operations and financial condition could be harmed.</w:t>
      </w:r>
    </w:p>
    <w:p>
      <w:pPr>
        <w:spacing w:after="0" w:line="52" w:lineRule="exact"/>
        <w:rPr>
          <w:sz w:val="20"/>
          <w:szCs w:val="20"/>
          <w:color w:val="auto"/>
        </w:rPr>
      </w:pPr>
    </w:p>
    <w:p>
      <w:pPr>
        <w:jc w:val="both"/>
        <w:ind w:firstLine="584"/>
        <w:spacing w:after="0" w:line="283" w:lineRule="auto"/>
        <w:rPr>
          <w:sz w:val="20"/>
          <w:szCs w:val="20"/>
          <w:color w:val="auto"/>
        </w:rPr>
      </w:pPr>
      <w:r>
        <w:rPr>
          <w:rFonts w:ascii="Arial" w:cs="Arial" w:eastAsia="Arial" w:hAnsi="Arial"/>
          <w:sz w:val="16"/>
          <w:szCs w:val="16"/>
          <w:color w:val="auto"/>
        </w:rPr>
        <w:t>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w:t>
      </w:r>
    </w:p>
    <w:p>
      <w:pPr>
        <w:spacing w:after="0" w:line="130" w:lineRule="exact"/>
        <w:rPr>
          <w:sz w:val="20"/>
          <w:szCs w:val="20"/>
          <w:color w:val="auto"/>
        </w:rPr>
      </w:pPr>
    </w:p>
    <w:p>
      <w:pPr>
        <w:jc w:val="both"/>
        <w:ind w:left="1020" w:hanging="503"/>
        <w:spacing w:after="0" w:line="256"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w:t>
      </w:r>
    </w:p>
    <w:p>
      <w:pPr>
        <w:spacing w:after="0" w:line="85" w:lineRule="exact"/>
        <w:rPr>
          <w:rFonts w:ascii="Arial" w:cs="Arial" w:eastAsia="Arial" w:hAnsi="Arial"/>
          <w:sz w:val="17"/>
          <w:szCs w:val="17"/>
          <w:color w:val="auto"/>
        </w:rPr>
      </w:pPr>
    </w:p>
    <w:p>
      <w:pPr>
        <w:jc w:val="both"/>
        <w:ind w:left="1020" w:hanging="503"/>
        <w:spacing w:after="0" w:line="248"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civil False Claims Act, or 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67</w:t>
      </w:r>
    </w:p>
    <w:p>
      <w:pPr>
        <w:spacing w:after="0" w:line="104" w:lineRule="exact"/>
        <w:rPr>
          <w:sz w:val="20"/>
          <w:szCs w:val="20"/>
          <w:color w:val="auto"/>
        </w:rPr>
      </w:pPr>
    </w:p>
    <w:p>
      <w:pPr>
        <w:jc w:val="both"/>
        <w:ind w:left="1020"/>
        <w:spacing w:after="0" w:line="274" w:lineRule="auto"/>
        <w:rPr>
          <w:sz w:val="20"/>
          <w:szCs w:val="20"/>
          <w:color w:val="auto"/>
        </w:rPr>
      </w:pPr>
      <w:r>
        <w:rPr>
          <w:rFonts w:ascii="Arial" w:cs="Arial" w:eastAsia="Arial" w:hAnsi="Arial"/>
          <w:sz w:val="16"/>
          <w:szCs w:val="16"/>
          <w:color w:val="auto"/>
        </w:rPr>
        <w:t>obligation to pay money to the federal government. A claim including items or services resulting from a violation of the Anti-Kickback Statute constitutes a false or fraudulent claim for purposes of the FCA. Actions under the FCA may be 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w:t>
      </w:r>
    </w:p>
    <w:p>
      <w:pPr>
        <w:spacing w:after="0" w:line="70" w:lineRule="exact"/>
        <w:rPr>
          <w:sz w:val="20"/>
          <w:szCs w:val="20"/>
          <w:color w:val="auto"/>
        </w:rPr>
      </w:pPr>
    </w:p>
    <w:p>
      <w:pPr>
        <w:jc w:val="both"/>
        <w:ind w:left="1020" w:hanging="503"/>
        <w:spacing w:after="0" w:line="260"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79" w:lineRule="exact"/>
        <w:rPr>
          <w:rFonts w:ascii="Arial" w:cs="Arial" w:eastAsia="Arial" w:hAnsi="Arial"/>
          <w:sz w:val="17"/>
          <w:szCs w:val="17"/>
          <w:color w:val="auto"/>
        </w:rPr>
      </w:pPr>
    </w:p>
    <w:p>
      <w:pPr>
        <w:jc w:val="both"/>
        <w:ind w:left="1020" w:hanging="503"/>
        <w:spacing w:after="0" w:line="245"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Act,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w:t>
      </w:r>
    </w:p>
    <w:p>
      <w:pPr>
        <w:spacing w:after="0" w:line="77" w:lineRule="exact"/>
        <w:rPr>
          <w:rFonts w:ascii="Arial" w:cs="Arial" w:eastAsia="Arial" w:hAnsi="Arial"/>
          <w:sz w:val="18"/>
          <w:szCs w:val="18"/>
          <w:color w:val="auto"/>
        </w:rPr>
      </w:pPr>
    </w:p>
    <w:p>
      <w:pPr>
        <w:jc w:val="both"/>
        <w:ind w:left="1020" w:hanging="503"/>
        <w:spacing w:after="0" w:line="24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various state laws govern the privacy and security of personal information, including the California Consumer Protection Act, or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w:t>
      </w:r>
    </w:p>
    <w:p>
      <w:pPr>
        <w:spacing w:after="0" w:line="77"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certified nurse anesthetists and certified nurse-midwives; and</w:t>
      </w:r>
    </w:p>
    <w:p>
      <w:pPr>
        <w:spacing w:after="0" w:line="91" w:lineRule="exact"/>
        <w:rPr>
          <w:rFonts w:ascii="Arial" w:cs="Arial" w:eastAsia="Arial" w:hAnsi="Arial"/>
          <w:sz w:val="18"/>
          <w:szCs w:val="18"/>
          <w:color w:val="auto"/>
        </w:rPr>
      </w:pPr>
    </w:p>
    <w:p>
      <w:pPr>
        <w:jc w:val="both"/>
        <w:ind w:left="1020" w:hanging="503"/>
        <w:spacing w:after="0" w:line="259"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w:t>
      </w:r>
    </w:p>
    <w:p>
      <w:pPr>
        <w:spacing w:after="0" w:line="67" w:lineRule="exact"/>
        <w:rPr>
          <w:sz w:val="20"/>
          <w:szCs w:val="20"/>
          <w:color w:val="auto"/>
        </w:rPr>
      </w:pPr>
    </w:p>
    <w:p>
      <w:pPr>
        <w:jc w:val="both"/>
        <w:ind w:firstLine="584"/>
        <w:spacing w:after="0" w:line="256" w:lineRule="auto"/>
        <w:rPr>
          <w:sz w:val="20"/>
          <w:szCs w:val="20"/>
          <w:color w:val="auto"/>
        </w:rPr>
      </w:pPr>
      <w:r>
        <w:rPr>
          <w:rFonts w:ascii="Arial" w:cs="Arial" w:eastAsia="Arial" w:hAnsi="Arial"/>
          <w:sz w:val="18"/>
          <w:szCs w:val="18"/>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or the BBA, increased the criminal and civil penalties that can be imposed for violating certain federal health care laws,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68</w:t>
      </w:r>
    </w:p>
    <w:p>
      <w:pPr>
        <w:spacing w:after="0" w:line="10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including the Anti-Kickback Statute. Enforcement agencies also continue to pursue novel theories of liability under these laws. In particular, government agencies have increased regulatory scrutiny and enforcement activity with respect to manufacturer reimbursement support activities, including bringing criminal charges or civil enforcement actions under the Anti-Kickback Statute, FCA and HIPAA’s healthcare fraud and privacy provisions.</w:t>
      </w:r>
    </w:p>
    <w:p>
      <w:pPr>
        <w:spacing w:after="0" w:line="32" w:lineRule="exact"/>
        <w:rPr>
          <w:sz w:val="20"/>
          <w:szCs w:val="20"/>
          <w:color w:val="auto"/>
        </w:rPr>
      </w:pPr>
    </w:p>
    <w:p>
      <w:pPr>
        <w:jc w:val="both"/>
        <w:ind w:firstLine="578"/>
        <w:spacing w:after="0" w:line="265"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w:t>
      </w:r>
    </w:p>
    <w:p>
      <w:pPr>
        <w:spacing w:after="0" w:line="153" w:lineRule="exact"/>
        <w:rPr>
          <w:sz w:val="20"/>
          <w:szCs w:val="20"/>
          <w:color w:val="auto"/>
        </w:rPr>
      </w:pPr>
    </w:p>
    <w:p>
      <w:pPr>
        <w:jc w:val="both"/>
        <w:ind w:firstLine="578"/>
        <w:spacing w:after="0" w:line="296" w:lineRule="auto"/>
        <w:rPr>
          <w:sz w:val="20"/>
          <w:szCs w:val="20"/>
          <w:color w:val="auto"/>
        </w:rPr>
      </w:pPr>
      <w:r>
        <w:rPr>
          <w:rFonts w:ascii="Arial" w:cs="Arial" w:eastAsia="Arial" w:hAnsi="Arial"/>
          <w:sz w:val="16"/>
          <w:szCs w:val="16"/>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w:t>
      </w:r>
    </w:p>
    <w:p>
      <w:pPr>
        <w:spacing w:after="0" w:line="136" w:lineRule="exact"/>
        <w:rPr>
          <w:sz w:val="20"/>
          <w:szCs w:val="20"/>
          <w:color w:val="auto"/>
        </w:rPr>
      </w:pPr>
    </w:p>
    <w:p>
      <w:pPr>
        <w:jc w:val="both"/>
        <w:ind w:right="20"/>
        <w:spacing w:after="0" w:line="356"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and vendors may engage in misconduct or other improper activities, including noncompliance with regulatory standards and requirements, which could harm our business, financial condition and results of operations.</w:t>
      </w:r>
    </w:p>
    <w:p>
      <w:pPr>
        <w:spacing w:after="0" w:line="1" w:lineRule="exact"/>
        <w:rPr>
          <w:sz w:val="20"/>
          <w:szCs w:val="20"/>
          <w:color w:val="auto"/>
        </w:rPr>
      </w:pPr>
    </w:p>
    <w:p>
      <w:pPr>
        <w:jc w:val="both"/>
        <w:ind w:firstLine="578"/>
        <w:spacing w:after="0" w:line="278" w:lineRule="auto"/>
        <w:rPr>
          <w:sz w:val="20"/>
          <w:szCs w:val="20"/>
          <w:color w:val="auto"/>
        </w:rPr>
      </w:pPr>
      <w:r>
        <w:rPr>
          <w:rFonts w:ascii="Arial" w:cs="Arial" w:eastAsia="Arial" w:hAnsi="Arial"/>
          <w:sz w:val="17"/>
          <w:szCs w:val="17"/>
          <w:color w:val="auto"/>
        </w:rPr>
        <w:t>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149"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7"/>
          <w:szCs w:val="17"/>
          <w:color w:val="auto"/>
        </w:rPr>
        <w:t>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69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i w:val="1"/>
          <w:iCs w:val="1"/>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113" w:lineRule="exact"/>
        <w:rPr>
          <w:sz w:val="20"/>
          <w:szCs w:val="20"/>
          <w:color w:val="auto"/>
        </w:rPr>
      </w:pPr>
    </w:p>
    <w:p>
      <w:pPr>
        <w:jc w:val="both"/>
        <w:ind w:firstLine="584"/>
        <w:spacing w:after="0" w:line="261" w:lineRule="auto"/>
        <w:rPr>
          <w:sz w:val="20"/>
          <w:szCs w:val="20"/>
          <w:color w:val="auto"/>
        </w:rPr>
      </w:pPr>
      <w:r>
        <w:rPr>
          <w:rFonts w:ascii="Arial" w:cs="Arial" w:eastAsia="Arial" w:hAnsi="Arial"/>
          <w:sz w:val="17"/>
          <w:szCs w:val="17"/>
          <w:color w:val="auto"/>
        </w:rPr>
        <w:t>As with other flow cytometry companies, our success depends in large part on our ability to obtain, maintain and solidify a proprietary position for our current and any future products, which will depend upon our success in obtaining effective patent protection in the United States and other countries that cover, and other intellectual property with respect to, such products, their manufacturing processes and their intended methods of use and enforcing those patent claims once granted as well as our other intellectual property. In some cases, we may not be able to obtain issued patent claims or other intellectual property covering our technologies which are sufficient to prevent third parties, such as our competitors, from utilizing our products and negate any competitive advantage we may have. Any failure to obtain or maintain patent and other intellectual property protection with respect to our current and any future products or other aspects of our business could harm our business, financial condition and results of operations.</w:t>
      </w:r>
    </w:p>
    <w:p>
      <w:pPr>
        <w:spacing w:after="0" w:line="132" w:lineRule="exact"/>
        <w:rPr>
          <w:sz w:val="20"/>
          <w:szCs w:val="20"/>
          <w:color w:val="auto"/>
        </w:rPr>
      </w:pPr>
    </w:p>
    <w:p>
      <w:pPr>
        <w:jc w:val="both"/>
        <w:ind w:firstLine="578"/>
        <w:spacing w:after="0" w:line="290" w:lineRule="auto"/>
        <w:rPr>
          <w:sz w:val="20"/>
          <w:szCs w:val="20"/>
          <w:color w:val="auto"/>
        </w:rPr>
      </w:pPr>
      <w:r>
        <w:rPr>
          <w:rFonts w:ascii="Arial" w:cs="Arial" w:eastAsia="Arial" w:hAnsi="Arial"/>
          <w:sz w:val="17"/>
          <w:szCs w:val="17"/>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135" w:lineRule="exact"/>
        <w:rPr>
          <w:sz w:val="20"/>
          <w:szCs w:val="20"/>
          <w:color w:val="auto"/>
        </w:rPr>
      </w:pPr>
    </w:p>
    <w:p>
      <w:pPr>
        <w:jc w:val="both"/>
        <w:ind w:firstLine="584"/>
        <w:spacing w:after="0" w:line="258" w:lineRule="auto"/>
        <w:rPr>
          <w:sz w:val="20"/>
          <w:szCs w:val="20"/>
          <w:color w:val="auto"/>
        </w:rPr>
      </w:pPr>
      <w:r>
        <w:rPr>
          <w:rFonts w:ascii="Arial" w:cs="Arial" w:eastAsia="Arial" w:hAnsi="Arial"/>
          <w:sz w:val="17"/>
          <w:szCs w:val="17"/>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w:t>
      </w:r>
    </w:p>
    <w:p>
      <w:pPr>
        <w:spacing w:after="0" w:line="140" w:lineRule="exact"/>
        <w:rPr>
          <w:sz w:val="20"/>
          <w:szCs w:val="20"/>
          <w:color w:val="auto"/>
        </w:rPr>
      </w:pPr>
    </w:p>
    <w:p>
      <w:pPr>
        <w:jc w:val="both"/>
        <w:ind w:firstLine="584"/>
        <w:spacing w:after="0" w:line="244" w:lineRule="auto"/>
        <w:rPr>
          <w:sz w:val="20"/>
          <w:szCs w:val="20"/>
          <w:color w:val="auto"/>
        </w:rPr>
      </w:pPr>
      <w:r>
        <w:rPr>
          <w:rFonts w:ascii="Arial" w:cs="Arial" w:eastAsia="Arial" w:hAnsi="Arial"/>
          <w:sz w:val="18"/>
          <w:szCs w:val="18"/>
          <w:color w:val="auto"/>
        </w:rPr>
        <w:t>As of September 30, 2022, we own 11 issued U.S. utility patents and three foreign-issued utility patents, one in each of Japan, China, and the European Union (Germany, France, and UK validation). We have 40 pending patent applications, including one design and 22 utility patent applications in the United States, three international utility patent applications; five utility patent applications in the European Union, five invention patent applications in China and four utility patent applications in Japan. Assuming all maintenance fees are paid, the U.S. issued patents are expected to naturally expire between years 2023 and 2038. Patents covering intellectual property relating to design specific technologies invented by our researchers in Shanghai and Wuxi, China are filed in China and owned by our China subsidiaries, respectively. As of September 30, 2022, our Shanghai subsidiary owns one issued invention patent, 14 issued utility model patents, ten pending invention patent applications and two pending utility model patent application, and our Wuxi subsidiary owns 31 issued patents and has 13 pending patent applications, including five pending utility model patent applications and eight pending invention patent applications.</w:t>
      </w:r>
    </w:p>
    <w:p>
      <w:pPr>
        <w:spacing w:after="0" w:line="158" w:lineRule="exact"/>
        <w:rPr>
          <w:sz w:val="20"/>
          <w:szCs w:val="20"/>
          <w:color w:val="auto"/>
        </w:rPr>
      </w:pPr>
    </w:p>
    <w:p>
      <w:pPr>
        <w:jc w:val="both"/>
        <w:ind w:firstLine="578"/>
        <w:spacing w:after="0" w:line="276" w:lineRule="auto"/>
        <w:rPr>
          <w:sz w:val="20"/>
          <w:szCs w:val="20"/>
          <w:color w:val="auto"/>
        </w:rPr>
      </w:pPr>
      <w:r>
        <w:rPr>
          <w:rFonts w:ascii="Arial" w:cs="Arial" w:eastAsia="Arial" w:hAnsi="Arial"/>
          <w:sz w:val="17"/>
          <w:szCs w:val="17"/>
          <w:color w:val="auto"/>
        </w:rPr>
        <w:t>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 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70</w:t>
      </w:r>
    </w:p>
    <w:p>
      <w:pPr>
        <w:spacing w:after="0" w:line="104" w:lineRule="exact"/>
        <w:rPr>
          <w:sz w:val="20"/>
          <w:szCs w:val="20"/>
          <w:color w:val="auto"/>
        </w:rPr>
      </w:pPr>
    </w:p>
    <w:p>
      <w:pPr>
        <w:jc w:val="both"/>
        <w:ind w:firstLine="584"/>
        <w:spacing w:after="0" w:line="261" w:lineRule="auto"/>
        <w:rPr>
          <w:sz w:val="20"/>
          <w:szCs w:val="20"/>
          <w:color w:val="auto"/>
        </w:rPr>
      </w:pPr>
      <w:r>
        <w:rPr>
          <w:rFonts w:ascii="Arial" w:cs="Arial" w:eastAsia="Arial" w:hAnsi="Arial"/>
          <w:sz w:val="17"/>
          <w:szCs w:val="17"/>
          <w:color w:val="auto"/>
        </w:rPr>
        <w:t>Moreover, in some circumstances, we may not have the right to control the preparation, filing and prosecution of patent applications, or to maintain the patents, covering technology that we license from or license to third parties or that we may jointly-own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w:t>
      </w:r>
    </w:p>
    <w:p>
      <w:pPr>
        <w:spacing w:after="0" w:line="145" w:lineRule="exact"/>
        <w:rPr>
          <w:sz w:val="20"/>
          <w:szCs w:val="20"/>
          <w:color w:val="auto"/>
        </w:rPr>
      </w:pPr>
    </w:p>
    <w:p>
      <w:pPr>
        <w:jc w:val="both"/>
        <w:ind w:firstLine="584"/>
        <w:spacing w:after="0" w:line="261" w:lineRule="auto"/>
        <w:rPr>
          <w:sz w:val="20"/>
          <w:szCs w:val="20"/>
          <w:color w:val="auto"/>
        </w:rPr>
      </w:pPr>
      <w:r>
        <w:rPr>
          <w:rFonts w:ascii="Arial" w:cs="Arial" w:eastAsia="Arial" w:hAnsi="Arial"/>
          <w:sz w:val="17"/>
          <w:szCs w:val="17"/>
          <w:color w:val="auto"/>
        </w:rPr>
        <w:t>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w:t>
      </w:r>
    </w:p>
    <w:p>
      <w:pPr>
        <w:spacing w:after="0" w:line="145"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7"/>
          <w:szCs w:val="17"/>
          <w:color w:val="auto"/>
        </w:rPr>
        <w:t>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do successfully issue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w:t>
      </w:r>
    </w:p>
    <w:p>
      <w:pPr>
        <w:spacing w:after="0" w:line="148" w:lineRule="exact"/>
        <w:rPr>
          <w:sz w:val="20"/>
          <w:szCs w:val="20"/>
          <w:color w:val="auto"/>
        </w:rPr>
      </w:pPr>
    </w:p>
    <w:p>
      <w:pPr>
        <w:jc w:val="both"/>
        <w:ind w:firstLine="584"/>
        <w:spacing w:after="0" w:line="273" w:lineRule="auto"/>
        <w:rPr>
          <w:sz w:val="20"/>
          <w:szCs w:val="20"/>
          <w:color w:val="auto"/>
        </w:rPr>
      </w:pPr>
      <w:r>
        <w:rPr>
          <w:rFonts w:ascii="Arial" w:cs="Arial" w:eastAsia="Arial" w:hAnsi="Arial"/>
          <w:sz w:val="16"/>
          <w:szCs w:val="16"/>
          <w:color w:val="auto"/>
        </w:rPr>
        <w:t>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spacing w:after="0" w:line="141" w:lineRule="exact"/>
        <w:rPr>
          <w:sz w:val="20"/>
          <w:szCs w:val="20"/>
          <w:color w:val="auto"/>
        </w:rPr>
      </w:pPr>
    </w:p>
    <w:p>
      <w:pPr>
        <w:jc w:val="both"/>
        <w:ind w:firstLine="584"/>
        <w:spacing w:after="0" w:line="261" w:lineRule="auto"/>
        <w:rPr>
          <w:sz w:val="20"/>
          <w:szCs w:val="20"/>
          <w:color w:val="auto"/>
        </w:rPr>
      </w:pPr>
      <w:r>
        <w:rPr>
          <w:rFonts w:ascii="Arial" w:cs="Arial" w:eastAsia="Arial" w:hAnsi="Arial"/>
          <w:sz w:val="17"/>
          <w:szCs w:val="17"/>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71</w:t>
      </w:r>
    </w:p>
    <w:p>
      <w:pPr>
        <w:spacing w:after="0" w:line="104" w:lineRule="exact"/>
        <w:rPr>
          <w:sz w:val="20"/>
          <w:szCs w:val="20"/>
          <w:color w:val="auto"/>
        </w:rPr>
      </w:pPr>
    </w:p>
    <w:p>
      <w:pPr>
        <w:jc w:val="both"/>
        <w:ind w:firstLine="584"/>
        <w:spacing w:after="0" w:line="288" w:lineRule="auto"/>
        <w:rPr>
          <w:sz w:val="20"/>
          <w:szCs w:val="20"/>
          <w:color w:val="auto"/>
        </w:rPr>
      </w:pPr>
      <w:r>
        <w:rPr>
          <w:rFonts w:ascii="Arial" w:cs="Arial" w:eastAsia="Arial" w:hAnsi="Arial"/>
          <w:sz w:val="16"/>
          <w:szCs w:val="16"/>
          <w:color w:val="auto"/>
        </w:rPr>
        <w:t>Some of our patents and patent applications may in the future be jointly-owned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w:t>
      </w:r>
    </w:p>
    <w:p>
      <w:pPr>
        <w:spacing w:after="0" w:line="111" w:lineRule="exact"/>
        <w:rPr>
          <w:sz w:val="20"/>
          <w:szCs w:val="20"/>
          <w:color w:val="auto"/>
        </w:rPr>
      </w:pPr>
    </w:p>
    <w:p>
      <w:pPr>
        <w:jc w:val="both"/>
        <w:ind w:firstLine="584"/>
        <w:spacing w:after="0" w:line="260" w:lineRule="auto"/>
        <w:rPr>
          <w:sz w:val="20"/>
          <w:szCs w:val="20"/>
          <w:color w:val="auto"/>
        </w:rPr>
      </w:pPr>
      <w:r>
        <w:rPr>
          <w:rFonts w:ascii="Arial" w:cs="Arial" w:eastAsia="Arial" w:hAnsi="Arial"/>
          <w:sz w:val="17"/>
          <w:szCs w:val="17"/>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w:t>
      </w:r>
    </w:p>
    <w:p>
      <w:pPr>
        <w:spacing w:after="0" w:line="34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Patents covering our current, and any future products, or our technologies could be found invalid or unenforceable if challenged in court or before administrative bodies in the United States or abroad, which could harm our business, financial condition and results of operations.</w:t>
      </w:r>
    </w:p>
    <w:p>
      <w:pPr>
        <w:spacing w:after="0" w:line="30"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w:t>
      </w:r>
    </w:p>
    <w:p>
      <w:pPr>
        <w:spacing w:after="0" w:line="148" w:lineRule="exact"/>
        <w:rPr>
          <w:sz w:val="20"/>
          <w:szCs w:val="20"/>
          <w:color w:val="auto"/>
        </w:rPr>
      </w:pPr>
    </w:p>
    <w:p>
      <w:pPr>
        <w:jc w:val="both"/>
        <w:ind w:firstLine="584"/>
        <w:spacing w:after="0" w:line="274" w:lineRule="auto"/>
        <w:rPr>
          <w:sz w:val="20"/>
          <w:szCs w:val="20"/>
          <w:color w:val="auto"/>
        </w:rPr>
      </w:pPr>
      <w:r>
        <w:rPr>
          <w:rFonts w:ascii="Arial" w:cs="Arial" w:eastAsia="Arial" w:hAnsi="Arial"/>
          <w:sz w:val="16"/>
          <w:szCs w:val="16"/>
          <w:color w:val="auto"/>
        </w:rPr>
        <w:t>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rely substantially on our trademarks and trade names. If our trademarks and trade names are not adequately protected, then we may not be able to build name recognition in our markets of interest and our business may be harmed.</w:t>
      </w:r>
    </w:p>
    <w:p>
      <w:pPr>
        <w:spacing w:after="0" w:line="76" w:lineRule="exact"/>
        <w:rPr>
          <w:sz w:val="20"/>
          <w:szCs w:val="20"/>
          <w:color w:val="auto"/>
        </w:rPr>
      </w:pPr>
    </w:p>
    <w:p>
      <w:pPr>
        <w:jc w:val="both"/>
        <w:ind w:firstLine="584"/>
        <w:spacing w:after="0" w:line="248" w:lineRule="auto"/>
        <w:rPr>
          <w:sz w:val="20"/>
          <w:szCs w:val="20"/>
          <w:color w:val="auto"/>
        </w:rPr>
      </w:pPr>
      <w:r>
        <w:rPr>
          <w:rFonts w:ascii="Arial" w:cs="Arial" w:eastAsia="Arial" w:hAnsi="Arial"/>
          <w:sz w:val="18"/>
          <w:szCs w:val="18"/>
          <w:color w:val="auto"/>
        </w:rPr>
        <w:t>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72</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or trademark 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w:t>
      </w:r>
    </w:p>
    <w:p>
      <w:pPr>
        <w:spacing w:after="0" w:line="67" w:lineRule="exact"/>
        <w:rPr>
          <w:sz w:val="20"/>
          <w:szCs w:val="20"/>
          <w:color w:val="auto"/>
        </w:rPr>
      </w:pPr>
    </w:p>
    <w:p>
      <w:pPr>
        <w:jc w:val="both"/>
        <w:ind w:firstLine="584"/>
        <w:spacing w:after="0" w:line="275" w:lineRule="auto"/>
        <w:rPr>
          <w:sz w:val="20"/>
          <w:szCs w:val="20"/>
          <w:color w:val="auto"/>
        </w:rPr>
      </w:pPr>
      <w:r>
        <w:rPr>
          <w:rFonts w:ascii="Arial" w:cs="Arial" w:eastAsia="Arial" w:hAnsi="Arial"/>
          <w:sz w:val="16"/>
          <w:szCs w:val="16"/>
          <w:color w:val="auto"/>
        </w:rPr>
        <w:t>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The various applicable government agencies, including with respect to patents and patent applications the USPTO and similar agencies outside of the United States, require compliance with several procedural, documentary, fee payment and other similar provisions during the application process.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w:t>
      </w:r>
    </w:p>
    <w:p>
      <w:pPr>
        <w:spacing w:after="0" w:line="1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limited foreign intellectual property rights outside the United States, selected countries in the European Union, Japan and China and may not be able to protect our intellectual property and proprietary rights throughout the world, which could harm our business, financial condition and results of operations.</w:t>
      </w:r>
    </w:p>
    <w:p>
      <w:pPr>
        <w:spacing w:after="0" w:line="67" w:lineRule="exact"/>
        <w:rPr>
          <w:sz w:val="20"/>
          <w:szCs w:val="20"/>
          <w:color w:val="auto"/>
        </w:rPr>
      </w:pPr>
    </w:p>
    <w:p>
      <w:pPr>
        <w:jc w:val="both"/>
        <w:ind w:firstLine="584"/>
        <w:spacing w:after="0" w:line="259" w:lineRule="auto"/>
        <w:rPr>
          <w:sz w:val="20"/>
          <w:szCs w:val="20"/>
          <w:color w:val="auto"/>
        </w:rPr>
      </w:pPr>
      <w:r>
        <w:rPr>
          <w:rFonts w:ascii="Arial" w:cs="Arial" w:eastAsia="Arial" w:hAnsi="Arial"/>
          <w:sz w:val="17"/>
          <w:szCs w:val="17"/>
          <w:color w:val="auto"/>
        </w:rPr>
        <w:t>We have limited intellectual property rights outside the United States, selected countries in the European Union,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w:t>
      </w:r>
    </w:p>
    <w:p>
      <w:pPr>
        <w:spacing w:after="0" w:line="67" w:lineRule="exact"/>
        <w:rPr>
          <w:sz w:val="20"/>
          <w:szCs w:val="20"/>
          <w:color w:val="auto"/>
        </w:rPr>
      </w:pPr>
    </w:p>
    <w:p>
      <w:pPr>
        <w:jc w:val="both"/>
        <w:ind w:firstLine="584"/>
        <w:spacing w:after="0" w:line="27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U.S. patent law could diminish the value of patents in general, thereby impairing our ability to protect our current and any future products.</w:t>
      </w:r>
    </w:p>
    <w:p>
      <w:pPr>
        <w:spacing w:after="0" w:line="138" w:lineRule="exact"/>
        <w:rPr>
          <w:sz w:val="20"/>
          <w:szCs w:val="20"/>
          <w:color w:val="auto"/>
        </w:rPr>
      </w:pPr>
    </w:p>
    <w:p>
      <w:pPr>
        <w:jc w:val="both"/>
        <w:ind w:firstLine="584"/>
        <w:spacing w:after="0" w:line="249" w:lineRule="auto"/>
        <w:rPr>
          <w:sz w:val="20"/>
          <w:szCs w:val="20"/>
          <w:color w:val="auto"/>
        </w:rPr>
      </w:pPr>
      <w:r>
        <w:rPr>
          <w:rFonts w:ascii="Arial" w:cs="Arial" w:eastAsia="Arial" w:hAnsi="Arial"/>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73</w:t>
      </w:r>
    </w:p>
    <w:p>
      <w:pPr>
        <w:spacing w:after="0" w:line="10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inventor to file system in which, assuming that other requirements for patentability are met, the first inventor to file a patent application will be entitled to the patent on an invention regardless of whether a third-party was the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w:t>
      </w:r>
    </w:p>
    <w:p>
      <w:pPr>
        <w:spacing w:after="0" w:line="158" w:lineRule="exact"/>
        <w:rPr>
          <w:sz w:val="20"/>
          <w:szCs w:val="20"/>
          <w:color w:val="auto"/>
        </w:rPr>
      </w:pPr>
    </w:p>
    <w:p>
      <w:pPr>
        <w:jc w:val="both"/>
        <w:ind w:firstLine="584"/>
        <w:spacing w:after="0" w:line="294" w:lineRule="auto"/>
        <w:rPr>
          <w:sz w:val="20"/>
          <w:szCs w:val="20"/>
          <w:color w:val="auto"/>
        </w:rPr>
      </w:pPr>
      <w:r>
        <w:rPr>
          <w:rFonts w:ascii="Arial" w:cs="Arial" w:eastAsia="Arial" w:hAnsi="Arial"/>
          <w:sz w:val="16"/>
          <w:szCs w:val="16"/>
          <w:color w:val="auto"/>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w:t>
      </w:r>
    </w:p>
    <w:p>
      <w:pPr>
        <w:spacing w:after="0" w:line="120" w:lineRule="exact"/>
        <w:rPr>
          <w:sz w:val="20"/>
          <w:szCs w:val="20"/>
          <w:color w:val="auto"/>
        </w:rPr>
      </w:pPr>
    </w:p>
    <w:p>
      <w:pPr>
        <w:jc w:val="both"/>
        <w:ind w:firstLine="584"/>
        <w:spacing w:after="0" w:line="243"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159" w:lineRule="exact"/>
        <w:rPr>
          <w:sz w:val="20"/>
          <w:szCs w:val="20"/>
          <w:color w:val="auto"/>
        </w:rPr>
      </w:pPr>
    </w:p>
    <w:p>
      <w:pPr>
        <w:jc w:val="both"/>
        <w:ind w:firstLine="584"/>
        <w:spacing w:after="0" w:line="261" w:lineRule="auto"/>
        <w:rPr>
          <w:sz w:val="20"/>
          <w:szCs w:val="20"/>
          <w:color w:val="auto"/>
        </w:rPr>
      </w:pPr>
      <w:r>
        <w:rPr>
          <w:rFonts w:ascii="Arial" w:cs="Arial" w:eastAsia="Arial" w:hAnsi="Arial"/>
          <w:sz w:val="17"/>
          <w:szCs w:val="17"/>
          <w:color w:val="auto"/>
        </w:rPr>
        <w:t>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the joint-owners of our intellectual property, or our collaborators may prevent or delay the sale and marketing of our current and any future products.</w:t>
      </w:r>
    </w:p>
    <w:p>
      <w:pPr>
        <w:spacing w:after="0" w:line="76" w:lineRule="exact"/>
        <w:rPr>
          <w:sz w:val="20"/>
          <w:szCs w:val="20"/>
          <w:color w:val="auto"/>
        </w:rPr>
      </w:pPr>
    </w:p>
    <w:p>
      <w:pPr>
        <w:jc w:val="both"/>
        <w:ind w:firstLine="584"/>
        <w:spacing w:after="0" w:line="277" w:lineRule="auto"/>
        <w:rPr>
          <w:sz w:val="20"/>
          <w:szCs w:val="20"/>
          <w:color w:val="auto"/>
        </w:rPr>
      </w:pPr>
      <w:r>
        <w:rPr>
          <w:rFonts w:ascii="Arial" w:cs="Arial" w:eastAsia="Arial" w:hAnsi="Arial"/>
          <w:sz w:val="16"/>
          <w:szCs w:val="16"/>
          <w:color w:val="auto"/>
        </w:rPr>
        <w:t>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could become subject to significant intellectual property-related litigation and proceedings relating to our or third-party intellectual property and proprietary rights. 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w:t>
      </w:r>
    </w:p>
    <w:p>
      <w:pPr>
        <w:spacing w:after="0" w:line="137" w:lineRule="exact"/>
        <w:rPr>
          <w:sz w:val="20"/>
          <w:szCs w:val="20"/>
          <w:color w:val="auto"/>
        </w:rPr>
      </w:pPr>
    </w:p>
    <w:p>
      <w:pPr>
        <w:jc w:val="both"/>
        <w:ind w:firstLine="584"/>
        <w:spacing w:after="0" w:line="241" w:lineRule="auto"/>
        <w:rPr>
          <w:sz w:val="20"/>
          <w:szCs w:val="20"/>
          <w:color w:val="auto"/>
        </w:rPr>
      </w:pPr>
      <w:r>
        <w:rPr>
          <w:rFonts w:ascii="Arial" w:cs="Arial" w:eastAsia="Arial" w:hAnsi="Arial"/>
          <w:sz w:val="18"/>
          <w:szCs w:val="18"/>
          <w:color w:val="auto"/>
        </w:rPr>
        <w:t>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industry is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w:t>
      </w:r>
    </w:p>
    <w:p>
      <w:pPr>
        <w:spacing w:after="0" w:line="165" w:lineRule="exact"/>
        <w:rPr>
          <w:sz w:val="20"/>
          <w:szCs w:val="20"/>
          <w:color w:val="auto"/>
        </w:rPr>
      </w:pPr>
    </w:p>
    <w:p>
      <w:pPr>
        <w:jc w:val="both"/>
        <w:ind w:firstLine="584"/>
        <w:spacing w:after="0" w:line="244" w:lineRule="auto"/>
        <w:rPr>
          <w:sz w:val="20"/>
          <w:szCs w:val="20"/>
          <w:color w:val="auto"/>
        </w:rPr>
      </w:pPr>
      <w:r>
        <w:rPr>
          <w:rFonts w:ascii="Arial" w:cs="Arial" w:eastAsia="Arial" w:hAnsi="Arial"/>
          <w:sz w:val="18"/>
          <w:szCs w:val="18"/>
          <w:color w:val="auto"/>
        </w:rPr>
        <w:t>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74</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w:t>
      </w:r>
    </w:p>
    <w:p>
      <w:pPr>
        <w:spacing w:after="0" w:line="154" w:lineRule="exact"/>
        <w:rPr>
          <w:sz w:val="20"/>
          <w:szCs w:val="20"/>
          <w:color w:val="auto"/>
        </w:rPr>
      </w:pPr>
    </w:p>
    <w:p>
      <w:pPr>
        <w:jc w:val="both"/>
        <w:ind w:firstLine="584"/>
        <w:spacing w:after="0" w:line="276" w:lineRule="auto"/>
        <w:rPr>
          <w:sz w:val="20"/>
          <w:szCs w:val="20"/>
          <w:color w:val="auto"/>
        </w:rPr>
      </w:pPr>
      <w:r>
        <w:rPr>
          <w:rFonts w:ascii="Arial" w:cs="Arial" w:eastAsia="Arial" w:hAnsi="Arial"/>
          <w:sz w:val="16"/>
          <w:szCs w:val="16"/>
          <w:color w:val="auto"/>
        </w:rPr>
        <w:t>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w:t>
      </w:r>
    </w:p>
    <w:p>
      <w:pPr>
        <w:spacing w:after="0" w:line="121"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7"/>
          <w:szCs w:val="17"/>
          <w:color w:val="auto"/>
        </w:rPr>
        <w:t>In the event that any third-party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w:t>
      </w:r>
    </w:p>
    <w:p>
      <w:pPr>
        <w:spacing w:after="0" w:line="154" w:lineRule="exact"/>
        <w:rPr>
          <w:sz w:val="20"/>
          <w:szCs w:val="20"/>
          <w:color w:val="auto"/>
        </w:rPr>
      </w:pPr>
    </w:p>
    <w:p>
      <w:pPr>
        <w:jc w:val="both"/>
        <w:ind w:firstLine="584"/>
        <w:spacing w:after="0" w:line="241" w:lineRule="auto"/>
        <w:rPr>
          <w:sz w:val="20"/>
          <w:szCs w:val="20"/>
          <w:color w:val="auto"/>
        </w:rPr>
      </w:pPr>
      <w:r>
        <w:rPr>
          <w:rFonts w:ascii="Arial" w:cs="Arial" w:eastAsia="Arial" w:hAnsi="Arial"/>
          <w:sz w:val="18"/>
          <w:szCs w:val="18"/>
          <w:color w:val="auto"/>
        </w:rPr>
        <w:t>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w:t>
      </w:r>
    </w:p>
    <w:p>
      <w:pPr>
        <w:spacing w:after="0" w:line="165" w:lineRule="exact"/>
        <w:rPr>
          <w:sz w:val="20"/>
          <w:szCs w:val="20"/>
          <w:color w:val="auto"/>
        </w:rPr>
      </w:pPr>
    </w:p>
    <w:p>
      <w:pPr>
        <w:jc w:val="both"/>
        <w:ind w:firstLine="584"/>
        <w:spacing w:after="0" w:line="260" w:lineRule="auto"/>
        <w:rPr>
          <w:sz w:val="20"/>
          <w:szCs w:val="20"/>
          <w:color w:val="auto"/>
        </w:rPr>
      </w:pPr>
      <w:r>
        <w:rPr>
          <w:rFonts w:ascii="Arial" w:cs="Arial" w:eastAsia="Arial" w:hAnsi="Arial"/>
          <w:sz w:val="17"/>
          <w:szCs w:val="17"/>
          <w:color w:val="auto"/>
        </w:rPr>
        <w:t>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75</w:t>
      </w:r>
    </w:p>
    <w:p>
      <w:pPr>
        <w:spacing w:after="0" w:line="104" w:lineRule="exact"/>
        <w:rPr>
          <w:sz w:val="20"/>
          <w:szCs w:val="20"/>
          <w:color w:val="auto"/>
        </w:rPr>
      </w:pPr>
    </w:p>
    <w:p>
      <w:pPr>
        <w:jc w:val="both"/>
        <w:ind w:firstLine="584"/>
        <w:spacing w:after="0" w:line="288" w:lineRule="auto"/>
        <w:rPr>
          <w:sz w:val="20"/>
          <w:szCs w:val="20"/>
          <w:color w:val="auto"/>
        </w:rPr>
      </w:pPr>
      <w:r>
        <w:rPr>
          <w:rFonts w:ascii="Arial" w:cs="Arial" w:eastAsia="Arial" w:hAnsi="Arial"/>
          <w:sz w:val="16"/>
          <w:szCs w:val="16"/>
          <w:color w:val="auto"/>
        </w:rPr>
        <w:t>Competitors may infringe our patents, or the patents of any future licensing partners, or we may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111" w:lineRule="exact"/>
        <w:rPr>
          <w:sz w:val="20"/>
          <w:szCs w:val="20"/>
          <w:color w:val="auto"/>
        </w:rPr>
      </w:pPr>
    </w:p>
    <w:p>
      <w:pPr>
        <w:jc w:val="both"/>
        <w:ind w:firstLine="584"/>
        <w:spacing w:after="0" w:line="260"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w:t>
      </w:r>
    </w:p>
    <w:p>
      <w:pPr>
        <w:spacing w:after="0" w:line="146" w:lineRule="exact"/>
        <w:rPr>
          <w:sz w:val="20"/>
          <w:szCs w:val="20"/>
          <w:color w:val="auto"/>
        </w:rPr>
      </w:pPr>
    </w:p>
    <w:p>
      <w:pPr>
        <w:jc w:val="both"/>
        <w:ind w:firstLine="584"/>
        <w:spacing w:after="0" w:line="290" w:lineRule="auto"/>
        <w:rPr>
          <w:sz w:val="20"/>
          <w:szCs w:val="20"/>
          <w:color w:val="auto"/>
        </w:rPr>
      </w:pPr>
      <w:r>
        <w:rPr>
          <w:rFonts w:ascii="Arial" w:cs="Arial" w:eastAsia="Arial" w:hAnsi="Arial"/>
          <w:sz w:val="16"/>
          <w:szCs w:val="16"/>
          <w:color w:val="auto"/>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w:t>
      </w:r>
    </w:p>
    <w:p>
      <w:pPr>
        <w:spacing w:after="0" w:line="12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w:t>
      </w:r>
    </w:p>
    <w:p>
      <w:pPr>
        <w:spacing w:after="0" w:line="74" w:lineRule="exact"/>
        <w:rPr>
          <w:sz w:val="20"/>
          <w:szCs w:val="20"/>
          <w:color w:val="auto"/>
        </w:rPr>
      </w:pPr>
    </w:p>
    <w:p>
      <w:pPr>
        <w:jc w:val="both"/>
        <w:ind w:firstLine="584"/>
        <w:spacing w:after="0" w:line="280" w:lineRule="auto"/>
        <w:rPr>
          <w:sz w:val="20"/>
          <w:szCs w:val="20"/>
          <w:color w:val="auto"/>
        </w:rPr>
      </w:pPr>
      <w:r>
        <w:rPr>
          <w:rFonts w:ascii="Arial" w:cs="Arial" w:eastAsia="Arial" w:hAnsi="Arial"/>
          <w:sz w:val="16"/>
          <w:szCs w:val="16"/>
          <w:color w:val="auto"/>
        </w:rPr>
        <w:t>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spacing w:after="0" w:line="132" w:lineRule="exact"/>
        <w:rPr>
          <w:sz w:val="20"/>
          <w:szCs w:val="20"/>
          <w:color w:val="auto"/>
        </w:rPr>
      </w:pPr>
    </w:p>
    <w:p>
      <w:pPr>
        <w:jc w:val="both"/>
        <w:ind w:firstLine="584"/>
        <w:spacing w:after="0" w:line="283"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jc w:val="both"/>
        <w:ind w:firstLine="584"/>
        <w:spacing w:after="0" w:line="280" w:lineRule="auto"/>
        <w:rPr>
          <w:sz w:val="20"/>
          <w:szCs w:val="20"/>
          <w:color w:val="auto"/>
        </w:rPr>
      </w:pPr>
      <w:r>
        <w:rPr>
          <w:rFonts w:ascii="Arial" w:cs="Arial" w:eastAsia="Arial" w:hAnsi="Arial"/>
          <w:sz w:val="16"/>
          <w:szCs w:val="16"/>
          <w:color w:val="auto"/>
        </w:rPr>
        <w:t>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31" w:lineRule="exact"/>
        <w:rPr>
          <w:sz w:val="20"/>
          <w:szCs w:val="20"/>
          <w:color w:val="auto"/>
        </w:rPr>
      </w:pPr>
    </w:p>
    <w:p>
      <w:pPr>
        <w:jc w:val="both"/>
        <w:ind w:firstLine="584"/>
        <w:spacing w:after="0" w:line="245" w:lineRule="auto"/>
        <w:rPr>
          <w:sz w:val="20"/>
          <w:szCs w:val="20"/>
          <w:color w:val="auto"/>
        </w:rPr>
      </w:pPr>
      <w:r>
        <w:rPr>
          <w:rFonts w:ascii="Arial" w:cs="Arial" w:eastAsia="Arial" w:hAnsi="Arial"/>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76</w:t>
      </w:r>
    </w:p>
    <w:p>
      <w:pPr>
        <w:spacing w:after="0" w:line="10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w:t>
      </w:r>
    </w:p>
    <w:p>
      <w:pPr>
        <w:spacing w:after="0" w:line="128" w:lineRule="exact"/>
        <w:rPr>
          <w:sz w:val="20"/>
          <w:szCs w:val="20"/>
          <w:color w:val="auto"/>
        </w:rPr>
      </w:pPr>
    </w:p>
    <w:p>
      <w:pPr>
        <w:jc w:val="both"/>
        <w:ind w:firstLine="584"/>
        <w:spacing w:after="0" w:line="246"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a key information technology system, process, or site could have an adverse effect on our business.</w:t>
      </w:r>
    </w:p>
    <w:p>
      <w:pPr>
        <w:spacing w:after="0" w:line="104" w:lineRule="exact"/>
        <w:rPr>
          <w:sz w:val="20"/>
          <w:szCs w:val="20"/>
          <w:color w:val="auto"/>
        </w:rPr>
      </w:pPr>
    </w:p>
    <w:p>
      <w:pPr>
        <w:jc w:val="both"/>
        <w:ind w:firstLine="584"/>
        <w:spacing w:after="0" w:line="274" w:lineRule="auto"/>
        <w:rPr>
          <w:sz w:val="20"/>
          <w:szCs w:val="20"/>
          <w:color w:val="auto"/>
        </w:rPr>
      </w:pPr>
      <w:r>
        <w:rPr>
          <w:rFonts w:ascii="Arial" w:cs="Arial" w:eastAsia="Arial" w:hAnsi="Arial"/>
          <w:sz w:val="16"/>
          <w:szCs w:val="16"/>
          <w:color w:val="auto"/>
        </w:rPr>
        <w:t>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may be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which may be protected by applicable laws. In addition, the COVID-19 pandemic has generally increased the risk of cybersecurity intrusions. For example, there has been an increase in phishing and spam emails as well as social engineering attempts from “hackers” hoping to use the COVID-19 pandemic to their advantage. Any such access, disclosure, or other loss of information could require substantial expenditures to remedy and could result in legal claims or proceedings, liability under laws that protect the privacy of personal information and damage to our reputation.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compromise our ability to offer our services and subject us to possible litigation.</w:t>
      </w:r>
    </w:p>
    <w:p>
      <w:pPr>
        <w:spacing w:after="0" w:line="104" w:lineRule="exact"/>
        <w:rPr>
          <w:sz w:val="20"/>
          <w:szCs w:val="20"/>
          <w:color w:val="auto"/>
        </w:rPr>
      </w:pPr>
    </w:p>
    <w:p>
      <w:pPr>
        <w:jc w:val="both"/>
        <w:ind w:firstLine="584"/>
        <w:spacing w:after="0" w:line="275" w:lineRule="auto"/>
        <w:rPr>
          <w:sz w:val="20"/>
          <w:szCs w:val="20"/>
          <w:color w:val="auto"/>
        </w:rPr>
      </w:pPr>
      <w:r>
        <w:rPr>
          <w:rFonts w:ascii="Arial" w:cs="Arial" w:eastAsia="Arial" w:hAnsi="Arial"/>
          <w:sz w:val="16"/>
          <w:szCs w:val="16"/>
          <w:color w:val="auto"/>
        </w:rPr>
        <w:t>We use open source software in connection with the software integrated in our instruments.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104"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8"/>
          <w:szCs w:val="18"/>
          <w:color w:val="auto"/>
        </w:rPr>
        <w:t>The market price of our common stock may be highly volatile and may fluctuate or decline substantially as a result of a variety of factors, some of which are beyond our control, including limited trading volume. In addition to the factors discussed in this “Risk Factors” section and elsewhere in this Quarterly Report on Form 10-Q, these factors include:</w:t>
      </w:r>
    </w:p>
    <w:p>
      <w:pPr>
        <w:spacing w:after="0" w:line="149"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degree and rate of market adoption of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 or investors;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77</w:t>
      </w:r>
    </w:p>
    <w:p>
      <w:pPr>
        <w:spacing w:after="0" w:line="104" w:lineRule="exact"/>
        <w:rPr>
          <w:sz w:val="20"/>
          <w:szCs w:val="20"/>
          <w:color w:val="auto"/>
        </w:rPr>
      </w:pPr>
    </w:p>
    <w:p>
      <w:pPr>
        <w:ind w:left="102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results of operations, including as a result of anticipated or unanticipated demand based on seasonal factors;</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negative publicity associated with issues related to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 by us or our stockholders, as well as the anticipation of lock-up releases;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adverse developments concerning any of our third-party distribution partners and suppliers, including our single and sole-source suppliers;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inability to engage additional distribution partners and establish collaborations, if needed;</w:t>
      </w:r>
    </w:p>
    <w:p>
      <w:pPr>
        <w:spacing w:after="0" w:line="117"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performance or news releases by other companies in our industry including about adverse developments related to safety, effectiveness, accuracy and usability of their products, reputational concerns, regulatory compliance, and product recalls;</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general economic, regulatory and market conditions, including economic recessions or slowdowns, the COVID-19 pandemic, the ongoing war in Ukraine and the general inflationary environment; and</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04" w:lineRule="exact"/>
        <w:rPr>
          <w:sz w:val="20"/>
          <w:szCs w:val="20"/>
          <w:color w:val="auto"/>
        </w:rPr>
      </w:pPr>
    </w:p>
    <w:p>
      <w:pPr>
        <w:jc w:val="both"/>
        <w:ind w:firstLine="584"/>
        <w:spacing w:after="0" w:line="263" w:lineRule="auto"/>
        <w:rPr>
          <w:sz w:val="20"/>
          <w:szCs w:val="20"/>
          <w:color w:val="auto"/>
        </w:rPr>
      </w:pPr>
      <w:r>
        <w:rPr>
          <w:rFonts w:ascii="Arial" w:cs="Arial" w:eastAsia="Arial" w:hAnsi="Arial"/>
          <w:sz w:val="17"/>
          <w:szCs w:val="17"/>
          <w:color w:val="auto"/>
        </w:rPr>
        <w:t>Broad market and industry fluctuations, as well as general economic, pandemic, political, regulatory, and market conditions, may negatively impact the market price of our common stock. In addition, given the relatively small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have broad discretion in the use of our cash and may invest or spend the funds in ways with which you do not agree and in ways that may not yield a return.</w:t>
      </w:r>
    </w:p>
    <w:p>
      <w:pPr>
        <w:spacing w:after="0" w:line="63" w:lineRule="exact"/>
        <w:rPr>
          <w:sz w:val="20"/>
          <w:szCs w:val="20"/>
          <w:color w:val="auto"/>
        </w:rPr>
      </w:pPr>
    </w:p>
    <w:p>
      <w:pPr>
        <w:jc w:val="both"/>
        <w:ind w:firstLine="584"/>
        <w:spacing w:after="0" w:line="261" w:lineRule="auto"/>
        <w:rPr>
          <w:sz w:val="20"/>
          <w:szCs w:val="20"/>
          <w:color w:val="auto"/>
        </w:rPr>
      </w:pPr>
      <w:r>
        <w:rPr>
          <w:rFonts w:ascii="Arial" w:cs="Arial" w:eastAsia="Arial" w:hAnsi="Arial"/>
          <w:sz w:val="17"/>
          <w:szCs w:val="17"/>
          <w:color w:val="auto"/>
        </w:rPr>
        <w:t>We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w:t>
      </w:r>
    </w:p>
    <w:p>
      <w:pPr>
        <w:spacing w:after="0" w:line="14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Substantial future sales of shares of our common stock or securities convertible into our common stock will result in additional dilution of the percentage of ownership of our stockholders and could cause the market price of our common stock to decline.</w:t>
      </w:r>
    </w:p>
    <w:p>
      <w:pPr>
        <w:spacing w:after="0" w:line="76" w:lineRule="exact"/>
        <w:rPr>
          <w:sz w:val="20"/>
          <w:szCs w:val="20"/>
          <w:color w:val="auto"/>
        </w:rPr>
      </w:pPr>
    </w:p>
    <w:p>
      <w:pPr>
        <w:jc w:val="both"/>
        <w:ind w:firstLine="578"/>
        <w:spacing w:after="0" w:line="294" w:lineRule="auto"/>
        <w:rPr>
          <w:sz w:val="20"/>
          <w:szCs w:val="20"/>
          <w:color w:val="auto"/>
        </w:rPr>
      </w:pPr>
      <w:r>
        <w:rPr>
          <w:rFonts w:ascii="Arial" w:cs="Arial" w:eastAsia="Arial" w:hAnsi="Arial"/>
          <w:sz w:val="17"/>
          <w:szCs w:val="17"/>
          <w:color w:val="auto"/>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spacing w:after="0" w:line="132"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8"/>
          <w:szCs w:val="18"/>
          <w:color w:val="auto"/>
        </w:rPr>
        <w:t>In addition, we may offer and sell up to $150 million shares of common stock registered under our universal shelf registration statement on Form S-3 pursuant to the Sales Agreement with Piper in one or more “ at the market” offerings. To date, we have not made any sales of common stock pursuant to the Sales Agreement. The extent to which we utilize the Sales Agreement with Piper as a source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78</w:t>
      </w:r>
    </w:p>
    <w:p>
      <w:pPr>
        <w:spacing w:after="0" w:line="10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of funding will depend on a number of factors, including the prevailing market price of our common stock, general market conditions and other restrictions and the extent to which we are able to secure funds from other sources.</w:t>
      </w:r>
    </w:p>
    <w:p>
      <w:pPr>
        <w:spacing w:after="0" w:line="129" w:lineRule="exact"/>
        <w:rPr>
          <w:sz w:val="20"/>
          <w:szCs w:val="20"/>
          <w:color w:val="auto"/>
        </w:rPr>
      </w:pPr>
    </w:p>
    <w:p>
      <w:pPr>
        <w:jc w:val="both"/>
        <w:ind w:firstLine="578"/>
        <w:spacing w:after="0" w:line="307" w:lineRule="auto"/>
        <w:rPr>
          <w:sz w:val="20"/>
          <w:szCs w:val="20"/>
          <w:color w:val="auto"/>
        </w:rPr>
      </w:pPr>
      <w:r>
        <w:rPr>
          <w:rFonts w:ascii="Arial" w:cs="Arial" w:eastAsia="Arial" w:hAnsi="Arial"/>
          <w:sz w:val="16"/>
          <w:szCs w:val="16"/>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awards are available for immediate resale in the United States in the open market.</w:t>
      </w:r>
    </w:p>
    <w:p>
      <w:pPr>
        <w:spacing w:after="0" w:line="125" w:lineRule="exact"/>
        <w:rPr>
          <w:sz w:val="20"/>
          <w:szCs w:val="20"/>
          <w:color w:val="auto"/>
        </w:rPr>
      </w:pPr>
    </w:p>
    <w:p>
      <w:pPr>
        <w:jc w:val="both"/>
        <w:ind w:right="20" w:firstLine="578"/>
        <w:spacing w:after="0" w:line="271" w:lineRule="auto"/>
        <w:rPr>
          <w:sz w:val="20"/>
          <w:szCs w:val="20"/>
          <w:color w:val="auto"/>
        </w:rPr>
      </w:pPr>
      <w:r>
        <w:rPr>
          <w:rFonts w:ascii="Arial" w:cs="Arial" w:eastAsia="Arial" w:hAnsi="Arial"/>
          <w:sz w:val="18"/>
          <w:szCs w:val="18"/>
          <w:color w:val="auto"/>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executive officers, directors and principal stockholders may prevent new investors from influencing significant corporate decisions.</w:t>
      </w:r>
    </w:p>
    <w:p>
      <w:pPr>
        <w:spacing w:after="0" w:line="76" w:lineRule="exact"/>
        <w:rPr>
          <w:sz w:val="20"/>
          <w:szCs w:val="20"/>
          <w:color w:val="auto"/>
        </w:rPr>
      </w:pPr>
    </w:p>
    <w:p>
      <w:pPr>
        <w:jc w:val="both"/>
        <w:ind w:firstLine="578"/>
        <w:spacing w:after="0" w:line="262" w:lineRule="auto"/>
        <w:rPr>
          <w:sz w:val="20"/>
          <w:szCs w:val="20"/>
          <w:color w:val="auto"/>
        </w:rPr>
      </w:pPr>
      <w:r>
        <w:rPr>
          <w:rFonts w:ascii="Arial" w:cs="Arial" w:eastAsia="Arial" w:hAnsi="Arial"/>
          <w:sz w:val="18"/>
          <w:szCs w:val="18"/>
          <w:color w:val="auto"/>
        </w:rPr>
        <w:t>Based on the number of shares of common stock outstanding as of September 30, 2022, our executive officers, directors, holders of 5% or more of our common stock and their respective affiliates, in the aggregate, own approximately 33.5% of our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For example, because many of these stockholders purchased their shares at prices substantially below the current market price or our shares and have held their shares for a longer period, they may be more interested in selling our company to an acquirer than other investors, or they may want us to pursue strategies that deviate from the interests of other stockholders.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63" w:lineRule="exact"/>
        <w:rPr>
          <w:sz w:val="20"/>
          <w:szCs w:val="20"/>
          <w:color w:val="auto"/>
        </w:rPr>
      </w:pPr>
    </w:p>
    <w:p>
      <w:pPr>
        <w:jc w:val="both"/>
        <w:ind w:firstLine="584"/>
        <w:spacing w:after="0" w:line="24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w:t>
      </w:r>
    </w:p>
    <w:p>
      <w:pPr>
        <w:spacing w:after="0" w:line="154"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our compliance with the reduced reporting and disclosure requirements applicable to emerging growth companies and smaller reporting companies could make our common stock less attractive to investors.</w:t>
      </w:r>
    </w:p>
    <w:p>
      <w:pPr>
        <w:spacing w:after="0" w:line="6" w:lineRule="exact"/>
        <w:rPr>
          <w:sz w:val="20"/>
          <w:szCs w:val="20"/>
          <w:color w:val="auto"/>
        </w:rPr>
      </w:pPr>
    </w:p>
    <w:p>
      <w:pPr>
        <w:jc w:val="both"/>
        <w:ind w:firstLine="584"/>
        <w:spacing w:after="0" w:line="274" w:lineRule="auto"/>
        <w:rPr>
          <w:sz w:val="20"/>
          <w:szCs w:val="20"/>
          <w:color w:val="auto"/>
        </w:rPr>
      </w:pPr>
      <w:r>
        <w:rPr>
          <w:rFonts w:ascii="Arial" w:cs="Arial" w:eastAsia="Arial" w:hAnsi="Arial"/>
          <w:sz w:val="16"/>
          <w:szCs w:val="16"/>
          <w:color w:val="auto"/>
        </w:rPr>
        <w:t>We are an “emerging growth company,” as defined in the JOBS Act, and will remain an emerging growth company until the end of this fiscal year. For as long as we continue to be an emerging growth company, we expect to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adoption period for accounting pronouncements. We are also a “smaller reporting company,” as defined in the Securities Exchange Act of 1934, as amended (the “Exchange Act”), and will continue to qualify as a smaller reporting company through the end of this fiscal year. For as long as we continue to be a smaller reporting company, we may take advantage of certain of the scaled disclosures available to smaller reporting companies. Investors may find our common stock less attractive as a result of our reliance on these exemptions. If some investors find our common stock less attractive as a result, there may be a less active trading market for our common stock and our stock price may be more volatile.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jc w:val="both"/>
        <w:ind w:firstLine="584"/>
        <w:spacing w:after="0" w:line="245"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59" w:lineRule="exact"/>
        <w:rPr>
          <w:sz w:val="20"/>
          <w:szCs w:val="20"/>
          <w:color w:val="auto"/>
        </w:rPr>
      </w:pPr>
    </w:p>
    <w:p>
      <w:pPr>
        <w:jc w:val="both"/>
        <w:ind w:firstLine="584"/>
        <w:spacing w:after="0" w:line="261"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79</w:t>
      </w:r>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two or more people or by an unauthorized override of the controls. Accordingly, because of the inherent limitations in our control system, misstatements due to error or fraud may occur and not be detected.</w:t>
      </w:r>
    </w:p>
    <w:p>
      <w:pPr>
        <w:spacing w:after="0" w:line="116"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2" w:lineRule="exact"/>
        <w:rPr>
          <w:sz w:val="20"/>
          <w:szCs w:val="20"/>
          <w:color w:val="auto"/>
        </w:rPr>
      </w:pPr>
    </w:p>
    <w:p>
      <w:pPr>
        <w:ind w:firstLine="584"/>
        <w:spacing w:after="0" w:line="324"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97" w:lineRule="exact"/>
        <w:rPr>
          <w:sz w:val="20"/>
          <w:szCs w:val="20"/>
          <w:color w:val="auto"/>
        </w:rPr>
      </w:pPr>
    </w:p>
    <w:p>
      <w:pPr>
        <w:ind w:left="102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48"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76"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03" w:lineRule="exact"/>
        <w:rPr>
          <w:rFonts w:ascii="Arial" w:cs="Arial" w:eastAsia="Arial" w:hAnsi="Arial"/>
          <w:sz w:val="18"/>
          <w:szCs w:val="18"/>
          <w:color w:val="auto"/>
        </w:rPr>
      </w:pPr>
    </w:p>
    <w:p>
      <w:pPr>
        <w:jc w:val="both"/>
        <w:ind w:left="1020" w:hanging="503"/>
        <w:spacing w:after="0" w:line="256"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66"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48" w:lineRule="exact"/>
        <w:rPr>
          <w:rFonts w:ascii="Arial" w:cs="Arial" w:eastAsia="Arial" w:hAnsi="Arial"/>
          <w:sz w:val="18"/>
          <w:szCs w:val="18"/>
          <w:color w:val="auto"/>
        </w:rPr>
      </w:pPr>
    </w:p>
    <w:p>
      <w:pPr>
        <w:jc w:val="both"/>
        <w:ind w:left="1020" w:hanging="503"/>
        <w:spacing w:after="0" w:line="256"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w:t>
      </w:r>
    </w:p>
    <w:p>
      <w:pPr>
        <w:spacing w:after="0" w:line="67" w:lineRule="exact"/>
        <w:rPr>
          <w:sz w:val="20"/>
          <w:szCs w:val="20"/>
          <w:color w:val="auto"/>
        </w:rPr>
      </w:pPr>
    </w:p>
    <w:p>
      <w:pPr>
        <w:jc w:val="both"/>
        <w:ind w:firstLine="578"/>
        <w:spacing w:after="0" w:line="262"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87"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147" w:lineRule="exact"/>
        <w:rPr>
          <w:sz w:val="20"/>
          <w:szCs w:val="20"/>
          <w:color w:val="auto"/>
        </w:rPr>
      </w:pPr>
    </w:p>
    <w:p>
      <w:pPr>
        <w:jc w:val="both"/>
        <w:ind w:firstLine="578"/>
        <w:spacing w:after="0" w:line="264" w:lineRule="auto"/>
        <w:rPr>
          <w:sz w:val="20"/>
          <w:szCs w:val="20"/>
          <w:color w:val="auto"/>
        </w:rPr>
      </w:pPr>
      <w:r>
        <w:rPr>
          <w:rFonts w:ascii="Arial" w:cs="Arial" w:eastAsia="Arial" w:hAnsi="Arial"/>
          <w:sz w:val="18"/>
          <w:szCs w:val="18"/>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80</w:t>
      </w:r>
    </w:p>
    <w:p>
      <w:pPr>
        <w:spacing w:after="0" w:line="10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127" w:lineRule="exact"/>
        <w:rPr>
          <w:sz w:val="20"/>
          <w:szCs w:val="20"/>
          <w:color w:val="auto"/>
        </w:rPr>
      </w:pPr>
    </w:p>
    <w:p>
      <w:pPr>
        <w:jc w:val="both"/>
        <w:ind w:firstLine="578"/>
        <w:spacing w:after="0" w:line="280"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and procedures over financial reporting, and any failure to maintain the adequacy of these internal controls in a timely or efficient manner may adversely affect investor confidence in our company and, as a result, the value of our common stock.</w:t>
      </w:r>
    </w:p>
    <w:p>
      <w:pPr>
        <w:spacing w:after="0" w:line="87" w:lineRule="exact"/>
        <w:rPr>
          <w:sz w:val="20"/>
          <w:szCs w:val="20"/>
          <w:color w:val="auto"/>
        </w:rPr>
      </w:pPr>
    </w:p>
    <w:p>
      <w:pPr>
        <w:jc w:val="both"/>
        <w:ind w:firstLine="578"/>
        <w:spacing w:after="0" w:line="294" w:lineRule="auto"/>
        <w:rPr>
          <w:sz w:val="20"/>
          <w:szCs w:val="20"/>
          <w:color w:val="auto"/>
        </w:rPr>
      </w:pPr>
      <w:r>
        <w:rPr>
          <w:rFonts w:ascii="Arial" w:cs="Arial" w:eastAsia="Arial" w:hAnsi="Arial"/>
          <w:sz w:val="16"/>
          <w:szCs w:val="16"/>
          <w:color w:val="auto"/>
        </w:rPr>
        <w:t>We are required, pursuant to Section 404 of the Sarbanes–Oxley Act, to furnish a report by management on, among other things, the effectiveness of our internal control and procedures over financial reporting for the fiscal year ending December 31, 2022, which is the year covered by the second annual report following the completion of our IPO. This assessment will need to include disclosure of any material weaknesses identified by our management in our internal control over financial reporting. In addition, since we will no longer be an “emerging growth company” or a non-accelerated filer, we will also be required to include in our annual report an attestation report by our independent registered public accounting firm on internal control over financial reporting, beginning with respect to the fiscal year ending December 31, 2022. We have begun the costly and challenging process of compiling the system and processing documentation necessary to perform the evaluation needed to comply with Section 404, and we may not be able to complete our evaluation, testing and any required remediation in a timely fashion. Our compliance with Section 404 will require that we incur substantial accounting, legal and other compliance expense and expend significant management efforts. We currently do not have an internal audit group, and we will need to hire additional accounting and finance staff and consultants with appropriate public company experience and technical accounting knowledge and compile the system and process documentation necessary to perform the evaluation needed to comply with Section 404.</w:t>
      </w:r>
    </w:p>
    <w:p>
      <w:pPr>
        <w:spacing w:after="0" w:line="140" w:lineRule="exact"/>
        <w:rPr>
          <w:sz w:val="20"/>
          <w:szCs w:val="20"/>
          <w:color w:val="auto"/>
        </w:rPr>
      </w:pPr>
    </w:p>
    <w:p>
      <w:pPr>
        <w:jc w:val="both"/>
        <w:ind w:firstLine="584"/>
        <w:spacing w:after="0" w:line="283" w:lineRule="auto"/>
        <w:rPr>
          <w:sz w:val="20"/>
          <w:szCs w:val="20"/>
          <w:color w:val="auto"/>
        </w:rPr>
      </w:pPr>
      <w:r>
        <w:rPr>
          <w:rFonts w:ascii="Arial" w:cs="Arial" w:eastAsia="Arial" w:hAnsi="Arial"/>
          <w:sz w:val="16"/>
          <w:szCs w:val="16"/>
          <w:color w:val="auto"/>
        </w:rPr>
        <w:t>If we are unable to conclude that our internal control and procedures over financial reporting is effective, or if our independent registered public accounting firm determines we have material weaknesses in our internal control over financial reporting, we could lose investor confidence in the accuracy and completeness of our financial reports, it would be possible that a material misstatement of our financial statements would not be prevented or detected on a timely basis, and as a result, the market price of our common stock could decline, and we could be subject to sanctions or investigations by the SEC or other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12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87" w:lineRule="exact"/>
        <w:rPr>
          <w:sz w:val="20"/>
          <w:szCs w:val="20"/>
          <w:color w:val="auto"/>
        </w:rPr>
      </w:pPr>
    </w:p>
    <w:p>
      <w:pPr>
        <w:jc w:val="both"/>
        <w:ind w:firstLine="584"/>
        <w:spacing w:after="0" w:line="276" w:lineRule="auto"/>
        <w:rPr>
          <w:sz w:val="20"/>
          <w:szCs w:val="20"/>
          <w:color w:val="auto"/>
        </w:rPr>
      </w:pPr>
      <w:r>
        <w:rPr>
          <w:rFonts w:ascii="Arial" w:cs="Arial" w:eastAsia="Arial" w:hAnsi="Arial"/>
          <w:sz w:val="16"/>
          <w:szCs w:val="16"/>
          <w:color w:val="auto"/>
        </w:rPr>
        <w:t>The preparation of our consolidated financial statements in conformity with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new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81</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our publicly announced guidance or the expectations of securities analysts and investors, resulting in a decline in the market price of our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04" w:lineRule="exact"/>
        <w:rPr>
          <w:sz w:val="20"/>
          <w:szCs w:val="20"/>
          <w:color w:val="auto"/>
        </w:rPr>
      </w:pPr>
    </w:p>
    <w:p>
      <w:pPr>
        <w:jc w:val="both"/>
        <w:ind w:right="20" w:firstLine="584"/>
        <w:spacing w:after="0" w:line="278" w:lineRule="auto"/>
        <w:rPr>
          <w:sz w:val="20"/>
          <w:szCs w:val="20"/>
          <w:color w:val="auto"/>
        </w:rPr>
      </w:pPr>
      <w:r>
        <w:rPr>
          <w:rFonts w:ascii="Arial" w:cs="Arial" w:eastAsia="Arial" w:hAnsi="Arial"/>
          <w:sz w:val="17"/>
          <w:szCs w:val="17"/>
          <w:color w:val="auto"/>
        </w:rPr>
        <w:t>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76" w:lineRule="exact"/>
        <w:rPr>
          <w:sz w:val="20"/>
          <w:szCs w:val="20"/>
          <w:color w:val="auto"/>
        </w:rPr>
      </w:pPr>
    </w:p>
    <w:p>
      <w:pPr>
        <w:jc w:val="both"/>
        <w:ind w:firstLine="584"/>
        <w:spacing w:after="0" w:line="259" w:lineRule="auto"/>
        <w:rPr>
          <w:sz w:val="20"/>
          <w:szCs w:val="20"/>
          <w:color w:val="auto"/>
        </w:rPr>
      </w:pPr>
      <w:r>
        <w:rPr>
          <w:rFonts w:ascii="Arial" w:cs="Arial" w:eastAsia="Arial" w:hAnsi="Arial"/>
          <w:sz w:val="17"/>
          <w:szCs w:val="17"/>
          <w:color w:val="auto"/>
        </w:rPr>
        <w:t>As a public company, we have incurred and will continue to incur significant legal, accounting, and other expenses that we did not incur as a private company. We expect such expenses to further increase after we are no longer an emerging growth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will have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timing of such costs, which could negatively affect our business, financial condition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104" w:lineRule="exact"/>
        <w:rPr>
          <w:sz w:val="20"/>
          <w:szCs w:val="20"/>
          <w:color w:val="auto"/>
        </w:rPr>
      </w:pPr>
    </w:p>
    <w:p>
      <w:pPr>
        <w:jc w:val="both"/>
        <w:ind w:firstLine="584"/>
        <w:spacing w:after="0" w:line="243" w:lineRule="auto"/>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160" w:lineRule="exact"/>
        <w:rPr>
          <w:sz w:val="20"/>
          <w:szCs w:val="20"/>
          <w:color w:val="auto"/>
        </w:rPr>
      </w:pPr>
    </w:p>
    <w:p>
      <w:pPr>
        <w:jc w:val="both"/>
        <w:ind w:firstLine="36"/>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common stock price and trading volume could decline.</w:t>
      </w:r>
    </w:p>
    <w:p>
      <w:pPr>
        <w:spacing w:after="0" w:line="49" w:lineRule="exact"/>
        <w:rPr>
          <w:sz w:val="20"/>
          <w:szCs w:val="20"/>
          <w:color w:val="auto"/>
        </w:rPr>
      </w:pPr>
    </w:p>
    <w:p>
      <w:pPr>
        <w:jc w:val="both"/>
        <w:ind w:firstLine="584"/>
        <w:spacing w:after="0" w:line="256" w:lineRule="auto"/>
        <w:rPr>
          <w:sz w:val="20"/>
          <w:szCs w:val="20"/>
          <w:color w:val="auto"/>
        </w:rPr>
      </w:pPr>
      <w:r>
        <w:rPr>
          <w:rFonts w:ascii="Arial" w:cs="Arial" w:eastAsia="Arial" w:hAnsi="Arial"/>
          <w:sz w:val="18"/>
          <w:szCs w:val="18"/>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134" w:lineRule="exact"/>
        <w:rPr>
          <w:sz w:val="20"/>
          <w:szCs w:val="20"/>
          <w:color w:val="auto"/>
        </w:rPr>
      </w:pPr>
    </w:p>
    <w:p>
      <w:pPr>
        <w:jc w:val="both"/>
        <w:ind w:firstLine="584"/>
        <w:spacing w:after="0" w:line="267"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41"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7"/>
          <w:szCs w:val="17"/>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(“NOLs”) to offset future taxable income may be subject to certain limitations.</w:t>
      </w:r>
    </w:p>
    <w:p>
      <w:pPr>
        <w:spacing w:after="0" w:line="104" w:lineRule="exact"/>
        <w:rPr>
          <w:sz w:val="20"/>
          <w:szCs w:val="20"/>
          <w:color w:val="auto"/>
        </w:rPr>
      </w:pPr>
    </w:p>
    <w:p>
      <w:pPr>
        <w:jc w:val="both"/>
        <w:ind w:firstLine="584"/>
        <w:spacing w:after="0" w:line="256" w:lineRule="auto"/>
        <w:rPr>
          <w:sz w:val="20"/>
          <w:szCs w:val="20"/>
          <w:color w:val="auto"/>
        </w:rPr>
      </w:pPr>
      <w:r>
        <w:rPr>
          <w:rFonts w:ascii="Arial" w:cs="Arial" w:eastAsia="Arial" w:hAnsi="Arial"/>
          <w:sz w:val="18"/>
          <w:szCs w:val="18"/>
          <w:color w:val="auto"/>
        </w:rPr>
        <w:t>As of December 31, 2021, we had no federal NOL carryforwards and state NOL carryforwards of approximately $2.1 million. Certain state NOLs will begin to expire in the calendar year 2036, unless previously utilized. Certain NOL carryforwards subject to expiration could expire unused and be unavailable to offset future income tax liabilities.</w:t>
      </w:r>
    </w:p>
    <w:p>
      <w:pPr>
        <w:spacing w:after="0" w:line="148" w:lineRule="exact"/>
        <w:rPr>
          <w:sz w:val="20"/>
          <w:szCs w:val="20"/>
          <w:color w:val="auto"/>
        </w:rPr>
      </w:pPr>
    </w:p>
    <w:p>
      <w:pPr>
        <w:jc w:val="both"/>
        <w:ind w:firstLine="584"/>
        <w:spacing w:after="0" w:line="249" w:lineRule="auto"/>
        <w:rPr>
          <w:sz w:val="20"/>
          <w:szCs w:val="20"/>
          <w:color w:val="auto"/>
        </w:rPr>
      </w:pPr>
      <w:r>
        <w:rPr>
          <w:rFonts w:ascii="Arial" w:cs="Arial" w:eastAsia="Arial" w:hAnsi="Arial"/>
          <w:sz w:val="18"/>
          <w:szCs w:val="18"/>
          <w:color w:val="auto"/>
        </w:rPr>
        <w:t>Under the Tax Cuts and Jobs Act, or the Tax Act, as modified by the Coronavirus Aid, Relief and Economic Security Act, or CARES Act, federal NOLs incurred in taxable years beginning after December 31, 2017 may be carried forward indefinitely, but the deductibility of such federal NOLs in taxable years beginning after December 31, 2020 is limited to 80% of taxable income in such years. There is variation in how states have responded and may continue to respond to the Tax Act and CARES Act. In addition, for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82</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state income tax purposes, there may be periods during which the use of NOLs is suspended or otherwise limited, such as recent California legislation limiting the usability of NOLs for tax years beginning in 2020 and before 2023.</w:t>
      </w:r>
    </w:p>
    <w:p>
      <w:pPr>
        <w:spacing w:after="0" w:line="116" w:lineRule="exact"/>
        <w:rPr>
          <w:sz w:val="20"/>
          <w:szCs w:val="20"/>
          <w:color w:val="auto"/>
        </w:rPr>
      </w:pPr>
    </w:p>
    <w:p>
      <w:pPr>
        <w:jc w:val="both"/>
        <w:ind w:firstLine="584"/>
        <w:spacing w:after="0" w:line="280" w:lineRule="auto"/>
        <w:rPr>
          <w:sz w:val="20"/>
          <w:szCs w:val="20"/>
          <w:color w:val="auto"/>
        </w:rPr>
      </w:pPr>
      <w:r>
        <w:rPr>
          <w:rFonts w:ascii="Arial" w:cs="Arial" w:eastAsia="Arial" w:hAnsi="Arial"/>
          <w:sz w:val="16"/>
          <w:szCs w:val="16"/>
          <w:color w:val="auto"/>
        </w:rPr>
        <w:t>Separately, under Section 382 of the Internal Revenue Code of 1986, as amended (the “Code”)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Similar rules may apply under state tax laws. We determined that an ownership change occurred on September 7, 2018, October 23, 2020, and in connection with our IPO on July 23, 2021. As of December 31, 2021, we had not experienced an ownership change subsequent to the ownership change on July 23, 2021. In addition, we may in the future experience ownership changes, as a result of our IPO or other changes in our stock ownership (some of which are not in our control). If an ownership change occurs, our ability to utilize our NOL carryforwards and other tax attributes to reduce future tax liabilities may be limited.</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98"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03" w:lineRule="exact"/>
        <w:rPr>
          <w:rFonts w:ascii="Arial" w:cs="Arial" w:eastAsia="Arial" w:hAnsi="Arial"/>
          <w:sz w:val="18"/>
          <w:szCs w:val="18"/>
          <w:color w:val="auto"/>
        </w:rPr>
      </w:pPr>
    </w:p>
    <w:p>
      <w:pPr>
        <w:ind w:left="1020" w:hanging="503"/>
        <w:spacing w:after="0" w:line="291" w:lineRule="auto"/>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2" w:lineRule="exact"/>
        <w:rPr>
          <w:rFonts w:ascii="Arial" w:cs="Arial" w:eastAsia="Arial" w:hAnsi="Arial"/>
          <w:sz w:val="17"/>
          <w:szCs w:val="17"/>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04" w:lineRule="exact"/>
        <w:rPr>
          <w:sz w:val="20"/>
          <w:szCs w:val="20"/>
          <w:color w:val="auto"/>
        </w:rPr>
      </w:pPr>
    </w:p>
    <w:p>
      <w:pPr>
        <w:jc w:val="both"/>
        <w:ind w:firstLine="584"/>
        <w:spacing w:after="0" w:line="249" w:lineRule="auto"/>
        <w:rPr>
          <w:sz w:val="20"/>
          <w:szCs w:val="20"/>
          <w:color w:val="auto"/>
        </w:rPr>
      </w:pPr>
      <w:r>
        <w:rPr>
          <w:rFonts w:ascii="Arial" w:cs="Arial" w:eastAsia="Arial" w:hAnsi="Arial"/>
          <w:sz w:val="18"/>
          <w:szCs w:val="18"/>
          <w:color w:val="auto"/>
        </w:rPr>
        <w:t>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 and regulations may have a material adverse effect on our business, financial condition and results of operations.</w:t>
      </w:r>
    </w:p>
    <w:p>
      <w:pPr>
        <w:spacing w:after="0" w:line="115" w:lineRule="exact"/>
        <w:rPr>
          <w:sz w:val="20"/>
          <w:szCs w:val="20"/>
          <w:color w:val="auto"/>
        </w:rPr>
      </w:pPr>
    </w:p>
    <w:p>
      <w:pPr>
        <w:jc w:val="both"/>
        <w:ind w:firstLine="584"/>
        <w:spacing w:after="0" w:line="267" w:lineRule="auto"/>
        <w:rPr>
          <w:sz w:val="20"/>
          <w:szCs w:val="20"/>
          <w:color w:val="auto"/>
        </w:rPr>
      </w:pPr>
      <w:r>
        <w:rPr>
          <w:rFonts w:ascii="Arial" w:cs="Arial" w:eastAsia="Arial" w:hAnsi="Arial"/>
          <w:sz w:val="17"/>
          <w:szCs w:val="17"/>
          <w:color w:val="auto"/>
        </w:rPr>
        <w:t>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We urge investors to consult with their legal and tax advisers regarding the implication of potential changes in tax laws on an investment in our common stock.</w:t>
      </w:r>
    </w:p>
    <w:p>
      <w:pPr>
        <w:spacing w:after="0" w:line="14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63" w:lineRule="exact"/>
        <w:rPr>
          <w:sz w:val="20"/>
          <w:szCs w:val="20"/>
          <w:color w:val="auto"/>
        </w:rPr>
      </w:pPr>
    </w:p>
    <w:p>
      <w:pPr>
        <w:jc w:val="both"/>
        <w:ind w:firstLine="584"/>
        <w:spacing w:after="0" w:line="277" w:lineRule="auto"/>
        <w:rPr>
          <w:sz w:val="20"/>
          <w:szCs w:val="20"/>
          <w:color w:val="auto"/>
        </w:rPr>
      </w:pPr>
      <w:r>
        <w:rPr>
          <w:rFonts w:ascii="Arial" w:cs="Arial" w:eastAsia="Arial" w:hAnsi="Arial"/>
          <w:sz w:val="16"/>
          <w:szCs w:val="16"/>
          <w:color w:val="auto"/>
        </w:rPr>
        <w:t>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200" w:lineRule="exact"/>
        <w:rPr>
          <w:sz w:val="20"/>
          <w:szCs w:val="20"/>
          <w:color w:val="auto"/>
        </w:rPr>
      </w:pPr>
    </w:p>
    <w:p>
      <w:pPr>
        <w:spacing w:after="0" w:line="257"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83</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98"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In July 2021, we issued and sold an aggregate of 13,949,401 shares of common stock in connection with our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5"/>
        </w:trPr>
        <w:tc>
          <w:tcPr>
            <w:tcW w:w="800" w:type="dxa"/>
            <w:vAlign w:val="bottom"/>
          </w:tcPr>
          <w:p>
            <w:pPr>
              <w:ind w:left="20"/>
              <w:spacing w:after="0"/>
              <w:rPr>
                <w:sz w:val="20"/>
                <w:szCs w:val="20"/>
                <w:color w:val="auto"/>
              </w:rPr>
            </w:pPr>
            <w:r>
              <w:rPr>
                <w:rFonts w:ascii="Arial" w:cs="Arial" w:eastAsia="Arial" w:hAnsi="Arial"/>
                <w:sz w:val="18"/>
                <w:szCs w:val="18"/>
                <w:b w:val="1"/>
                <w:bCs w:val="1"/>
                <w:color w:val="auto"/>
              </w:rPr>
              <w:t>ITEM 6.</w:t>
            </w:r>
          </w:p>
        </w:tc>
        <w:tc>
          <w:tcPr>
            <w:tcW w:w="140" w:type="dxa"/>
            <w:vAlign w:val="bottom"/>
          </w:tcPr>
          <w:p>
            <w:pPr>
              <w:spacing w:after="0"/>
              <w:rPr>
                <w:sz w:val="24"/>
                <w:szCs w:val="24"/>
                <w:color w:val="auto"/>
              </w:rPr>
            </w:pPr>
          </w:p>
        </w:tc>
        <w:tc>
          <w:tcPr>
            <w:tcW w:w="4540" w:type="dxa"/>
            <w:vAlign w:val="bottom"/>
            <w:gridSpan w:val="24"/>
          </w:tcPr>
          <w:p>
            <w:pPr>
              <w:ind w:left="160"/>
              <w:spacing w:after="0"/>
              <w:rPr>
                <w:sz w:val="20"/>
                <w:szCs w:val="20"/>
                <w:color w:val="auto"/>
              </w:rPr>
            </w:pPr>
            <w:r>
              <w:rPr>
                <w:rFonts w:ascii="Arial" w:cs="Arial" w:eastAsia="Arial" w:hAnsi="Arial"/>
                <w:sz w:val="18"/>
                <w:szCs w:val="18"/>
                <w:b w:val="1"/>
                <w:bCs w:val="1"/>
                <w:color w:val="auto"/>
              </w:rPr>
              <w:t>Exhibits.</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40" w:type="dxa"/>
            <w:vAlign w:val="bottom"/>
            <w:gridSpan w:val="21"/>
            <w:vMerge w:val="restart"/>
          </w:tcPr>
          <w:p>
            <w:pPr>
              <w:ind w:left="320"/>
              <w:spacing w:after="0"/>
              <w:rPr>
                <w:sz w:val="20"/>
                <w:szCs w:val="20"/>
                <w:color w:val="auto"/>
              </w:rPr>
            </w:pPr>
            <w:r>
              <w:rPr>
                <w:rFonts w:ascii="Arial" w:cs="Arial" w:eastAsia="Arial" w:hAnsi="Arial"/>
                <w:sz w:val="18"/>
                <w:szCs w:val="18"/>
                <w:b w:val="1"/>
                <w:bCs w:val="1"/>
                <w:color w:val="auto"/>
              </w:rPr>
              <w:t>Exhibit Title</w:t>
            </w:r>
          </w:p>
        </w:tc>
        <w:tc>
          <w:tcPr>
            <w:tcW w:w="1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64"/>
        </w:trPr>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140" w:type="dxa"/>
            <w:vAlign w:val="bottom"/>
            <w:gridSpan w:val="21"/>
            <w:vMerge w:val="continue"/>
          </w:tcPr>
          <w:p>
            <w:pPr>
              <w:spacing w:after="0"/>
              <w:rPr>
                <w:sz w:val="14"/>
                <w:szCs w:val="14"/>
                <w:color w:val="auto"/>
              </w:rPr>
            </w:pPr>
          </w:p>
        </w:tc>
        <w:tc>
          <w:tcPr>
            <w:tcW w:w="1180" w:type="dxa"/>
            <w:vAlign w:val="bottom"/>
          </w:tcPr>
          <w:p>
            <w:pPr>
              <w:jc w:val="center"/>
              <w:ind w:right="410"/>
              <w:spacing w:after="0" w:line="164" w:lineRule="exact"/>
              <w:rPr>
                <w:sz w:val="20"/>
                <w:szCs w:val="20"/>
                <w:color w:val="auto"/>
              </w:rPr>
            </w:pPr>
            <w:r>
              <w:rPr>
                <w:rFonts w:ascii="Arial" w:cs="Arial" w:eastAsia="Arial" w:hAnsi="Arial"/>
                <w:sz w:val="18"/>
                <w:szCs w:val="18"/>
                <w:b w:val="1"/>
                <w:bCs w:val="1"/>
                <w:color w:val="auto"/>
                <w:w w:val="97"/>
              </w:rPr>
              <w:t>Form</w:t>
            </w:r>
          </w:p>
        </w:tc>
        <w:tc>
          <w:tcPr>
            <w:tcW w:w="1180" w:type="dxa"/>
            <w:vAlign w:val="bottom"/>
            <w:gridSpan w:val="2"/>
          </w:tcPr>
          <w:p>
            <w:pPr>
              <w:jc w:val="center"/>
              <w:ind w:right="380"/>
              <w:spacing w:after="0" w:line="164" w:lineRule="exact"/>
              <w:rPr>
                <w:sz w:val="20"/>
                <w:szCs w:val="20"/>
                <w:color w:val="auto"/>
              </w:rPr>
            </w:pPr>
            <w:r>
              <w:rPr>
                <w:rFonts w:ascii="Arial" w:cs="Arial" w:eastAsia="Arial" w:hAnsi="Arial"/>
                <w:sz w:val="18"/>
                <w:szCs w:val="18"/>
                <w:b w:val="1"/>
                <w:bCs w:val="1"/>
                <w:color w:val="auto"/>
                <w:w w:val="92"/>
              </w:rPr>
              <w:t>File No.</w:t>
            </w:r>
          </w:p>
        </w:tc>
        <w:tc>
          <w:tcPr>
            <w:tcW w:w="1240" w:type="dxa"/>
            <w:vAlign w:val="bottom"/>
            <w:gridSpan w:val="3"/>
          </w:tcPr>
          <w:p>
            <w:pPr>
              <w:jc w:val="center"/>
              <w:spacing w:after="0" w:line="164" w:lineRule="exact"/>
              <w:rPr>
                <w:sz w:val="20"/>
                <w:szCs w:val="20"/>
                <w:color w:val="auto"/>
              </w:rPr>
            </w:pPr>
            <w:r>
              <w:rPr>
                <w:rFonts w:ascii="Arial" w:cs="Arial" w:eastAsia="Arial" w:hAnsi="Arial"/>
                <w:sz w:val="18"/>
                <w:szCs w:val="18"/>
                <w:b w:val="1"/>
                <w:bCs w:val="1"/>
                <w:color w:val="auto"/>
                <w:w w:val="93"/>
              </w:rPr>
              <w:t>Exhibit</w:t>
            </w:r>
          </w:p>
        </w:tc>
        <w:tc>
          <w:tcPr>
            <w:tcW w:w="1140" w:type="dxa"/>
            <w:vAlign w:val="bottom"/>
          </w:tcPr>
          <w:p>
            <w:pPr>
              <w:ind w:left="300"/>
              <w:spacing w:after="0" w:line="164" w:lineRule="exact"/>
              <w:rPr>
                <w:sz w:val="20"/>
                <w:szCs w:val="20"/>
                <w:color w:val="auto"/>
              </w:rPr>
            </w:pPr>
            <w:r>
              <w:rPr>
                <w:rFonts w:ascii="Arial" w:cs="Arial" w:eastAsia="Arial" w:hAnsi="Arial"/>
                <w:sz w:val="18"/>
                <w:szCs w:val="18"/>
                <w:b w:val="1"/>
                <w:bCs w:val="1"/>
                <w:color w:val="auto"/>
              </w:rPr>
              <w:t>Filing</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800" w:type="dxa"/>
            <w:vAlign w:val="bottom"/>
          </w:tcPr>
          <w:p>
            <w:pPr>
              <w:jc w:val="center"/>
              <w:spacing w:after="0" w:line="169"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4"/>
                <w:szCs w:val="14"/>
                <w:color w:val="auto"/>
              </w:rPr>
            </w:pPr>
          </w:p>
        </w:tc>
        <w:tc>
          <w:tcPr>
            <w:tcW w:w="3700" w:type="dxa"/>
            <w:vAlign w:val="bottom"/>
            <w:gridSpan w:val="10"/>
          </w:tcPr>
          <w:p>
            <w:pPr>
              <w:spacing w:after="0" w:line="169" w:lineRule="exact"/>
              <w:rPr>
                <w:rFonts w:ascii="Arial" w:cs="Arial" w:eastAsia="Arial" w:hAnsi="Arial"/>
                <w:sz w:val="18"/>
                <w:szCs w:val="18"/>
                <w:color w:val="0000FF"/>
                <w:w w:val="90"/>
              </w:rPr>
            </w:pPr>
            <w:hyperlink r:id="rId248">
              <w:r>
                <w:rPr>
                  <w:rFonts w:ascii="Arial" w:cs="Arial" w:eastAsia="Arial" w:hAnsi="Arial"/>
                  <w:sz w:val="18"/>
                  <w:szCs w:val="18"/>
                  <w:color w:val="0000FF"/>
                  <w:w w:val="90"/>
                </w:rPr>
                <w:t>Amended and Restated Certificate of Incorporation</w:t>
              </w:r>
            </w:hyperlink>
          </w:p>
        </w:tc>
        <w:tc>
          <w:tcPr>
            <w:tcW w:w="720" w:type="dxa"/>
            <w:vAlign w:val="bottom"/>
            <w:gridSpan w:val="13"/>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410"/>
              <w:spacing w:after="0" w:line="169" w:lineRule="exact"/>
              <w:rPr>
                <w:sz w:val="20"/>
                <w:szCs w:val="20"/>
                <w:color w:val="auto"/>
              </w:rPr>
            </w:pPr>
            <w:r>
              <w:rPr>
                <w:rFonts w:ascii="Arial" w:cs="Arial" w:eastAsia="Arial" w:hAnsi="Arial"/>
                <w:sz w:val="18"/>
                <w:szCs w:val="18"/>
                <w:color w:val="auto"/>
                <w:w w:val="99"/>
              </w:rPr>
              <w:t>8-K</w:t>
            </w:r>
          </w:p>
        </w:tc>
        <w:tc>
          <w:tcPr>
            <w:tcW w:w="1180" w:type="dxa"/>
            <w:vAlign w:val="bottom"/>
            <w:gridSpan w:val="2"/>
          </w:tcPr>
          <w:p>
            <w:pPr>
              <w:jc w:val="center"/>
              <w:ind w:right="320"/>
              <w:spacing w:after="0" w:line="169" w:lineRule="exact"/>
              <w:rPr>
                <w:rFonts w:ascii="Arial" w:cs="Arial" w:eastAsia="Arial" w:hAnsi="Arial"/>
                <w:sz w:val="18"/>
                <w:szCs w:val="18"/>
                <w:color w:val="0000FF"/>
                <w:w w:val="90"/>
              </w:rPr>
            </w:pPr>
            <w:hyperlink r:id="rId248">
              <w:r>
                <w:rPr>
                  <w:rFonts w:ascii="Arial" w:cs="Arial" w:eastAsia="Arial" w:hAnsi="Arial"/>
                  <w:sz w:val="18"/>
                  <w:szCs w:val="18"/>
                  <w:color w:val="0000FF"/>
                  <w:w w:val="90"/>
                </w:rPr>
                <w:t>001-40632</w:t>
              </w:r>
            </w:hyperlink>
          </w:p>
        </w:tc>
        <w:tc>
          <w:tcPr>
            <w:tcW w:w="1240" w:type="dxa"/>
            <w:vAlign w:val="bottom"/>
            <w:gridSpan w:val="3"/>
          </w:tcPr>
          <w:p>
            <w:pPr>
              <w:jc w:val="center"/>
              <w:spacing w:after="0" w:line="169" w:lineRule="exact"/>
              <w:rPr>
                <w:rFonts w:ascii="Arial" w:cs="Arial" w:eastAsia="Arial" w:hAnsi="Arial"/>
                <w:sz w:val="18"/>
                <w:szCs w:val="18"/>
                <w:color w:val="0000FF"/>
                <w:w w:val="95"/>
              </w:rPr>
            </w:pPr>
            <w:hyperlink r:id="rId248">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1140" w:type="dxa"/>
            <w:vAlign w:val="bottom"/>
          </w:tcPr>
          <w:p>
            <w:pPr>
              <w:ind w:left="320"/>
              <w:spacing w:after="0" w:line="169" w:lineRule="exact"/>
              <w:rPr>
                <w:sz w:val="20"/>
                <w:szCs w:val="20"/>
                <w:color w:val="auto"/>
              </w:rPr>
            </w:pPr>
            <w:r>
              <w:rPr>
                <w:rFonts w:ascii="Arial" w:cs="Arial" w:eastAsia="Arial" w:hAnsi="Arial"/>
                <w:sz w:val="18"/>
                <w:szCs w:val="18"/>
                <w:color w:val="auto"/>
                <w:w w:val="88"/>
              </w:rPr>
              <w:t>07/27/2021</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17"/>
                <w:szCs w:val="17"/>
                <w:color w:val="auto"/>
              </w:rPr>
            </w:pPr>
          </w:p>
        </w:tc>
        <w:tc>
          <w:tcPr>
            <w:tcW w:w="2280" w:type="dxa"/>
            <w:vAlign w:val="bottom"/>
            <w:gridSpan w:val="4"/>
          </w:tcPr>
          <w:p>
            <w:pPr>
              <w:spacing w:after="0" w:line="196" w:lineRule="exact"/>
              <w:rPr>
                <w:rFonts w:ascii="Arial" w:cs="Arial" w:eastAsia="Arial" w:hAnsi="Arial"/>
                <w:sz w:val="18"/>
                <w:szCs w:val="18"/>
                <w:color w:val="0000FF"/>
                <w:w w:val="89"/>
              </w:rPr>
            </w:pPr>
            <w:hyperlink r:id="rId249">
              <w:r>
                <w:rPr>
                  <w:rFonts w:ascii="Arial" w:cs="Arial" w:eastAsia="Arial" w:hAnsi="Arial"/>
                  <w:sz w:val="18"/>
                  <w:szCs w:val="18"/>
                  <w:color w:val="0000FF"/>
                  <w:w w:val="89"/>
                </w:rPr>
                <w:t>Amended and Restated Bylaws</w:t>
              </w:r>
            </w:hyperlink>
          </w:p>
        </w:tc>
        <w:tc>
          <w:tcPr>
            <w:tcW w:w="1420" w:type="dxa"/>
            <w:vAlign w:val="bottom"/>
            <w:gridSpan w:val="6"/>
          </w:tcPr>
          <w:p>
            <w:pPr>
              <w:spacing w:after="0"/>
              <w:rPr>
                <w:sz w:val="17"/>
                <w:szCs w:val="17"/>
                <w:color w:val="auto"/>
              </w:rPr>
            </w:pPr>
          </w:p>
        </w:tc>
        <w:tc>
          <w:tcPr>
            <w:tcW w:w="840" w:type="dxa"/>
            <w:vAlign w:val="bottom"/>
            <w:gridSpan w:val="14"/>
          </w:tcPr>
          <w:p>
            <w:pPr>
              <w:spacing w:after="0"/>
              <w:rPr>
                <w:sz w:val="17"/>
                <w:szCs w:val="17"/>
                <w:color w:val="auto"/>
              </w:rPr>
            </w:pPr>
          </w:p>
        </w:tc>
        <w:tc>
          <w:tcPr>
            <w:tcW w:w="1180" w:type="dxa"/>
            <w:vAlign w:val="bottom"/>
          </w:tcPr>
          <w:p>
            <w:pPr>
              <w:jc w:val="center"/>
              <w:ind w:right="410"/>
              <w:spacing w:after="0" w:line="196" w:lineRule="exact"/>
              <w:rPr>
                <w:sz w:val="20"/>
                <w:szCs w:val="20"/>
                <w:color w:val="auto"/>
              </w:rPr>
            </w:pPr>
            <w:r>
              <w:rPr>
                <w:rFonts w:ascii="Arial" w:cs="Arial" w:eastAsia="Arial" w:hAnsi="Arial"/>
                <w:sz w:val="18"/>
                <w:szCs w:val="18"/>
                <w:color w:val="auto"/>
                <w:w w:val="99"/>
              </w:rPr>
              <w:t>8-K</w:t>
            </w:r>
          </w:p>
        </w:tc>
        <w:tc>
          <w:tcPr>
            <w:tcW w:w="1180" w:type="dxa"/>
            <w:vAlign w:val="bottom"/>
            <w:gridSpan w:val="2"/>
          </w:tcPr>
          <w:p>
            <w:pPr>
              <w:jc w:val="center"/>
              <w:ind w:right="320"/>
              <w:spacing w:after="0" w:line="196" w:lineRule="exact"/>
              <w:rPr>
                <w:rFonts w:ascii="Arial" w:cs="Arial" w:eastAsia="Arial" w:hAnsi="Arial"/>
                <w:sz w:val="18"/>
                <w:szCs w:val="18"/>
                <w:color w:val="0000FF"/>
                <w:w w:val="90"/>
              </w:rPr>
            </w:pPr>
            <w:hyperlink r:id="rId249">
              <w:r>
                <w:rPr>
                  <w:rFonts w:ascii="Arial" w:cs="Arial" w:eastAsia="Arial" w:hAnsi="Arial"/>
                  <w:sz w:val="18"/>
                  <w:szCs w:val="18"/>
                  <w:color w:val="0000FF"/>
                  <w:w w:val="90"/>
                </w:rPr>
                <w:t>001-40632</w:t>
              </w:r>
            </w:hyperlink>
          </w:p>
        </w:tc>
        <w:tc>
          <w:tcPr>
            <w:tcW w:w="1240" w:type="dxa"/>
            <w:vAlign w:val="bottom"/>
            <w:gridSpan w:val="3"/>
          </w:tcPr>
          <w:p>
            <w:pPr>
              <w:jc w:val="center"/>
              <w:spacing w:after="0" w:line="196" w:lineRule="exact"/>
              <w:rPr>
                <w:rFonts w:ascii="Arial" w:cs="Arial" w:eastAsia="Arial" w:hAnsi="Arial"/>
                <w:sz w:val="18"/>
                <w:szCs w:val="18"/>
                <w:color w:val="0000FF"/>
                <w:w w:val="95"/>
              </w:rPr>
            </w:pPr>
            <w:hyperlink r:id="rId249">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1140" w:type="dxa"/>
            <w:vAlign w:val="bottom"/>
          </w:tcPr>
          <w:p>
            <w:pPr>
              <w:ind w:left="320"/>
              <w:spacing w:after="0" w:line="196" w:lineRule="exact"/>
              <w:rPr>
                <w:sz w:val="20"/>
                <w:szCs w:val="20"/>
                <w:color w:val="auto"/>
              </w:rPr>
            </w:pPr>
            <w:r>
              <w:rPr>
                <w:rFonts w:ascii="Arial" w:cs="Arial" w:eastAsia="Arial" w:hAnsi="Arial"/>
                <w:sz w:val="18"/>
                <w:szCs w:val="18"/>
                <w:color w:val="auto"/>
                <w:w w:val="88"/>
              </w:rPr>
              <w:t>07/27/2021</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17"/>
                <w:szCs w:val="17"/>
                <w:color w:val="auto"/>
              </w:rPr>
            </w:pPr>
          </w:p>
        </w:tc>
        <w:tc>
          <w:tcPr>
            <w:tcW w:w="4540" w:type="dxa"/>
            <w:vAlign w:val="bottom"/>
            <w:gridSpan w:val="24"/>
          </w:tcPr>
          <w:p>
            <w:pPr>
              <w:spacing w:after="0" w:line="196" w:lineRule="exact"/>
              <w:rPr>
                <w:sz w:val="20"/>
                <w:szCs w:val="20"/>
                <w:color w:val="auto"/>
              </w:rPr>
            </w:pPr>
            <w:r>
              <w:rPr>
                <w:rFonts w:ascii="Arial" w:cs="Arial" w:eastAsia="Arial" w:hAnsi="Arial"/>
                <w:sz w:val="18"/>
                <w:szCs w:val="18"/>
                <w:color w:val="0000FF"/>
              </w:rPr>
              <w:t>Forms of Option Agreement and Notice of Stock Option</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20" w:type="dxa"/>
            <w:vAlign w:val="bottom"/>
            <w:tcBorders>
              <w:top w:val="single" w:sz="8" w:color="0000FF"/>
              <w:bottom w:val="single" w:sz="8" w:color="0000FF"/>
            </w:tcBorders>
            <w:gridSpan w:val="16"/>
          </w:tcPr>
          <w:p>
            <w:pPr>
              <w:spacing w:after="0" w:line="169" w:lineRule="exact"/>
              <w:rPr>
                <w:sz w:val="20"/>
                <w:szCs w:val="20"/>
                <w:color w:val="auto"/>
              </w:rPr>
            </w:pPr>
            <w:r>
              <w:rPr>
                <w:rFonts w:ascii="Arial" w:cs="Arial" w:eastAsia="Arial" w:hAnsi="Arial"/>
                <w:sz w:val="18"/>
                <w:szCs w:val="18"/>
                <w:color w:val="0000FF"/>
                <w:w w:val="90"/>
              </w:rPr>
              <w:t>Grant under 2021 Equity Incentive Plan, effective August</w:t>
            </w:r>
          </w:p>
        </w:tc>
        <w:tc>
          <w:tcPr>
            <w:tcW w:w="80" w:type="dxa"/>
            <w:vAlign w:val="bottom"/>
            <w:tcBorders>
              <w:bottom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0000FF"/>
            </w:tcBorders>
          </w:tcPr>
          <w:p>
            <w:pPr>
              <w:spacing w:after="0" w:line="169" w:lineRule="exact"/>
              <w:rPr>
                <w:sz w:val="20"/>
                <w:szCs w:val="20"/>
                <w:color w:val="auto"/>
              </w:rPr>
            </w:pPr>
            <w:r>
              <w:rPr>
                <w:rFonts w:ascii="Arial" w:cs="Arial" w:eastAsia="Arial" w:hAnsi="Arial"/>
                <w:sz w:val="18"/>
                <w:szCs w:val="18"/>
                <w:color w:val="0000FF"/>
                <w:w w:val="85"/>
              </w:rPr>
              <w:t>23, 2022</w:t>
            </w:r>
          </w:p>
        </w:tc>
        <w:tc>
          <w:tcPr>
            <w:tcW w:w="20" w:type="dxa"/>
            <w:vAlign w:val="bottom"/>
            <w:tcBorders>
              <w:bottom w:val="single" w:sz="8" w:color="0000EE"/>
            </w:tcBorders>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140" w:type="dxa"/>
            <w:vAlign w:val="bottom"/>
          </w:tcPr>
          <w:p>
            <w:pPr>
              <w:spacing w:after="0"/>
              <w:rPr>
                <w:sz w:val="17"/>
                <w:szCs w:val="17"/>
                <w:color w:val="auto"/>
              </w:rPr>
            </w:pPr>
          </w:p>
        </w:tc>
        <w:tc>
          <w:tcPr>
            <w:tcW w:w="4540" w:type="dxa"/>
            <w:vAlign w:val="bottom"/>
            <w:gridSpan w:val="24"/>
          </w:tcPr>
          <w:p>
            <w:pPr>
              <w:spacing w:after="0" w:line="196" w:lineRule="exact"/>
              <w:rPr>
                <w:sz w:val="20"/>
                <w:szCs w:val="20"/>
                <w:color w:val="auto"/>
              </w:rPr>
            </w:pPr>
            <w:r>
              <w:rPr>
                <w:rFonts w:ascii="Arial" w:cs="Arial" w:eastAsia="Arial" w:hAnsi="Arial"/>
                <w:sz w:val="18"/>
                <w:szCs w:val="18"/>
                <w:color w:val="0000FF"/>
                <w:w w:val="95"/>
              </w:rPr>
              <w:t>Forms of Restricted Stock Unit Grant Notice and Restricted</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60" w:type="dxa"/>
            <w:vAlign w:val="bottom"/>
            <w:tcBorders>
              <w:top w:val="single" w:sz="8" w:color="0000FF"/>
            </w:tcBorders>
            <w:gridSpan w:val="20"/>
          </w:tcPr>
          <w:p>
            <w:pPr>
              <w:spacing w:after="0" w:line="169" w:lineRule="exact"/>
              <w:rPr>
                <w:sz w:val="20"/>
                <w:szCs w:val="20"/>
                <w:color w:val="auto"/>
              </w:rPr>
            </w:pPr>
            <w:r>
              <w:rPr>
                <w:rFonts w:ascii="Arial" w:cs="Arial" w:eastAsia="Arial" w:hAnsi="Arial"/>
                <w:sz w:val="18"/>
                <w:szCs w:val="18"/>
                <w:color w:val="0000FF"/>
              </w:rPr>
              <w:t>Stock Unit Award Agreement under the 2021 Equity</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tcBorders>
              <w:top w:val="single" w:sz="8" w:color="0000FF"/>
              <w:bottom w:val="single" w:sz="8" w:color="0000FF"/>
            </w:tcBorders>
            <w:gridSpan w:val="8"/>
          </w:tcPr>
          <w:p>
            <w:pPr>
              <w:spacing w:after="0" w:line="169" w:lineRule="exact"/>
              <w:rPr>
                <w:sz w:val="20"/>
                <w:szCs w:val="20"/>
                <w:color w:val="auto"/>
              </w:rPr>
            </w:pPr>
            <w:r>
              <w:rPr>
                <w:rFonts w:ascii="Arial" w:cs="Arial" w:eastAsia="Arial" w:hAnsi="Arial"/>
                <w:sz w:val="18"/>
                <w:szCs w:val="18"/>
                <w:color w:val="0000FF"/>
                <w:w w:val="91"/>
              </w:rPr>
              <w:t>Incentive Plan, effective August 23, 2022.</w:t>
            </w:r>
          </w:p>
        </w:tc>
        <w:tc>
          <w:tcPr>
            <w:tcW w:w="20" w:type="dxa"/>
            <w:vAlign w:val="bottom"/>
            <w:tcBorders>
              <w:top w:val="single" w:sz="8" w:color="0000FF"/>
              <w:bottom w:val="single" w:sz="8" w:color="0000EE"/>
            </w:tcBorders>
          </w:tcPr>
          <w:p>
            <w:pPr>
              <w:spacing w:after="0"/>
              <w:rPr>
                <w:sz w:val="14"/>
                <w:szCs w:val="14"/>
                <w:color w:val="auto"/>
              </w:rPr>
            </w:pPr>
          </w:p>
        </w:tc>
        <w:tc>
          <w:tcPr>
            <w:tcW w:w="780" w:type="dxa"/>
            <w:vAlign w:val="bottom"/>
            <w:tcBorders>
              <w:top w:val="single" w:sz="8" w:color="0000FF"/>
            </w:tcBorders>
            <w:gridSpan w:val="3"/>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17"/>
                <w:szCs w:val="17"/>
                <w:color w:val="auto"/>
              </w:rPr>
            </w:pPr>
          </w:p>
        </w:tc>
        <w:tc>
          <w:tcPr>
            <w:tcW w:w="4540" w:type="dxa"/>
            <w:vAlign w:val="bottom"/>
            <w:gridSpan w:val="24"/>
          </w:tcPr>
          <w:p>
            <w:pPr>
              <w:spacing w:after="0" w:line="196" w:lineRule="exact"/>
              <w:rPr>
                <w:sz w:val="20"/>
                <w:szCs w:val="20"/>
                <w:color w:val="auto"/>
              </w:rPr>
            </w:pPr>
            <w:r>
              <w:rPr>
                <w:rFonts w:ascii="Arial" w:cs="Arial" w:eastAsia="Arial" w:hAnsi="Arial"/>
                <w:sz w:val="18"/>
                <w:szCs w:val="18"/>
                <w:color w:val="0000FF"/>
              </w:rPr>
              <w:t>Certification of Principal Executive Officer required by</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40" w:type="dxa"/>
            <w:vAlign w:val="bottom"/>
            <w:tcBorders>
              <w:top w:val="single" w:sz="8" w:color="0000FF"/>
              <w:bottom w:val="single" w:sz="8" w:color="0000FF"/>
            </w:tcBorders>
            <w:gridSpan w:val="11"/>
          </w:tcPr>
          <w:p>
            <w:pPr>
              <w:spacing w:after="0" w:line="169" w:lineRule="exact"/>
              <w:rPr>
                <w:sz w:val="20"/>
                <w:szCs w:val="20"/>
                <w:color w:val="auto"/>
              </w:rPr>
            </w:pPr>
            <w:r>
              <w:rPr>
                <w:rFonts w:ascii="Arial" w:cs="Arial" w:eastAsia="Arial" w:hAnsi="Arial"/>
                <w:sz w:val="18"/>
                <w:szCs w:val="18"/>
                <w:color w:val="0000FF"/>
                <w:w w:val="90"/>
              </w:rPr>
              <w:t>Rules 13a-14(a) and 15d-14(a) under the Securities</w:t>
            </w:r>
          </w:p>
        </w:tc>
        <w:tc>
          <w:tcPr>
            <w:tcW w:w="300" w:type="dxa"/>
            <w:vAlign w:val="bottom"/>
            <w:tcBorders>
              <w:top w:val="single" w:sz="8" w:color="0000FF"/>
            </w:tcBorders>
            <w:gridSpan w:val="4"/>
          </w:tcPr>
          <w:p>
            <w:pPr>
              <w:spacing w:after="0"/>
              <w:rPr>
                <w:sz w:val="14"/>
                <w:szCs w:val="14"/>
                <w:color w:val="auto"/>
              </w:rPr>
            </w:pPr>
          </w:p>
        </w:tc>
        <w:tc>
          <w:tcPr>
            <w:tcW w:w="2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40" w:type="dxa"/>
            <w:vAlign w:val="bottom"/>
            <w:gridSpan w:val="24"/>
          </w:tcPr>
          <w:p>
            <w:pPr>
              <w:spacing w:after="0" w:line="169" w:lineRule="exact"/>
              <w:rPr>
                <w:sz w:val="20"/>
                <w:szCs w:val="20"/>
                <w:color w:val="auto"/>
              </w:rPr>
            </w:pPr>
            <w:r>
              <w:rPr>
                <w:rFonts w:ascii="Arial" w:cs="Arial" w:eastAsia="Arial" w:hAnsi="Arial"/>
                <w:sz w:val="18"/>
                <w:szCs w:val="18"/>
                <w:color w:val="0000FF"/>
                <w:w w:val="96"/>
              </w:rPr>
              <w:t>Exchange Act of 1934, as adopted pursuant to Section 302</w:t>
            </w: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0"/>
              </w:rPr>
              <w:t>of the Sarbanes-Oxley Act of 2002.</w:t>
            </w:r>
          </w:p>
        </w:tc>
        <w:tc>
          <w:tcPr>
            <w:tcW w:w="1700" w:type="dxa"/>
            <w:vAlign w:val="bottom"/>
            <w:tcBorders>
              <w:top w:val="single" w:sz="8" w:color="0000FF"/>
            </w:tcBorders>
            <w:gridSpan w:val="11"/>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17"/>
                <w:szCs w:val="17"/>
                <w:color w:val="auto"/>
              </w:rPr>
            </w:pPr>
          </w:p>
        </w:tc>
        <w:tc>
          <w:tcPr>
            <w:tcW w:w="4540" w:type="dxa"/>
            <w:vAlign w:val="bottom"/>
            <w:gridSpan w:val="24"/>
          </w:tcPr>
          <w:p>
            <w:pPr>
              <w:spacing w:after="0" w:line="196" w:lineRule="exact"/>
              <w:rPr>
                <w:sz w:val="20"/>
                <w:szCs w:val="20"/>
                <w:color w:val="auto"/>
              </w:rPr>
            </w:pPr>
            <w:r>
              <w:rPr>
                <w:rFonts w:ascii="Arial" w:cs="Arial" w:eastAsia="Arial" w:hAnsi="Arial"/>
                <w:sz w:val="18"/>
                <w:szCs w:val="18"/>
                <w:color w:val="0000FF"/>
                <w:w w:val="98"/>
              </w:rPr>
              <w:t>Certification of Principal Financial Officer required by Rule</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60" w:type="dxa"/>
            <w:vAlign w:val="bottom"/>
            <w:tcBorders>
              <w:top w:val="single" w:sz="8" w:color="0000FF"/>
              <w:bottom w:val="single" w:sz="8" w:color="0000FF"/>
            </w:tcBorders>
            <w:gridSpan w:val="20"/>
          </w:tcPr>
          <w:p>
            <w:pPr>
              <w:spacing w:after="0" w:line="169" w:lineRule="exact"/>
              <w:rPr>
                <w:sz w:val="20"/>
                <w:szCs w:val="20"/>
                <w:color w:val="auto"/>
              </w:rPr>
            </w:pPr>
            <w:r>
              <w:rPr>
                <w:rFonts w:ascii="Arial" w:cs="Arial" w:eastAsia="Arial" w:hAnsi="Arial"/>
                <w:sz w:val="18"/>
                <w:szCs w:val="18"/>
                <w:color w:val="0000FF"/>
                <w:w w:val="91"/>
              </w:rPr>
              <w:t>13a-14(a) or Rule 15d-14(a) of the Securities Exchange Act</w:t>
            </w:r>
          </w:p>
        </w:tc>
        <w:tc>
          <w:tcPr>
            <w:tcW w:w="40" w:type="dxa"/>
            <w:vAlign w:val="bottom"/>
            <w:tcBorders>
              <w:top w:val="single" w:sz="8" w:color="0000FF"/>
            </w:tcBorders>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40" w:type="dxa"/>
            <w:vAlign w:val="bottom"/>
            <w:gridSpan w:val="24"/>
          </w:tcPr>
          <w:p>
            <w:pPr>
              <w:spacing w:after="0" w:line="169" w:lineRule="exact"/>
              <w:rPr>
                <w:sz w:val="20"/>
                <w:szCs w:val="20"/>
                <w:color w:val="auto"/>
              </w:rPr>
            </w:pPr>
            <w:r>
              <w:rPr>
                <w:rFonts w:ascii="Arial" w:cs="Arial" w:eastAsia="Arial" w:hAnsi="Arial"/>
                <w:sz w:val="18"/>
                <w:szCs w:val="18"/>
                <w:color w:val="0000FF"/>
                <w:w w:val="91"/>
              </w:rPr>
              <w:t>of 1934, as adopted pursuant to Section 302 of the Sarbanes-</w:t>
            </w: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380" w:type="dxa"/>
            <w:vAlign w:val="bottom"/>
            <w:tcBorders>
              <w:top w:val="single" w:sz="8" w:color="0000FF"/>
            </w:tcBorders>
            <w:gridSpan w:val="21"/>
          </w:tcPr>
          <w:p>
            <w:pPr>
              <w:spacing w:after="0" w:line="169" w:lineRule="exact"/>
              <w:rPr>
                <w:sz w:val="20"/>
                <w:szCs w:val="20"/>
                <w:color w:val="auto"/>
              </w:rPr>
            </w:pPr>
            <w:r>
              <w:rPr>
                <w:rFonts w:ascii="Arial" w:cs="Arial" w:eastAsia="Arial" w:hAnsi="Arial"/>
                <w:sz w:val="18"/>
                <w:szCs w:val="18"/>
                <w:color w:val="0000FF"/>
              </w:rPr>
              <w:t>Oxley Act of 2002.</w:t>
            </w:r>
          </w:p>
        </w:tc>
        <w:tc>
          <w:tcPr>
            <w:tcW w:w="160" w:type="dxa"/>
            <w:vAlign w:val="bottom"/>
            <w:gridSpan w:val="3"/>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5"/>
              </w:rPr>
              <w:t>32.1*</w:t>
            </w:r>
          </w:p>
        </w:tc>
        <w:tc>
          <w:tcPr>
            <w:tcW w:w="140" w:type="dxa"/>
            <w:vAlign w:val="bottom"/>
          </w:tcPr>
          <w:p>
            <w:pPr>
              <w:spacing w:after="0"/>
              <w:rPr>
                <w:sz w:val="17"/>
                <w:szCs w:val="17"/>
                <w:color w:val="auto"/>
              </w:rPr>
            </w:pPr>
          </w:p>
        </w:tc>
        <w:tc>
          <w:tcPr>
            <w:tcW w:w="4000" w:type="dxa"/>
            <w:vAlign w:val="bottom"/>
            <w:tcBorders>
              <w:bottom w:val="single" w:sz="8" w:color="0000FF"/>
            </w:tcBorders>
            <w:gridSpan w:val="14"/>
          </w:tcPr>
          <w:p>
            <w:pPr>
              <w:spacing w:after="0" w:line="196" w:lineRule="exact"/>
              <w:rPr>
                <w:sz w:val="20"/>
                <w:szCs w:val="20"/>
                <w:color w:val="auto"/>
              </w:rPr>
            </w:pPr>
            <w:r>
              <w:rPr>
                <w:rFonts w:ascii="Arial" w:cs="Arial" w:eastAsia="Arial" w:hAnsi="Arial"/>
                <w:sz w:val="18"/>
                <w:szCs w:val="18"/>
                <w:color w:val="0000FF"/>
                <w:w w:val="94"/>
              </w:rPr>
              <w:t>Certification of Chief Executive Officer pursuant to 18</w:t>
            </w:r>
          </w:p>
        </w:tc>
        <w:tc>
          <w:tcPr>
            <w:tcW w:w="540" w:type="dxa"/>
            <w:vAlign w:val="bottom"/>
            <w:gridSpan w:val="10"/>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40" w:type="dxa"/>
            <w:vAlign w:val="bottom"/>
            <w:gridSpan w:val="24"/>
          </w:tcPr>
          <w:p>
            <w:pPr>
              <w:spacing w:after="0" w:line="169" w:lineRule="exact"/>
              <w:rPr>
                <w:sz w:val="20"/>
                <w:szCs w:val="20"/>
                <w:color w:val="auto"/>
              </w:rPr>
            </w:pPr>
            <w:r>
              <w:rPr>
                <w:rFonts w:ascii="Arial" w:cs="Arial" w:eastAsia="Arial" w:hAnsi="Arial"/>
                <w:sz w:val="18"/>
                <w:szCs w:val="18"/>
                <w:color w:val="0000FF"/>
                <w:w w:val="94"/>
              </w:rPr>
              <w:t>U.S.C. Section 1350, as adopted pursuant to Section 906 of</w:t>
            </w: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8"/>
                <w:szCs w:val="18"/>
                <w:color w:val="0000FF"/>
                <w:w w:val="91"/>
              </w:rPr>
              <w:t>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1840" w:type="dxa"/>
            <w:vAlign w:val="bottom"/>
            <w:tcBorders>
              <w:top w:val="single" w:sz="8" w:color="0000FF"/>
            </w:tcBorders>
            <w:gridSpan w:val="13"/>
          </w:tcPr>
          <w:p>
            <w:pPr>
              <w:spacing w:after="0"/>
              <w:rPr>
                <w:sz w:val="14"/>
                <w:szCs w:val="14"/>
                <w:color w:val="auto"/>
              </w:rPr>
            </w:pPr>
          </w:p>
        </w:tc>
        <w:tc>
          <w:tcPr>
            <w:tcW w:w="220" w:type="dxa"/>
            <w:vAlign w:val="bottom"/>
            <w:gridSpan w:val="5"/>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5"/>
              </w:rPr>
              <w:t>32.2*</w:t>
            </w:r>
          </w:p>
        </w:tc>
        <w:tc>
          <w:tcPr>
            <w:tcW w:w="140" w:type="dxa"/>
            <w:vAlign w:val="bottom"/>
          </w:tcPr>
          <w:p>
            <w:pPr>
              <w:spacing w:after="0"/>
              <w:rPr>
                <w:sz w:val="17"/>
                <w:szCs w:val="17"/>
                <w:color w:val="auto"/>
              </w:rPr>
            </w:pPr>
          </w:p>
        </w:tc>
        <w:tc>
          <w:tcPr>
            <w:tcW w:w="3940" w:type="dxa"/>
            <w:vAlign w:val="bottom"/>
            <w:tcBorders>
              <w:bottom w:val="single" w:sz="8" w:color="0000FF"/>
            </w:tcBorders>
            <w:gridSpan w:val="13"/>
          </w:tcPr>
          <w:p>
            <w:pPr>
              <w:spacing w:after="0" w:line="196" w:lineRule="exact"/>
              <w:rPr>
                <w:sz w:val="20"/>
                <w:szCs w:val="20"/>
                <w:color w:val="auto"/>
              </w:rPr>
            </w:pPr>
            <w:r>
              <w:rPr>
                <w:rFonts w:ascii="Arial" w:cs="Arial" w:eastAsia="Arial" w:hAnsi="Arial"/>
                <w:sz w:val="18"/>
                <w:szCs w:val="18"/>
                <w:color w:val="0000FF"/>
                <w:w w:val="93"/>
              </w:rPr>
              <w:t>Certification of Chief Financial Officer pursuant to 18</w:t>
            </w:r>
          </w:p>
        </w:tc>
        <w:tc>
          <w:tcPr>
            <w:tcW w:w="600" w:type="dxa"/>
            <w:vAlign w:val="bottom"/>
            <w:gridSpan w:val="11"/>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40" w:type="dxa"/>
            <w:vAlign w:val="bottom"/>
            <w:gridSpan w:val="24"/>
          </w:tcPr>
          <w:p>
            <w:pPr>
              <w:spacing w:after="0" w:line="169" w:lineRule="exact"/>
              <w:rPr>
                <w:sz w:val="20"/>
                <w:szCs w:val="20"/>
                <w:color w:val="auto"/>
              </w:rPr>
            </w:pPr>
            <w:r>
              <w:rPr>
                <w:rFonts w:ascii="Arial" w:cs="Arial" w:eastAsia="Arial" w:hAnsi="Arial"/>
                <w:sz w:val="18"/>
                <w:szCs w:val="18"/>
                <w:color w:val="0000FF"/>
                <w:w w:val="94"/>
              </w:rPr>
              <w:t>U.S.C. Section 1350, as adopted pursuant to Section 906 of</w:t>
            </w: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8"/>
                <w:szCs w:val="18"/>
                <w:color w:val="0000FF"/>
                <w:w w:val="91"/>
              </w:rPr>
              <w:t>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1840" w:type="dxa"/>
            <w:vAlign w:val="bottom"/>
            <w:tcBorders>
              <w:top w:val="single" w:sz="8" w:color="0000FF"/>
            </w:tcBorders>
            <w:gridSpan w:val="13"/>
          </w:tcPr>
          <w:p>
            <w:pPr>
              <w:spacing w:after="0"/>
              <w:rPr>
                <w:sz w:val="14"/>
                <w:szCs w:val="14"/>
                <w:color w:val="auto"/>
              </w:rPr>
            </w:pPr>
          </w:p>
        </w:tc>
        <w:tc>
          <w:tcPr>
            <w:tcW w:w="220" w:type="dxa"/>
            <w:vAlign w:val="bottom"/>
            <w:gridSpan w:val="5"/>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00" w:type="dxa"/>
            <w:vAlign w:val="bottom"/>
          </w:tcPr>
          <w:p>
            <w:pPr>
              <w:jc w:val="center"/>
              <w:spacing w:after="0" w:line="195" w:lineRule="exact"/>
              <w:rPr>
                <w:sz w:val="20"/>
                <w:szCs w:val="20"/>
                <w:color w:val="auto"/>
              </w:rPr>
            </w:pPr>
            <w:r>
              <w:rPr>
                <w:rFonts w:ascii="Arial" w:cs="Arial" w:eastAsia="Arial" w:hAnsi="Arial"/>
                <w:sz w:val="18"/>
                <w:szCs w:val="18"/>
                <w:color w:val="auto"/>
                <w:w w:val="92"/>
              </w:rPr>
              <w:t>101.INS</w:t>
            </w:r>
          </w:p>
        </w:tc>
        <w:tc>
          <w:tcPr>
            <w:tcW w:w="140" w:type="dxa"/>
            <w:vAlign w:val="bottom"/>
          </w:tcPr>
          <w:p>
            <w:pPr>
              <w:spacing w:after="0"/>
              <w:rPr>
                <w:sz w:val="16"/>
                <w:szCs w:val="16"/>
                <w:color w:val="auto"/>
              </w:rPr>
            </w:pPr>
          </w:p>
        </w:tc>
        <w:tc>
          <w:tcPr>
            <w:tcW w:w="4540" w:type="dxa"/>
            <w:vAlign w:val="bottom"/>
            <w:gridSpan w:val="24"/>
          </w:tcPr>
          <w:p>
            <w:pPr>
              <w:spacing w:after="0" w:line="195" w:lineRule="exact"/>
              <w:rPr>
                <w:sz w:val="20"/>
                <w:szCs w:val="20"/>
                <w:color w:val="auto"/>
              </w:rPr>
            </w:pPr>
            <w:r>
              <w:rPr>
                <w:rFonts w:ascii="Arial" w:cs="Arial" w:eastAsia="Arial" w:hAnsi="Arial"/>
                <w:sz w:val="18"/>
                <w:szCs w:val="18"/>
                <w:color w:val="auto"/>
                <w:w w:val="99"/>
              </w:rPr>
              <w:t>Inline XBRL Instance Document – the instance document</w:t>
            </w: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40" w:type="dxa"/>
            <w:vAlign w:val="bottom"/>
            <w:gridSpan w:val="24"/>
          </w:tcPr>
          <w:p>
            <w:pPr>
              <w:spacing w:after="0" w:line="189" w:lineRule="exact"/>
              <w:rPr>
                <w:sz w:val="20"/>
                <w:szCs w:val="20"/>
                <w:color w:val="auto"/>
              </w:rPr>
            </w:pPr>
            <w:r>
              <w:rPr>
                <w:rFonts w:ascii="Arial" w:cs="Arial" w:eastAsia="Arial" w:hAnsi="Arial"/>
                <w:sz w:val="18"/>
                <w:szCs w:val="18"/>
                <w:color w:val="auto"/>
                <w:w w:val="96"/>
              </w:rPr>
              <w:t>does not appear in the Interactive Data File because XBRL</w:t>
            </w:r>
          </w:p>
        </w:tc>
        <w:tc>
          <w:tcPr>
            <w:tcW w:w="1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gridSpan w:val="24"/>
          </w:tcPr>
          <w:p>
            <w:pPr>
              <w:spacing w:after="0"/>
              <w:rPr>
                <w:sz w:val="20"/>
                <w:szCs w:val="20"/>
                <w:color w:val="auto"/>
              </w:rPr>
            </w:pPr>
            <w:r>
              <w:rPr>
                <w:rFonts w:ascii="Arial" w:cs="Arial" w:eastAsia="Arial" w:hAnsi="Arial"/>
                <w:sz w:val="18"/>
                <w:szCs w:val="18"/>
                <w:color w:val="auto"/>
              </w:rPr>
              <w:t>tags are embedded within the Inline XBRL document.</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40" w:type="dxa"/>
            <w:vAlign w:val="bottom"/>
          </w:tcPr>
          <w:p>
            <w:pPr>
              <w:spacing w:after="0"/>
              <w:rPr>
                <w:sz w:val="24"/>
                <w:szCs w:val="24"/>
                <w:color w:val="auto"/>
              </w:rPr>
            </w:pPr>
          </w:p>
        </w:tc>
        <w:tc>
          <w:tcPr>
            <w:tcW w:w="4540" w:type="dxa"/>
            <w:vAlign w:val="bottom"/>
            <w:gridSpan w:val="24"/>
          </w:tcPr>
          <w:p>
            <w:pPr>
              <w:spacing w:after="0"/>
              <w:rPr>
                <w:sz w:val="20"/>
                <w:szCs w:val="20"/>
                <w:color w:val="auto"/>
              </w:rPr>
            </w:pPr>
            <w:r>
              <w:rPr>
                <w:rFonts w:ascii="Arial" w:cs="Arial" w:eastAsia="Arial" w:hAnsi="Arial"/>
                <w:sz w:val="18"/>
                <w:szCs w:val="18"/>
                <w:color w:val="auto"/>
              </w:rPr>
              <w:t>Inline XBRL Taxonomy Extension Schema Document.</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91"/>
        </w:trPr>
        <w:tc>
          <w:tcPr>
            <w:tcW w:w="80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40" w:type="dxa"/>
            <w:vAlign w:val="bottom"/>
          </w:tcPr>
          <w:p>
            <w:pPr>
              <w:spacing w:after="0"/>
              <w:rPr>
                <w:sz w:val="24"/>
                <w:szCs w:val="24"/>
                <w:color w:val="auto"/>
              </w:rPr>
            </w:pPr>
          </w:p>
        </w:tc>
        <w:tc>
          <w:tcPr>
            <w:tcW w:w="4540" w:type="dxa"/>
            <w:vAlign w:val="bottom"/>
            <w:gridSpan w:val="24"/>
          </w:tcPr>
          <w:p>
            <w:pPr>
              <w:spacing w:after="0"/>
              <w:rPr>
                <w:sz w:val="20"/>
                <w:szCs w:val="20"/>
                <w:color w:val="auto"/>
              </w:rPr>
            </w:pPr>
            <w:r>
              <w:rPr>
                <w:rFonts w:ascii="Arial" w:cs="Arial" w:eastAsia="Arial" w:hAnsi="Arial"/>
                <w:sz w:val="18"/>
                <w:szCs w:val="18"/>
                <w:color w:val="auto"/>
              </w:rPr>
              <w:t>Inline XBRL Taxonomy Extension Calculation Linkbase</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gridSpan w:val="24"/>
          </w:tcPr>
          <w:p>
            <w:pPr>
              <w:spacing w:after="0"/>
              <w:rPr>
                <w:sz w:val="20"/>
                <w:szCs w:val="20"/>
                <w:color w:val="auto"/>
              </w:rPr>
            </w:pPr>
            <w:r>
              <w:rPr>
                <w:rFonts w:ascii="Arial" w:cs="Arial" w:eastAsia="Arial" w:hAnsi="Arial"/>
                <w:sz w:val="18"/>
                <w:szCs w:val="18"/>
                <w:color w:val="auto"/>
              </w:rPr>
              <w:t>Document.</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40" w:type="dxa"/>
            <w:vAlign w:val="bottom"/>
          </w:tcPr>
          <w:p>
            <w:pPr>
              <w:spacing w:after="0"/>
              <w:rPr>
                <w:sz w:val="24"/>
                <w:szCs w:val="24"/>
                <w:color w:val="auto"/>
              </w:rPr>
            </w:pPr>
          </w:p>
        </w:tc>
        <w:tc>
          <w:tcPr>
            <w:tcW w:w="4540" w:type="dxa"/>
            <w:vAlign w:val="bottom"/>
            <w:gridSpan w:val="24"/>
          </w:tcPr>
          <w:p>
            <w:pPr>
              <w:spacing w:after="0"/>
              <w:rPr>
                <w:sz w:val="20"/>
                <w:szCs w:val="20"/>
                <w:color w:val="auto"/>
              </w:rPr>
            </w:pPr>
            <w:r>
              <w:rPr>
                <w:rFonts w:ascii="Arial" w:cs="Arial" w:eastAsia="Arial" w:hAnsi="Arial"/>
                <w:sz w:val="18"/>
                <w:szCs w:val="18"/>
                <w:color w:val="auto"/>
              </w:rPr>
              <w:t>Inline XBRL Taxonomy Extension Definition Linkbase</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gridSpan w:val="24"/>
          </w:tcPr>
          <w:p>
            <w:pPr>
              <w:spacing w:after="0"/>
              <w:rPr>
                <w:sz w:val="20"/>
                <w:szCs w:val="20"/>
                <w:color w:val="auto"/>
              </w:rPr>
            </w:pPr>
            <w:r>
              <w:rPr>
                <w:rFonts w:ascii="Arial" w:cs="Arial" w:eastAsia="Arial" w:hAnsi="Arial"/>
                <w:sz w:val="18"/>
                <w:szCs w:val="18"/>
                <w:color w:val="auto"/>
              </w:rPr>
              <w:t>Document.</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0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40" w:type="dxa"/>
            <w:vAlign w:val="bottom"/>
          </w:tcPr>
          <w:p>
            <w:pPr>
              <w:spacing w:after="0"/>
              <w:rPr>
                <w:sz w:val="24"/>
                <w:szCs w:val="24"/>
                <w:color w:val="auto"/>
              </w:rPr>
            </w:pPr>
          </w:p>
        </w:tc>
        <w:tc>
          <w:tcPr>
            <w:tcW w:w="4540" w:type="dxa"/>
            <w:vAlign w:val="bottom"/>
            <w:gridSpan w:val="24"/>
          </w:tcPr>
          <w:p>
            <w:pPr>
              <w:spacing w:after="0"/>
              <w:rPr>
                <w:sz w:val="20"/>
                <w:szCs w:val="20"/>
                <w:color w:val="auto"/>
              </w:rPr>
            </w:pPr>
            <w:r>
              <w:rPr>
                <w:rFonts w:ascii="Arial" w:cs="Arial" w:eastAsia="Arial" w:hAnsi="Arial"/>
                <w:sz w:val="18"/>
                <w:szCs w:val="18"/>
                <w:color w:val="auto"/>
              </w:rPr>
              <w:t>Inline XBRL Taxonomy Extension Label Linkbase</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gridSpan w:val="24"/>
          </w:tcPr>
          <w:p>
            <w:pPr>
              <w:spacing w:after="0"/>
              <w:rPr>
                <w:sz w:val="20"/>
                <w:szCs w:val="20"/>
                <w:color w:val="auto"/>
              </w:rPr>
            </w:pPr>
            <w:r>
              <w:rPr>
                <w:rFonts w:ascii="Arial" w:cs="Arial" w:eastAsia="Arial" w:hAnsi="Arial"/>
                <w:sz w:val="18"/>
                <w:szCs w:val="18"/>
                <w:color w:val="auto"/>
              </w:rPr>
              <w:t>Document.</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40" w:type="dxa"/>
            <w:vAlign w:val="bottom"/>
          </w:tcPr>
          <w:p>
            <w:pPr>
              <w:spacing w:after="0"/>
              <w:rPr>
                <w:sz w:val="24"/>
                <w:szCs w:val="24"/>
                <w:color w:val="auto"/>
              </w:rPr>
            </w:pPr>
          </w:p>
        </w:tc>
        <w:tc>
          <w:tcPr>
            <w:tcW w:w="4540" w:type="dxa"/>
            <w:vAlign w:val="bottom"/>
            <w:gridSpan w:val="24"/>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gridSpan w:val="24"/>
          </w:tcPr>
          <w:p>
            <w:pPr>
              <w:spacing w:after="0"/>
              <w:rPr>
                <w:sz w:val="20"/>
                <w:szCs w:val="20"/>
                <w:color w:val="auto"/>
              </w:rPr>
            </w:pPr>
            <w:r>
              <w:rPr>
                <w:rFonts w:ascii="Arial" w:cs="Arial" w:eastAsia="Arial" w:hAnsi="Arial"/>
                <w:sz w:val="18"/>
                <w:szCs w:val="18"/>
                <w:color w:val="auto"/>
              </w:rPr>
              <w:t>Document.</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0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40" w:type="dxa"/>
            <w:vAlign w:val="bottom"/>
          </w:tcPr>
          <w:p>
            <w:pPr>
              <w:spacing w:after="0"/>
              <w:rPr>
                <w:sz w:val="24"/>
                <w:szCs w:val="24"/>
                <w:color w:val="auto"/>
              </w:rPr>
            </w:pPr>
          </w:p>
        </w:tc>
        <w:tc>
          <w:tcPr>
            <w:tcW w:w="4540" w:type="dxa"/>
            <w:vAlign w:val="bottom"/>
            <w:gridSpan w:val="24"/>
          </w:tcPr>
          <w:p>
            <w:pPr>
              <w:spacing w:after="0"/>
              <w:rPr>
                <w:sz w:val="20"/>
                <w:szCs w:val="20"/>
                <w:color w:val="auto"/>
              </w:rPr>
            </w:pPr>
            <w:r>
              <w:rPr>
                <w:rFonts w:ascii="Arial" w:cs="Arial" w:eastAsia="Arial" w:hAnsi="Arial"/>
                <w:sz w:val="18"/>
                <w:szCs w:val="18"/>
                <w:color w:val="auto"/>
                <w:w w:val="96"/>
              </w:rPr>
              <w:t>Cover Page Interactive Data File (formatted as inline XBRL</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gridSpan w:val="24"/>
          </w:tcPr>
          <w:p>
            <w:pPr>
              <w:spacing w:after="0"/>
              <w:rPr>
                <w:sz w:val="20"/>
                <w:szCs w:val="20"/>
                <w:color w:val="auto"/>
              </w:rPr>
            </w:pPr>
            <w:r>
              <w:rPr>
                <w:rFonts w:ascii="Arial" w:cs="Arial" w:eastAsia="Arial" w:hAnsi="Arial"/>
                <w:sz w:val="18"/>
                <w:szCs w:val="18"/>
                <w:color w:val="auto"/>
              </w:rPr>
              <w:t>and contained in Exhibits 101).</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w:t>
      </w:r>
    </w:p>
    <w:p>
      <w:pPr>
        <w:spacing w:after="0" w:line="9" w:lineRule="exact"/>
        <w:rPr>
          <w:sz w:val="20"/>
          <w:szCs w:val="20"/>
          <w:color w:val="auto"/>
        </w:rPr>
      </w:pPr>
    </w:p>
    <w:p>
      <w:pPr>
        <w:jc w:val="both"/>
        <w:ind w:firstLine="8"/>
        <w:spacing w:after="0" w:line="243" w:lineRule="auto"/>
        <w:tabs>
          <w:tab w:leader="none" w:pos="14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 contemplated by SEC Release No. 33-8212, these exhibits are furnished with this Quarterly Report on Form 10-Q and are not deemed filed with the Securities and Exchange Commission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85</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Cytek Biosciences, Inc.</w:t>
      </w:r>
    </w:p>
    <w:p>
      <w:pPr>
        <w:spacing w:after="0" w:line="229" w:lineRule="exact"/>
        <w:rPr>
          <w:sz w:val="20"/>
          <w:szCs w:val="20"/>
          <w:color w:val="auto"/>
        </w:rPr>
      </w:pPr>
    </w:p>
    <w:p>
      <w:pPr>
        <w:ind w:left="20"/>
        <w:spacing w:after="0"/>
        <w:tabs>
          <w:tab w:leader="none" w:pos="5340" w:val="left"/>
          <w:tab w:leader="none" w:pos="784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Wenbin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14605</wp:posOffset>
            </wp:positionV>
            <wp:extent cx="35318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Wenbin Jiang, Ph.D.</w:t>
      </w:r>
    </w:p>
    <w:p>
      <w:pPr>
        <w:ind w:left="7080"/>
        <w:spacing w:after="0" w:line="231" w:lineRule="auto"/>
        <w:rPr>
          <w:sz w:val="20"/>
          <w:szCs w:val="20"/>
          <w:color w:val="auto"/>
        </w:rPr>
      </w:pPr>
      <w:r>
        <w:rPr>
          <w:rFonts w:ascii="Arial" w:cs="Arial" w:eastAsia="Arial" w:hAnsi="Arial"/>
          <w:sz w:val="18"/>
          <w:szCs w:val="18"/>
          <w:color w:val="auto"/>
        </w:rPr>
        <w:t>President and Chief Executive Officer</w:t>
      </w:r>
    </w:p>
    <w:p>
      <w:pPr>
        <w:ind w:left="74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5340" w:val="left"/>
          <w:tab w:leader="none" w:pos="768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Patrik Jeanmonod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14605</wp:posOffset>
            </wp:positionV>
            <wp:extent cx="35318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Patrik Jeanmonod</w:t>
      </w:r>
    </w:p>
    <w:p>
      <w:pPr>
        <w:ind w:left="7620"/>
        <w:spacing w:after="0" w:line="231" w:lineRule="auto"/>
        <w:rPr>
          <w:sz w:val="20"/>
          <w:szCs w:val="20"/>
          <w:color w:val="auto"/>
        </w:rPr>
      </w:pPr>
      <w:r>
        <w:rPr>
          <w:rFonts w:ascii="Arial" w:cs="Arial" w:eastAsia="Arial" w:hAnsi="Arial"/>
          <w:sz w:val="18"/>
          <w:szCs w:val="18"/>
          <w:color w:val="auto"/>
        </w:rPr>
        <w:t>Chief Financial Officer</w:t>
      </w:r>
    </w:p>
    <w:p>
      <w:pPr>
        <w:ind w:left="68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10.1</w:t>
      </w:r>
    </w:p>
    <w:p>
      <w:pPr>
        <w:spacing w:after="0" w:line="10"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ytek</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iosciences</w:t>
      </w:r>
      <w:r>
        <w:rPr>
          <w:rFonts w:ascii="Arial" w:cs="Arial" w:eastAsia="Arial" w:hAnsi="Arial"/>
          <w:sz w:val="22"/>
          <w:szCs w:val="22"/>
          <w:b w:val="1"/>
          <w:bCs w:val="1"/>
          <w:color w:val="auto"/>
        </w:rPr>
        <w:t>, INC.</w:t>
      </w:r>
    </w:p>
    <w:p>
      <w:pPr>
        <w:ind w:left="4240"/>
        <w:spacing w:after="0" w:line="233" w:lineRule="auto"/>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rant</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otice</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(2021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Cytek Biosciences,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pursuant to its 2021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has granted to you (“</w:t>
      </w:r>
      <w:r>
        <w:rPr>
          <w:rFonts w:ascii="Arial" w:cs="Arial" w:eastAsia="Arial" w:hAnsi="Arial"/>
          <w:sz w:val="17"/>
          <w:szCs w:val="17"/>
          <w:b w:val="1"/>
          <w:bCs w:val="1"/>
          <w:i w:val="1"/>
          <w:iCs w:val="1"/>
          <w:color w:val="auto"/>
        </w:rPr>
        <w:t>Optionholder”)</w:t>
      </w:r>
      <w:r>
        <w:rPr>
          <w:rFonts w:ascii="Arial" w:cs="Arial" w:eastAsia="Arial" w:hAnsi="Arial"/>
          <w:sz w:val="17"/>
          <w:szCs w:val="17"/>
          <w:color w:val="auto"/>
        </w:rPr>
        <w:t xml:space="preserve"> an option to purchase the number of shares of the Common Stock set forth below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Your Option is subject to all of the terms and conditions as set forth in this Stock Option Grant Notice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the Global Stock Option Agreement, including any additional terms and conditions for your country included in the appendix attached thereto (together with the Global Stock Option Agreement, the “</w:t>
      </w:r>
      <w:r>
        <w:rPr>
          <w:rFonts w:ascii="Arial" w:cs="Arial" w:eastAsia="Arial" w:hAnsi="Arial"/>
          <w:sz w:val="17"/>
          <w:szCs w:val="17"/>
          <w:b w:val="1"/>
          <w:bCs w:val="1"/>
          <w:i w:val="1"/>
          <w:iCs w:val="1"/>
          <w:color w:val="auto"/>
        </w:rPr>
        <w:t>Option Agreement</w:t>
      </w:r>
      <w:r>
        <w:rPr>
          <w:rFonts w:ascii="Arial" w:cs="Arial" w:eastAsia="Arial" w:hAnsi="Arial"/>
          <w:sz w:val="17"/>
          <w:szCs w:val="17"/>
          <w:color w:val="auto"/>
        </w:rPr>
        <w:t>”), the Plan and the Notice of Exercise, all of which are attached hereto and incorporated herein in their entirety. Capitalized terms not explicitly defined herein but defined in the Plan or the Option Agreement shall have the meanings set forth in the Plan or the Option Agreement, as applicable.</w:t>
      </w:r>
    </w:p>
    <w:p>
      <w:pPr>
        <w:spacing w:after="0" w:line="17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17830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17830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17830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17830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17830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17830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23495</wp:posOffset>
            </wp:positionV>
            <wp:extent cx="17830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6"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Type of Grant:</w:t>
      </w:r>
      <w:r>
        <w:rPr>
          <w:sz w:val="20"/>
          <w:szCs w:val="20"/>
          <w:color w:val="auto"/>
        </w:rPr>
        <w:tab/>
      </w:r>
      <w:r>
        <w:rPr>
          <w:rFonts w:ascii="Arial" w:cs="Arial" w:eastAsia="Arial" w:hAnsi="Arial"/>
          <w:sz w:val="16"/>
          <w:szCs w:val="16"/>
          <w:color w:val="auto"/>
        </w:rPr>
        <w:t xml:space="preserve">[Incentive Stock Option] </w:t>
      </w:r>
      <w:r>
        <w:rPr>
          <w:rFonts w:ascii="Arial" w:cs="Arial" w:eastAsia="Arial" w:hAnsi="Arial"/>
          <w:sz w:val="16"/>
          <w:szCs w:val="16"/>
          <w:u w:val="single" w:color="auto"/>
          <w:color w:val="auto"/>
        </w:rPr>
        <w:t>OR</w:t>
      </w:r>
      <w:r>
        <w:rPr>
          <w:rFonts w:ascii="Arial" w:cs="Arial" w:eastAsia="Arial" w:hAnsi="Arial"/>
          <w:sz w:val="16"/>
          <w:szCs w:val="16"/>
          <w:color w:val="auto"/>
        </w:rPr>
        <w:t xml:space="preserve"> [Nonstatutory Stock Option]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and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 Subject to the Optionholder’s Continuous Service through each applicable vesting date, the Option will vest as follows:</w:t>
      </w:r>
    </w:p>
    <w:p>
      <w:pPr>
        <w:spacing w:after="0" w:line="229" w:lineRule="exact"/>
        <w:rPr>
          <w:sz w:val="20"/>
          <w:szCs w:val="20"/>
          <w:color w:val="auto"/>
        </w:rPr>
      </w:pPr>
    </w:p>
    <w:p>
      <w:pPr>
        <w:ind w:left="720" w:hanging="352"/>
        <w:spacing w:after="0"/>
        <w:tabs>
          <w:tab w:leader="none" w:pos="72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-10160</wp:posOffset>
            </wp:positionV>
            <wp:extent cx="1905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Optionholder</w:t>
      </w:r>
    </w:p>
    <w:p>
      <w:pPr>
        <w:spacing w:after="0" w:line="212" w:lineRule="exact"/>
        <w:rPr>
          <w:sz w:val="20"/>
          <w:szCs w:val="20"/>
          <w:color w:val="auto"/>
        </w:rPr>
      </w:pPr>
    </w:p>
    <w:p>
      <w:pPr>
        <w:ind w:left="1800" w:right="160" w:hanging="2245"/>
        <w:spacing w:after="0" w:line="277" w:lineRule="auto"/>
        <w:tabs>
          <w:tab w:leader="none" w:pos="1780" w:val="left"/>
        </w:tabs>
        <w:rPr>
          <w:sz w:val="20"/>
          <w:szCs w:val="20"/>
          <w:color w:val="auto"/>
        </w:rPr>
      </w:pPr>
      <w:r>
        <w:rPr>
          <w:rFonts w:ascii="Arial" w:cs="Arial" w:eastAsia="Arial" w:hAnsi="Arial"/>
          <w:sz w:val="18"/>
          <w:szCs w:val="18"/>
          <w:b w:val="1"/>
          <w:bCs w:val="1"/>
          <w:color w:val="auto"/>
        </w:rPr>
        <w:t>Acknowledgements:</w:t>
      </w:r>
      <w:r>
        <w:rPr>
          <w:sz w:val="20"/>
          <w:szCs w:val="20"/>
          <w:color w:val="auto"/>
        </w:rPr>
        <w:tab/>
      </w:r>
      <w:r>
        <w:rPr>
          <w:rFonts w:ascii="Arial" w:cs="Arial" w:eastAsia="Arial" w:hAnsi="Arial"/>
          <w:sz w:val="18"/>
          <w:szCs w:val="18"/>
          <w:color w:val="auto"/>
        </w:rPr>
        <w:t>By your signature below or by electronic acceptance or authentication in a form authorized by the Company, you understand and agree that:</w:t>
      </w:r>
    </w:p>
    <w:p>
      <w:pPr>
        <w:spacing w:after="0" w:line="161" w:lineRule="exact"/>
        <w:rPr>
          <w:sz w:val="20"/>
          <w:szCs w:val="20"/>
          <w:color w:val="auto"/>
        </w:rPr>
      </w:pPr>
    </w:p>
    <w:p>
      <w:pPr>
        <w:jc w:val="both"/>
        <w:ind w:left="960" w:right="120" w:hanging="371"/>
        <w:spacing w:after="0" w:line="256"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Option is governed by this Grant Notice, and the provisions of the Plan, the Option Agreement and the Notice of Exercise, all of which are made a part of this document. Unless otherwise provided in the Plan or the Option Agreement, this Grant Notice may not be modified, amended or revised except in a writing signed by you and a duly authorized Officer of the Company.</w:t>
      </w:r>
    </w:p>
    <w:p>
      <w:pPr>
        <w:spacing w:after="0" w:line="174" w:lineRule="exact"/>
        <w:rPr>
          <w:rFonts w:ascii="Arial" w:cs="Arial" w:eastAsia="Arial" w:hAnsi="Arial"/>
          <w:sz w:val="18"/>
          <w:szCs w:val="18"/>
          <w:color w:val="auto"/>
        </w:rPr>
      </w:pPr>
    </w:p>
    <w:p>
      <w:pPr>
        <w:ind w:left="960" w:right="120" w:hanging="371"/>
        <w:spacing w:after="0" w:line="324" w:lineRule="auto"/>
        <w:tabs>
          <w:tab w:leader="none" w:pos="9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If the Option is an Incentive Stock Option, it (plus other outstanding Incentive Stock Options granted to you) cannot be first </w:t>
      </w:r>
      <w:r>
        <w:rPr>
          <w:rFonts w:ascii="Arial" w:cs="Arial" w:eastAsia="Arial" w:hAnsi="Arial"/>
          <w:sz w:val="16"/>
          <w:szCs w:val="16"/>
          <w:i w:val="1"/>
          <w:iCs w:val="1"/>
          <w:color w:val="auto"/>
        </w:rPr>
        <w:t>exercisable</w:t>
      </w:r>
      <w:r>
        <w:rPr>
          <w:rFonts w:ascii="Arial" w:cs="Arial" w:eastAsia="Arial" w:hAnsi="Arial"/>
          <w:sz w:val="16"/>
          <w:szCs w:val="16"/>
          <w:color w:val="auto"/>
        </w:rPr>
        <w:t xml:space="preserve"> for more than $100,000 in value (measured by exercise price) in any calendar year. Any excess over $100,000 is a Nonstatutory Stock Option.</w:t>
      </w:r>
    </w:p>
    <w:p>
      <w:pPr>
        <w:spacing w:after="0" w:line="124" w:lineRule="exact"/>
        <w:rPr>
          <w:rFonts w:ascii="Arial" w:cs="Arial" w:eastAsia="Arial" w:hAnsi="Arial"/>
          <w:sz w:val="16"/>
          <w:szCs w:val="16"/>
          <w:color w:val="auto"/>
        </w:rPr>
      </w:pPr>
    </w:p>
    <w:p>
      <w:pPr>
        <w:jc w:val="both"/>
        <w:ind w:left="960" w:right="120" w:hanging="371"/>
        <w:spacing w:after="0" w:line="256"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You consent to receive this Grant Notice, the Option Agreement, the Plan, the Prospectus and any other Plan-related documents by electronic delivery and to participate in the Plan through an on-line or electronic system established and maintained by the Company or a third party designated by the Company.</w:t>
      </w:r>
    </w:p>
    <w:p>
      <w:pPr>
        <w:spacing w:after="0" w:line="174" w:lineRule="exact"/>
        <w:rPr>
          <w:rFonts w:ascii="Arial" w:cs="Arial" w:eastAsia="Arial" w:hAnsi="Arial"/>
          <w:sz w:val="18"/>
          <w:szCs w:val="18"/>
          <w:color w:val="auto"/>
        </w:rPr>
      </w:pPr>
    </w:p>
    <w:p>
      <w:pPr>
        <w:ind w:left="960" w:right="120" w:hanging="371"/>
        <w:spacing w:after="0" w:line="277"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You have read and are familiar with the provisions of the Plan, the Option Agreement, the Notice of Exercise and the Prospectus. In the event of any conflict between the provisions in this Grant Notice,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Option Agreement, the Notice of Exercise, or the Prospectus and the terms of the Plan, the terms of the Plan shall control.</w:t>
      </w:r>
    </w:p>
    <w:p>
      <w:pPr>
        <w:spacing w:after="0" w:line="209" w:lineRule="exact"/>
        <w:rPr>
          <w:sz w:val="20"/>
          <w:szCs w:val="20"/>
          <w:color w:val="auto"/>
        </w:rPr>
      </w:pPr>
    </w:p>
    <w:p>
      <w:pPr>
        <w:ind w:left="960" w:right="40" w:hanging="367"/>
        <w:spacing w:after="0" w:line="245"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or, as applicable, an Affiliate and you in each case that specifies the terms that should govern this Option.</w:t>
      </w:r>
    </w:p>
    <w:p>
      <w:pPr>
        <w:spacing w:after="0" w:line="185" w:lineRule="exact"/>
        <w:rPr>
          <w:rFonts w:ascii="Arial" w:cs="Arial" w:eastAsia="Arial" w:hAnsi="Arial"/>
          <w:sz w:val="18"/>
          <w:szCs w:val="18"/>
          <w:color w:val="auto"/>
        </w:rPr>
      </w:pPr>
    </w:p>
    <w:p>
      <w:pPr>
        <w:jc w:val="both"/>
        <w:ind w:left="960" w:right="500" w:hanging="367"/>
        <w:spacing w:after="0" w:line="278" w:lineRule="auto"/>
        <w:tabs>
          <w:tab w:leader="none" w:pos="9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gridSpan w:val="3"/>
          </w:tcPr>
          <w:p>
            <w:pPr>
              <w:ind w:left="1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ytek</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iosciences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7420" w:type="dxa"/>
            <w:vAlign w:val="bottom"/>
            <w:gridSpan w:val="3"/>
          </w:tcPr>
          <w:p>
            <w:pPr>
              <w:ind w:left="190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ptionholder</w:t>
            </w:r>
            <w:r>
              <w:rPr>
                <w:rFonts w:ascii="Arial" w:cs="Arial" w:eastAsia="Arial" w:hAnsi="Arial"/>
                <w:sz w:val="18"/>
                <w:szCs w:val="18"/>
                <w:b w:val="1"/>
                <w:bCs w:val="1"/>
                <w:color w:val="auto"/>
              </w:rPr>
              <w:t>:</w:t>
            </w:r>
          </w:p>
        </w:tc>
      </w:tr>
      <w:tr>
        <w:trPr>
          <w:trHeight w:val="364"/>
        </w:trPr>
        <w:tc>
          <w:tcPr>
            <w:tcW w:w="3820" w:type="dxa"/>
            <w:vAlign w:val="bottom"/>
            <w:gridSpan w:val="3"/>
          </w:tcPr>
          <w:p>
            <w:pPr>
              <w:ind w:left="100"/>
              <w:spacing w:after="0"/>
              <w:rPr>
                <w:sz w:val="20"/>
                <w:szCs w:val="20"/>
                <w:color w:val="auto"/>
              </w:rPr>
            </w:pPr>
            <w:r>
              <w:rPr>
                <w:rFonts w:ascii="Arial" w:cs="Arial" w:eastAsia="Arial" w:hAnsi="Arial"/>
                <w:sz w:val="18"/>
                <w:szCs w:val="18"/>
                <w:color w:val="auto"/>
              </w:rPr>
              <w:t>By:</w:t>
            </w:r>
          </w:p>
        </w:tc>
        <w:tc>
          <w:tcPr>
            <w:tcW w:w="7420" w:type="dxa"/>
            <w:vAlign w:val="bottom"/>
            <w:gridSpan w:val="3"/>
          </w:tcPr>
          <w:p>
            <w:pPr>
              <w:ind w:left="1900"/>
              <w:spacing w:after="0"/>
              <w:rPr>
                <w:sz w:val="20"/>
                <w:szCs w:val="20"/>
                <w:color w:val="auto"/>
              </w:rPr>
            </w:pPr>
            <w:r>
              <w:rPr>
                <w:rFonts w:ascii="Arial" w:cs="Arial" w:eastAsia="Arial" w:hAnsi="Arial"/>
                <w:sz w:val="18"/>
                <w:szCs w:val="18"/>
                <w:color w:val="auto"/>
              </w:rPr>
              <w:t>By:</w:t>
            </w:r>
          </w:p>
        </w:tc>
      </w:tr>
      <w:tr>
        <w:trPr>
          <w:trHeight w:val="20"/>
        </w:trPr>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224"/>
        </w:trPr>
        <w:tc>
          <w:tcPr>
            <w:tcW w:w="820" w:type="dxa"/>
            <w:vAlign w:val="bottom"/>
            <w:gridSpan w:val="2"/>
          </w:tcPr>
          <w:p>
            <w:pPr>
              <w:ind w:left="160"/>
              <w:spacing w:after="0"/>
              <w:rPr>
                <w:sz w:val="20"/>
                <w:szCs w:val="20"/>
                <w:color w:val="auto"/>
              </w:rPr>
            </w:pPr>
            <w:r>
              <w:rPr>
                <w:rFonts w:ascii="Arial" w:cs="Arial" w:eastAsia="Arial" w:hAnsi="Arial"/>
                <w:sz w:val="18"/>
                <w:szCs w:val="18"/>
                <w:color w:val="auto"/>
                <w:w w:val="83"/>
              </w:rPr>
              <w:t>Signature</w:t>
            </w:r>
          </w:p>
        </w:tc>
        <w:tc>
          <w:tcPr>
            <w:tcW w:w="3000" w:type="dxa"/>
            <w:vAlign w:val="bottom"/>
          </w:tcPr>
          <w:p>
            <w:pPr>
              <w:spacing w:after="0"/>
              <w:rPr>
                <w:sz w:val="19"/>
                <w:szCs w:val="19"/>
                <w:color w:val="auto"/>
              </w:rPr>
            </w:pPr>
          </w:p>
        </w:tc>
        <w:tc>
          <w:tcPr>
            <w:tcW w:w="7420" w:type="dxa"/>
            <w:vAlign w:val="bottom"/>
            <w:gridSpan w:val="3"/>
          </w:tcPr>
          <w:p>
            <w:pPr>
              <w:ind w:left="1940"/>
              <w:spacing w:after="0"/>
              <w:rPr>
                <w:sz w:val="20"/>
                <w:szCs w:val="20"/>
                <w:color w:val="auto"/>
              </w:rPr>
            </w:pPr>
            <w:r>
              <w:rPr>
                <w:rFonts w:ascii="Arial" w:cs="Arial" w:eastAsia="Arial" w:hAnsi="Arial"/>
                <w:sz w:val="18"/>
                <w:szCs w:val="18"/>
                <w:color w:val="auto"/>
              </w:rPr>
              <w:t>Signature</w:t>
            </w:r>
          </w:p>
        </w:tc>
      </w:tr>
      <w:tr>
        <w:trPr>
          <w:trHeight w:val="391"/>
        </w:trPr>
        <w:tc>
          <w:tcPr>
            <w:tcW w:w="3820" w:type="dxa"/>
            <w:vAlign w:val="bottom"/>
            <w:gridSpan w:val="3"/>
          </w:tcPr>
          <w:p>
            <w:pPr>
              <w:ind w:left="100"/>
              <w:spacing w:after="0"/>
              <w:rPr>
                <w:sz w:val="20"/>
                <w:szCs w:val="20"/>
                <w:color w:val="auto"/>
              </w:rPr>
            </w:pPr>
            <w:r>
              <w:rPr>
                <w:rFonts w:ascii="Arial" w:cs="Arial" w:eastAsia="Arial" w:hAnsi="Arial"/>
                <w:sz w:val="18"/>
                <w:szCs w:val="18"/>
                <w:color w:val="auto"/>
              </w:rPr>
              <w:t>Title:</w:t>
            </w:r>
          </w:p>
        </w:tc>
        <w:tc>
          <w:tcPr>
            <w:tcW w:w="7420" w:type="dxa"/>
            <w:vAlign w:val="bottom"/>
            <w:gridSpan w:val="3"/>
          </w:tcPr>
          <w:p>
            <w:pPr>
              <w:ind w:left="1900"/>
              <w:spacing w:after="0"/>
              <w:rPr>
                <w:sz w:val="20"/>
                <w:szCs w:val="20"/>
                <w:color w:val="auto"/>
              </w:rPr>
            </w:pPr>
            <w:r>
              <w:rPr>
                <w:rFonts w:ascii="Arial" w:cs="Arial" w:eastAsia="Arial" w:hAnsi="Arial"/>
                <w:sz w:val="18"/>
                <w:szCs w:val="18"/>
                <w:color w:val="auto"/>
              </w:rPr>
              <w:t>Date:</w:t>
            </w:r>
          </w:p>
        </w:tc>
      </w:tr>
      <w:tr>
        <w:trPr>
          <w:trHeight w:val="405"/>
        </w:trPr>
        <w:tc>
          <w:tcPr>
            <w:tcW w:w="3820" w:type="dxa"/>
            <w:vAlign w:val="bottom"/>
            <w:gridSpan w:val="3"/>
          </w:tcPr>
          <w:p>
            <w:pPr>
              <w:ind w:left="100"/>
              <w:spacing w:after="0"/>
              <w:rPr>
                <w:sz w:val="20"/>
                <w:szCs w:val="20"/>
                <w:color w:val="auto"/>
              </w:rPr>
            </w:pPr>
            <w:r>
              <w:rPr>
                <w:rFonts w:ascii="Arial" w:cs="Arial" w:eastAsia="Arial" w:hAnsi="Arial"/>
                <w:sz w:val="18"/>
                <w:szCs w:val="18"/>
                <w:color w:val="auto"/>
              </w:rPr>
              <w:t>Date:</w:t>
            </w:r>
          </w:p>
        </w:tc>
        <w:tc>
          <w:tcPr>
            <w:tcW w:w="2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505"/>
        </w:trPr>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10.1</w:t>
      </w:r>
    </w:p>
    <w:p>
      <w:pPr>
        <w:spacing w:after="0" w:line="10"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ytek</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iosciences</w:t>
      </w:r>
      <w:r>
        <w:rPr>
          <w:rFonts w:ascii="Arial" w:cs="Arial" w:eastAsia="Arial" w:hAnsi="Arial"/>
          <w:sz w:val="22"/>
          <w:szCs w:val="22"/>
          <w:b w:val="1"/>
          <w:bCs w:val="1"/>
          <w:color w:val="auto"/>
        </w:rPr>
        <w:t>, INC.</w:t>
      </w:r>
    </w:p>
    <w:p>
      <w:pPr>
        <w:ind w:left="4280"/>
        <w:spacing w:after="0" w:line="233" w:lineRule="auto"/>
        <w:rPr>
          <w:sz w:val="20"/>
          <w:szCs w:val="20"/>
          <w:color w:val="auto"/>
        </w:rPr>
      </w:pPr>
      <w:r>
        <w:rPr>
          <w:rFonts w:ascii="Arial" w:cs="Arial" w:eastAsia="Arial" w:hAnsi="Arial"/>
          <w:sz w:val="22"/>
          <w:szCs w:val="22"/>
          <w:b w:val="1"/>
          <w:bCs w:val="1"/>
          <w:color w:val="auto"/>
        </w:rPr>
        <w:t>2021 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G</w:t>
      </w:r>
      <w:r>
        <w:rPr>
          <w:rFonts w:ascii="Arial" w:cs="Arial" w:eastAsia="Arial" w:hAnsi="Arial"/>
          <w:sz w:val="14"/>
          <w:szCs w:val="14"/>
          <w:b w:val="1"/>
          <w:bCs w:val="1"/>
          <w:color w:val="auto"/>
        </w:rPr>
        <w:t>lobal</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00" w:lineRule="exact"/>
        <w:rPr>
          <w:sz w:val="20"/>
          <w:szCs w:val="20"/>
          <w:color w:val="auto"/>
        </w:rPr>
      </w:pPr>
    </w:p>
    <w:p>
      <w:pPr>
        <w:spacing w:after="0" w:line="211"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7"/>
          <w:szCs w:val="17"/>
          <w:color w:val="auto"/>
        </w:rPr>
        <w:t>As reflected by your Stock Option Grant Notice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Cytek Biosciences,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granted you an option under its 2021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to purchase a number of shares of Common Stock at the exercise price indicated in your Grant Notice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The terms of your Option as specified in the Grant Notice and this Global Stock Option Agreement, including any additional terms and conditions for your country included in the appendix attached hereto, constitute your Option Agreement. Capitalized terms not explicitly defined in this Option Agreement but defined in the Grant Notice or the Plan shall have the meanings set forth in the Grant Notice or Plan, as applicable.</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general terms and conditions applicable to your Option are as follows:</w:t>
      </w:r>
    </w:p>
    <w:p>
      <w:pPr>
        <w:spacing w:after="0" w:line="208" w:lineRule="exact"/>
        <w:rPr>
          <w:sz w:val="20"/>
          <w:szCs w:val="20"/>
          <w:color w:val="auto"/>
        </w:rPr>
      </w:pPr>
    </w:p>
    <w:p>
      <w:pPr>
        <w:jc w:val="both"/>
        <w:ind w:firstLine="757"/>
        <w:spacing w:after="0" w:line="258" w:lineRule="auto"/>
        <w:tabs>
          <w:tab w:leader="none" w:pos="1498"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6"/>
          <w:szCs w:val="16"/>
          <w:b w:val="1"/>
          <w:bCs w:val="1"/>
          <w:color w:val="auto"/>
        </w:rPr>
        <w:t>OVERNING</w:t>
      </w:r>
      <w:r>
        <w:rPr>
          <w:rFonts w:ascii="Arial" w:cs="Arial" w:eastAsia="Arial" w:hAnsi="Arial"/>
          <w:sz w:val="18"/>
          <w:szCs w:val="18"/>
          <w:b w:val="1"/>
          <w:bCs w:val="1"/>
          <w:color w:val="auto"/>
        </w:rPr>
        <w:t xml:space="preserve"> P</w:t>
      </w:r>
      <w:r>
        <w:rPr>
          <w:rFonts w:ascii="Arial" w:cs="Arial" w:eastAsia="Arial" w:hAnsi="Arial"/>
          <w:sz w:val="16"/>
          <w:szCs w:val="16"/>
          <w:b w:val="1"/>
          <w:bCs w:val="1"/>
          <w:color w:val="auto"/>
        </w:rPr>
        <w:t>LAN</w:t>
      </w:r>
      <w:r>
        <w:rPr>
          <w:rFonts w:ascii="Arial" w:cs="Arial" w:eastAsia="Arial" w:hAnsi="Arial"/>
          <w:sz w:val="18"/>
          <w:szCs w:val="18"/>
          <w:b w:val="1"/>
          <w:bCs w:val="1"/>
          <w:color w:val="auto"/>
        </w:rPr>
        <w:t xml:space="preserve"> D</w:t>
      </w:r>
      <w:r>
        <w:rPr>
          <w:rFonts w:ascii="Arial" w:cs="Arial" w:eastAsia="Arial" w:hAnsi="Arial"/>
          <w:sz w:val="16"/>
          <w:szCs w:val="16"/>
          <w:b w:val="1"/>
          <w:bCs w:val="1"/>
          <w:color w:val="auto"/>
        </w:rPr>
        <w:t>OCUMENT</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is subject to all the provisions of the Plan. Your Option is further subject to all</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82" w:lineRule="exact"/>
        <w:rPr>
          <w:rFonts w:ascii="Arial" w:cs="Arial" w:eastAsia="Arial" w:hAnsi="Arial"/>
          <w:sz w:val="18"/>
          <w:szCs w:val="18"/>
          <w:b w:val="1"/>
          <w:bCs w:val="1"/>
          <w:color w:val="auto"/>
        </w:rPr>
      </w:pPr>
    </w:p>
    <w:p>
      <w:pPr>
        <w:ind w:left="1500" w:hanging="743"/>
        <w:spacing w:after="0"/>
        <w:tabs>
          <w:tab w:leader="none" w:pos="1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xercise</w:t>
      </w:r>
      <w:r>
        <w:rPr>
          <w:rFonts w:ascii="Arial" w:cs="Arial" w:eastAsia="Arial" w:hAnsi="Arial"/>
          <w:sz w:val="18"/>
          <w:szCs w:val="18"/>
          <w:color w:val="auto"/>
        </w:rPr>
        <w:t>.</w:t>
      </w:r>
    </w:p>
    <w:p>
      <w:pPr>
        <w:spacing w:after="0" w:line="215" w:lineRule="exact"/>
        <w:rPr>
          <w:rFonts w:ascii="Arial" w:cs="Arial" w:eastAsia="Arial" w:hAnsi="Arial"/>
          <w:sz w:val="18"/>
          <w:szCs w:val="18"/>
          <w:b w:val="1"/>
          <w:bCs w:val="1"/>
          <w:color w:val="auto"/>
        </w:rPr>
      </w:pPr>
    </w:p>
    <w:p>
      <w:pPr>
        <w:jc w:val="both"/>
        <w:ind w:firstLine="1505"/>
        <w:spacing w:after="0" w:line="245" w:lineRule="auto"/>
        <w:tabs>
          <w:tab w:leader="none" w:pos="2995" w:val="left"/>
        </w:tabs>
        <w:numPr>
          <w:ilvl w:val="1"/>
          <w:numId w:val="54"/>
        </w:numPr>
        <w:rPr>
          <w:rFonts w:ascii="Arial" w:cs="Arial" w:eastAsia="Arial" w:hAnsi="Arial"/>
          <w:sz w:val="18"/>
          <w:szCs w:val="18"/>
          <w:b w:val="1"/>
          <w:bCs w:val="1"/>
          <w:color w:val="auto"/>
        </w:rPr>
      </w:pPr>
      <w:r>
        <w:rPr>
          <w:rFonts w:ascii="Arial" w:cs="Arial" w:eastAsia="Arial" w:hAnsi="Arial"/>
          <w:sz w:val="18"/>
          <w:szCs w:val="18"/>
          <w:color w:val="auto"/>
        </w:rPr>
        <w:t>You may generally exercise the vested portion of your Option for whole shares of Common Stock at any time during its term by delivery of payment of the exercise price and other required documentation to the Plan Administrator in accordance with the exercise procedures established by the Plan Administrator, which may include an electronic submission, and subject to your satisfaction of any withholding obligation for Tax-Related Items (as described in Section 4 below). Please review the Plan, which may restrict or prohibit your ability to exercise your Option during certain periods.</w:t>
      </w:r>
    </w:p>
    <w:p>
      <w:pPr>
        <w:spacing w:after="0" w:line="199" w:lineRule="exact"/>
        <w:rPr>
          <w:rFonts w:ascii="Arial" w:cs="Arial" w:eastAsia="Arial" w:hAnsi="Arial"/>
          <w:sz w:val="18"/>
          <w:szCs w:val="18"/>
          <w:b w:val="1"/>
          <w:bCs w:val="1"/>
          <w:color w:val="auto"/>
        </w:rPr>
      </w:pPr>
    </w:p>
    <w:p>
      <w:pPr>
        <w:ind w:left="3000" w:hanging="1495"/>
        <w:spacing w:after="0"/>
        <w:tabs>
          <w:tab w:leader="none" w:pos="3000" w:val="left"/>
        </w:tabs>
        <w:numPr>
          <w:ilvl w:val="1"/>
          <w:numId w:val="54"/>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Law, you may pay your Option exercise price as follows:</w:t>
      </w:r>
    </w:p>
    <w:p>
      <w:pPr>
        <w:sectPr>
          <w:pgSz w:w="11900" w:h="16838" w:orient="portrait"/>
          <w:cols w:equalWidth="0" w:num="1">
            <w:col w:w="11240"/>
          </w:cols>
          <w:pgMar w:left="320" w:top="121" w:right="339" w:bottom="1440" w:gutter="0" w:footer="0" w:header="0"/>
        </w:sectPr>
      </w:pPr>
    </w:p>
    <w:p>
      <w:pPr>
        <w:spacing w:after="0" w:line="208" w:lineRule="exact"/>
        <w:rPr>
          <w:sz w:val="20"/>
          <w:szCs w:val="20"/>
          <w:color w:val="auto"/>
        </w:rPr>
      </w:pPr>
    </w:p>
    <w:p>
      <w:pPr>
        <w:jc w:val="center"/>
        <w:ind w:left="900"/>
        <w:spacing w:after="0"/>
        <w:rPr>
          <w:sz w:val="20"/>
          <w:szCs w:val="20"/>
          <w:color w:val="auto"/>
        </w:rPr>
      </w:pPr>
      <w:r>
        <w:rPr>
          <w:rFonts w:ascii="Arial" w:cs="Arial" w:eastAsia="Arial" w:hAnsi="Arial"/>
          <w:sz w:val="16"/>
          <w:szCs w:val="16"/>
          <w:b w:val="1"/>
          <w:bCs w:val="1"/>
          <w:color w:val="auto"/>
        </w:rPr>
        <w:t>(i)</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cash, check, bank draft or money order;</w:t>
      </w:r>
    </w:p>
    <w:p>
      <w:pPr>
        <w:spacing w:after="0" w:line="200" w:lineRule="exact"/>
        <w:rPr>
          <w:sz w:val="20"/>
          <w:szCs w:val="20"/>
          <w:color w:val="auto"/>
        </w:rPr>
      </w:pPr>
    </w:p>
    <w:p>
      <w:pPr>
        <w:sectPr>
          <w:pgSz w:w="11900" w:h="16838" w:orient="portrait"/>
          <w:cols w:equalWidth="0" w:num="2">
            <w:col w:w="3780" w:space="720"/>
            <w:col w:w="6740"/>
          </w:cols>
          <w:pgMar w:left="320" w:top="121" w:right="339" w:bottom="1440" w:gutter="0" w:footer="0" w:header="0"/>
          <w:type w:val="continuous"/>
        </w:sectPr>
      </w:pPr>
    </w:p>
    <w:p>
      <w:pPr>
        <w:spacing w:after="0" w:line="31" w:lineRule="exact"/>
        <w:rPr>
          <w:sz w:val="20"/>
          <w:szCs w:val="20"/>
          <w:color w:val="auto"/>
        </w:rPr>
      </w:pPr>
    </w:p>
    <w:p>
      <w:pPr>
        <w:jc w:val="center"/>
        <w:ind w:left="960"/>
        <w:spacing w:after="0"/>
        <w:rPr>
          <w:sz w:val="20"/>
          <w:szCs w:val="20"/>
          <w:color w:val="auto"/>
        </w:rPr>
      </w:pPr>
      <w:r>
        <w:rPr>
          <w:rFonts w:ascii="Arial" w:cs="Arial" w:eastAsia="Arial" w:hAnsi="Arial"/>
          <w:sz w:val="18"/>
          <w:szCs w:val="18"/>
          <w:b w:val="1"/>
          <w:bCs w:val="1"/>
          <w:color w:val="auto"/>
        </w:rPr>
        <w:t>(ii)</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subject to Company and/or Committee consent at the time of exercise, pursuant to a</w:t>
      </w:r>
    </w:p>
    <w:p>
      <w:pPr>
        <w:spacing w:after="0" w:line="23" w:lineRule="exact"/>
        <w:rPr>
          <w:sz w:val="20"/>
          <w:szCs w:val="20"/>
          <w:color w:val="auto"/>
        </w:rPr>
      </w:pPr>
    </w:p>
    <w:p>
      <w:pPr>
        <w:sectPr>
          <w:pgSz w:w="11900" w:h="16838" w:orient="portrait"/>
          <w:cols w:equalWidth="0" w:num="2">
            <w:col w:w="3780" w:space="720"/>
            <w:col w:w="6740"/>
          </w:cols>
          <w:pgMar w:left="320" w:top="121" w:right="339" w:bottom="1440" w:gutter="0" w:footer="0" w:header="0"/>
          <w:type w:val="continuous"/>
        </w:sectPr>
      </w:pPr>
    </w:p>
    <w:p>
      <w:pPr>
        <w:spacing w:after="0"/>
        <w:rPr>
          <w:sz w:val="20"/>
          <w:szCs w:val="20"/>
          <w:color w:val="auto"/>
        </w:rPr>
      </w:pPr>
      <w:r>
        <w:rPr>
          <w:rFonts w:ascii="Arial" w:cs="Arial" w:eastAsia="Arial" w:hAnsi="Arial"/>
          <w:sz w:val="18"/>
          <w:szCs w:val="18"/>
          <w:color w:val="auto"/>
        </w:rPr>
        <w:t>“cashless exercise” program as further described in the Plan if at the time of exercise the Common Stock is publicly traded;</w:t>
      </w:r>
    </w:p>
    <w:p>
      <w:pPr>
        <w:spacing w:after="0" w:line="193" w:lineRule="exact"/>
        <w:rPr>
          <w:sz w:val="20"/>
          <w:szCs w:val="20"/>
          <w:color w:val="auto"/>
        </w:rPr>
      </w:pPr>
    </w:p>
    <w:p>
      <w:pPr>
        <w:ind w:firstLine="2246"/>
        <w:spacing w:after="0" w:line="266" w:lineRule="auto"/>
        <w:rPr>
          <w:sz w:val="20"/>
          <w:szCs w:val="20"/>
          <w:color w:val="auto"/>
        </w:rPr>
      </w:pPr>
      <w:r>
        <w:rPr>
          <w:rFonts w:ascii="Arial" w:cs="Arial" w:eastAsia="Arial" w:hAnsi="Arial"/>
          <w:sz w:val="18"/>
          <w:szCs w:val="18"/>
          <w:b w:val="1"/>
          <w:bCs w:val="1"/>
          <w:color w:val="auto"/>
        </w:rPr>
        <w:t xml:space="preserve">(iii) </w:t>
      </w:r>
      <w:r>
        <w:rPr>
          <w:rFonts w:ascii="Arial" w:cs="Arial" w:eastAsia="Arial" w:hAnsi="Arial"/>
          <w:sz w:val="18"/>
          <w:szCs w:val="18"/>
          <w:color w:val="auto"/>
        </w:rPr>
        <w:t>subject to Company and/or Committee consent at the time of exercise, by delivery of</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owned shares of Common Stock as further described in the Plan; or</w:t>
      </w:r>
    </w:p>
    <w:p>
      <w:pPr>
        <w:spacing w:after="0" w:line="176"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7"/>
          <w:szCs w:val="17"/>
          <w:b w:val="1"/>
          <w:bCs w:val="1"/>
          <w:color w:val="auto"/>
        </w:rPr>
        <w:t>(iv)</w:t>
      </w:r>
      <w:r>
        <w:rPr>
          <w:sz w:val="20"/>
          <w:szCs w:val="20"/>
          <w:color w:val="auto"/>
        </w:rPr>
        <w:tab/>
      </w:r>
      <w:r>
        <w:rPr>
          <w:rFonts w:ascii="Arial" w:cs="Arial" w:eastAsia="Arial" w:hAnsi="Arial"/>
          <w:sz w:val="17"/>
          <w:szCs w:val="17"/>
          <w:color w:val="auto"/>
        </w:rPr>
        <w:t>subject to Company and/or Committee consent at the time of exercise, if the Option is a</w:t>
      </w:r>
    </w:p>
    <w:p>
      <w:pPr>
        <w:sectPr>
          <w:pgSz w:w="11900" w:h="16838" w:orient="portrait"/>
          <w:cols w:equalWidth="0" w:num="1">
            <w:col w:w="11240"/>
          </w:cols>
          <w:pgMar w:left="320" w:top="121"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Nonstatutory Stock Option, by a “net exercise” arrangement as further described in the Plan.</w:t>
      </w:r>
    </w:p>
    <w:p>
      <w:pPr>
        <w:spacing w:after="0" w:line="184" w:lineRule="exact"/>
        <w:rPr>
          <w:sz w:val="20"/>
          <w:szCs w:val="20"/>
          <w:color w:val="auto"/>
        </w:rPr>
      </w:pPr>
    </w:p>
    <w:p>
      <w:pPr>
        <w:ind w:firstLine="757"/>
        <w:spacing w:after="0" w:line="282" w:lineRule="auto"/>
        <w:tabs>
          <w:tab w:leader="none" w:pos="1498"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6"/>
          <w:szCs w:val="16"/>
          <w:b w:val="1"/>
          <w:bCs w:val="1"/>
          <w:color w:val="auto"/>
        </w:rPr>
        <w:t>ERM</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not exercise your Option before the commencement of its term or after its term expires. The term of your Option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commences on the Date of Grant and expires upon the earliest of the following:</w:t>
      </w:r>
    </w:p>
    <w:p>
      <w:pPr>
        <w:spacing w:after="0" w:line="152" w:lineRule="exact"/>
        <w:rPr>
          <w:rFonts w:ascii="Arial" w:cs="Arial" w:eastAsia="Arial" w:hAnsi="Arial"/>
          <w:sz w:val="18"/>
          <w:szCs w:val="18"/>
          <w:b w:val="1"/>
          <w:bCs w:val="1"/>
          <w:color w:val="auto"/>
        </w:rPr>
      </w:pPr>
    </w:p>
    <w:p>
      <w:pPr>
        <w:ind w:left="3000" w:hanging="1495"/>
        <w:spacing w:after="0"/>
        <w:tabs>
          <w:tab w:leader="none" w:pos="3000"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immediately upon the termination of your Continuous Service for Cause;</w:t>
      </w:r>
    </w:p>
    <w:p>
      <w:pPr>
        <w:spacing w:after="0" w:line="225" w:lineRule="exact"/>
        <w:rPr>
          <w:rFonts w:ascii="Arial" w:cs="Arial" w:eastAsia="Arial" w:hAnsi="Arial"/>
          <w:sz w:val="18"/>
          <w:szCs w:val="18"/>
          <w:b w:val="1"/>
          <w:bCs w:val="1"/>
          <w:color w:val="auto"/>
        </w:rPr>
      </w:pPr>
    </w:p>
    <w:p>
      <w:pPr>
        <w:ind w:left="3000" w:hanging="1495"/>
        <w:spacing w:after="0"/>
        <w:tabs>
          <w:tab w:leader="none" w:pos="3000" w:val="left"/>
        </w:tabs>
        <w:numPr>
          <w:ilvl w:val="1"/>
          <w:numId w:val="55"/>
        </w:numPr>
        <w:rPr>
          <w:rFonts w:ascii="Arial" w:cs="Arial" w:eastAsia="Arial" w:hAnsi="Arial"/>
          <w:sz w:val="17"/>
          <w:szCs w:val="17"/>
          <w:b w:val="1"/>
          <w:bCs w:val="1"/>
          <w:color w:val="auto"/>
        </w:rPr>
      </w:pPr>
      <w:r>
        <w:rPr>
          <w:rFonts w:ascii="Arial" w:cs="Arial" w:eastAsia="Arial" w:hAnsi="Arial"/>
          <w:sz w:val="17"/>
          <w:szCs w:val="17"/>
          <w:color w:val="auto"/>
        </w:rPr>
        <w:t>three months after the termination of your Continuous Service for any reason other than Cause, Disability or</w:t>
      </w:r>
    </w:p>
    <w:p>
      <w:pPr>
        <w:spacing w:after="0" w:line="23"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death;</w:t>
      </w:r>
    </w:p>
    <w:p>
      <w:pPr>
        <w:spacing w:after="0" w:line="195" w:lineRule="exact"/>
        <w:rPr>
          <w:rFonts w:ascii="Arial" w:cs="Arial" w:eastAsia="Arial" w:hAnsi="Arial"/>
          <w:sz w:val="17"/>
          <w:szCs w:val="17"/>
          <w:b w:val="1"/>
          <w:bCs w:val="1"/>
          <w:color w:val="auto"/>
        </w:rPr>
      </w:pPr>
    </w:p>
    <w:p>
      <w:pPr>
        <w:ind w:left="3000" w:hanging="1495"/>
        <w:spacing w:after="0"/>
        <w:tabs>
          <w:tab w:leader="none" w:pos="3000"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12 months after the termination of your Continuous Service due to your Disability;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ind w:left="3000" w:hanging="1495"/>
        <w:spacing w:after="0"/>
        <w:tabs>
          <w:tab w:leader="none" w:pos="300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12 months after your death if you die during your Continuous Service;</w:t>
      </w:r>
    </w:p>
    <w:p>
      <w:pPr>
        <w:spacing w:after="0" w:line="209" w:lineRule="exact"/>
        <w:rPr>
          <w:rFonts w:ascii="Arial" w:cs="Arial" w:eastAsia="Arial" w:hAnsi="Arial"/>
          <w:sz w:val="18"/>
          <w:szCs w:val="18"/>
          <w:b w:val="1"/>
          <w:bCs w:val="1"/>
          <w:color w:val="auto"/>
        </w:rPr>
      </w:pPr>
    </w:p>
    <w:p>
      <w:pPr>
        <w:ind w:left="3000" w:hanging="1495"/>
        <w:spacing w:after="0"/>
        <w:tabs>
          <w:tab w:leader="none" w:pos="300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immediately upon a Corporate Transaction if the Board has determined that the Option will terminate in</w:t>
      </w:r>
    </w:p>
    <w:p>
      <w:pPr>
        <w:spacing w:after="0" w:line="1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connection with a Corporate Transaction,</w:t>
      </w:r>
    </w:p>
    <w:p>
      <w:pPr>
        <w:spacing w:after="0" w:line="195" w:lineRule="exact"/>
        <w:rPr>
          <w:rFonts w:ascii="Arial" w:cs="Arial" w:eastAsia="Arial" w:hAnsi="Arial"/>
          <w:sz w:val="18"/>
          <w:szCs w:val="18"/>
          <w:b w:val="1"/>
          <w:bCs w:val="1"/>
          <w:color w:val="auto"/>
        </w:rPr>
      </w:pPr>
    </w:p>
    <w:p>
      <w:pPr>
        <w:ind w:left="3000" w:hanging="1495"/>
        <w:spacing w:after="0"/>
        <w:tabs>
          <w:tab w:leader="none" w:pos="300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Expiration Date indicated in your Grant Notice; or</w:t>
      </w:r>
    </w:p>
    <w:p>
      <w:pPr>
        <w:spacing w:after="0" w:line="225" w:lineRule="exact"/>
        <w:rPr>
          <w:rFonts w:ascii="Arial" w:cs="Arial" w:eastAsia="Arial" w:hAnsi="Arial"/>
          <w:sz w:val="18"/>
          <w:szCs w:val="18"/>
          <w:b w:val="1"/>
          <w:bCs w:val="1"/>
          <w:color w:val="auto"/>
        </w:rPr>
      </w:pPr>
    </w:p>
    <w:p>
      <w:pPr>
        <w:ind w:left="3000" w:hanging="1495"/>
        <w:spacing w:after="0"/>
        <w:tabs>
          <w:tab w:leader="none" w:pos="300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day before the 10th anniversary of the Date of Grant.</w:t>
      </w:r>
    </w:p>
    <w:p>
      <w:pPr>
        <w:spacing w:after="0" w:line="21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8"/>
          <w:szCs w:val="18"/>
          <w:color w:val="auto"/>
        </w:rPr>
        <w:t>Notwithstanding the foregoing, if you die during the period provided in Section 3(b) or 3(c) above, the term of your Option shall not expire until the earlier of (i) twelve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the Plan.</w:t>
      </w:r>
    </w:p>
    <w:p>
      <w:pPr>
        <w:spacing w:after="0" w:line="177" w:lineRule="exact"/>
        <w:rPr>
          <w:sz w:val="20"/>
          <w:szCs w:val="20"/>
          <w:color w:val="auto"/>
        </w:rPr>
      </w:pPr>
    </w:p>
    <w:p>
      <w:pPr>
        <w:ind w:left="1500" w:hanging="743"/>
        <w:spacing w:after="0"/>
        <w:tabs>
          <w:tab w:leader="none" w:pos="1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esponsibility for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axes</w:t>
      </w:r>
      <w:r>
        <w:rPr>
          <w:rFonts w:ascii="Arial" w:cs="Arial" w:eastAsia="Arial" w:hAnsi="Arial"/>
          <w:sz w:val="18"/>
          <w:szCs w:val="18"/>
          <w:color w:val="auto"/>
        </w:rPr>
        <w:t>.</w:t>
      </w:r>
    </w:p>
    <w:p>
      <w:pPr>
        <w:spacing w:after="0" w:line="215" w:lineRule="exact"/>
        <w:rPr>
          <w:rFonts w:ascii="Arial" w:cs="Arial" w:eastAsia="Arial" w:hAnsi="Arial"/>
          <w:sz w:val="18"/>
          <w:szCs w:val="18"/>
          <w:b w:val="1"/>
          <w:bCs w:val="1"/>
          <w:color w:val="auto"/>
        </w:rPr>
      </w:pPr>
    </w:p>
    <w:p>
      <w:pPr>
        <w:jc w:val="both"/>
        <w:ind w:firstLine="1505"/>
        <w:spacing w:after="0" w:line="276" w:lineRule="auto"/>
        <w:tabs>
          <w:tab w:leader="none" w:pos="2995" w:val="left"/>
        </w:tabs>
        <w:numPr>
          <w:ilvl w:val="1"/>
          <w:numId w:val="57"/>
        </w:numPr>
        <w:rPr>
          <w:rFonts w:ascii="Arial" w:cs="Arial" w:eastAsia="Arial" w:hAnsi="Arial"/>
          <w:sz w:val="16"/>
          <w:szCs w:val="16"/>
          <w:b w:val="1"/>
          <w:bCs w:val="1"/>
          <w:color w:val="auto"/>
        </w:rPr>
      </w:pPr>
      <w:r>
        <w:rPr>
          <w:rFonts w:ascii="Arial" w:cs="Arial" w:eastAsia="Arial" w:hAnsi="Arial"/>
          <w:sz w:val="16"/>
          <w:szCs w:val="16"/>
          <w:color w:val="auto"/>
        </w:rPr>
        <w:t>You acknowledge that, regardless of any action taken by the Company, or if different, the Affiliate employing you or to which you otherwise provide services (the “</w:t>
      </w:r>
      <w:r>
        <w:rPr>
          <w:rFonts w:ascii="Arial" w:cs="Arial" w:eastAsia="Arial" w:hAnsi="Arial"/>
          <w:sz w:val="16"/>
          <w:szCs w:val="16"/>
          <w:b w:val="1"/>
          <w:bCs w:val="1"/>
          <w:i w:val="1"/>
          <w:iCs w:val="1"/>
          <w:color w:val="auto"/>
        </w:rPr>
        <w:t>Service Recipient</w:t>
      </w:r>
      <w:r>
        <w:rPr>
          <w:rFonts w:ascii="Arial" w:cs="Arial" w:eastAsia="Arial" w:hAnsi="Arial"/>
          <w:sz w:val="16"/>
          <w:szCs w:val="16"/>
          <w:color w:val="auto"/>
        </w:rPr>
        <w:t>”), the ultimate liability for all income tax (including U.S. or non-U.S. federal, state, and local taxes), social insurance, payroll tax, fringe benefits tax, payment on account or other tax-related items related to your participation in the Plan and legally applicable or deemed applicable to you (“</w:t>
      </w:r>
      <w:r>
        <w:rPr>
          <w:rFonts w:ascii="Arial" w:cs="Arial" w:eastAsia="Arial" w:hAnsi="Arial"/>
          <w:sz w:val="16"/>
          <w:szCs w:val="16"/>
          <w:b w:val="1"/>
          <w:bCs w:val="1"/>
          <w:i w:val="1"/>
          <w:iCs w:val="1"/>
          <w:color w:val="auto"/>
        </w:rPr>
        <w:t>Tax-Related Items</w:t>
      </w:r>
      <w:r>
        <w:rPr>
          <w:rFonts w:ascii="Arial" w:cs="Arial" w:eastAsia="Arial" w:hAnsi="Arial"/>
          <w:sz w:val="16"/>
          <w:szCs w:val="16"/>
          <w:color w:val="auto"/>
        </w:rPr>
        <w:t>”) is and remains your responsibility and may exceed the amount, if any, actually withheld by the Company or the Service Recipient. You further acknowledge that the Company and/or the Service Recipient (i) make no representations or undertakings regarding the treatment of any Tax-Related Items in connection with any aspect of the Option, including, but not limited to, the grant of the Option, the vesting of the Option, the exercise of the Option, the subsequent sale of any shares of Common Stock acquired pursuant to the Option and the receipt of any dividends; and (ii) do not commit to and are under no obligation to reduce or eliminate your liability for Tax-Related Items or to achieve any particular tax result. Further, if you become subject to taxation in more than one country, you acknowledge that the Company and/or the Service Recipient (or former service recipient, as applicable) may be required to withhold or account for Tax-Related Items in more than one country.</w:t>
      </w:r>
    </w:p>
    <w:p>
      <w:pPr>
        <w:spacing w:after="0" w:line="179" w:lineRule="exact"/>
        <w:rPr>
          <w:rFonts w:ascii="Arial" w:cs="Arial" w:eastAsia="Arial" w:hAnsi="Arial"/>
          <w:sz w:val="16"/>
          <w:szCs w:val="16"/>
          <w:b w:val="1"/>
          <w:bCs w:val="1"/>
          <w:color w:val="auto"/>
        </w:rPr>
      </w:pPr>
    </w:p>
    <w:p>
      <w:pPr>
        <w:jc w:val="both"/>
        <w:ind w:firstLine="1505"/>
        <w:spacing w:after="0" w:line="257" w:lineRule="auto"/>
        <w:tabs>
          <w:tab w:leader="none" w:pos="2995" w:val="left"/>
        </w:tabs>
        <w:numPr>
          <w:ilvl w:val="1"/>
          <w:numId w:val="57"/>
        </w:numPr>
        <w:rPr>
          <w:rFonts w:ascii="Arial" w:cs="Arial" w:eastAsia="Arial" w:hAnsi="Arial"/>
          <w:sz w:val="17"/>
          <w:szCs w:val="17"/>
          <w:b w:val="1"/>
          <w:bCs w:val="1"/>
          <w:color w:val="auto"/>
        </w:rPr>
      </w:pPr>
      <w:r>
        <w:rPr>
          <w:rFonts w:ascii="Arial" w:cs="Arial" w:eastAsia="Arial" w:hAnsi="Arial"/>
          <w:sz w:val="17"/>
          <w:szCs w:val="17"/>
          <w:color w:val="auto"/>
        </w:rPr>
        <w:t>In connection with any relevant taxable or tax withholding event, as applicable, you agree to make adequate arrangements satisfactory to the Company and/or the Service Recipient to satisfy all Tax-Related Items. In this regard, you authorize the Company and/or the Service Recipient, or their respective agents, at their discretion, to satisfy any applicable withholding obligations or rights with regard to all Tax-Related Items by one or a combination of the following: (i) withholding from your wages or other cash compensation payable to you by the Company and/or any Affiliate, including the Service Recipient; (ii) allowing or requiring you to make payment in a form acceptable to the Company to cover the Tax-Related Items; (iii) withholding from proceeds of the sale of shares of Common Stock acquired upon exercise of this Option either through a voluntary sale or through a mandatory sale arranged by the Company (on your behalf pursuant to this authorization without further consent); (iv) withholding from the shares of Common Stock to be issued to you upon exercise of this Option; or (v) any other method of withholding determined by the Company and permitted by Applicable Law; provided, however, that that if you are an Officer, then the Plan Administrator shall establish the method of withholding from alternatives (i)-(iii) herein and, if the Plan Administrator does not exercise its discretion prior to the applicable withholding event, then you shall be entitled to elect the method of withholding from the alternatives above.</w:t>
      </w:r>
    </w:p>
    <w:p>
      <w:pPr>
        <w:spacing w:after="0" w:line="181" w:lineRule="exact"/>
        <w:rPr>
          <w:rFonts w:ascii="Arial" w:cs="Arial" w:eastAsia="Arial" w:hAnsi="Arial"/>
          <w:sz w:val="17"/>
          <w:szCs w:val="17"/>
          <w:b w:val="1"/>
          <w:bCs w:val="1"/>
          <w:color w:val="auto"/>
        </w:rPr>
      </w:pPr>
    </w:p>
    <w:p>
      <w:pPr>
        <w:jc w:val="both"/>
        <w:ind w:firstLine="1505"/>
        <w:spacing w:after="0" w:line="244" w:lineRule="auto"/>
        <w:tabs>
          <w:tab w:leader="none" w:pos="2995"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The Company and/or the Service Recipient may withhold or account for Tax-Related Items by considering applicable statutory withholding amounts or other applicable withholding rates, including minimum and maximum rates applicable in your jurisdiction(s). In the event of over-withholding you may receive a refund of any over-withheld amount in cash (with no entitlement to the equivalent amount in shares of Common Stock) from the Company or the Service Recipient; otherwise, you may be able to seek a refund from the local tax authorities. In the event of under-withholding, you may be required to pay any additional Tax-Related Items directly to the applicable tax authority or to the Company and/or the Service Recipient. If the obligation for Tax-Related Items is satisfied by withholding shares of Common Stock, for tax purposes, you are deemed to have been issued the full number of shares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ind w:left="10320"/>
        <w:spacing w:after="0"/>
        <w:rPr>
          <w:sz w:val="20"/>
          <w:szCs w:val="20"/>
          <w:color w:val="auto"/>
        </w:rPr>
      </w:pPr>
      <w:r>
        <w:rPr>
          <w:rFonts w:ascii="Arial" w:cs="Arial" w:eastAsia="Arial" w:hAnsi="Arial"/>
          <w:sz w:val="16"/>
          <w:szCs w:val="16"/>
          <w:b w:val="1"/>
          <w:bCs w:val="1"/>
          <w:color w:val="auto"/>
        </w:rPr>
        <w:t>Exhibit 10.1</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of Common Stock subject to the exercised Option, notwithstanding that a number of the shares of Common Stock is held back solely for the purpose of</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paying the Tax-Related Items.</w:t>
      </w:r>
    </w:p>
    <w:p>
      <w:pPr>
        <w:spacing w:after="0" w:line="197" w:lineRule="exact"/>
        <w:rPr>
          <w:sz w:val="20"/>
          <w:szCs w:val="20"/>
          <w:color w:val="auto"/>
        </w:rPr>
      </w:pPr>
    </w:p>
    <w:p>
      <w:pPr>
        <w:jc w:val="both"/>
        <w:ind w:firstLine="1505"/>
        <w:spacing w:after="0" w:line="249" w:lineRule="auto"/>
        <w:tabs>
          <w:tab w:leader="none" w:pos="2995" w:val="left"/>
        </w:tabs>
        <w:numPr>
          <w:ilvl w:val="1"/>
          <w:numId w:val="58"/>
        </w:numPr>
        <w:rPr>
          <w:rFonts w:ascii="Arial" w:cs="Arial" w:eastAsia="Arial" w:hAnsi="Arial"/>
          <w:sz w:val="18"/>
          <w:szCs w:val="18"/>
          <w:b w:val="1"/>
          <w:bCs w:val="1"/>
          <w:color w:val="auto"/>
        </w:rPr>
      </w:pPr>
      <w:r>
        <w:rPr>
          <w:rFonts w:ascii="Arial" w:cs="Arial" w:eastAsia="Arial" w:hAnsi="Arial"/>
          <w:sz w:val="18"/>
          <w:szCs w:val="18"/>
          <w:color w:val="auto"/>
        </w:rPr>
        <w:t>You agree to pay to the Company or the Service Recipient any amount of Tax-Related Items that the Company or the Service Recipient may be required to withhold or account for as a result of your participation in the Plan that cannot be satisfied by the means previously described. The Company may refuse to issue or deliver the shares of Common Stock, or the proceeds of the sale of shares of Common Stock, if you fail to comply with your obligations in connection with the Tax-Related Items.</w:t>
      </w:r>
    </w:p>
    <w:p>
      <w:pPr>
        <w:spacing w:after="0" w:line="176" w:lineRule="exact"/>
        <w:rPr>
          <w:rFonts w:ascii="Arial" w:cs="Arial" w:eastAsia="Arial" w:hAnsi="Arial"/>
          <w:sz w:val="18"/>
          <w:szCs w:val="18"/>
          <w:b w:val="1"/>
          <w:bCs w:val="1"/>
          <w:color w:val="auto"/>
        </w:rPr>
      </w:pPr>
    </w:p>
    <w:p>
      <w:pPr>
        <w:jc w:val="both"/>
        <w:ind w:firstLine="757"/>
        <w:spacing w:after="0" w:line="268" w:lineRule="auto"/>
        <w:tabs>
          <w:tab w:leader="none" w:pos="1498"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I</w:t>
      </w:r>
      <w:r>
        <w:rPr>
          <w:rFonts w:ascii="Arial" w:cs="Arial" w:eastAsia="Arial" w:hAnsi="Arial"/>
          <w:sz w:val="15"/>
          <w:szCs w:val="15"/>
          <w:b w:val="1"/>
          <w:bCs w:val="1"/>
          <w:color w:val="auto"/>
        </w:rPr>
        <w:t>NCENTIVE</w:t>
      </w:r>
      <w:r>
        <w:rPr>
          <w:rFonts w:ascii="Arial" w:cs="Arial" w:eastAsia="Arial" w:hAnsi="Arial"/>
          <w:sz w:val="17"/>
          <w:szCs w:val="17"/>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7"/>
          <w:szCs w:val="17"/>
          <w:b w:val="1"/>
          <w:bCs w:val="1"/>
          <w:color w:val="auto"/>
        </w:rPr>
        <w:t xml:space="preserve"> O</w:t>
      </w:r>
      <w:r>
        <w:rPr>
          <w:rFonts w:ascii="Arial" w:cs="Arial" w:eastAsia="Arial" w:hAnsi="Arial"/>
          <w:sz w:val="15"/>
          <w:szCs w:val="15"/>
          <w:b w:val="1"/>
          <w:bCs w:val="1"/>
          <w:color w:val="auto"/>
        </w:rPr>
        <w:t>PTION</w:t>
      </w:r>
      <w:r>
        <w:rPr>
          <w:rFonts w:ascii="Arial" w:cs="Arial" w:eastAsia="Arial" w:hAnsi="Arial"/>
          <w:sz w:val="17"/>
          <w:szCs w:val="17"/>
          <w:b w:val="1"/>
          <w:bCs w:val="1"/>
          <w:color w:val="auto"/>
        </w:rPr>
        <w:t xml:space="preserve"> D</w:t>
      </w:r>
      <w:r>
        <w:rPr>
          <w:rFonts w:ascii="Arial" w:cs="Arial" w:eastAsia="Arial" w:hAnsi="Arial"/>
          <w:sz w:val="15"/>
          <w:szCs w:val="15"/>
          <w:b w:val="1"/>
          <w:bCs w:val="1"/>
          <w:color w:val="auto"/>
        </w:rPr>
        <w:t>ISPOSITION</w:t>
      </w:r>
      <w:r>
        <w:rPr>
          <w:rFonts w:ascii="Arial" w:cs="Arial" w:eastAsia="Arial" w:hAnsi="Arial"/>
          <w:sz w:val="17"/>
          <w:szCs w:val="17"/>
          <w:b w:val="1"/>
          <w:bCs w:val="1"/>
          <w:color w:val="auto"/>
        </w:rPr>
        <w:t xml:space="preserve"> R</w:t>
      </w:r>
      <w:r>
        <w:rPr>
          <w:rFonts w:ascii="Arial" w:cs="Arial" w:eastAsia="Arial" w:hAnsi="Arial"/>
          <w:sz w:val="15"/>
          <w:szCs w:val="15"/>
          <w:b w:val="1"/>
          <w:bCs w:val="1"/>
          <w:color w:val="auto"/>
        </w:rPr>
        <w:t>EQUIREMENT</w:t>
      </w:r>
      <w:r>
        <w:rPr>
          <w:rFonts w:ascii="Arial" w:cs="Arial" w:eastAsia="Arial" w:hAnsi="Arial"/>
          <w:sz w:val="17"/>
          <w:szCs w:val="17"/>
          <w:b w:val="1"/>
          <w:bCs w:val="1"/>
          <w:color w:val="auto"/>
        </w:rPr>
        <w:t xml:space="preserve">. </w:t>
      </w:r>
      <w:r>
        <w:rPr>
          <w:rFonts w:ascii="Arial" w:cs="Arial" w:eastAsia="Arial" w:hAnsi="Arial"/>
          <w:sz w:val="17"/>
          <w:szCs w:val="17"/>
          <w:color w:val="auto"/>
        </w:rPr>
        <w:t>If your Option is an Incentive Stock Option, you must notify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 writing within 15 days after the date of any disposition of any of the shares of the Common Stock issued upon exercise of your Option that occurs within two years after the date of your Option grant or within one year after you acquired such shares of Common Stock upon exercise of your Option. The Company may require that such shares of Common Stock be retained with a particular broker or agent for a designated period of time and/or may establish other procedures to permit tracking of qualifying and disqualifying dispositions of such shares of Common Stock.</w:t>
      </w:r>
    </w:p>
    <w:p>
      <w:pPr>
        <w:spacing w:after="0" w:line="164" w:lineRule="exact"/>
        <w:rPr>
          <w:rFonts w:ascii="Arial" w:cs="Arial" w:eastAsia="Arial" w:hAnsi="Arial"/>
          <w:sz w:val="17"/>
          <w:szCs w:val="17"/>
          <w:b w:val="1"/>
          <w:bCs w:val="1"/>
          <w:color w:val="auto"/>
        </w:rPr>
      </w:pPr>
    </w:p>
    <w:p>
      <w:pPr>
        <w:ind w:left="1500" w:hanging="743"/>
        <w:spacing w:after="0"/>
        <w:tabs>
          <w:tab w:leader="none" w:pos="1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6"/>
          <w:szCs w:val="16"/>
          <w:b w:val="1"/>
          <w:bCs w:val="1"/>
          <w:color w:val="auto"/>
        </w:rPr>
        <w:t>ATURE OF</w:t>
      </w:r>
      <w:r>
        <w:rPr>
          <w:rFonts w:ascii="Arial" w:cs="Arial" w:eastAsia="Arial" w:hAnsi="Arial"/>
          <w:sz w:val="18"/>
          <w:szCs w:val="18"/>
          <w:b w:val="1"/>
          <w:bCs w:val="1"/>
          <w:color w:val="auto"/>
        </w:rPr>
        <w:t xml:space="preserve"> G</w:t>
      </w:r>
      <w:r>
        <w:rPr>
          <w:rFonts w:ascii="Arial" w:cs="Arial" w:eastAsia="Arial" w:hAnsi="Arial"/>
          <w:sz w:val="16"/>
          <w:szCs w:val="16"/>
          <w:b w:val="1"/>
          <w:bCs w:val="1"/>
          <w:color w:val="auto"/>
        </w:rPr>
        <w:t>RANT</w:t>
      </w:r>
      <w:r>
        <w:rPr>
          <w:rFonts w:ascii="Arial" w:cs="Arial" w:eastAsia="Arial" w:hAnsi="Arial"/>
          <w:sz w:val="18"/>
          <w:szCs w:val="18"/>
          <w:b w:val="1"/>
          <w:bCs w:val="1"/>
          <w:color w:val="auto"/>
        </w:rPr>
        <w:t xml:space="preserve">. </w:t>
      </w:r>
      <w:r>
        <w:rPr>
          <w:rFonts w:ascii="Arial" w:cs="Arial" w:eastAsia="Arial" w:hAnsi="Arial"/>
          <w:sz w:val="18"/>
          <w:szCs w:val="18"/>
          <w:color w:val="auto"/>
        </w:rPr>
        <w:t>In accepting the Option, you acknowledge, understand and agree that:</w:t>
      </w:r>
    </w:p>
    <w:p>
      <w:pPr>
        <w:spacing w:after="0" w:line="229" w:lineRule="exact"/>
        <w:rPr>
          <w:rFonts w:ascii="Arial" w:cs="Arial" w:eastAsia="Arial" w:hAnsi="Arial"/>
          <w:sz w:val="18"/>
          <w:szCs w:val="18"/>
          <w:b w:val="1"/>
          <w:bCs w:val="1"/>
          <w:color w:val="auto"/>
        </w:rPr>
      </w:pPr>
    </w:p>
    <w:p>
      <w:pPr>
        <w:ind w:firstLine="1505"/>
        <w:spacing w:after="0" w:line="261" w:lineRule="auto"/>
        <w:tabs>
          <w:tab w:leader="none" w:pos="2995" w:val="left"/>
        </w:tabs>
        <w:numPr>
          <w:ilvl w:val="1"/>
          <w:numId w:val="59"/>
        </w:numPr>
        <w:rPr>
          <w:rFonts w:ascii="Arial" w:cs="Arial" w:eastAsia="Arial" w:hAnsi="Arial"/>
          <w:sz w:val="18"/>
          <w:szCs w:val="18"/>
          <w:b w:val="1"/>
          <w:bCs w:val="1"/>
          <w:color w:val="auto"/>
        </w:rPr>
      </w:pPr>
      <w:r>
        <w:rPr>
          <w:rFonts w:ascii="Arial" w:cs="Arial" w:eastAsia="Arial" w:hAnsi="Arial"/>
          <w:sz w:val="18"/>
          <w:szCs w:val="18"/>
          <w:color w:val="auto"/>
        </w:rPr>
        <w:t>the Plan is established voluntarily by the Company, it is discretionary in nature, and may be amended, suspended or terminated by the Company at any time, to the extent permitted by the Plan;</w:t>
      </w:r>
    </w:p>
    <w:p>
      <w:pPr>
        <w:spacing w:after="0" w:line="184" w:lineRule="exact"/>
        <w:rPr>
          <w:rFonts w:ascii="Arial" w:cs="Arial" w:eastAsia="Arial" w:hAnsi="Arial"/>
          <w:sz w:val="18"/>
          <w:szCs w:val="18"/>
          <w:b w:val="1"/>
          <w:bCs w:val="1"/>
          <w:color w:val="auto"/>
        </w:rPr>
      </w:pPr>
    </w:p>
    <w:p>
      <w:pPr>
        <w:ind w:left="3000" w:hanging="1495"/>
        <w:spacing w:after="0"/>
        <w:tabs>
          <w:tab w:leader="none" w:pos="3000" w:val="left"/>
        </w:tabs>
        <w:numPr>
          <w:ilvl w:val="1"/>
          <w:numId w:val="59"/>
        </w:numPr>
        <w:rPr>
          <w:rFonts w:ascii="Arial" w:cs="Arial" w:eastAsia="Arial" w:hAnsi="Arial"/>
          <w:sz w:val="16"/>
          <w:szCs w:val="16"/>
          <w:b w:val="1"/>
          <w:bCs w:val="1"/>
          <w:color w:val="auto"/>
        </w:rPr>
      </w:pPr>
      <w:r>
        <w:rPr>
          <w:rFonts w:ascii="Arial" w:cs="Arial" w:eastAsia="Arial" w:hAnsi="Arial"/>
          <w:sz w:val="16"/>
          <w:szCs w:val="16"/>
          <w:color w:val="auto"/>
        </w:rPr>
        <w:t>the grant of the Option is an exceptional, voluntary, one-time benefit and does not create any contractual or other</w:t>
      </w:r>
    </w:p>
    <w:p>
      <w:pPr>
        <w:spacing w:after="0" w:line="34"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right to receive future grants of options or benefits in lieu of options, even if options have been granted in the past;</w:t>
      </w:r>
    </w:p>
    <w:p>
      <w:pPr>
        <w:spacing w:after="0" w:line="195" w:lineRule="exact"/>
        <w:rPr>
          <w:rFonts w:ascii="Arial" w:cs="Arial" w:eastAsia="Arial" w:hAnsi="Arial"/>
          <w:sz w:val="16"/>
          <w:szCs w:val="16"/>
          <w:b w:val="1"/>
          <w:bCs w:val="1"/>
          <w:color w:val="auto"/>
        </w:rPr>
      </w:pPr>
    </w:p>
    <w:p>
      <w:pPr>
        <w:ind w:left="3000" w:hanging="1495"/>
        <w:spacing w:after="0"/>
        <w:tabs>
          <w:tab w:leader="none" w:pos="3000" w:val="left"/>
        </w:tabs>
        <w:numPr>
          <w:ilvl w:val="1"/>
          <w:numId w:val="59"/>
        </w:numPr>
        <w:rPr>
          <w:rFonts w:ascii="Arial" w:cs="Arial" w:eastAsia="Arial" w:hAnsi="Arial"/>
          <w:sz w:val="16"/>
          <w:szCs w:val="16"/>
          <w:b w:val="1"/>
          <w:bCs w:val="1"/>
          <w:color w:val="auto"/>
        </w:rPr>
      </w:pPr>
      <w:r>
        <w:rPr>
          <w:rFonts w:ascii="Arial" w:cs="Arial" w:eastAsia="Arial" w:hAnsi="Arial"/>
          <w:sz w:val="16"/>
          <w:szCs w:val="16"/>
          <w:color w:val="auto"/>
        </w:rPr>
        <w:t>all decisions with respect to future Options or other grants, if any, will be at the sole discretion of the Company;</w:t>
      </w:r>
    </w:p>
    <w:p>
      <w:pPr>
        <w:spacing w:after="0" w:line="248" w:lineRule="exact"/>
        <w:rPr>
          <w:rFonts w:ascii="Arial" w:cs="Arial" w:eastAsia="Arial" w:hAnsi="Arial"/>
          <w:sz w:val="16"/>
          <w:szCs w:val="16"/>
          <w:b w:val="1"/>
          <w:bCs w:val="1"/>
          <w:color w:val="auto"/>
        </w:rPr>
      </w:pPr>
    </w:p>
    <w:p>
      <w:pPr>
        <w:ind w:firstLine="1505"/>
        <w:spacing w:after="0" w:line="261" w:lineRule="auto"/>
        <w:tabs>
          <w:tab w:leader="none" w:pos="2995" w:val="left"/>
        </w:tabs>
        <w:numPr>
          <w:ilvl w:val="1"/>
          <w:numId w:val="59"/>
        </w:numPr>
        <w:rPr>
          <w:rFonts w:ascii="Arial" w:cs="Arial" w:eastAsia="Arial" w:hAnsi="Arial"/>
          <w:sz w:val="18"/>
          <w:szCs w:val="18"/>
          <w:b w:val="1"/>
          <w:bCs w:val="1"/>
          <w:color w:val="auto"/>
        </w:rPr>
      </w:pPr>
      <w:r>
        <w:rPr>
          <w:rFonts w:ascii="Arial" w:cs="Arial" w:eastAsia="Arial" w:hAnsi="Arial"/>
          <w:sz w:val="18"/>
          <w:szCs w:val="18"/>
          <w:color w:val="auto"/>
        </w:rPr>
        <w:t>the Option grant and your participation in the Plan shall not create a right to Continuous Service or be interpreted as forming or amending an employment or service contract with the Company, the Service Recipient or any other Affiliate;</w:t>
      </w:r>
    </w:p>
    <w:p>
      <w:pPr>
        <w:spacing w:after="0" w:line="170" w:lineRule="exact"/>
        <w:rPr>
          <w:rFonts w:ascii="Arial" w:cs="Arial" w:eastAsia="Arial" w:hAnsi="Arial"/>
          <w:sz w:val="18"/>
          <w:szCs w:val="18"/>
          <w:b w:val="1"/>
          <w:bCs w:val="1"/>
          <w:color w:val="auto"/>
        </w:rPr>
      </w:pPr>
    </w:p>
    <w:p>
      <w:pPr>
        <w:ind w:left="3000" w:hanging="1495"/>
        <w:spacing w:after="0"/>
        <w:tabs>
          <w:tab w:leader="none" w:pos="3000" w:val="left"/>
        </w:tabs>
        <w:numPr>
          <w:ilvl w:val="1"/>
          <w:numId w:val="59"/>
        </w:numPr>
        <w:rPr>
          <w:rFonts w:ascii="Arial" w:cs="Arial" w:eastAsia="Arial" w:hAnsi="Arial"/>
          <w:sz w:val="18"/>
          <w:szCs w:val="18"/>
          <w:b w:val="1"/>
          <w:bCs w:val="1"/>
          <w:color w:val="auto"/>
        </w:rPr>
      </w:pPr>
      <w:r>
        <w:rPr>
          <w:rFonts w:ascii="Arial" w:cs="Arial" w:eastAsia="Arial" w:hAnsi="Arial"/>
          <w:sz w:val="18"/>
          <w:szCs w:val="18"/>
          <w:color w:val="auto"/>
        </w:rPr>
        <w:t>you are voluntarily participating in the Plan;</w:t>
      </w:r>
    </w:p>
    <w:p>
      <w:pPr>
        <w:spacing w:after="0" w:line="225" w:lineRule="exact"/>
        <w:rPr>
          <w:rFonts w:ascii="Arial" w:cs="Arial" w:eastAsia="Arial" w:hAnsi="Arial"/>
          <w:sz w:val="18"/>
          <w:szCs w:val="18"/>
          <w:b w:val="1"/>
          <w:bCs w:val="1"/>
          <w:color w:val="auto"/>
        </w:rPr>
      </w:pPr>
    </w:p>
    <w:p>
      <w:pPr>
        <w:ind w:right="20" w:firstLine="1505"/>
        <w:spacing w:after="0" w:line="261" w:lineRule="auto"/>
        <w:tabs>
          <w:tab w:leader="none" w:pos="2995" w:val="left"/>
        </w:tabs>
        <w:numPr>
          <w:ilvl w:val="1"/>
          <w:numId w:val="59"/>
        </w:numPr>
        <w:rPr>
          <w:rFonts w:ascii="Arial" w:cs="Arial" w:eastAsia="Arial" w:hAnsi="Arial"/>
          <w:sz w:val="18"/>
          <w:szCs w:val="18"/>
          <w:b w:val="1"/>
          <w:bCs w:val="1"/>
          <w:color w:val="auto"/>
        </w:rPr>
      </w:pPr>
      <w:r>
        <w:rPr>
          <w:rFonts w:ascii="Arial" w:cs="Arial" w:eastAsia="Arial" w:hAnsi="Arial"/>
          <w:sz w:val="18"/>
          <w:szCs w:val="18"/>
          <w:color w:val="auto"/>
        </w:rPr>
        <w:t>the Option and any shares of Common Stock acquired under the Plan, and the income from and value of same, are not intended to replace any pension rights or compensation;</w:t>
      </w:r>
    </w:p>
    <w:p>
      <w:pPr>
        <w:spacing w:after="0" w:line="170" w:lineRule="exact"/>
        <w:rPr>
          <w:rFonts w:ascii="Arial" w:cs="Arial" w:eastAsia="Arial" w:hAnsi="Arial"/>
          <w:sz w:val="18"/>
          <w:szCs w:val="18"/>
          <w:b w:val="1"/>
          <w:bCs w:val="1"/>
          <w:color w:val="auto"/>
        </w:rPr>
      </w:pPr>
    </w:p>
    <w:p>
      <w:pPr>
        <w:jc w:val="both"/>
        <w:ind w:firstLine="1505"/>
        <w:spacing w:after="0" w:line="249" w:lineRule="auto"/>
        <w:tabs>
          <w:tab w:leader="none" w:pos="2995" w:val="left"/>
        </w:tabs>
        <w:numPr>
          <w:ilvl w:val="1"/>
          <w:numId w:val="59"/>
        </w:numPr>
        <w:rPr>
          <w:rFonts w:ascii="Arial" w:cs="Arial" w:eastAsia="Arial" w:hAnsi="Arial"/>
          <w:sz w:val="18"/>
          <w:szCs w:val="18"/>
          <w:b w:val="1"/>
          <w:bCs w:val="1"/>
          <w:color w:val="auto"/>
        </w:rPr>
      </w:pPr>
      <w:r>
        <w:rPr>
          <w:rFonts w:ascii="Arial" w:cs="Arial" w:eastAsia="Arial" w:hAnsi="Arial"/>
          <w:sz w:val="18"/>
          <w:szCs w:val="18"/>
          <w:color w:val="auto"/>
        </w:rPr>
        <w:t>the Option and any shares of Common Stock acquired under the Plan, and the income from and value of same, are not part of normal or expected compensation for any purpose, including, without limitation, calculating any severance, resignation, termination, redundancy, dismissal, end-of-service payments, holiday pay, bonuses, long-service awards, pension or retirement or welfare benefits or similar mandatory payments;</w:t>
      </w:r>
    </w:p>
    <w:p>
      <w:pPr>
        <w:spacing w:after="0" w:line="180" w:lineRule="exact"/>
        <w:rPr>
          <w:rFonts w:ascii="Arial" w:cs="Arial" w:eastAsia="Arial" w:hAnsi="Arial"/>
          <w:sz w:val="18"/>
          <w:szCs w:val="18"/>
          <w:b w:val="1"/>
          <w:bCs w:val="1"/>
          <w:color w:val="auto"/>
        </w:rPr>
      </w:pPr>
    </w:p>
    <w:p>
      <w:pPr>
        <w:ind w:left="3000" w:hanging="1495"/>
        <w:spacing w:after="0"/>
        <w:tabs>
          <w:tab w:leader="none" w:pos="3000" w:val="left"/>
        </w:tabs>
        <w:numPr>
          <w:ilvl w:val="1"/>
          <w:numId w:val="59"/>
        </w:numPr>
        <w:rPr>
          <w:rFonts w:ascii="Arial" w:cs="Arial" w:eastAsia="Arial" w:hAnsi="Arial"/>
          <w:sz w:val="16"/>
          <w:szCs w:val="16"/>
          <w:b w:val="1"/>
          <w:bCs w:val="1"/>
          <w:color w:val="auto"/>
        </w:rPr>
      </w:pPr>
      <w:r>
        <w:rPr>
          <w:rFonts w:ascii="Arial" w:cs="Arial" w:eastAsia="Arial" w:hAnsi="Arial"/>
          <w:sz w:val="16"/>
          <w:szCs w:val="16"/>
          <w:color w:val="auto"/>
        </w:rPr>
        <w:t>the future value of the shares of Common Stock underlying the Option is unknown, indeterminable, and cannot be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predicted with certainty;</w:t>
      </w:r>
    </w:p>
    <w:p>
      <w:pPr>
        <w:spacing w:after="0" w:line="197" w:lineRule="exact"/>
        <w:rPr>
          <w:rFonts w:ascii="Arial" w:cs="Arial" w:eastAsia="Arial" w:hAnsi="Arial"/>
          <w:sz w:val="16"/>
          <w:szCs w:val="16"/>
          <w:b w:val="1"/>
          <w:bCs w:val="1"/>
          <w:color w:val="auto"/>
        </w:rPr>
      </w:pPr>
    </w:p>
    <w:p>
      <w:pPr>
        <w:ind w:left="3000" w:hanging="1495"/>
        <w:spacing w:after="0"/>
        <w:tabs>
          <w:tab w:leader="none" w:pos="3000" w:val="left"/>
        </w:tabs>
        <w:numPr>
          <w:ilvl w:val="1"/>
          <w:numId w:val="59"/>
        </w:numPr>
        <w:rPr>
          <w:rFonts w:ascii="Arial" w:cs="Arial" w:eastAsia="Arial" w:hAnsi="Arial"/>
          <w:sz w:val="18"/>
          <w:szCs w:val="18"/>
          <w:b w:val="1"/>
          <w:bCs w:val="1"/>
          <w:color w:val="auto"/>
        </w:rPr>
      </w:pPr>
      <w:r>
        <w:rPr>
          <w:rFonts w:ascii="Arial" w:cs="Arial" w:eastAsia="Arial" w:hAnsi="Arial"/>
          <w:sz w:val="18"/>
          <w:szCs w:val="18"/>
          <w:color w:val="auto"/>
        </w:rPr>
        <w:t>if the underlying shares of Common Stock do not increase in value, the Option will have no value;</w:t>
      </w:r>
    </w:p>
    <w:p>
      <w:pPr>
        <w:spacing w:after="0" w:line="211" w:lineRule="exact"/>
        <w:rPr>
          <w:rFonts w:ascii="Arial" w:cs="Arial" w:eastAsia="Arial" w:hAnsi="Arial"/>
          <w:sz w:val="18"/>
          <w:szCs w:val="18"/>
          <w:b w:val="1"/>
          <w:bCs w:val="1"/>
          <w:color w:val="auto"/>
        </w:rPr>
      </w:pPr>
    </w:p>
    <w:p>
      <w:pPr>
        <w:ind w:firstLine="1505"/>
        <w:spacing w:after="0" w:line="277" w:lineRule="auto"/>
        <w:tabs>
          <w:tab w:leader="none" w:pos="2995" w:val="left"/>
        </w:tabs>
        <w:numPr>
          <w:ilvl w:val="1"/>
          <w:numId w:val="59"/>
        </w:numPr>
        <w:rPr>
          <w:rFonts w:ascii="Arial" w:cs="Arial" w:eastAsia="Arial" w:hAnsi="Arial"/>
          <w:sz w:val="18"/>
          <w:szCs w:val="18"/>
          <w:b w:val="1"/>
          <w:bCs w:val="1"/>
          <w:color w:val="auto"/>
        </w:rPr>
      </w:pPr>
      <w:r>
        <w:rPr>
          <w:rFonts w:ascii="Arial" w:cs="Arial" w:eastAsia="Arial" w:hAnsi="Arial"/>
          <w:sz w:val="18"/>
          <w:szCs w:val="18"/>
          <w:color w:val="auto"/>
        </w:rPr>
        <w:t>if you exercise the Option and acquire shares of Common Stock, the value of such shares of Common Stock may increase or decrease in value, even below the exercise price;</w:t>
      </w:r>
    </w:p>
    <w:p>
      <w:pPr>
        <w:spacing w:after="0" w:line="156" w:lineRule="exact"/>
        <w:rPr>
          <w:rFonts w:ascii="Arial" w:cs="Arial" w:eastAsia="Arial" w:hAnsi="Arial"/>
          <w:sz w:val="18"/>
          <w:szCs w:val="18"/>
          <w:b w:val="1"/>
          <w:bCs w:val="1"/>
          <w:color w:val="auto"/>
        </w:rPr>
      </w:pPr>
    </w:p>
    <w:p>
      <w:pPr>
        <w:ind w:firstLine="1505"/>
        <w:spacing w:after="0" w:line="261" w:lineRule="auto"/>
        <w:tabs>
          <w:tab w:leader="none" w:pos="2995" w:val="left"/>
        </w:tabs>
        <w:numPr>
          <w:ilvl w:val="1"/>
          <w:numId w:val="59"/>
        </w:numPr>
        <w:rPr>
          <w:rFonts w:ascii="Arial" w:cs="Arial" w:eastAsia="Arial" w:hAnsi="Arial"/>
          <w:sz w:val="18"/>
          <w:szCs w:val="18"/>
          <w:b w:val="1"/>
          <w:bCs w:val="1"/>
          <w:color w:val="auto"/>
        </w:rPr>
      </w:pPr>
      <w:r>
        <w:rPr>
          <w:rFonts w:ascii="Arial" w:cs="Arial" w:eastAsia="Arial" w:hAnsi="Arial"/>
          <w:sz w:val="18"/>
          <w:szCs w:val="18"/>
          <w:color w:val="auto"/>
        </w:rPr>
        <w:t>for purposes of the Option, your Continuous Service will be considered terminated as of the date you are no longer actively providing services to the Company or one of its Affiliates (regardless of the reason for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ind w:left="10320"/>
        <w:spacing w:after="0"/>
        <w:rPr>
          <w:sz w:val="20"/>
          <w:szCs w:val="20"/>
          <w:color w:val="auto"/>
        </w:rPr>
      </w:pPr>
      <w:r>
        <w:rPr>
          <w:rFonts w:ascii="Arial" w:cs="Arial" w:eastAsia="Arial" w:hAnsi="Arial"/>
          <w:sz w:val="16"/>
          <w:szCs w:val="16"/>
          <w:b w:val="1"/>
          <w:bCs w:val="1"/>
          <w:color w:val="auto"/>
        </w:rPr>
        <w:t>Exhibit 10.1</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such termination and whether or not later found to be invalid or in breach of employment laws in the jurisdiction where you are employed or otherwise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rendering services or the terms of your employment or other service agreement, if any), and unless otherwise expressly provided in the Option Agreement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or determined by the Company, (i) your right to vest in the Option under the Plan, if any, will terminate as of such date, and (ii) the period (if any) during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which you may exercise the Option after such termination of Continuous Service will be measured starting as of such date. However, unless otherwise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determined by the Company, the Option will continue to vest through, and the Post-Termination Exercise Period will not start until the end of, any statutory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notice period or any period of “garden leave” or similar period mandated under employment laws in the jurisdiction where you are employed or otherwise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rendering service or the terms of your employment or other agreement, if any; the Plan Administrator shall have the exclusive discretion to determine when</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you are no longer actively providing services for purposes of the Option (including whether you may still be considered to be providing services while on 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leave of absence);</w:t>
      </w:r>
    </w:p>
    <w:p>
      <w:pPr>
        <w:spacing w:after="0" w:line="192" w:lineRule="exact"/>
        <w:rPr>
          <w:sz w:val="20"/>
          <w:szCs w:val="20"/>
          <w:color w:val="auto"/>
        </w:rPr>
      </w:pPr>
    </w:p>
    <w:p>
      <w:pPr>
        <w:jc w:val="both"/>
        <w:ind w:firstLine="1497"/>
        <w:spacing w:after="0" w:line="258" w:lineRule="auto"/>
        <w:rPr>
          <w:sz w:val="20"/>
          <w:szCs w:val="20"/>
          <w:color w:val="auto"/>
        </w:rPr>
      </w:pPr>
      <w:r>
        <w:rPr>
          <w:rFonts w:ascii="Arial" w:cs="Arial" w:eastAsia="Arial" w:hAnsi="Arial"/>
          <w:sz w:val="18"/>
          <w:szCs w:val="18"/>
          <w:b w:val="1"/>
          <w:bCs w:val="1"/>
          <w:color w:val="auto"/>
        </w:rPr>
        <w:t xml:space="preserve">(l) </w:t>
      </w:r>
      <w:r>
        <w:rPr>
          <w:rFonts w:ascii="Arial" w:cs="Arial" w:eastAsia="Arial" w:hAnsi="Arial"/>
          <w:sz w:val="18"/>
          <w:szCs w:val="18"/>
          <w:color w:val="auto"/>
        </w:rPr>
        <w:t>no claim or entitlement to compensation or damages shall arise from forfeiture of the Option resulting from your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Continuous Service (for any reason whatsoever, whether or not later found to be invalid or in breach of employment laws in the jurisdiction where you are employed or otherwise rendering services, or the terms of your employment or other service agreement, if any);</w:t>
      </w:r>
    </w:p>
    <w:p>
      <w:pPr>
        <w:spacing w:after="0" w:line="173" w:lineRule="exact"/>
        <w:rPr>
          <w:sz w:val="20"/>
          <w:szCs w:val="20"/>
          <w:color w:val="auto"/>
        </w:rPr>
      </w:pPr>
    </w:p>
    <w:p>
      <w:pPr>
        <w:ind w:right="20" w:firstLine="1505"/>
        <w:spacing w:after="0" w:line="261" w:lineRule="auto"/>
        <w:tabs>
          <w:tab w:leader="none" w:pos="2995" w:val="left"/>
        </w:tabs>
        <w:numPr>
          <w:ilvl w:val="1"/>
          <w:numId w:val="60"/>
        </w:numPr>
        <w:rPr>
          <w:rFonts w:ascii="Arial" w:cs="Arial" w:eastAsia="Arial" w:hAnsi="Arial"/>
          <w:sz w:val="18"/>
          <w:szCs w:val="18"/>
          <w:b w:val="1"/>
          <w:bCs w:val="1"/>
          <w:color w:val="auto"/>
        </w:rPr>
      </w:pPr>
      <w:r>
        <w:rPr>
          <w:rFonts w:ascii="Arial" w:cs="Arial" w:eastAsia="Arial" w:hAnsi="Arial"/>
          <w:sz w:val="18"/>
          <w:szCs w:val="18"/>
          <w:color w:val="auto"/>
        </w:rPr>
        <w:t>in the event that you are not a direct service provider to the Company, the grant of the Option will not be interpreted to form an employment or other service relationship with the Company;</w:t>
      </w:r>
    </w:p>
    <w:p>
      <w:pPr>
        <w:spacing w:after="0" w:line="184" w:lineRule="exact"/>
        <w:rPr>
          <w:rFonts w:ascii="Arial" w:cs="Arial" w:eastAsia="Arial" w:hAnsi="Arial"/>
          <w:sz w:val="18"/>
          <w:szCs w:val="18"/>
          <w:b w:val="1"/>
          <w:bCs w:val="1"/>
          <w:color w:val="auto"/>
        </w:rPr>
      </w:pPr>
    </w:p>
    <w:p>
      <w:pPr>
        <w:jc w:val="both"/>
        <w:ind w:firstLine="1505"/>
        <w:spacing w:after="0" w:line="248" w:lineRule="auto"/>
        <w:tabs>
          <w:tab w:leader="none" w:pos="2995" w:val="left"/>
        </w:tabs>
        <w:numPr>
          <w:ilvl w:val="1"/>
          <w:numId w:val="60"/>
        </w:numPr>
        <w:rPr>
          <w:rFonts w:ascii="Arial" w:cs="Arial" w:eastAsia="Arial" w:hAnsi="Arial"/>
          <w:sz w:val="18"/>
          <w:szCs w:val="18"/>
          <w:b w:val="1"/>
          <w:bCs w:val="1"/>
          <w:color w:val="auto"/>
        </w:rPr>
      </w:pPr>
      <w:r>
        <w:rPr>
          <w:rFonts w:ascii="Arial" w:cs="Arial" w:eastAsia="Arial" w:hAnsi="Arial"/>
          <w:sz w:val="18"/>
          <w:szCs w:val="18"/>
          <w:color w:val="auto"/>
        </w:rPr>
        <w:t>unless otherwise agreed with the Company in writing, the Option and any shares of Common Stock acquired under the Plan, and the income from and value of same, are not granted as consideration for, or in connection with, any service you may provide as a director of any Affiliate; and</w:t>
      </w:r>
    </w:p>
    <w:p>
      <w:pPr>
        <w:spacing w:after="0" w:line="195" w:lineRule="exact"/>
        <w:rPr>
          <w:rFonts w:ascii="Arial" w:cs="Arial" w:eastAsia="Arial" w:hAnsi="Arial"/>
          <w:sz w:val="18"/>
          <w:szCs w:val="18"/>
          <w:b w:val="1"/>
          <w:bCs w:val="1"/>
          <w:color w:val="auto"/>
        </w:rPr>
      </w:pPr>
    </w:p>
    <w:p>
      <w:pPr>
        <w:jc w:val="both"/>
        <w:ind w:firstLine="1505"/>
        <w:spacing w:after="0" w:line="248" w:lineRule="auto"/>
        <w:tabs>
          <w:tab w:leader="none" w:pos="2995" w:val="left"/>
        </w:tabs>
        <w:numPr>
          <w:ilvl w:val="1"/>
          <w:numId w:val="60"/>
        </w:numPr>
        <w:rPr>
          <w:rFonts w:ascii="Arial" w:cs="Arial" w:eastAsia="Arial" w:hAnsi="Arial"/>
          <w:sz w:val="18"/>
          <w:szCs w:val="18"/>
          <w:b w:val="1"/>
          <w:bCs w:val="1"/>
          <w:color w:val="auto"/>
        </w:rPr>
      </w:pPr>
      <w:r>
        <w:rPr>
          <w:rFonts w:ascii="Arial" w:cs="Arial" w:eastAsia="Arial" w:hAnsi="Arial"/>
          <w:sz w:val="18"/>
          <w:szCs w:val="18"/>
          <w:color w:val="auto"/>
        </w:rPr>
        <w:t>neither the Company, the Service Recipient or any other Affiliate shall be liable for any foreign exchange rate fluctuation between your local currency and the United States Dollar that may affect the value of the Option or of any amounts due to you pursuant to the exercise of the Option or any shares of Common Stock acquired upon exercise.</w:t>
      </w:r>
    </w:p>
    <w:p>
      <w:pPr>
        <w:spacing w:after="0" w:line="191" w:lineRule="exact"/>
        <w:rPr>
          <w:rFonts w:ascii="Arial" w:cs="Arial" w:eastAsia="Arial" w:hAnsi="Arial"/>
          <w:sz w:val="18"/>
          <w:szCs w:val="18"/>
          <w:b w:val="1"/>
          <w:bCs w:val="1"/>
          <w:color w:val="auto"/>
        </w:rPr>
      </w:pPr>
    </w:p>
    <w:p>
      <w:pPr>
        <w:jc w:val="both"/>
        <w:ind w:firstLine="757"/>
        <w:spacing w:after="0" w:line="250" w:lineRule="auto"/>
        <w:tabs>
          <w:tab w:leader="none" w:pos="1498"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6"/>
          <w:szCs w:val="16"/>
          <w:b w:val="1"/>
          <w:bCs w:val="1"/>
          <w:color w:val="auto"/>
        </w:rPr>
        <w:t>LECTRONIC</w:t>
      </w:r>
      <w:r>
        <w:rPr>
          <w:rFonts w:ascii="Arial" w:cs="Arial" w:eastAsia="Arial" w:hAnsi="Arial"/>
          <w:sz w:val="18"/>
          <w:szCs w:val="18"/>
          <w:b w:val="1"/>
          <w:bCs w:val="1"/>
          <w:color w:val="auto"/>
        </w:rPr>
        <w:t xml:space="preserve"> D</w:t>
      </w:r>
      <w:r>
        <w:rPr>
          <w:rFonts w:ascii="Arial" w:cs="Arial" w:eastAsia="Arial" w:hAnsi="Arial"/>
          <w:sz w:val="16"/>
          <w:szCs w:val="16"/>
          <w:b w:val="1"/>
          <w:bCs w:val="1"/>
          <w:color w:val="auto"/>
        </w:rPr>
        <w:t>ELIVERY AND</w:t>
      </w:r>
      <w:r>
        <w:rPr>
          <w:rFonts w:ascii="Arial" w:cs="Arial" w:eastAsia="Arial" w:hAnsi="Arial"/>
          <w:sz w:val="18"/>
          <w:szCs w:val="18"/>
          <w:b w:val="1"/>
          <w:bCs w:val="1"/>
          <w:color w:val="auto"/>
        </w:rPr>
        <w:t xml:space="preserve"> P</w:t>
      </w:r>
      <w:r>
        <w:rPr>
          <w:rFonts w:ascii="Arial" w:cs="Arial" w:eastAsia="Arial" w:hAnsi="Arial"/>
          <w:sz w:val="16"/>
          <w:szCs w:val="16"/>
          <w:b w:val="1"/>
          <w:bCs w:val="1"/>
          <w:color w:val="auto"/>
        </w:rPr>
        <w:t>ARTICIPATION</w:t>
      </w:r>
      <w:r>
        <w:rPr>
          <w:rFonts w:ascii="Arial" w:cs="Arial" w:eastAsia="Arial" w:hAnsi="Arial"/>
          <w:sz w:val="18"/>
          <w:szCs w:val="18"/>
          <w:color w:val="auto"/>
        </w:rPr>
        <w:t>. The Company may, in its sole discretion, decide to deliver any documents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to current or future participation in the Plan by electronic means or request your consent to participate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77" w:lineRule="exact"/>
        <w:rPr>
          <w:rFonts w:ascii="Arial" w:cs="Arial" w:eastAsia="Arial" w:hAnsi="Arial"/>
          <w:sz w:val="18"/>
          <w:szCs w:val="18"/>
          <w:b w:val="1"/>
          <w:bCs w:val="1"/>
          <w:color w:val="auto"/>
        </w:rPr>
      </w:pPr>
    </w:p>
    <w:p>
      <w:pPr>
        <w:ind w:firstLine="757"/>
        <w:spacing w:after="0" w:line="282" w:lineRule="auto"/>
        <w:tabs>
          <w:tab w:leader="none" w:pos="1498"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6"/>
          <w:szCs w:val="16"/>
          <w:b w:val="1"/>
          <w:bCs w:val="1"/>
          <w:color w:val="auto"/>
        </w:rPr>
        <w:t>RANSFERABILITY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in the Plan, your Option is not transferable, except by will or by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descent and distribution, and is exercisable during your life only by you.</w:t>
      </w:r>
    </w:p>
    <w:p>
      <w:pPr>
        <w:spacing w:after="0" w:line="148" w:lineRule="exact"/>
        <w:rPr>
          <w:rFonts w:ascii="Arial" w:cs="Arial" w:eastAsia="Arial" w:hAnsi="Arial"/>
          <w:sz w:val="18"/>
          <w:szCs w:val="18"/>
          <w:b w:val="1"/>
          <w:bCs w:val="1"/>
          <w:color w:val="auto"/>
        </w:rPr>
      </w:pPr>
    </w:p>
    <w:p>
      <w:pPr>
        <w:jc w:val="both"/>
        <w:ind w:firstLine="757"/>
        <w:spacing w:after="0" w:line="266" w:lineRule="auto"/>
        <w:tabs>
          <w:tab w:leader="none" w:pos="1498"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6"/>
          <w:szCs w:val="16"/>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6"/>
          <w:szCs w:val="16"/>
          <w:b w:val="1"/>
          <w:bCs w:val="1"/>
          <w:color w:val="auto"/>
        </w:rPr>
        <w: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Option is subject to the terms of any agreement governing a Corporate Transaction involving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62" w:lineRule="exact"/>
        <w:rPr>
          <w:rFonts w:ascii="Arial" w:cs="Arial" w:eastAsia="Arial" w:hAnsi="Arial"/>
          <w:sz w:val="18"/>
          <w:szCs w:val="18"/>
          <w:b w:val="1"/>
          <w:bCs w:val="1"/>
          <w:color w:val="auto"/>
        </w:rPr>
      </w:pPr>
    </w:p>
    <w:p>
      <w:pPr>
        <w:jc w:val="both"/>
        <w:ind w:firstLine="757"/>
        <w:spacing w:after="0" w:line="278" w:lineRule="auto"/>
        <w:tabs>
          <w:tab w:leader="none" w:pos="1498"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N</w:t>
      </w:r>
      <w:r>
        <w:rPr>
          <w:rFonts w:ascii="Arial" w:cs="Arial" w:eastAsia="Arial" w:hAnsi="Arial"/>
          <w:sz w:val="14"/>
          <w:szCs w:val="14"/>
          <w:b w:val="1"/>
          <w:bCs w:val="1"/>
          <w:color w:val="auto"/>
        </w:rPr>
        <w:t>O</w:t>
      </w:r>
      <w:r>
        <w:rPr>
          <w:rFonts w:ascii="Arial" w:cs="Arial" w:eastAsia="Arial" w:hAnsi="Arial"/>
          <w:sz w:val="16"/>
          <w:szCs w:val="16"/>
          <w:b w:val="1"/>
          <w:bCs w:val="1"/>
          <w:color w:val="auto"/>
        </w:rPr>
        <w:t xml:space="preserve"> L</w:t>
      </w:r>
      <w:r>
        <w:rPr>
          <w:rFonts w:ascii="Arial" w:cs="Arial" w:eastAsia="Arial" w:hAnsi="Arial"/>
          <w:sz w:val="14"/>
          <w:szCs w:val="14"/>
          <w:b w:val="1"/>
          <w:bCs w:val="1"/>
          <w:color w:val="auto"/>
        </w:rPr>
        <w:t>IABILITY FOR</w:t>
      </w:r>
      <w:r>
        <w:rPr>
          <w:rFonts w:ascii="Arial" w:cs="Arial" w:eastAsia="Arial" w:hAnsi="Arial"/>
          <w:sz w:val="16"/>
          <w:szCs w:val="16"/>
          <w:b w:val="1"/>
          <w:bCs w:val="1"/>
          <w:color w:val="auto"/>
        </w:rPr>
        <w:t xml:space="preserve"> T</w:t>
      </w:r>
      <w:r>
        <w:rPr>
          <w:rFonts w:ascii="Arial" w:cs="Arial" w:eastAsia="Arial" w:hAnsi="Arial"/>
          <w:sz w:val="14"/>
          <w:szCs w:val="14"/>
          <w:b w:val="1"/>
          <w:bCs w:val="1"/>
          <w:color w:val="auto"/>
        </w:rPr>
        <w:t>AXES</w:t>
      </w:r>
      <w:r>
        <w:rPr>
          <w:rFonts w:ascii="Arial" w:cs="Arial" w:eastAsia="Arial" w:hAnsi="Arial"/>
          <w:sz w:val="16"/>
          <w:szCs w:val="16"/>
          <w:color w:val="auto"/>
        </w:rPr>
        <w:t>. As a condition to accepting the Option, you hereby (a) agree to not make any claim against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any of its Officers, Directors, Employees or Affiliates related to any liabilities for Tax-Related Items arising from the Option or the shares of Common Stock subject to the Option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of the U.S. Internal Revenue Code for U.S. tax purposes only if the exercise price is at least equal to the “fair market value” of the Common Stock on the date of grant as determined by the U.S.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U.S. Internal Revenue Service asserts that such exercise price is less than the “fair market value” of the Common Stock on the date of grant as subsequently determined by the U.S. Internal Revenue Service.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jc w:val="both"/>
        <w:ind w:firstLine="757"/>
        <w:spacing w:after="0" w:line="267" w:lineRule="auto"/>
        <w:tabs>
          <w:tab w:leader="none" w:pos="1498"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S</w:t>
      </w:r>
      <w:r>
        <w:rPr>
          <w:rFonts w:ascii="Arial" w:cs="Arial" w:eastAsia="Arial" w:hAnsi="Arial"/>
          <w:sz w:val="15"/>
          <w:szCs w:val="15"/>
          <w:b w:val="1"/>
          <w:bCs w:val="1"/>
          <w:color w:val="auto"/>
        </w:rPr>
        <w:t>EVERABILITY</w:t>
      </w:r>
      <w:r>
        <w:rPr>
          <w:rFonts w:ascii="Arial" w:cs="Arial" w:eastAsia="Arial" w:hAnsi="Arial"/>
          <w:sz w:val="17"/>
          <w:szCs w:val="17"/>
          <w:color w:val="auto"/>
        </w:rPr>
        <w:t>. If any part of this Option Agreement or the Plan is declared by any court or governmental authority to be unlawful</w:t>
      </w:r>
      <w:r>
        <w:rPr>
          <w:rFonts w:ascii="Arial" w:cs="Arial" w:eastAsia="Arial" w:hAnsi="Arial"/>
          <w:sz w:val="17"/>
          <w:szCs w:val="17"/>
          <w:b w:val="1"/>
          <w:bCs w:val="1"/>
          <w:color w:val="auto"/>
        </w:rPr>
        <w:t xml:space="preserve"> </w:t>
      </w:r>
      <w:r>
        <w:rPr>
          <w:rFonts w:ascii="Arial" w:cs="Arial" w:eastAsia="Arial" w:hAnsi="Arial"/>
          <w:sz w:val="17"/>
          <w:szCs w:val="17"/>
          <w:color w:val="auto"/>
        </w:rPr>
        <w:t>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63" w:lineRule="exact"/>
        <w:rPr>
          <w:rFonts w:ascii="Arial" w:cs="Arial" w:eastAsia="Arial" w:hAnsi="Arial"/>
          <w:sz w:val="17"/>
          <w:szCs w:val="17"/>
          <w:b w:val="1"/>
          <w:bCs w:val="1"/>
          <w:color w:val="auto"/>
        </w:rPr>
      </w:pPr>
    </w:p>
    <w:p>
      <w:pPr>
        <w:ind w:firstLine="757"/>
        <w:spacing w:after="0" w:line="282" w:lineRule="auto"/>
        <w:tabs>
          <w:tab w:leader="none" w:pos="1498"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6"/>
          <w:szCs w:val="16"/>
          <w:b w:val="1"/>
          <w:bCs w:val="1"/>
          <w:color w:val="auto"/>
        </w:rPr>
        <w:t>AIVER</w:t>
      </w:r>
      <w:r>
        <w:rPr>
          <w:rFonts w:ascii="Arial" w:cs="Arial" w:eastAsia="Arial" w:hAnsi="Arial"/>
          <w:sz w:val="18"/>
          <w:szCs w:val="18"/>
          <w:b w:val="1"/>
          <w:bCs w:val="1"/>
          <w:color w:val="auto"/>
        </w:rPr>
        <w:t xml:space="preserve">. </w:t>
      </w:r>
      <w:r>
        <w:rPr>
          <w:rFonts w:ascii="Arial" w:cs="Arial" w:eastAsia="Arial" w:hAnsi="Arial"/>
          <w:sz w:val="18"/>
          <w:szCs w:val="18"/>
          <w:color w:val="auto"/>
        </w:rPr>
        <w:t>You acknowledge that a waiver by the Company of a breach of any provision of this Option Agreement shall not operate or</w:t>
      </w:r>
      <w:r>
        <w:rPr>
          <w:rFonts w:ascii="Arial" w:cs="Arial" w:eastAsia="Arial" w:hAnsi="Arial"/>
          <w:sz w:val="18"/>
          <w:szCs w:val="18"/>
          <w:b w:val="1"/>
          <w:bCs w:val="1"/>
          <w:color w:val="auto"/>
        </w:rPr>
        <w:t xml:space="preserve"> </w:t>
      </w:r>
      <w:r>
        <w:rPr>
          <w:rFonts w:ascii="Arial" w:cs="Arial" w:eastAsia="Arial" w:hAnsi="Arial"/>
          <w:sz w:val="18"/>
          <w:szCs w:val="18"/>
          <w:color w:val="auto"/>
        </w:rPr>
        <w:t>be construed as a waiver of any other provision of this Option Agreement, or of any subsequent breach of this Option Agreement.</w:t>
      </w:r>
    </w:p>
    <w:p>
      <w:pPr>
        <w:spacing w:after="0" w:line="148" w:lineRule="exact"/>
        <w:rPr>
          <w:rFonts w:ascii="Arial" w:cs="Arial" w:eastAsia="Arial" w:hAnsi="Arial"/>
          <w:sz w:val="18"/>
          <w:szCs w:val="18"/>
          <w:b w:val="1"/>
          <w:bCs w:val="1"/>
          <w:color w:val="auto"/>
        </w:rPr>
      </w:pPr>
    </w:p>
    <w:p>
      <w:pPr>
        <w:ind w:firstLine="757"/>
        <w:spacing w:after="0" w:line="282" w:lineRule="auto"/>
        <w:tabs>
          <w:tab w:leader="none" w:pos="1498"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6"/>
          <w:szCs w:val="16"/>
          <w:b w:val="1"/>
          <w:bCs w:val="1"/>
          <w:color w:val="auto"/>
        </w:rPr>
        <w:t>O</w:t>
      </w:r>
      <w:r>
        <w:rPr>
          <w:rFonts w:ascii="Arial" w:cs="Arial" w:eastAsia="Arial" w:hAnsi="Arial"/>
          <w:sz w:val="18"/>
          <w:szCs w:val="18"/>
          <w:b w:val="1"/>
          <w:bCs w:val="1"/>
          <w:color w:val="auto"/>
        </w:rPr>
        <w:t xml:space="preserve"> A</w:t>
      </w:r>
      <w:r>
        <w:rPr>
          <w:rFonts w:ascii="Arial" w:cs="Arial" w:eastAsia="Arial" w:hAnsi="Arial"/>
          <w:sz w:val="16"/>
          <w:szCs w:val="16"/>
          <w:b w:val="1"/>
          <w:bCs w:val="1"/>
          <w:color w:val="auto"/>
        </w:rPr>
        <w:t>DVICE</w:t>
      </w:r>
      <w:r>
        <w:rPr>
          <w:rFonts w:ascii="Arial" w:cs="Arial" w:eastAsia="Arial" w:hAnsi="Arial"/>
          <w:sz w:val="18"/>
          <w:szCs w:val="18"/>
          <w:b w:val="1"/>
          <w:bCs w:val="1"/>
          <w:color w:val="auto"/>
        </w:rPr>
        <w:t xml:space="preserve"> R</w:t>
      </w:r>
      <w:r>
        <w:rPr>
          <w:rFonts w:ascii="Arial" w:cs="Arial" w:eastAsia="Arial" w:hAnsi="Arial"/>
          <w:sz w:val="16"/>
          <w:szCs w:val="16"/>
          <w:b w:val="1"/>
          <w:bCs w:val="1"/>
          <w:color w:val="auto"/>
        </w:rPr>
        <w:t>EGARDING</w:t>
      </w:r>
      <w:r>
        <w:rPr>
          <w:rFonts w:ascii="Arial" w:cs="Arial" w:eastAsia="Arial" w:hAnsi="Arial"/>
          <w:sz w:val="18"/>
          <w:szCs w:val="18"/>
          <w:b w:val="1"/>
          <w:bCs w:val="1"/>
          <w:color w:val="auto"/>
        </w:rPr>
        <w:t xml:space="preserve"> G</w:t>
      </w:r>
      <w:r>
        <w:rPr>
          <w:rFonts w:ascii="Arial" w:cs="Arial" w:eastAsia="Arial" w:hAnsi="Arial"/>
          <w:sz w:val="16"/>
          <w:szCs w:val="16"/>
          <w:b w:val="1"/>
          <w:bCs w:val="1"/>
          <w:color w:val="auto"/>
        </w:rPr>
        <w:t>RANT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not providing any tax, legal or financial advice, nor is the Company making</w:t>
      </w:r>
      <w:r>
        <w:rPr>
          <w:rFonts w:ascii="Arial" w:cs="Arial" w:eastAsia="Arial" w:hAnsi="Arial"/>
          <w:sz w:val="18"/>
          <w:szCs w:val="18"/>
          <w:b w:val="1"/>
          <w:bCs w:val="1"/>
          <w:color w:val="auto"/>
        </w:rPr>
        <w:t xml:space="preserve"> </w:t>
      </w:r>
      <w:r>
        <w:rPr>
          <w:rFonts w:ascii="Arial" w:cs="Arial" w:eastAsia="Arial" w:hAnsi="Arial"/>
          <w:sz w:val="18"/>
          <w:szCs w:val="18"/>
          <w:color w:val="auto"/>
        </w:rPr>
        <w:t>any recommendations regarding your participation in the Plan, or your acquisition or sale of the underlying shares of Common Stock.</w:t>
      </w:r>
    </w:p>
    <w:p>
      <w:pPr>
        <w:spacing w:after="0" w:line="148" w:lineRule="exact"/>
        <w:rPr>
          <w:rFonts w:ascii="Arial" w:cs="Arial" w:eastAsia="Arial" w:hAnsi="Arial"/>
          <w:sz w:val="18"/>
          <w:szCs w:val="18"/>
          <w:b w:val="1"/>
          <w:bCs w:val="1"/>
          <w:color w:val="auto"/>
        </w:rPr>
      </w:pPr>
    </w:p>
    <w:p>
      <w:pPr>
        <w:ind w:left="1500" w:hanging="743"/>
        <w:spacing w:after="0"/>
        <w:tabs>
          <w:tab w:leader="none" w:pos="15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ata</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rivacy</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otice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onsent</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firstLine="1505"/>
        <w:spacing w:after="0" w:line="244" w:lineRule="auto"/>
        <w:tabs>
          <w:tab w:leader="none" w:pos="2995" w:val="left"/>
        </w:tabs>
        <w:numPr>
          <w:ilvl w:val="1"/>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Collection and Usage</w:t>
      </w:r>
      <w:r>
        <w:rPr>
          <w:rFonts w:ascii="Arial" w:cs="Arial" w:eastAsia="Arial" w:hAnsi="Arial"/>
          <w:sz w:val="18"/>
          <w:szCs w:val="18"/>
          <w:color w:val="auto"/>
        </w:rPr>
        <w:t>.</w:t>
      </w:r>
      <w:r>
        <w:rPr>
          <w:rFonts w:ascii="Arial" w:cs="Arial" w:eastAsia="Arial" w:hAnsi="Arial"/>
          <w:sz w:val="18"/>
          <w:szCs w:val="18"/>
          <w:b w:val="1"/>
          <w:bCs w:val="1"/>
          <w:color w:val="auto"/>
        </w:rPr>
        <w:t xml:space="preserve"> The Company and the Service Recipient collect, process and use certain personal information about you, including, but not limited to, your name, home address, email address and telephone number, date of birth, social insurance number, passport or other identification number, salary, nationality, job title, any shares of Common Stock or directorships held in the Company, details of all Options or any other entitlement to shares of Common Stock awarded, canceled, exercised, vested, unvested or outstanding in your favor (“Data”), for the purposes of implementing, administering and managing the Plan. The legal basis, where required, for the processing of Data is your consent.</w:t>
      </w:r>
    </w:p>
    <w:p>
      <w:pPr>
        <w:spacing w:after="0" w:line="181" w:lineRule="exact"/>
        <w:rPr>
          <w:rFonts w:ascii="Arial" w:cs="Arial" w:eastAsia="Arial" w:hAnsi="Arial"/>
          <w:sz w:val="18"/>
          <w:szCs w:val="18"/>
          <w:b w:val="1"/>
          <w:bCs w:val="1"/>
          <w:color w:val="auto"/>
        </w:rPr>
      </w:pPr>
    </w:p>
    <w:p>
      <w:pPr>
        <w:jc w:val="both"/>
        <w:ind w:firstLine="1505"/>
        <w:spacing w:after="0" w:line="246" w:lineRule="auto"/>
        <w:tabs>
          <w:tab w:leader="none" w:pos="2995" w:val="left"/>
        </w:tabs>
        <w:numPr>
          <w:ilvl w:val="1"/>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Plan Administration Service Providers</w:t>
      </w:r>
      <w:r>
        <w:rPr>
          <w:rFonts w:ascii="Arial" w:cs="Arial" w:eastAsia="Arial" w:hAnsi="Arial"/>
          <w:sz w:val="18"/>
          <w:szCs w:val="18"/>
          <w:b w:val="1"/>
          <w:bCs w:val="1"/>
          <w:color w:val="auto"/>
        </w:rPr>
        <w:t>. The Company transfers Data to E*TRADE Financial Corporate Services, Inc. and certain of its affiliated companies (the "Designated Broker"), an independent service provider based in the United States, which is assisting the Company with the implementation, administration and management of the Plan. The Company may select a different service provider or additional service providers and share Data with such other provider serving in a similar manner. You may be asked to agree on separate terms and data processing practices with the Designated Broker or other service providers, with such agreement being a condition to the ability to participate in the Plan. The Company and the Designated Broker are based in the United States. Your country or jurisdiction may have different data privacy laws and protections than the United States. The Company's legal basis, where required, for the transfer of Data is your consent.</w:t>
      </w:r>
    </w:p>
    <w:p>
      <w:pPr>
        <w:spacing w:after="0" w:line="179" w:lineRule="exact"/>
        <w:rPr>
          <w:rFonts w:ascii="Arial" w:cs="Arial" w:eastAsia="Arial" w:hAnsi="Arial"/>
          <w:sz w:val="18"/>
          <w:szCs w:val="18"/>
          <w:b w:val="1"/>
          <w:bCs w:val="1"/>
          <w:color w:val="auto"/>
        </w:rPr>
      </w:pPr>
    </w:p>
    <w:p>
      <w:pPr>
        <w:jc w:val="both"/>
        <w:ind w:firstLine="1505"/>
        <w:spacing w:after="0" w:line="280" w:lineRule="auto"/>
        <w:tabs>
          <w:tab w:leader="none" w:pos="2995" w:val="left"/>
        </w:tabs>
        <w:numPr>
          <w:ilvl w:val="1"/>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Data Retention</w:t>
      </w:r>
      <w:r>
        <w:rPr>
          <w:rFonts w:ascii="Arial" w:cs="Arial" w:eastAsia="Arial" w:hAnsi="Arial"/>
          <w:sz w:val="17"/>
          <w:szCs w:val="17"/>
          <w:b w:val="1"/>
          <w:bCs w:val="1"/>
          <w:color w:val="auto"/>
        </w:rPr>
        <w:t>. The Company will hold and use the Data only as long as is necessary to implement, administer and manage your participation in the Plan, or as required to comply with legal or regulatory obligations, including under tax, exchange control, labor and securities laws. This period may extend beyond your period of Continuous Service.</w:t>
      </w:r>
    </w:p>
    <w:p>
      <w:pPr>
        <w:spacing w:after="0" w:line="152" w:lineRule="exact"/>
        <w:rPr>
          <w:rFonts w:ascii="Arial" w:cs="Arial" w:eastAsia="Arial" w:hAnsi="Arial"/>
          <w:sz w:val="17"/>
          <w:szCs w:val="17"/>
          <w:b w:val="1"/>
          <w:bCs w:val="1"/>
          <w:color w:val="auto"/>
        </w:rPr>
      </w:pPr>
    </w:p>
    <w:p>
      <w:pPr>
        <w:jc w:val="both"/>
        <w:ind w:firstLine="1505"/>
        <w:spacing w:after="0" w:line="264" w:lineRule="auto"/>
        <w:tabs>
          <w:tab w:leader="none" w:pos="2995" w:val="left"/>
        </w:tabs>
        <w:numPr>
          <w:ilvl w:val="1"/>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Voluntariness and Consequences of Consent Denial or Withdrawal</w:t>
      </w:r>
      <w:r>
        <w:rPr>
          <w:rFonts w:ascii="Arial" w:cs="Arial" w:eastAsia="Arial" w:hAnsi="Arial"/>
          <w:sz w:val="17"/>
          <w:szCs w:val="17"/>
          <w:b w:val="1"/>
          <w:bCs w:val="1"/>
          <w:color w:val="auto"/>
        </w:rPr>
        <w:t>. Participation in the Plan is voluntary and you are providing the consents herein on a purely voluntary basis. If you do not consent, or if you later seek to revoke your consent, your salary from or employment or other service with the Service Recipient will not be affected; the only consequence of refusing or withdrawing your consent is that the Company would not be able to grant Options or other equity awards to you or administer or maintain such awards. You understand that the Data will still be processed in relation to your employment for record-keeping purposes.</w:t>
      </w:r>
    </w:p>
    <w:p>
      <w:pPr>
        <w:spacing w:after="0" w:line="166" w:lineRule="exact"/>
        <w:rPr>
          <w:rFonts w:ascii="Arial" w:cs="Arial" w:eastAsia="Arial" w:hAnsi="Arial"/>
          <w:sz w:val="17"/>
          <w:szCs w:val="17"/>
          <w:b w:val="1"/>
          <w:bCs w:val="1"/>
          <w:color w:val="auto"/>
        </w:rPr>
      </w:pPr>
    </w:p>
    <w:p>
      <w:pPr>
        <w:jc w:val="both"/>
        <w:ind w:firstLine="1505"/>
        <w:spacing w:after="0" w:line="268" w:lineRule="auto"/>
        <w:tabs>
          <w:tab w:leader="none" w:pos="2995" w:val="left"/>
        </w:tabs>
        <w:numPr>
          <w:ilvl w:val="1"/>
          <w:numId w:val="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Data Subject Rights</w:t>
      </w:r>
      <w:r>
        <w:rPr>
          <w:rFonts w:ascii="Arial" w:cs="Arial" w:eastAsia="Arial" w:hAnsi="Arial"/>
          <w:sz w:val="17"/>
          <w:szCs w:val="17"/>
          <w:b w:val="1"/>
          <w:bCs w:val="1"/>
          <w:color w:val="auto"/>
        </w:rPr>
        <w:t>. You may have a number of rights under data privacy laws in your jurisdiction. Depending on where you are based, such rights may include the right to (i) request access or copies of Data the Company processes, (ii) rectification of incorrect Data, (iii) deletion of Data, (iv) restrictions on processing of Data, (v) portability of Data, (vi) lodge complaints with competent authorities in your jurisdiction, and/or (vii) receive a list with the names and addresses of any potential recipients of Data. To receive clarification regarding these rights or to exercise these rights, you can contact your local human resources representative.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jc w:val="both"/>
        <w:ind w:firstLine="757"/>
        <w:spacing w:after="0" w:line="248" w:lineRule="auto"/>
        <w:tabs>
          <w:tab w:leader="none" w:pos="1498"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6"/>
          <w:szCs w:val="16"/>
          <w:b w:val="1"/>
          <w:bCs w:val="1"/>
          <w:color w:val="auto"/>
        </w:rPr>
        <w:t>ANGUAGE</w:t>
      </w:r>
      <w:r>
        <w:rPr>
          <w:rFonts w:ascii="Arial" w:cs="Arial" w:eastAsia="Arial" w:hAnsi="Arial"/>
          <w:sz w:val="18"/>
          <w:szCs w:val="18"/>
          <w:b w:val="1"/>
          <w:bCs w:val="1"/>
          <w:color w:val="auto"/>
        </w:rPr>
        <w:t xml:space="preserve">. </w:t>
      </w:r>
      <w:r>
        <w:rPr>
          <w:rFonts w:ascii="Arial" w:cs="Arial" w:eastAsia="Arial" w:hAnsi="Arial"/>
          <w:sz w:val="18"/>
          <w:szCs w:val="18"/>
          <w:color w:val="auto"/>
        </w:rPr>
        <w:t>You acknowledge that you are sufficiently proficient in the English language, or have consulted with an advisor who is</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sufficiently proficient in English, so as to allow you to understand the terms and conditions of this Option Agreement. If you have received this Option Agreement or any other documents related to the Plan translated into a language other than English, and if the meaning of the translated version is different than the English version, the English version will control.</w:t>
      </w:r>
    </w:p>
    <w:p>
      <w:pPr>
        <w:spacing w:after="0" w:line="177" w:lineRule="exact"/>
        <w:rPr>
          <w:rFonts w:ascii="Arial" w:cs="Arial" w:eastAsia="Arial" w:hAnsi="Arial"/>
          <w:sz w:val="18"/>
          <w:szCs w:val="18"/>
          <w:b w:val="1"/>
          <w:bCs w:val="1"/>
          <w:color w:val="auto"/>
        </w:rPr>
      </w:pPr>
    </w:p>
    <w:p>
      <w:pPr>
        <w:jc w:val="both"/>
        <w:ind w:firstLine="757"/>
        <w:spacing w:after="0" w:line="247" w:lineRule="auto"/>
        <w:tabs>
          <w:tab w:leader="none" w:pos="1498"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6"/>
          <w:szCs w:val="16"/>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6"/>
          <w:szCs w:val="16"/>
          <w:b w:val="1"/>
          <w:bCs w:val="1"/>
          <w:color w:val="auto"/>
        </w:rPr>
        <w:t>AW</w:t>
      </w:r>
      <w:r>
        <w:rPr>
          <w:rFonts w:ascii="Arial" w:cs="Arial" w:eastAsia="Arial" w:hAnsi="Arial"/>
          <w:sz w:val="18"/>
          <w:szCs w:val="18"/>
          <w:b w:val="1"/>
          <w:bCs w:val="1"/>
          <w:color w:val="auto"/>
        </w:rPr>
        <w:t>/V</w:t>
      </w:r>
      <w:r>
        <w:rPr>
          <w:rFonts w:ascii="Arial" w:cs="Arial" w:eastAsia="Arial" w:hAnsi="Arial"/>
          <w:sz w:val="16"/>
          <w:szCs w:val="16"/>
          <w:b w:val="1"/>
          <w:bCs w:val="1"/>
          <w:color w:val="auto"/>
        </w:rPr>
        <w:t>ENUE</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Agreement and any controversy arising out of or relating to the Option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and construed in accordance with, the internal laws of the State of Delaware, without regard to conflict of law principles that would result in any application of any law other than the law of the State of Delaware. For purposes of any action, lawsuit or other proceeding brought to enforce this Option Agreement, relating to it, or arising from it, the parties hereby submit to and consent to the sole and exclusive jurisdiction of the courts of Alameda County, California, or the federal courts for the United States for the Northern District of California, and no other courts where this grant is made and/or to be performed.</w:t>
      </w:r>
    </w:p>
    <w:p>
      <w:pPr>
        <w:spacing w:after="0" w:line="179" w:lineRule="exact"/>
        <w:rPr>
          <w:rFonts w:ascii="Arial" w:cs="Arial" w:eastAsia="Arial" w:hAnsi="Arial"/>
          <w:sz w:val="18"/>
          <w:szCs w:val="18"/>
          <w:b w:val="1"/>
          <w:bCs w:val="1"/>
          <w:color w:val="auto"/>
        </w:rPr>
      </w:pPr>
    </w:p>
    <w:p>
      <w:pPr>
        <w:jc w:val="both"/>
        <w:ind w:firstLine="757"/>
        <w:spacing w:after="0" w:line="260" w:lineRule="auto"/>
        <w:tabs>
          <w:tab w:leader="none" w:pos="1498"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I</w:t>
      </w:r>
      <w:r>
        <w:rPr>
          <w:rFonts w:ascii="Arial" w:cs="Arial" w:eastAsia="Arial" w:hAnsi="Arial"/>
          <w:sz w:val="15"/>
          <w:szCs w:val="15"/>
          <w:b w:val="1"/>
          <w:bCs w:val="1"/>
          <w:color w:val="auto"/>
        </w:rPr>
        <w:t>NSIDER</w:t>
      </w:r>
      <w:r>
        <w:rPr>
          <w:rFonts w:ascii="Arial" w:cs="Arial" w:eastAsia="Arial" w:hAnsi="Arial"/>
          <w:sz w:val="17"/>
          <w:szCs w:val="17"/>
          <w:b w:val="1"/>
          <w:bCs w:val="1"/>
          <w:color w:val="auto"/>
        </w:rPr>
        <w:t xml:space="preserve"> T</w:t>
      </w:r>
      <w:r>
        <w:rPr>
          <w:rFonts w:ascii="Arial" w:cs="Arial" w:eastAsia="Arial" w:hAnsi="Arial"/>
          <w:sz w:val="15"/>
          <w:szCs w:val="15"/>
          <w:b w:val="1"/>
          <w:bCs w:val="1"/>
          <w:color w:val="auto"/>
        </w:rPr>
        <w:t>RADING</w:t>
      </w:r>
      <w:r>
        <w:rPr>
          <w:rFonts w:ascii="Arial" w:cs="Arial" w:eastAsia="Arial" w:hAnsi="Arial"/>
          <w:sz w:val="17"/>
          <w:szCs w:val="17"/>
          <w:b w:val="1"/>
          <w:bCs w:val="1"/>
          <w:color w:val="auto"/>
        </w:rPr>
        <w:t xml:space="preserve"> R</w:t>
      </w:r>
      <w:r>
        <w:rPr>
          <w:rFonts w:ascii="Arial" w:cs="Arial" w:eastAsia="Arial" w:hAnsi="Arial"/>
          <w:sz w:val="15"/>
          <w:szCs w:val="15"/>
          <w:b w:val="1"/>
          <w:bCs w:val="1"/>
          <w:color w:val="auto"/>
        </w:rPr>
        <w:t>ESTRICTIONS</w:t>
      </w:r>
      <w:r>
        <w:rPr>
          <w:rFonts w:ascii="Arial" w:cs="Arial" w:eastAsia="Arial" w:hAnsi="Arial"/>
          <w:sz w:val="17"/>
          <w:szCs w:val="17"/>
          <w:b w:val="1"/>
          <w:bCs w:val="1"/>
          <w:color w:val="auto"/>
        </w:rPr>
        <w:t xml:space="preserve"> / M</w:t>
      </w:r>
      <w:r>
        <w:rPr>
          <w:rFonts w:ascii="Arial" w:cs="Arial" w:eastAsia="Arial" w:hAnsi="Arial"/>
          <w:sz w:val="15"/>
          <w:szCs w:val="15"/>
          <w:b w:val="1"/>
          <w:bCs w:val="1"/>
          <w:color w:val="auto"/>
        </w:rPr>
        <w:t>ARKET</w:t>
      </w:r>
      <w:r>
        <w:rPr>
          <w:rFonts w:ascii="Arial" w:cs="Arial" w:eastAsia="Arial" w:hAnsi="Arial"/>
          <w:sz w:val="17"/>
          <w:szCs w:val="17"/>
          <w:b w:val="1"/>
          <w:bCs w:val="1"/>
          <w:color w:val="auto"/>
        </w:rPr>
        <w:t xml:space="preserve"> A</w:t>
      </w:r>
      <w:r>
        <w:rPr>
          <w:rFonts w:ascii="Arial" w:cs="Arial" w:eastAsia="Arial" w:hAnsi="Arial"/>
          <w:sz w:val="15"/>
          <w:szCs w:val="15"/>
          <w:b w:val="1"/>
          <w:bCs w:val="1"/>
          <w:color w:val="auto"/>
        </w:rPr>
        <w:t>BUSE</w:t>
      </w:r>
      <w:r>
        <w:rPr>
          <w:rFonts w:ascii="Arial" w:cs="Arial" w:eastAsia="Arial" w:hAnsi="Arial"/>
          <w:sz w:val="17"/>
          <w:szCs w:val="17"/>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7"/>
          <w:szCs w:val="17"/>
          <w:b w:val="1"/>
          <w:bCs w:val="1"/>
          <w:color w:val="auto"/>
        </w:rPr>
        <w:t xml:space="preserve">. </w:t>
      </w:r>
      <w:r>
        <w:rPr>
          <w:rFonts w:ascii="Arial" w:cs="Arial" w:eastAsia="Arial" w:hAnsi="Arial"/>
          <w:sz w:val="17"/>
          <w:szCs w:val="17"/>
          <w:color w:val="auto"/>
        </w:rPr>
        <w:t>You may be subject to insider trading restrictions and/or market</w:t>
      </w:r>
      <w:r>
        <w:rPr>
          <w:rFonts w:ascii="Arial" w:cs="Arial" w:eastAsia="Arial" w:hAnsi="Arial"/>
          <w:sz w:val="17"/>
          <w:szCs w:val="17"/>
          <w:b w:val="1"/>
          <w:bCs w:val="1"/>
          <w:color w:val="auto"/>
        </w:rPr>
        <w:t xml:space="preserve"> </w:t>
      </w:r>
      <w:r>
        <w:rPr>
          <w:rFonts w:ascii="Arial" w:cs="Arial" w:eastAsia="Arial" w:hAnsi="Arial"/>
          <w:sz w:val="17"/>
          <w:szCs w:val="17"/>
          <w:color w:val="auto"/>
        </w:rPr>
        <w:t>abuse laws based on the exchange on which the shares of Common Stock are listed and in applicable jurisdictions, including the United States, your country and the Designated Broker’s country, which may affect your ability to accept, acquire, sell or otherwise dispose of shares of Common Stock, rights to shares of Common Stock (</w:t>
      </w:r>
      <w:r>
        <w:rPr>
          <w:rFonts w:ascii="Arial" w:cs="Arial" w:eastAsia="Arial" w:hAnsi="Arial"/>
          <w:sz w:val="17"/>
          <w:szCs w:val="17"/>
          <w:i w:val="1"/>
          <w:iCs w:val="1"/>
          <w:color w:val="auto"/>
        </w:rPr>
        <w:t>i.e.,</w:t>
      </w:r>
      <w:r>
        <w:rPr>
          <w:rFonts w:ascii="Arial" w:cs="Arial" w:eastAsia="Arial" w:hAnsi="Arial"/>
          <w:sz w:val="17"/>
          <w:szCs w:val="17"/>
          <w:color w:val="auto"/>
        </w:rPr>
        <w:t xml:space="preserve"> Options) or rights linked to the value of the shares of Common Stock under the Plan during such times as you are considered to have “inside information” regarding the Company (as defined by the laws in the applicable jurisdiction(s)). Local insider trading laws and regulations may prohibit the cancellation or amendment of orders you placed before you possessed inside information. Furthermore, you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insider trading policy, or any other applicable insider trading policy then in effect. You acknowledge that you are responsible for complying with any applicable restrictions and are encouraged to speak with your personal legal advisor for further details regarding any applicable insider-trading and/or market-abuse laws in your country.</w:t>
      </w:r>
    </w:p>
    <w:p>
      <w:pPr>
        <w:spacing w:after="0" w:line="168" w:lineRule="exact"/>
        <w:rPr>
          <w:rFonts w:ascii="Arial" w:cs="Arial" w:eastAsia="Arial" w:hAnsi="Arial"/>
          <w:sz w:val="17"/>
          <w:szCs w:val="17"/>
          <w:b w:val="1"/>
          <w:bCs w:val="1"/>
          <w:color w:val="auto"/>
        </w:rPr>
      </w:pPr>
    </w:p>
    <w:p>
      <w:pPr>
        <w:jc w:val="both"/>
        <w:ind w:firstLine="757"/>
        <w:spacing w:after="0" w:line="246" w:lineRule="auto"/>
        <w:tabs>
          <w:tab w:leader="none" w:pos="1498"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6"/>
          <w:szCs w:val="16"/>
          <w:b w:val="1"/>
          <w:bCs w:val="1"/>
          <w:color w:val="auto"/>
        </w:rPr>
        <w:t>OREIGN</w:t>
      </w:r>
      <w:r>
        <w:rPr>
          <w:rFonts w:ascii="Arial" w:cs="Arial" w:eastAsia="Arial" w:hAnsi="Arial"/>
          <w:sz w:val="18"/>
          <w:szCs w:val="18"/>
          <w:b w:val="1"/>
          <w:bCs w:val="1"/>
          <w:color w:val="auto"/>
        </w:rPr>
        <w:t xml:space="preserve"> A</w:t>
      </w:r>
      <w:r>
        <w:rPr>
          <w:rFonts w:ascii="Arial" w:cs="Arial" w:eastAsia="Arial" w:hAnsi="Arial"/>
          <w:sz w:val="16"/>
          <w:szCs w:val="16"/>
          <w:b w:val="1"/>
          <w:bCs w:val="1"/>
          <w:color w:val="auto"/>
        </w:rPr>
        <w:t>SSET</w:t>
      </w:r>
      <w:r>
        <w:rPr>
          <w:rFonts w:ascii="Arial" w:cs="Arial" w:eastAsia="Arial" w:hAnsi="Arial"/>
          <w:sz w:val="18"/>
          <w:szCs w:val="18"/>
          <w:b w:val="1"/>
          <w:bCs w:val="1"/>
          <w:color w:val="auto"/>
        </w:rPr>
        <w:t>/A</w:t>
      </w:r>
      <w:r>
        <w:rPr>
          <w:rFonts w:ascii="Arial" w:cs="Arial" w:eastAsia="Arial" w:hAnsi="Arial"/>
          <w:sz w:val="16"/>
          <w:szCs w:val="16"/>
          <w:b w:val="1"/>
          <w:bCs w:val="1"/>
          <w:color w:val="auto"/>
        </w:rPr>
        <w:t>CCOUNT</w:t>
      </w:r>
      <w:r>
        <w:rPr>
          <w:rFonts w:ascii="Arial" w:cs="Arial" w:eastAsia="Arial" w:hAnsi="Arial"/>
          <w:sz w:val="18"/>
          <w:szCs w:val="18"/>
          <w:b w:val="1"/>
          <w:bCs w:val="1"/>
          <w:color w:val="auto"/>
        </w:rPr>
        <w:t>, E</w:t>
      </w:r>
      <w:r>
        <w:rPr>
          <w:rFonts w:ascii="Arial" w:cs="Arial" w:eastAsia="Arial" w:hAnsi="Arial"/>
          <w:sz w:val="16"/>
          <w:szCs w:val="16"/>
          <w:b w:val="1"/>
          <w:bCs w:val="1"/>
          <w:color w:val="auto"/>
        </w:rPr>
        <w:t>XCHANGE</w:t>
      </w:r>
      <w:r>
        <w:rPr>
          <w:rFonts w:ascii="Arial" w:cs="Arial" w:eastAsia="Arial" w:hAnsi="Arial"/>
          <w:sz w:val="18"/>
          <w:szCs w:val="18"/>
          <w:b w:val="1"/>
          <w:bCs w:val="1"/>
          <w:color w:val="auto"/>
        </w:rPr>
        <w:t xml:space="preserve"> C</w:t>
      </w:r>
      <w:r>
        <w:rPr>
          <w:rFonts w:ascii="Arial" w:cs="Arial" w:eastAsia="Arial" w:hAnsi="Arial"/>
          <w:sz w:val="16"/>
          <w:szCs w:val="16"/>
          <w:b w:val="1"/>
          <w:bCs w:val="1"/>
          <w:color w:val="auto"/>
        </w:rPr>
        <w:t>ONTROL AND</w:t>
      </w:r>
      <w:r>
        <w:rPr>
          <w:rFonts w:ascii="Arial" w:cs="Arial" w:eastAsia="Arial" w:hAnsi="Arial"/>
          <w:sz w:val="18"/>
          <w:szCs w:val="18"/>
          <w:b w:val="1"/>
          <w:bCs w:val="1"/>
          <w:color w:val="auto"/>
        </w:rPr>
        <w:t xml:space="preserve"> T</w:t>
      </w:r>
      <w:r>
        <w:rPr>
          <w:rFonts w:ascii="Arial" w:cs="Arial" w:eastAsia="Arial" w:hAnsi="Arial"/>
          <w:sz w:val="16"/>
          <w:szCs w:val="16"/>
          <w:b w:val="1"/>
          <w:bCs w:val="1"/>
          <w:color w:val="auto"/>
        </w:rPr>
        <w:t>AX</w:t>
      </w:r>
      <w:r>
        <w:rPr>
          <w:rFonts w:ascii="Arial" w:cs="Arial" w:eastAsia="Arial" w:hAnsi="Arial"/>
          <w:sz w:val="18"/>
          <w:szCs w:val="18"/>
          <w:b w:val="1"/>
          <w:bCs w:val="1"/>
          <w:color w:val="auto"/>
        </w:rPr>
        <w:t xml:space="preserve"> R</w:t>
      </w:r>
      <w:r>
        <w:rPr>
          <w:rFonts w:ascii="Arial" w:cs="Arial" w:eastAsia="Arial" w:hAnsi="Arial"/>
          <w:sz w:val="16"/>
          <w:szCs w:val="16"/>
          <w:b w:val="1"/>
          <w:bCs w:val="1"/>
          <w:color w:val="auto"/>
        </w:rPr>
        <w:t>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be subject to foreign asset/account,</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control and/or tax reporting requirements as a result of the acquisition, holding and/or transfer of shares of Common Stock or cash (including dividends and the proceeds arising from the sale of shares of Common Stock) derived from your participation in the Plan in, to and/or from a brokerage/bank account or legal entity located outside your country. The Applicable Laws in your country may require that you report such accounts, assets and balances therein, the value thereof and/or the transactions related thereto to the applicable authorities in such country. You may also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are encouraged to consult with your personal legal advisor for any details.</w:t>
      </w:r>
    </w:p>
    <w:p>
      <w:pPr>
        <w:spacing w:after="0" w:line="179" w:lineRule="exact"/>
        <w:rPr>
          <w:rFonts w:ascii="Arial" w:cs="Arial" w:eastAsia="Arial" w:hAnsi="Arial"/>
          <w:sz w:val="18"/>
          <w:szCs w:val="18"/>
          <w:b w:val="1"/>
          <w:bCs w:val="1"/>
          <w:color w:val="auto"/>
        </w:rPr>
      </w:pPr>
    </w:p>
    <w:p>
      <w:pPr>
        <w:jc w:val="both"/>
        <w:ind w:firstLine="757"/>
        <w:spacing w:after="0" w:line="276" w:lineRule="auto"/>
        <w:tabs>
          <w:tab w:leader="none" w:pos="1498"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C</w:t>
      </w:r>
      <w:r>
        <w:rPr>
          <w:rFonts w:ascii="Arial" w:cs="Arial" w:eastAsia="Arial" w:hAnsi="Arial"/>
          <w:sz w:val="11"/>
          <w:szCs w:val="11"/>
          <w:b w:val="1"/>
          <w:bCs w:val="1"/>
          <w:color w:val="auto"/>
        </w:rPr>
        <w:t>ompliance</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ith</w:t>
      </w:r>
      <w:r>
        <w:rPr>
          <w:rFonts w:ascii="Arial" w:cs="Arial" w:eastAsia="Arial" w:hAnsi="Arial"/>
          <w:sz w:val="16"/>
          <w:szCs w:val="16"/>
          <w:b w:val="1"/>
          <w:bCs w:val="1"/>
          <w:color w:val="auto"/>
        </w:rPr>
        <w:t xml:space="preserve"> L</w:t>
      </w:r>
      <w:r>
        <w:rPr>
          <w:rFonts w:ascii="Arial" w:cs="Arial" w:eastAsia="Arial" w:hAnsi="Arial"/>
          <w:sz w:val="11"/>
          <w:szCs w:val="11"/>
          <w:b w:val="1"/>
          <w:bCs w:val="1"/>
          <w:color w:val="auto"/>
        </w:rPr>
        <w:t>aw</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this Option Agreement or the Plan, you may not exercise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unless (a) the shares of Common Stock subject to this Option are registered under the Securities Act or, if the shares of Common Stock are not then so registered, the Company has determined that the exercise and issuance would be exempt from the registration requirements of the Securities Act, and (b) such exercise complies with all other Applicable Laws. Further, unless there is an available exemption from any other registration, qualification or other legal requirement applicable to the shares of Common Stock, the Company shall not be required to deliver any shares of Common Stock issuable upon exercise of the Option prior to the completion of any registration or qualification of the shares of Common Stock under any U.S. or non-U.S. local, state or federal securities or exchange control law or under rulings or regulations of the U.S. Securities and Exchange Commission (“</w:t>
      </w:r>
      <w:r>
        <w:rPr>
          <w:rFonts w:ascii="Arial" w:cs="Arial" w:eastAsia="Arial" w:hAnsi="Arial"/>
          <w:sz w:val="16"/>
          <w:szCs w:val="16"/>
          <w:b w:val="1"/>
          <w:bCs w:val="1"/>
          <w:i w:val="1"/>
          <w:iCs w:val="1"/>
          <w:color w:val="auto"/>
        </w:rPr>
        <w:t>SEC</w:t>
      </w:r>
      <w:r>
        <w:rPr>
          <w:rFonts w:ascii="Arial" w:cs="Arial" w:eastAsia="Arial" w:hAnsi="Arial"/>
          <w:sz w:val="16"/>
          <w:szCs w:val="16"/>
          <w:color w:val="auto"/>
        </w:rPr>
        <w:t>”) or of any other governmental regulatory body, or prior to obtaining any approval or other clearance from any U.S. or non-U.S. local, state or federal governmental agency, which registration, qualification or approval the Company shall, in its absolute discretion, deem necessary or advisable. You understand that the Company is under no obligation to register or qualify the shares with the SEC or any state or non-U.S. securities commission or to seek approval or clearance from any governmental authority for the issuance or sale of the shares. Further, you agree that the Company shall have unilateral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authority to amend the Plan and this Option Agreement without your consent to the extent necessary to comply with Applicable Laws.</w:t>
      </w:r>
    </w:p>
    <w:p>
      <w:pPr>
        <w:spacing w:after="0" w:line="205" w:lineRule="exact"/>
        <w:rPr>
          <w:sz w:val="20"/>
          <w:szCs w:val="20"/>
          <w:color w:val="auto"/>
        </w:rPr>
      </w:pPr>
    </w:p>
    <w:p>
      <w:pPr>
        <w:jc w:val="both"/>
        <w:ind w:firstLine="757"/>
        <w:spacing w:after="0" w:line="246" w:lineRule="auto"/>
        <w:tabs>
          <w:tab w:leader="none" w:pos="1498"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6"/>
          <w:szCs w:val="16"/>
          <w:b w:val="1"/>
          <w:bCs w:val="1"/>
          <w:color w:val="auto"/>
        </w:rPr>
        <w:t>OUNTRY</w:t>
      </w:r>
      <w:r>
        <w:rPr>
          <w:rFonts w:ascii="Arial" w:cs="Arial" w:eastAsia="Arial" w:hAnsi="Arial"/>
          <w:sz w:val="18"/>
          <w:szCs w:val="18"/>
          <w:b w:val="1"/>
          <w:bCs w:val="1"/>
          <w:color w:val="auto"/>
        </w:rPr>
        <w:t>-S</w:t>
      </w:r>
      <w:r>
        <w:rPr>
          <w:rFonts w:ascii="Arial" w:cs="Arial" w:eastAsia="Arial" w:hAnsi="Arial"/>
          <w:sz w:val="16"/>
          <w:szCs w:val="16"/>
          <w:b w:val="1"/>
          <w:bCs w:val="1"/>
          <w:color w:val="auto"/>
        </w:rPr>
        <w:t>PECIFIC</w:t>
      </w:r>
      <w:r>
        <w:rPr>
          <w:rFonts w:ascii="Arial" w:cs="Arial" w:eastAsia="Arial" w:hAnsi="Arial"/>
          <w:sz w:val="18"/>
          <w:szCs w:val="18"/>
          <w:b w:val="1"/>
          <w:bCs w:val="1"/>
          <w:color w:val="auto"/>
        </w:rPr>
        <w:t xml:space="preserve"> P</w:t>
      </w:r>
      <w:r>
        <w:rPr>
          <w:rFonts w:ascii="Arial" w:cs="Arial" w:eastAsia="Arial" w:hAnsi="Arial"/>
          <w:sz w:val="16"/>
          <w:szCs w:val="16"/>
          <w:b w:val="1"/>
          <w:bCs w:val="1"/>
          <w:color w:val="auto"/>
        </w:rPr>
        <w:t>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provisions of the Global Option Agreement to the contrary,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any additional terms and conditions for your country set forth in the appendix attached hereto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Further, if you transfer to another country reflected in the Appendix, the terms and conditions for such country will apply to you to the extent the Company determines, in its sole discretion, that the application of such terms and conditions is necessary or advisable for legal or administrative reasons. The Appendix constitutes part of the Option Agreement.</w:t>
      </w:r>
    </w:p>
    <w:p>
      <w:pPr>
        <w:spacing w:after="0" w:line="194" w:lineRule="exact"/>
        <w:rPr>
          <w:rFonts w:ascii="Arial" w:cs="Arial" w:eastAsia="Arial" w:hAnsi="Arial"/>
          <w:sz w:val="18"/>
          <w:szCs w:val="18"/>
          <w:b w:val="1"/>
          <w:bCs w:val="1"/>
          <w:color w:val="auto"/>
        </w:rPr>
      </w:pPr>
    </w:p>
    <w:p>
      <w:pPr>
        <w:jc w:val="both"/>
        <w:ind w:firstLine="757"/>
        <w:spacing w:after="0" w:line="305" w:lineRule="auto"/>
        <w:tabs>
          <w:tab w:leader="none" w:pos="1498" w:val="left"/>
        </w:tabs>
        <w:numPr>
          <w:ilvl w:val="0"/>
          <w:numId w:val="64"/>
        </w:numPr>
        <w:rPr>
          <w:rFonts w:ascii="Arial" w:cs="Arial" w:eastAsia="Arial" w:hAnsi="Arial"/>
          <w:sz w:val="16"/>
          <w:szCs w:val="16"/>
          <w:b w:val="1"/>
          <w:bCs w:val="1"/>
          <w:color w:val="auto"/>
        </w:rPr>
      </w:pPr>
      <w:r>
        <w:rPr>
          <w:rFonts w:ascii="Arial" w:cs="Arial" w:eastAsia="Arial" w:hAnsi="Arial"/>
          <w:sz w:val="16"/>
          <w:szCs w:val="16"/>
          <w:b w:val="1"/>
          <w:bCs w:val="1"/>
          <w:color w:val="auto"/>
        </w:rPr>
        <w:t>I</w:t>
      </w:r>
      <w:r>
        <w:rPr>
          <w:rFonts w:ascii="Arial" w:cs="Arial" w:eastAsia="Arial" w:hAnsi="Arial"/>
          <w:sz w:val="14"/>
          <w:szCs w:val="14"/>
          <w:b w:val="1"/>
          <w:bCs w:val="1"/>
          <w:color w:val="auto"/>
        </w:rPr>
        <w:t>MPOSITION OF</w:t>
      </w:r>
      <w:r>
        <w:rPr>
          <w:rFonts w:ascii="Arial" w:cs="Arial" w:eastAsia="Arial" w:hAnsi="Arial"/>
          <w:sz w:val="16"/>
          <w:szCs w:val="16"/>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6"/>
          <w:szCs w:val="16"/>
          <w:b w:val="1"/>
          <w:bCs w:val="1"/>
          <w:color w:val="auto"/>
        </w:rPr>
        <w:t xml:space="preserve"> R</w:t>
      </w:r>
      <w:r>
        <w:rPr>
          <w:rFonts w:ascii="Arial" w:cs="Arial" w:eastAsia="Arial" w:hAnsi="Arial"/>
          <w:sz w:val="14"/>
          <w:szCs w:val="14"/>
          <w:b w:val="1"/>
          <w:bCs w:val="1"/>
          <w:color w:val="auto"/>
        </w:rPr>
        <w:t>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reserves the right to impose other requirements on your participation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on the Option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35" w:lineRule="exact"/>
        <w:rPr>
          <w:rFonts w:ascii="Arial" w:cs="Arial" w:eastAsia="Arial" w:hAnsi="Arial"/>
          <w:sz w:val="16"/>
          <w:szCs w:val="16"/>
          <w:b w:val="1"/>
          <w:bCs w:val="1"/>
          <w:color w:val="auto"/>
        </w:rPr>
      </w:pPr>
    </w:p>
    <w:p>
      <w:pPr>
        <w:jc w:val="both"/>
        <w:ind w:firstLine="757"/>
        <w:spacing w:after="0" w:line="258" w:lineRule="auto"/>
        <w:tabs>
          <w:tab w:leader="none" w:pos="1498"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6"/>
          <w:szCs w:val="16"/>
          <w:b w:val="1"/>
          <w:bCs w:val="1"/>
          <w:color w:val="auto"/>
        </w:rPr>
        <w:t>THER</w:t>
      </w:r>
      <w:r>
        <w:rPr>
          <w:rFonts w:ascii="Arial" w:cs="Arial" w:eastAsia="Arial" w:hAnsi="Arial"/>
          <w:sz w:val="18"/>
          <w:szCs w:val="18"/>
          <w:b w:val="1"/>
          <w:bCs w:val="1"/>
          <w:color w:val="auto"/>
        </w:rPr>
        <w:t xml:space="preserve"> D</w:t>
      </w:r>
      <w:r>
        <w:rPr>
          <w:rFonts w:ascii="Arial" w:cs="Arial" w:eastAsia="Arial" w:hAnsi="Arial"/>
          <w:sz w:val="16"/>
          <w:szCs w:val="16"/>
          <w:b w:val="1"/>
          <w:bCs w:val="1"/>
          <w:color w:val="auto"/>
        </w:rPr>
        <w:t>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You hereby acknowledge receipt of or the right to receive a document providing the information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Rule 428(b)(1) promulgated under the Securities Act, which includes the Prospectus. In addition, you acknowledge receipt of the Company’s Insider Trading Policy.</w:t>
      </w:r>
    </w:p>
    <w:p>
      <w:pPr>
        <w:spacing w:after="0" w:line="182" w:lineRule="exact"/>
        <w:rPr>
          <w:rFonts w:ascii="Arial" w:cs="Arial" w:eastAsia="Arial" w:hAnsi="Arial"/>
          <w:sz w:val="18"/>
          <w:szCs w:val="18"/>
          <w:b w:val="1"/>
          <w:bCs w:val="1"/>
          <w:color w:val="auto"/>
        </w:rPr>
      </w:pPr>
    </w:p>
    <w:p>
      <w:pPr>
        <w:ind w:firstLine="757"/>
        <w:spacing w:after="0" w:line="266" w:lineRule="auto"/>
        <w:tabs>
          <w:tab w:leader="none" w:pos="1498"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Q</w:t>
      </w:r>
      <w:r>
        <w:rPr>
          <w:rFonts w:ascii="Arial" w:cs="Arial" w:eastAsia="Arial" w:hAnsi="Arial"/>
          <w:sz w:val="16"/>
          <w:szCs w:val="16"/>
          <w:b w:val="1"/>
          <w:bCs w:val="1"/>
          <w:color w:val="auto"/>
        </w:rPr>
        <w:t>UESTIONS</w:t>
      </w:r>
      <w:r>
        <w:rPr>
          <w:rFonts w:ascii="Arial" w:cs="Arial" w:eastAsia="Arial" w:hAnsi="Arial"/>
          <w:sz w:val="18"/>
          <w:szCs w:val="18"/>
          <w:b w:val="1"/>
          <w:bCs w:val="1"/>
          <w:color w:val="auto"/>
        </w:rPr>
        <w:t xml:space="preserve">. </w:t>
      </w:r>
      <w:r>
        <w:rPr>
          <w:rFonts w:ascii="Arial" w:cs="Arial" w:eastAsia="Arial" w:hAnsi="Arial"/>
          <w:sz w:val="18"/>
          <w:szCs w:val="18"/>
          <w:color w:val="auto"/>
        </w:rPr>
        <w:t>If you have questions regarding these or any other terms and conditions applicable to your Option, including a summary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applicable U.S. federal income tax consequences please see the Prospectus.</w:t>
      </w:r>
    </w:p>
    <w:p>
      <w:pPr>
        <w:spacing w:after="0" w:line="175" w:lineRule="exact"/>
        <w:rPr>
          <w:rFonts w:ascii="Arial" w:cs="Arial" w:eastAsia="Arial" w:hAnsi="Arial"/>
          <w:sz w:val="18"/>
          <w:szCs w:val="18"/>
          <w:b w:val="1"/>
          <w:bCs w:val="1"/>
          <w:color w:val="auto"/>
        </w:rPr>
      </w:pPr>
    </w:p>
    <w:p>
      <w:pPr>
        <w:ind w:left="54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 * *</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10.1</w:t>
      </w:r>
    </w:p>
    <w:p>
      <w:pPr>
        <w:spacing w:after="0" w:line="16"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APPENDIX</w:t>
      </w:r>
    </w:p>
    <w:p>
      <w:pPr>
        <w:spacing w:after="0" w:line="250" w:lineRule="exact"/>
        <w:rPr>
          <w:sz w:val="20"/>
          <w:szCs w:val="20"/>
          <w:color w:val="auto"/>
        </w:rPr>
      </w:pPr>
    </w:p>
    <w:p>
      <w:pPr>
        <w:jc w:val="center"/>
        <w:ind w:right="140"/>
        <w:spacing w:after="0"/>
        <w:rPr>
          <w:sz w:val="20"/>
          <w:szCs w:val="20"/>
          <w:color w:val="auto"/>
        </w:rPr>
      </w:pPr>
      <w:r>
        <w:rPr>
          <w:rFonts w:ascii="Arial" w:cs="Arial" w:eastAsia="Arial" w:hAnsi="Arial"/>
          <w:sz w:val="12"/>
          <w:szCs w:val="12"/>
          <w:b w:val="1"/>
          <w:bCs w:val="1"/>
          <w:color w:val="auto"/>
        </w:rPr>
        <w:t>to the</w:t>
      </w:r>
    </w:p>
    <w:p>
      <w:pPr>
        <w:spacing w:after="0" w:line="20"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ytek</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iosciences</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1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2"/>
          <w:szCs w:val="12"/>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jc w:val="center"/>
        <w:ind w:right="140"/>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lobal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00" w:lineRule="exact"/>
        <w:rPr>
          <w:sz w:val="20"/>
          <w:szCs w:val="20"/>
          <w:color w:val="auto"/>
        </w:rPr>
      </w:pPr>
    </w:p>
    <w:p>
      <w:pPr>
        <w:spacing w:after="0" w:line="21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8"/>
          <w:szCs w:val="18"/>
          <w:color w:val="auto"/>
        </w:rPr>
        <w:t>Capitalized terms used but not defined in this Appendix have the meanings set forth in the Plan, the Grant Notice and/or the Global Stock Option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1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8"/>
          <w:szCs w:val="18"/>
          <w:color w:val="auto"/>
        </w:rPr>
        <w:t>This Appendix includes additional terms and conditions that govern the Option granted to you under the Plan if you are an employee that works or resides outside the U.S. and/or in one of the countries listed below. If you are a citizen or resident of a country other than the one in which you are currently working and/or residing, transfer Continuous Service and/or residency to another country after the date of grant, are a consultant, change employment status to a consultant position, or are considered a resident of another country for local law purposes, the Company shall, in its discretion, determine the extent to which the special terms and conditions contained herein shall be applicable to you. References to the Service Recipient shall include any entity that engages your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12"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6"/>
          <w:szCs w:val="16"/>
          <w:color w:val="auto"/>
        </w:rPr>
        <w:t>This Appendix also includes information regarding exchange controls and certain other issues of which you should be aware with respect to your participation in the Plan. The information is provided solely for your convenience and is based on the securities, exchange control and other laws in effect in the respective countries as of June 1, 2022. Such laws are often complex and change frequently. As a result, the Company strongly recommends that you not rely on the information noted herein as the only source of information relating to the consequences of your participation in the Plan because the information may be out of date by the time you vest in or exercise the Option or sell any shares of Common Stock acquired upon exercise.</w:t>
      </w:r>
    </w:p>
    <w:p>
      <w:pPr>
        <w:spacing w:after="0" w:line="15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In addition, the information contained in this Appendix is general in nature and may not apply to your particular situation, and the Company is not in a position to assure you of any particular result. Accordingly, you should seek appropriate professional advice as to how the applicable laws in your country may apply to your situation.</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Finally, if you are a citizen or resident of a country other than the one in which you are currently residing and/or working, transfer to another country after the date of grant, or are considered a resident of another country for local law purposes, the notifications contained herein may not be applicable to you in the same manner.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ind w:left="10320"/>
        <w:spacing w:after="0"/>
        <w:rPr>
          <w:sz w:val="20"/>
          <w:szCs w:val="20"/>
          <w:color w:val="auto"/>
        </w:rPr>
      </w:pPr>
      <w:r>
        <w:rPr>
          <w:rFonts w:ascii="Arial" w:cs="Arial" w:eastAsia="Arial" w:hAnsi="Arial"/>
          <w:sz w:val="16"/>
          <w:szCs w:val="16"/>
          <w:b w:val="1"/>
          <w:bCs w:val="1"/>
          <w:color w:val="auto"/>
        </w:rPr>
        <w:t>Exhibit 10.1</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ustralia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0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Exchange control reporting is required for cash transactions exceeding AUD10,000 and for international fund transfers. If an Australian bank is assisting with the transaction, the bank will file the report on your behalf. If there is no Australian bank involved in the transfer, you will be required to file the report. You should consult with your personal advisor to ensure that you are properly complying with applicable reporting requirements in Australia.</w:t>
      </w:r>
    </w:p>
    <w:p>
      <w:pPr>
        <w:spacing w:after="0" w:line="73"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If you acquire shares of Common Stock under the Plan and offer the shares of Common Stock for sale to a person or entity resident in Australia, the offer may be subject to disclosure requirements under Australian law. You should consult with your own legal advisor before making any such offer in Australia. You should obtain legal advice on your disclosure obligations prior to making such offer.</w:t>
      </w:r>
    </w:p>
    <w:p>
      <w:pPr>
        <w:spacing w:after="0" w:line="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u w:val="single" w:color="auto"/>
          <w:color w:val="auto"/>
        </w:rPr>
        <w:t>Tax Information</w:t>
      </w:r>
      <w:r>
        <w:rPr>
          <w:rFonts w:ascii="Arial" w:cs="Arial" w:eastAsia="Arial" w:hAnsi="Arial"/>
          <w:sz w:val="18"/>
          <w:szCs w:val="18"/>
          <w:color w:val="auto"/>
        </w:rPr>
        <w:t>. Subdivision 83A-C of the Income Tax Assessment Act 1997 (Cth) applies to the Option granted under the Plan, such that the shares of Common Stock are intended to be subject to deferred taxation.</w:t>
      </w:r>
    </w:p>
    <w:p>
      <w:pPr>
        <w:spacing w:after="0" w:line="16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elgium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jc w:val="both"/>
        <w:ind w:right="120"/>
        <w:spacing w:after="0" w:line="250"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b w:val="1"/>
          <w:bCs w:val="1"/>
          <w:color w:val="auto"/>
        </w:rPr>
        <w:t>.</w:t>
      </w:r>
      <w:r>
        <w:rPr>
          <w:rFonts w:ascii="Arial" w:cs="Arial" w:eastAsia="Arial" w:hAnsi="Arial"/>
          <w:sz w:val="18"/>
          <w:szCs w:val="18"/>
          <w:color w:val="auto"/>
        </w:rPr>
        <w:t xml:space="preserve"> Belgian residents are required to report any security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acquired under the Plan) or bank account held outside of Belgium on their annual tax return. In a separate report, they will be required to provide the National Bank of Belgium with certain details regarding such foreign accounts (including the account number, bank name and country in which such account was opened). The forms to complete the report are available on the National Bank of Belgium website.</w:t>
      </w:r>
    </w:p>
    <w:p>
      <w:pPr>
        <w:spacing w:after="0" w:line="177" w:lineRule="exact"/>
        <w:rPr>
          <w:sz w:val="20"/>
          <w:szCs w:val="20"/>
          <w:color w:val="auto"/>
        </w:rPr>
      </w:pPr>
    </w:p>
    <w:p>
      <w:pPr>
        <w:jc w:val="both"/>
        <w:ind w:right="120"/>
        <w:spacing w:after="0" w:line="280" w:lineRule="auto"/>
        <w:rPr>
          <w:sz w:val="20"/>
          <w:szCs w:val="20"/>
          <w:color w:val="auto"/>
        </w:rPr>
      </w:pPr>
      <w:r>
        <w:rPr>
          <w:rFonts w:ascii="Arial" w:cs="Arial" w:eastAsia="Arial" w:hAnsi="Arial"/>
          <w:sz w:val="17"/>
          <w:szCs w:val="17"/>
          <w:u w:val="single" w:color="auto"/>
          <w:color w:val="auto"/>
        </w:rPr>
        <w:t>Stock Exchange Tax Information</w:t>
      </w:r>
      <w:r>
        <w:rPr>
          <w:rFonts w:ascii="Arial" w:cs="Arial" w:eastAsia="Arial" w:hAnsi="Arial"/>
          <w:sz w:val="17"/>
          <w:szCs w:val="17"/>
          <w:b w:val="1"/>
          <w:bCs w:val="1"/>
          <w:color w:val="auto"/>
        </w:rPr>
        <w:t>.</w:t>
      </w:r>
      <w:r>
        <w:rPr>
          <w:rFonts w:ascii="Arial" w:cs="Arial" w:eastAsia="Arial" w:hAnsi="Arial"/>
          <w:sz w:val="17"/>
          <w:szCs w:val="17"/>
          <w:color w:val="auto"/>
        </w:rPr>
        <w:t xml:space="preserve"> A stock exchange tax applies to transactions executed by a Belgian resident through a non-Belgian financial intermediary, such as a U.S. broker. The stock exchange tax may apply when shares of Common Stock acquired under the Plan are sold. Belgian residents should consult with a personal tax or financial advisor for additional details on their obligations with respect to the stock exchange tax.</w:t>
      </w:r>
    </w:p>
    <w:p>
      <w:pPr>
        <w:spacing w:after="0" w:line="153" w:lineRule="exact"/>
        <w:rPr>
          <w:sz w:val="20"/>
          <w:szCs w:val="20"/>
          <w:color w:val="auto"/>
        </w:rPr>
      </w:pPr>
    </w:p>
    <w:p>
      <w:pPr>
        <w:jc w:val="both"/>
        <w:ind w:right="120"/>
        <w:spacing w:after="0" w:line="264" w:lineRule="auto"/>
        <w:rPr>
          <w:sz w:val="20"/>
          <w:szCs w:val="20"/>
          <w:color w:val="auto"/>
        </w:rPr>
      </w:pPr>
      <w:r>
        <w:rPr>
          <w:rFonts w:ascii="Arial" w:cs="Arial" w:eastAsia="Arial" w:hAnsi="Arial"/>
          <w:sz w:val="17"/>
          <w:szCs w:val="17"/>
          <w:u w:val="single" w:color="auto"/>
          <w:color w:val="auto"/>
        </w:rPr>
        <w:t>Annual Securities Account Tax Information</w:t>
      </w:r>
      <w:r>
        <w:rPr>
          <w:rFonts w:ascii="Arial" w:cs="Arial" w:eastAsia="Arial" w:hAnsi="Arial"/>
          <w:sz w:val="17"/>
          <w:szCs w:val="17"/>
          <w:b w:val="1"/>
          <w:bCs w:val="1"/>
          <w:color w:val="auto"/>
        </w:rPr>
        <w:t>.</w:t>
      </w:r>
      <w:r>
        <w:rPr>
          <w:rFonts w:ascii="Arial" w:cs="Arial" w:eastAsia="Arial" w:hAnsi="Arial"/>
          <w:sz w:val="17"/>
          <w:szCs w:val="17"/>
          <w:color w:val="auto"/>
        </w:rPr>
        <w:t xml:space="preserve"> An “annual securities account tax” has been implemented, which imposes an annual tax on the value of qualifying securities held in a Belgian or foreign securities account. The tax will not apply unless the total value of securities you hold in such an account exceeds a certain threshold on four reference dates within the relevant reporting period (i.e., December 31, March 31, June 30 and September 30). Different payment obligations may apply, depending on whether the securities account is held with a Belgian or foreign financial institution. You should consult your personal tax advisor for more information regarding your annual securities accounts tax payment obligations.</w:t>
      </w:r>
    </w:p>
    <w:p>
      <w:pPr>
        <w:spacing w:after="0" w:line="16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anada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The following provision supplements Section 2 and 4 of the Global Stock Option Agreement:</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Notwithstanding any provision of the Option Agreement or the Plan to the contrary, you are prohibited from surrendering shares of Common Stock that you already own to pay the exercise price or any Tax-Related Items in connection with the Option. The Company reserves the right to permit this method of payment depending upon the development of local law.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provision replaces Section 6(k) of the Global Stock Option Agreement:</w:t>
      </w:r>
    </w:p>
    <w:p>
      <w:pPr>
        <w:spacing w:after="0" w:line="22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For purposes of the Option, your Continuous Service will be considered terminated (regardless of the reason for such termination and whether or not later found to be invalid or in breach of employment laws in the jurisdiction where you are employed or otherwise rendering services or the terms of your employment or other service agreement,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ind w:left="10320"/>
        <w:spacing w:after="0"/>
        <w:rPr>
          <w:sz w:val="20"/>
          <w:szCs w:val="20"/>
          <w:color w:val="auto"/>
        </w:rPr>
      </w:pPr>
      <w:r>
        <w:rPr>
          <w:rFonts w:ascii="Arial" w:cs="Arial" w:eastAsia="Arial" w:hAnsi="Arial"/>
          <w:sz w:val="16"/>
          <w:szCs w:val="16"/>
          <w:b w:val="1"/>
          <w:bCs w:val="1"/>
          <w:color w:val="auto"/>
        </w:rPr>
        <w:t>Exhibit 10.1</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if any) as of the date that is the earliest of: (a) the date you are no longer actively providing services to the Company or any Affiliate, or (b) the date you</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receive notice of termination of your Continuous Service, and, unless otherwise expressly provided in the Option Agreement or determined by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Company, (i) your right to vest in the Option under the Plan, if any, will terminate as of such date, and (ii) the period (if any) during which you may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exercise the Option after such termination of Continuous Service will be measured starting as of such date. However, unless otherwise determined by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Company, the Option will continue to vest through, and the Post-Termination Exercise Period will not start until the end of, any statutory notice period or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any period of “garden leave” or similar period mandated under employment laws in the jurisdiction where you are employed or otherwise rendering service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or the terms of your employment or other service agreement, if any. You will not earn or be entitled to any pro-rated vesting for that portion of time before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 date on which your right to vest terminates, nor will you be entitled to any compensation for lost vesting. In case of any dispute as to whether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termination of Continuous Service has occurred that cannot be reasonably determined under the Option Agreement and the Plan, the Plan Administrator</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shall have the sole discretion, subject to applicable legislation, to determine whether such termination has occurred and the effective date of such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termination.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provisions apply if you are a resident of Québec:</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u w:val="single" w:color="auto"/>
          <w:color w:val="auto"/>
        </w:rPr>
        <w:t>Language Consent</w:t>
      </w:r>
      <w:r>
        <w:rPr>
          <w:rFonts w:ascii="Arial" w:cs="Arial" w:eastAsia="Arial" w:hAnsi="Arial"/>
          <w:sz w:val="18"/>
          <w:szCs w:val="18"/>
          <w:color w:val="auto"/>
        </w:rPr>
        <w:t>. The parties acknowledge that it is their express wish that this Option Agreement, as well as all documents, notices, and legal proceedings entered into, given or instituted pursuant hereto or relating directly or indirectly hereto, be drawn up in English.</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u w:val="single" w:color="auto"/>
          <w:color w:val="auto"/>
        </w:rPr>
        <w:t>Consentement Relatif à la Langue Utilisée</w:t>
      </w:r>
      <w:r>
        <w:rPr>
          <w:rFonts w:ascii="Arial" w:cs="Arial" w:eastAsia="Arial" w:hAnsi="Arial"/>
          <w:sz w:val="18"/>
          <w:szCs w:val="18"/>
          <w:i w:val="1"/>
          <w:iCs w:val="1"/>
          <w:color w:val="auto"/>
        </w:rPr>
        <w:t>. Les parties reconnaissent avoir exigé la rédaction en anglais de cette convention (“Option Agreement”), ainsi que de tous documents, avis et procédures judiciaires, exécutés, donnés ou intentés en vertu de, ou liés directement ou indirectement à, la présente convention.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Shares of Common Stock acquired under the Plan may not be sold or otherwise disposed of within Canada. You are permitted to sell the shares of Common Stock acquired under the Plan only through the Designated Broker, provided the resale of the shares of Common Stock takes place outside Canada.</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xml:space="preserve">. You are required to report any foreign specified property including shares of Common Stock and rights to receive shares of Common Stock (e.g., Options) on form T1135 (Foreign Income Verification Statement) if the total cost of your foreign specified property exceeds C$100,000 at any time in the year. Options must be reported - generally at nil cost - if the C$100,000 cost threshold is exceeded because of other foreign specified property held by you. When shares of Common Stock are acquired, their cost is generally the adjusted cost base (“ACB”) of the shares of Common Stock. The ACB ordinarily would equal the fair market value of the shares of Common Stock at the time of acquisition, but if you own other shares of Common Stock, this ACB may have to be averaged with the ACB of other shares of Common Stock. The form T1135 generally must be filed by April 30 of the following year. </w:t>
      </w:r>
      <w:r>
        <w:rPr>
          <w:rFonts w:ascii="Arial" w:cs="Arial" w:eastAsia="Arial" w:hAnsi="Arial"/>
          <w:sz w:val="16"/>
          <w:szCs w:val="16"/>
          <w:i w:val="1"/>
          <w:iCs w:val="1"/>
          <w:color w:val="auto"/>
        </w:rPr>
        <w:t>You should consult your personal legal advisor to ensure compliance with applicable reporting obligations.</w:t>
      </w:r>
    </w:p>
    <w:p>
      <w:pPr>
        <w:spacing w:after="0" w:line="17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hina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The following terms and conditions apply if you are subject to exchange control restrictions and regulations in China, including the requirements imposed by the State Administration of Foreign Exchange (“SAFE”) as determined by the Company in its sole discretion.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Vesting/Exercisability</w:t>
      </w:r>
      <w:r>
        <w:rPr>
          <w:rFonts w:ascii="Arial" w:cs="Arial" w:eastAsia="Arial" w:hAnsi="Arial"/>
          <w:sz w:val="17"/>
          <w:szCs w:val="17"/>
          <w:color w:val="auto"/>
        </w:rPr>
        <w:t>. Notwithstanding anything to the contrary in the Plan or the Agreement, unless otherwise determined by the Company, the Option shall not vest and become exercisable unless and until the Company or any Affiliate in China receives all necessary approvals from the State Administration of Foreign Exchange (“SAFE”) or its local counterpart under the Implementing Rules of the Measures for Administration of Foreign Exchange of Individuals to offer such awards in China. Once SAFE approval has been received and provided you maintain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ind w:left="10320"/>
        <w:spacing w:after="0"/>
        <w:rPr>
          <w:sz w:val="20"/>
          <w:szCs w:val="20"/>
          <w:color w:val="auto"/>
        </w:rPr>
      </w:pPr>
      <w:r>
        <w:rPr>
          <w:rFonts w:ascii="Arial" w:cs="Arial" w:eastAsia="Arial" w:hAnsi="Arial"/>
          <w:sz w:val="16"/>
          <w:szCs w:val="16"/>
          <w:b w:val="1"/>
          <w:bCs w:val="1"/>
          <w:color w:val="auto"/>
        </w:rPr>
        <w:t>Exhibit 10.1</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Continuous Service for the Company or an Affiliate, you will receive a vesting credit for that portion of the Option that would have vested prior to</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obtaining SAFE approval, if applicable, and the remaining portion of the Option will vest in accordance with the Option Agreement.  Unless otherwise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determined b the Company, if your Continuous Service terminates prior to the receipt of SAFE approval, the Option will be forfeited without any liability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to the Company, the Service Recipient or any other Affiliate.</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u w:val="single" w:color="auto"/>
          <w:color w:val="auto"/>
        </w:rPr>
        <w:t>Cashless Exercise Restriction</w:t>
      </w:r>
      <w:r>
        <w:rPr>
          <w:rFonts w:ascii="Arial" w:cs="Arial" w:eastAsia="Arial" w:hAnsi="Arial"/>
          <w:sz w:val="17"/>
          <w:szCs w:val="17"/>
          <w:color w:val="auto"/>
        </w:rPr>
        <w:t>. Notwithstanding anything to the contrary in the Global Option Agreement, due to legal restrictions in China, you will be required to pay the exercise price by a cashless exercise through the Designated Broker, such that all shares of Common Stock subject to the exercised Option will be sold immediately upon exercise (</w:t>
      </w:r>
      <w:r>
        <w:rPr>
          <w:rFonts w:ascii="Arial" w:cs="Arial" w:eastAsia="Arial" w:hAnsi="Arial"/>
          <w:sz w:val="17"/>
          <w:szCs w:val="17"/>
          <w:i w:val="1"/>
          <w:iCs w:val="1"/>
          <w:color w:val="auto"/>
        </w:rPr>
        <w:t>i.e.</w:t>
      </w:r>
      <w:r>
        <w:rPr>
          <w:rFonts w:ascii="Arial" w:cs="Arial" w:eastAsia="Arial" w:hAnsi="Arial"/>
          <w:sz w:val="17"/>
          <w:szCs w:val="17"/>
          <w:color w:val="auto"/>
        </w:rPr>
        <w:t>, a “same day sale”) and the sales proceeds, less the exercise price, any Tax-Related Items and broker’s fees or commissions, will be remitted to you in accordance with applicable exchange control laws and regulations including, but not limited to, the restrictions set forth in the terms and conditions for China set forth below under “Exchange Control Restrictions.” The Company reserves the right to provide you with additional methods of exercise depending on the development of local law.</w:t>
      </w:r>
    </w:p>
    <w:p>
      <w:pPr>
        <w:spacing w:after="0" w:line="2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Further, you acknowledge that you are not aware of any material nonpublic information with respect to the Company or any securities of the Company as of the Date of Grant.</w:t>
      </w:r>
    </w:p>
    <w:p>
      <w:pPr>
        <w:spacing w:after="0" w:line="7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Due to fluctuations in price and/or applicable exchange rates between the exercise date and the date on which the proceeds can be remitted to China, the amount of proceeds ultimately distributed to you may reflect an amount that is more or less than the market value of the shares of Common Stock on the exercise date (which is the amount relevant to determining your liability for Tax-Related Items). You understand and agree that the Company is not responsible for the amount of any loss that you may incur and that the Company assumes no liability for any fluctuations in the price of share of Common Stock and/or any applicable exchange rate.</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u w:val="single" w:color="auto"/>
          <w:color w:val="auto"/>
        </w:rPr>
        <w:t>Designated Broker Account</w:t>
      </w:r>
      <w:r>
        <w:rPr>
          <w:rFonts w:ascii="Arial" w:cs="Arial" w:eastAsia="Arial" w:hAnsi="Arial"/>
          <w:sz w:val="18"/>
          <w:szCs w:val="18"/>
          <w:color w:val="auto"/>
        </w:rPr>
        <w:t>. If shares of Common Stock issued pursuant to the Option are not immediately sold at exercise, you acknowledge that you are required to maintain the shares of Common Stock in an account as may be selected by the Company until the shares of Common Stock are sold through the Designated Broker.</w:t>
      </w:r>
    </w:p>
    <w:p>
      <w:pPr>
        <w:spacing w:after="0" w:line="19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u w:val="single" w:color="auto"/>
          <w:color w:val="auto"/>
        </w:rPr>
        <w:t>Exchange Control Requirements</w:t>
      </w:r>
      <w:r>
        <w:rPr>
          <w:rFonts w:ascii="Arial" w:cs="Arial" w:eastAsia="Arial" w:hAnsi="Arial"/>
          <w:sz w:val="16"/>
          <w:szCs w:val="16"/>
          <w:color w:val="auto"/>
        </w:rPr>
        <w:t>. You understand and agree that, pursuant to local exchange control requirements, you will be required to immediately repatriate the cash proceeds from the sale of shares of Common Stock and any cash dividends paid on such shares of Common Stock to China. You further understand that, under local law, such repatriation of your cash proceeds may need to be effectuated through a special exchange control account established by the Company, the Service Recipient or any other Affiliate, and you hereby consent and agree that any proceeds from the sale of shares of Common Stock or any cash dividends paid on such shares of Common Stock may be transferred to such special account prior to being delivered to you.</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proceeds may be paid to you in U.S. dollars or local currency at the Company’s discretion. In the event the proceeds are paid to you in U.S. dollars, you understand that you will be required to set up a U.S. dollar bank account in China and provide the bank account details to the Service Recipient and/or the Company so that the proceeds may be deposited into this account. If the proceeds are paid to you in local currency, the Company is under no obligation to secure any particular exchange conversion rate and/or conversion date and the Company may face delays in converting the proceeds to local currency due to exchange control restrictions. You agree to bear any currency fluctuation risk between the time the shares of Common Stock are sold or dividends are received and the time the proceeds are distributed through any such special exchange account.</w:t>
      </w:r>
    </w:p>
    <w:p>
      <w:pPr>
        <w:spacing w:after="0" w:line="1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further agree to comply with any other requirements that may be imposed by the Company in the future in order to facilitate compliance with exchange control requirements in China.</w:t>
      </w:r>
    </w:p>
    <w:p>
      <w:pPr>
        <w:spacing w:after="0" w:line="13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olombia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u w:val="single" w:color="auto"/>
          <w:color w:val="auto"/>
        </w:rPr>
        <w:t>Labor Law Acknowledgment</w:t>
      </w:r>
      <w:r>
        <w:rPr>
          <w:rFonts w:ascii="Arial" w:cs="Arial" w:eastAsia="Arial" w:hAnsi="Arial"/>
          <w:sz w:val="18"/>
          <w:szCs w:val="18"/>
          <w:color w:val="auto"/>
        </w:rPr>
        <w:t>. By accepting the Option, you expressly acknowledge that, pursuant to Article 15 of Law 50/1990 (Article 128 of the Colombian Labor Code), the Option and any shares of Common Stock you receive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ind w:left="10320"/>
        <w:spacing w:after="0"/>
        <w:rPr>
          <w:sz w:val="20"/>
          <w:szCs w:val="20"/>
          <w:color w:val="auto"/>
        </w:rPr>
      </w:pPr>
      <w:r>
        <w:rPr>
          <w:rFonts w:ascii="Arial" w:cs="Arial" w:eastAsia="Arial" w:hAnsi="Arial"/>
          <w:sz w:val="16"/>
          <w:szCs w:val="16"/>
          <w:b w:val="1"/>
          <w:bCs w:val="1"/>
          <w:color w:val="auto"/>
        </w:rPr>
        <w:t>Exhibit 10.1</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Option are wholly discretionary and are a benefit of an extraordinary nature that do not exclusively depend on your performance.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Accordingly, the Plan, Option and any related benefits do not constitute a component of your “salary” for any legal purpose, including for the purposes of</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calculating any and all labor benefits, such as fringe benefits, vacation pay, termination or other indemnities, payroll taxes, social insurance contributions or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any outstanding employment-related amounts, subject to limitations provided in Law 1393/2010.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The underlying shares of Common Stock are not and will not be registered in the Colombian registry of publicly traded securities (</w:t>
      </w:r>
      <w:r>
        <w:rPr>
          <w:rFonts w:ascii="Arial" w:cs="Arial" w:eastAsia="Arial" w:hAnsi="Arial"/>
          <w:sz w:val="17"/>
          <w:szCs w:val="17"/>
          <w:i w:val="1"/>
          <w:iCs w:val="1"/>
          <w:color w:val="auto"/>
        </w:rPr>
        <w:t>Registro Vacional de Valores y Emisores</w:t>
      </w:r>
      <w:r>
        <w:rPr>
          <w:rFonts w:ascii="Arial" w:cs="Arial" w:eastAsia="Arial" w:hAnsi="Arial"/>
          <w:sz w:val="17"/>
          <w:szCs w:val="17"/>
          <w:color w:val="auto"/>
        </w:rPr>
        <w:t>) and therefore the underlying shares of Common Stock may not be offered to the public in Colombia. Nothing in this document should be construed as the making of a public offer of securities in Colombia. An offer of shares of Common Stock to employees or other service providers will not be considered a public offer provided that it meets conditions set forth in Decree 1351, 2019.</w:t>
      </w:r>
    </w:p>
    <w:p>
      <w:pPr>
        <w:spacing w:after="0" w:line="16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Your investments in shares of Common Stock outside Colombia (including shares of Common Stock acquired under the Plan) are subject to registration before the Central Bank (</w:t>
      </w:r>
      <w:r>
        <w:rPr>
          <w:rFonts w:ascii="Arial" w:cs="Arial" w:eastAsia="Arial" w:hAnsi="Arial"/>
          <w:sz w:val="18"/>
          <w:szCs w:val="18"/>
          <w:i w:val="1"/>
          <w:iCs w:val="1"/>
          <w:color w:val="auto"/>
        </w:rPr>
        <w:t>Banco de la República</w:t>
      </w:r>
      <w:r>
        <w:rPr>
          <w:rFonts w:ascii="Arial" w:cs="Arial" w:eastAsia="Arial" w:hAnsi="Arial"/>
          <w:sz w:val="18"/>
          <w:szCs w:val="18"/>
          <w:color w:val="auto"/>
        </w:rPr>
        <w:t>) as a foreign investment held abroad, regardless of value. In addition, all payments for your investment originating in Colombia (and the liquidation of such investments) must be transferred through the Colombian foreign exchange market (</w:t>
      </w:r>
      <w:r>
        <w:rPr>
          <w:rFonts w:ascii="Arial" w:cs="Arial" w:eastAsia="Arial" w:hAnsi="Arial"/>
          <w:sz w:val="18"/>
          <w:szCs w:val="18"/>
          <w:i w:val="1"/>
          <w:iCs w:val="1"/>
          <w:color w:val="auto"/>
        </w:rPr>
        <w:t>e.g.</w:t>
      </w:r>
      <w:r>
        <w:rPr>
          <w:rFonts w:ascii="Arial" w:cs="Arial" w:eastAsia="Arial" w:hAnsi="Arial"/>
          <w:sz w:val="18"/>
          <w:szCs w:val="18"/>
          <w:color w:val="auto"/>
        </w:rPr>
        <w:t>, local banks), which includes the obligation of correctly completing and filing the appropriate foreign exchange form (</w:t>
      </w:r>
      <w:r>
        <w:rPr>
          <w:rFonts w:ascii="Arial" w:cs="Arial" w:eastAsia="Arial" w:hAnsi="Arial"/>
          <w:sz w:val="18"/>
          <w:szCs w:val="18"/>
          <w:i w:val="1"/>
          <w:iCs w:val="1"/>
          <w:color w:val="auto"/>
        </w:rPr>
        <w:t>declaración de</w:t>
      </w:r>
      <w:r>
        <w:rPr>
          <w:rFonts w:ascii="Arial" w:cs="Arial" w:eastAsia="Arial" w:hAnsi="Arial"/>
          <w:sz w:val="18"/>
          <w:szCs w:val="18"/>
          <w:color w:val="auto"/>
        </w:rPr>
        <w:t xml:space="preserve"> </w:t>
      </w:r>
      <w:r>
        <w:rPr>
          <w:rFonts w:ascii="Arial" w:cs="Arial" w:eastAsia="Arial" w:hAnsi="Arial"/>
          <w:sz w:val="18"/>
          <w:szCs w:val="18"/>
          <w:i w:val="1"/>
          <w:iCs w:val="1"/>
          <w:color w:val="auto"/>
        </w:rPr>
        <w:t>cambio</w:t>
      </w:r>
      <w:r>
        <w:rPr>
          <w:rFonts w:ascii="Arial" w:cs="Arial" w:eastAsia="Arial" w:hAnsi="Arial"/>
          <w:sz w:val="18"/>
          <w:szCs w:val="18"/>
          <w:color w:val="auto"/>
        </w:rPr>
        <w:t>).</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b w:val="1"/>
          <w:bCs w:val="1"/>
          <w:color w:val="auto"/>
        </w:rPr>
        <w:t>.</w:t>
      </w:r>
      <w:r>
        <w:rPr>
          <w:rFonts w:ascii="Arial" w:cs="Arial" w:eastAsia="Arial" w:hAnsi="Arial"/>
          <w:sz w:val="18"/>
          <w:szCs w:val="18"/>
          <w:color w:val="auto"/>
        </w:rPr>
        <w:t xml:space="preserve"> You may be required to file an annual information return detailing any assets held abroad to the Colombian Tax Office. If the individual value of these assets exceeds a certain threshold, you must identify and characterize each asset, specify the jurisdiction in which it is located and provide its value.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rance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auto"/>
        </w:rPr>
        <w:t>French Language Provision</w:t>
      </w:r>
      <w:r>
        <w:rPr>
          <w:rFonts w:ascii="Arial" w:cs="Arial" w:eastAsia="Arial" w:hAnsi="Arial"/>
          <w:sz w:val="18"/>
          <w:szCs w:val="18"/>
          <w:color w:val="auto"/>
        </w:rPr>
        <w:t>. By accepting this Option, you confirm having read and understood the documents relating to this grant (the Plan and this Option Agreement), including all terms and conditions included therein, which were provided in the English language. You accept the terms and conditions of these documents accordingly.</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En acceptant cette Option, vous confirmez avoir lu et compris les documents relatifs à cette attribution (le Plan et le présent Contrat d’Attribution), y compris les termes et conditions de ces documents, qui ont été communiqués en langue anglaise. Vous acceptez les termes et conditions de ces documents en connaissance de cause.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 Information</w:t>
      </w:r>
      <w:r>
        <w:rPr>
          <w:rFonts w:ascii="Arial" w:cs="Arial" w:eastAsia="Arial" w:hAnsi="Arial"/>
          <w:sz w:val="16"/>
          <w:szCs w:val="16"/>
          <w:color w:val="auto"/>
        </w:rPr>
        <w:t>. The Option is not intended to qualify for specific tax and social security treatment applicable to stock options granted under Articles 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225-177 to L. 225-186-1 of the French Commercial Code, as amended.</w:t>
      </w:r>
    </w:p>
    <w:p>
      <w:pPr>
        <w:spacing w:after="0" w:line="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The value of any cash or securities imported to or exported from France without the use of a financial institution must be reported to the customs and excise authorities when the value of such cash or securities is equal to or greater than a certain amount. You should consult with your personal financial advisor for further details regarding this requirement.</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You are required to report all foreign accounts (whether open, current or closed) to the French tax authorities when filing your annual tax return.</w:t>
      </w:r>
    </w:p>
    <w:p>
      <w:pPr>
        <w:spacing w:after="0" w:line="16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ermany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Cross-border payments and certain other transactions with a value in excess of €12,500 must be reported monthly to the German Federal Bank (</w:t>
      </w:r>
      <w:r>
        <w:rPr>
          <w:rFonts w:ascii="Arial" w:cs="Arial" w:eastAsia="Arial" w:hAnsi="Arial"/>
          <w:sz w:val="18"/>
          <w:szCs w:val="18"/>
          <w:i w:val="1"/>
          <w:iCs w:val="1"/>
          <w:color w:val="auto"/>
        </w:rPr>
        <w:t>Bundesbank</w:t>
      </w:r>
      <w:r>
        <w:rPr>
          <w:rFonts w:ascii="Arial" w:cs="Arial" w:eastAsia="Arial" w:hAnsi="Arial"/>
          <w:sz w:val="18"/>
          <w:szCs w:val="18"/>
          <w:color w:val="auto"/>
        </w:rPr>
        <w:t>). In case of payments in connection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ind w:left="10320"/>
        <w:spacing w:after="0"/>
        <w:rPr>
          <w:sz w:val="20"/>
          <w:szCs w:val="20"/>
          <w:color w:val="auto"/>
        </w:rPr>
      </w:pPr>
      <w:r>
        <w:rPr>
          <w:rFonts w:ascii="Arial" w:cs="Arial" w:eastAsia="Arial" w:hAnsi="Arial"/>
          <w:sz w:val="16"/>
          <w:szCs w:val="16"/>
          <w:b w:val="1"/>
          <w:bCs w:val="1"/>
          <w:color w:val="auto"/>
        </w:rPr>
        <w:t>Exhibit 10.1</w:t>
      </w:r>
    </w:p>
    <w:p>
      <w:pPr>
        <w:spacing w:after="0" w:line="39" w:lineRule="exact"/>
        <w:rPr>
          <w:sz w:val="20"/>
          <w:szCs w:val="20"/>
          <w:color w:val="auto"/>
        </w:rPr>
      </w:pPr>
    </w:p>
    <w:p>
      <w:pPr>
        <w:jc w:val="both"/>
        <w:ind w:right="120"/>
        <w:spacing w:after="0" w:line="279" w:lineRule="auto"/>
        <w:rPr>
          <w:sz w:val="20"/>
          <w:szCs w:val="20"/>
          <w:color w:val="auto"/>
        </w:rPr>
      </w:pPr>
      <w:r>
        <w:rPr>
          <w:rFonts w:ascii="Arial" w:cs="Arial" w:eastAsia="Arial" w:hAnsi="Arial"/>
          <w:sz w:val="16"/>
          <w:szCs w:val="16"/>
          <w:color w:val="auto"/>
        </w:rPr>
        <w:t>with securities (including proceeds realized upon the sale of shares of Common Stock or from the receipt of any dividends paid on such shares of Common Stock), the report must be made by the 5th day of the month following the month in which the payment was received. The report must be filed electronically. The form of report (“</w:t>
      </w:r>
      <w:r>
        <w:rPr>
          <w:rFonts w:ascii="Arial" w:cs="Arial" w:eastAsia="Arial" w:hAnsi="Arial"/>
          <w:sz w:val="16"/>
          <w:szCs w:val="16"/>
          <w:i w:val="1"/>
          <w:iCs w:val="1"/>
          <w:color w:val="auto"/>
        </w:rPr>
        <w:t>Allgemeines Meldeportal Statistik</w:t>
      </w:r>
      <w:r>
        <w:rPr>
          <w:rFonts w:ascii="Arial" w:cs="Arial" w:eastAsia="Arial" w:hAnsi="Arial"/>
          <w:sz w:val="16"/>
          <w:szCs w:val="16"/>
          <w:color w:val="auto"/>
        </w:rPr>
        <w:t>”) can be accessed via the Bundesbank’s website (www.bundesbank.de) and is available in both German and English. In addition, you may be required to report the acquisition of shares of Common Stock to the Bundesbank via email or telephone if the value of the shares of Common Stock acquired exceeds €12,500. You are responsible for complying with applicable reporting requirements and should consult with your advisor or directly with the Bundesbank as to the transactions that trigger a reporting obligation.</w:t>
      </w:r>
    </w:p>
    <w:p>
      <w:pPr>
        <w:spacing w:after="0" w:line="159" w:lineRule="exact"/>
        <w:rPr>
          <w:sz w:val="20"/>
          <w:szCs w:val="20"/>
          <w:color w:val="auto"/>
        </w:rPr>
      </w:pPr>
    </w:p>
    <w:p>
      <w:pPr>
        <w:jc w:val="both"/>
        <w:ind w:right="120"/>
        <w:spacing w:after="0" w:line="249"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If your acquisition of shares of Common Stock under the Plan leads to a so-called qualified participation at any point during the calendar year, you will need to report the acquisition when you file your tax return for the relevant year. A qualified participation is attained only if (i) you own at least 1% of the Company and the value of the shares of Common Stock acquired exceeds €150,000 or (ii) you hold shares of Common Stock exceeding 10% of the Company's total Common Stock.</w:t>
      </w:r>
    </w:p>
    <w:p>
      <w:pPr>
        <w:spacing w:after="0" w:line="17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taly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The following provision supplements Sections 2 and 4 of the Global Stock Option Agreement:</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You agree that, should the Company determine, in its sole discretion, that it is necessary or advisable under local law, you may be required to pay the exercise price for any shares of Common Stock subject to the Option by a cashless sell-all exercise, such that any shares of Common Stock to be issued to you will be sold immediately in a same-day sale transaction. You agree that the Company is authorized to instruct the Designated Broker to assist with the mandatory sale of such shares of Common Stock (on your behalf pursuant to this authorization) and you expressly authorize the Designated Broker to complete the sale of such shares of Common Stock. You acknowledge that the Designated Broker is under no obligation to arrange for the sale of the shares of Common Stock at any particular price. If applicable, upon the sale of the shares of Common Stock, the cash proceeds from the sale, less any brokerage fees or commissions and subject to the Company’s obligations, if any, to satisfy Tax-Related Items, will be remitted to you. The Company reserves the right, in its sole discretion, to permit other methods of exercise.</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Further, you acknowledge that you are not aware of any material nonpublic information with respect to the Company or any securities of the Company as of the Date of Grant.</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u w:val="single" w:color="auto"/>
          <w:color w:val="auto"/>
        </w:rPr>
        <w:t>Plan Document Acknowledgement</w:t>
      </w:r>
      <w:r>
        <w:rPr>
          <w:rFonts w:ascii="Arial" w:cs="Arial" w:eastAsia="Arial" w:hAnsi="Arial"/>
          <w:sz w:val="18"/>
          <w:szCs w:val="18"/>
          <w:color w:val="auto"/>
        </w:rPr>
        <w:t>. By accepting the Option, you acknowledge you have received a copy of the Plan and the Option Agreement and have reviewed the Plan and the Option Agreement, including this Appendix, in their entirety and fully understand and accept all provisions of the Plan and the Option Agreement, including this Appendix.</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Foreign Asset/Account Reporting Information</w:t>
      </w:r>
      <w:r>
        <w:rPr>
          <w:rFonts w:ascii="Arial" w:cs="Arial" w:eastAsia="Arial" w:hAnsi="Arial"/>
          <w:sz w:val="17"/>
          <w:szCs w:val="17"/>
          <w:color w:val="auto"/>
        </w:rPr>
        <w:t>. Italian residents who, at any time during the fiscal year, hold foreign financial assets (including cash and shares of Common Stock) which may generate income taxable in Italy are required to report these assets on their annual tax returns (UNICO Form, RW Schedule) for the year during which the assets are held, or on a special form if no tax return is due. These reporting obligations also will apply to Italian residents who are the beneficial owners of foreign financial assets under Italian money laundering provisions.</w:t>
      </w:r>
    </w:p>
    <w:p>
      <w:pPr>
        <w:spacing w:after="0" w:line="5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u w:val="single" w:color="auto"/>
          <w:color w:val="auto"/>
        </w:rPr>
        <w:t>Tax on Foreign Financial Assets</w:t>
      </w:r>
      <w:r>
        <w:rPr>
          <w:rFonts w:ascii="Arial" w:cs="Arial" w:eastAsia="Arial" w:hAnsi="Arial"/>
          <w:sz w:val="16"/>
          <w:szCs w:val="16"/>
          <w:color w:val="auto"/>
        </w:rPr>
        <w:t>. The value of any shares of Common Stock (and certain other foreign assets) you hold outside Italy will be subject to a foreign financial assets tax, to the extent the aggregate value of your covered foreign assets exceeds a certain threshold. The taxable amount is equal to the fair market value of the shares of Common Stock on December 31 or on the last day the shares of Common Stock were held (in such case, or when the shares of Common Stock are acquired during the course of the year, the tax is levied in proportion to the number of days the shares of Common Stock were held over the calendar year). If you are subject to this foreign financial assets tax, you will need to report the value of the financial assets held abroad in Form RM of your annual tax return. You are advised to contact your personal tax advisor for additional information about the foreign financial assets tax.</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2"/>
          <w:szCs w:val="12"/>
          <w:b w:val="1"/>
          <w:bCs w:val="1"/>
          <w:color w:val="auto"/>
        </w:rPr>
        <w:t>apan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11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If you acquire shares of Common Stock valued at more than ¥100,000,000 in a single transaction, you must file a Securities Acquisition Report with the Ministry of Finance through the Bank of Japan within 20 days of the acquisition of the shares of Common Stock.</w:t>
      </w:r>
    </w:p>
    <w:p>
      <w:pPr>
        <w:spacing w:after="0" w:line="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if you pay more than ¥30,000,000 in a single transaction for the purchase of shares of Common Stock when you exercise the Option, you must file a Payment Report with the Ministry of Finance through the Bank of Japan within 20 days of the date that the payment is made. The precise reporting requirements vary depending on whether or not the relevant payment is made through a bank in Japan.</w:t>
      </w:r>
    </w:p>
    <w:p>
      <w:pPr>
        <w:spacing w:after="0" w:line="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Please note that a Payment Report is required independently from a Securities Acquisition Report; therefore, you must file both a Payment Report and a Securities Acquisition Report if the total amount that you pay in a single transaction for exercising the Option and purchasing shares of Common Stock exceeds ¥100,000,000.</w:t>
      </w:r>
    </w:p>
    <w:p>
      <w:pPr>
        <w:spacing w:after="0" w:line="6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You are required to report details of any assets held outside Japan as of December 31 (including shares of Common Stock acquired under the Plan), to the extent such assets have a total net fair market value exceeding ¥50 million. Such report will be due by March 15 each year. You should consult with your personal tax advisor to determine if the reporting obligation applies to your personal situation.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etherlands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100"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oland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Exchange Control Information</w:t>
      </w:r>
      <w:r>
        <w:rPr>
          <w:rFonts w:ascii="Arial" w:cs="Arial" w:eastAsia="Arial" w:hAnsi="Arial"/>
          <w:sz w:val="17"/>
          <w:szCs w:val="17"/>
          <w:color w:val="auto"/>
        </w:rPr>
        <w:t>. Polish residents holding foreign securities (including shares of Common Stock) and maintaining accounts abroad may be required to file certain reports with the National Bank of Poland on the transactions and balances of the securities and cash deposited in such accounts if the value of such transactions or balances exceeds PLN 7,000,000 in the aggregate. If required, the resident must file reports on the transactions and balances of the accounts on a quarterly basis on special forms available on the website of the National Bank of Poland.</w:t>
      </w:r>
    </w:p>
    <w:p>
      <w:pPr>
        <w:spacing w:after="0" w:line="153" w:lineRule="exact"/>
        <w:rPr>
          <w:sz w:val="20"/>
          <w:szCs w:val="20"/>
          <w:color w:val="auto"/>
        </w:rPr>
      </w:pPr>
    </w:p>
    <w:p>
      <w:pPr>
        <w:jc w:val="both"/>
        <w:ind w:right="120"/>
        <w:spacing w:after="0" w:line="290" w:lineRule="auto"/>
        <w:rPr>
          <w:sz w:val="20"/>
          <w:szCs w:val="20"/>
          <w:color w:val="auto"/>
        </w:rPr>
      </w:pPr>
      <w:r>
        <w:rPr>
          <w:rFonts w:ascii="Arial" w:cs="Arial" w:eastAsia="Arial" w:hAnsi="Arial"/>
          <w:sz w:val="16"/>
          <w:szCs w:val="16"/>
          <w:color w:val="auto"/>
        </w:rPr>
        <w:t>In addition, Polish residents are required to transfer funds (e.g., in connection with the sale of shares of Common Stock) through a bank in Poland if the transferred amount in any single transaction exceeds a specified threshold (currently €15,000 unless the transfer of funds is considered to be connected with the business activity of an entrepreneur, in which case a lower threshold may apply). Polish residents are required to retain the documents connected with a foreign exchange transaction for a period of five (5) years, as measured from the end of the year in which such transaction occurred.</w:t>
      </w:r>
    </w:p>
    <w:p>
      <w:pPr>
        <w:spacing w:after="0" w:line="146"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ortugal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12" w:lineRule="exact"/>
        <w:rPr>
          <w:sz w:val="20"/>
          <w:szCs w:val="20"/>
          <w:color w:val="auto"/>
        </w:rPr>
      </w:pPr>
    </w:p>
    <w:p>
      <w:pPr>
        <w:spacing w:after="0" w:line="261" w:lineRule="auto"/>
        <w:rPr>
          <w:sz w:val="20"/>
          <w:szCs w:val="20"/>
          <w:color w:val="auto"/>
        </w:rPr>
      </w:pPr>
      <w:r>
        <w:rPr>
          <w:rFonts w:ascii="Arial" w:cs="Arial" w:eastAsia="Arial" w:hAnsi="Arial"/>
          <w:sz w:val="18"/>
          <w:szCs w:val="18"/>
          <w:u w:val="single" w:color="auto"/>
          <w:color w:val="auto"/>
        </w:rPr>
        <w:t>Language Consent</w:t>
      </w:r>
      <w:r>
        <w:rPr>
          <w:rFonts w:ascii="Arial" w:cs="Arial" w:eastAsia="Arial" w:hAnsi="Arial"/>
          <w:sz w:val="18"/>
          <w:szCs w:val="18"/>
          <w:color w:val="auto"/>
        </w:rPr>
        <w:t>. You hereby expressly declare that you have full knowledge of the English language and have read, understood and fully accepted and agreed with the terms and conditions established in the Plan and Option Agreement.</w:t>
      </w:r>
    </w:p>
    <w:p>
      <w:pPr>
        <w:spacing w:after="0" w:line="184" w:lineRule="exact"/>
        <w:rPr>
          <w:sz w:val="20"/>
          <w:szCs w:val="20"/>
          <w:color w:val="auto"/>
        </w:rPr>
      </w:pPr>
    </w:p>
    <w:p>
      <w:pPr>
        <w:spacing w:after="0" w:line="261" w:lineRule="auto"/>
        <w:rPr>
          <w:sz w:val="20"/>
          <w:szCs w:val="20"/>
          <w:color w:val="auto"/>
        </w:rPr>
      </w:pPr>
      <w:r>
        <w:rPr>
          <w:rFonts w:ascii="Arial" w:cs="Arial" w:eastAsia="Arial" w:hAnsi="Arial"/>
          <w:sz w:val="18"/>
          <w:szCs w:val="18"/>
          <w:u w:val="single" w:color="auto"/>
          <w:color w:val="auto"/>
        </w:rPr>
        <w:t>Conhecimento da Lingua</w:t>
      </w:r>
      <w:r>
        <w:rPr>
          <w:rFonts w:ascii="Arial" w:cs="Arial" w:eastAsia="Arial" w:hAnsi="Arial"/>
          <w:sz w:val="18"/>
          <w:szCs w:val="18"/>
          <w:color w:val="auto"/>
        </w:rPr>
        <w:t xml:space="preserve">. </w:t>
      </w:r>
      <w:r>
        <w:rPr>
          <w:rFonts w:ascii="Arial" w:cs="Arial" w:eastAsia="Arial" w:hAnsi="Arial"/>
          <w:sz w:val="18"/>
          <w:szCs w:val="18"/>
          <w:i w:val="1"/>
          <w:iCs w:val="1"/>
          <w:color w:val="auto"/>
        </w:rPr>
        <w:t>Por meio do presente, você declaro expressamente que tem pleno conhecimento da língua inglesa e que leu, compreendeu e</w:t>
      </w:r>
      <w:r>
        <w:rPr>
          <w:rFonts w:ascii="Arial" w:cs="Arial" w:eastAsia="Arial" w:hAnsi="Arial"/>
          <w:sz w:val="18"/>
          <w:szCs w:val="18"/>
          <w:color w:val="auto"/>
        </w:rPr>
        <w:t xml:space="preserve"> </w:t>
      </w:r>
      <w:r>
        <w:rPr>
          <w:rFonts w:ascii="Arial" w:cs="Arial" w:eastAsia="Arial" w:hAnsi="Arial"/>
          <w:sz w:val="18"/>
          <w:szCs w:val="18"/>
          <w:i w:val="1"/>
          <w:iCs w:val="1"/>
          <w:color w:val="auto"/>
        </w:rPr>
        <w:t>livremente aceitou e concordou com os termos e condições estabelecidas no Plano e no Acordo.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you are a resident of Portugal and you receive shares of Common Stock, the acquisition of such shares of Common Stock should be reported to the Banco de Portugal for statistical purposes. If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ind w:left="10320"/>
        <w:spacing w:after="0"/>
        <w:rPr>
          <w:sz w:val="20"/>
          <w:szCs w:val="20"/>
          <w:color w:val="auto"/>
        </w:rPr>
      </w:pPr>
      <w:r>
        <w:rPr>
          <w:rFonts w:ascii="Arial" w:cs="Arial" w:eastAsia="Arial" w:hAnsi="Arial"/>
          <w:sz w:val="16"/>
          <w:szCs w:val="16"/>
          <w:b w:val="1"/>
          <w:bCs w:val="1"/>
          <w:color w:val="auto"/>
        </w:rPr>
        <w:t>Exhibit 10.1</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the shares of Common Stock are deposited with a commercial bank or financial intermediary in Portugal, such bank or financial intermediary will submit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report to the Banco de Portugal. If the shares of Common Stock are not deposited with a commercial bank, broker or financial intermediary in Portugal,</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you will be responsible for submitting the report to the Banco de Portugal.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ingapore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u w:val="single" w:color="auto"/>
          <w:color w:val="auto"/>
        </w:rPr>
        <w:t>Securities Law Information</w:t>
      </w:r>
      <w:r>
        <w:rPr>
          <w:rFonts w:ascii="Arial" w:cs="Arial" w:eastAsia="Arial" w:hAnsi="Arial"/>
          <w:sz w:val="17"/>
          <w:szCs w:val="17"/>
          <w:color w:val="auto"/>
        </w:rPr>
        <w:t>. The grant of the Option under the Plan is being made pursuant to the “Qualifying Person exemption” under Section 273(1)(f) of the Securities and Futures Act (Chapter 289, 2006 Ed.) (“SFA”). The Plan has not been lodged or registered as a prospectus with the Monetary Authority of Singapore. Hence, statutory liability under the SFA in relation to the content of prospectuses will not apply. You should note that the Option is subject to Section 257 of the SFA and that the Option may not be offered or sold, or made the subject of an invitation for subscription or purchase, whether directly or indirectly, to persons in Singapore, unless such offer, sale or invitation is made (i) more than six (6) months from the Date of Grant, (ii) pursuant to the exemptions under Part XIII Division 1 Subdivision (4) (other than Section 280) of the SFA, or (iii) pursuant to, and in accordance with the conditions of, any other applicable provisions of the SFA.</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To the extent you sell, offer to sell or otherwise dispose of shares of Common Stock acquired through the Plan within six months of the Date of Grant, you are permitted to dispose of such shares of Common Stock through the Designated Broker, provided the resale of shares of Common Stock acquired under the Plan takes place outside Singapore through the facilities of a stock exchange on which the shares of Common Stock are listed.</w:t>
      </w:r>
    </w:p>
    <w:p>
      <w:pPr>
        <w:spacing w:after="0" w:line="158" w:lineRule="exact"/>
        <w:rPr>
          <w:sz w:val="20"/>
          <w:szCs w:val="20"/>
          <w:color w:val="auto"/>
        </w:rPr>
      </w:pPr>
    </w:p>
    <w:p>
      <w:pPr>
        <w:jc w:val="both"/>
        <w:ind w:right="120"/>
        <w:spacing w:after="0" w:line="244" w:lineRule="auto"/>
        <w:rPr>
          <w:sz w:val="20"/>
          <w:szCs w:val="20"/>
          <w:color w:val="auto"/>
        </w:rPr>
      </w:pPr>
      <w:r>
        <w:rPr>
          <w:rFonts w:ascii="Arial" w:cs="Arial" w:eastAsia="Arial" w:hAnsi="Arial"/>
          <w:sz w:val="18"/>
          <w:szCs w:val="18"/>
          <w:u w:val="single" w:color="auto"/>
          <w:color w:val="auto"/>
        </w:rPr>
        <w:t>Director Notification Obligation</w:t>
      </w:r>
      <w:r>
        <w:rPr>
          <w:rFonts w:ascii="Arial" w:cs="Arial" w:eastAsia="Arial" w:hAnsi="Arial"/>
          <w:sz w:val="18"/>
          <w:szCs w:val="18"/>
          <w:color w:val="auto"/>
        </w:rPr>
        <w:t>. If you are a director, associate director or shadow director of a Singaporean Affiliate, you are subject to certain notification requirements under the Singapore Companies Act. Among these requirements is an obligation to notify the Singaporean Affiliate in writing when you receive an interest (e.g., Restricted Stock Units, shares of Common Stock) in the Company or an Affiliate. In addition, you must notify the Singaporean Affiliate when you sell any shares of Common Stock (including when you sell the shares of Common Stock acquired under the Plan). These notifications must be made within two (2) business days of acquiring or disposing of any interest in the Company or any Affiliate. In addition, a notification must be made of your interests in the Company or any Affiliate within two (2) business days of becoming a director, associate director or shadow director of an Affiliate in Singapore.</w:t>
      </w:r>
    </w:p>
    <w:p>
      <w:pPr>
        <w:spacing w:after="0" w:line="183"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pain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u w:val="single" w:color="auto"/>
          <w:color w:val="auto"/>
        </w:rPr>
        <w:t>Labor Law Acknowledgement</w:t>
      </w:r>
      <w:r>
        <w:rPr>
          <w:rFonts w:ascii="Arial" w:cs="Arial" w:eastAsia="Arial" w:hAnsi="Arial"/>
          <w:sz w:val="18"/>
          <w:szCs w:val="18"/>
          <w:color w:val="auto"/>
        </w:rPr>
        <w:t>. As a condition of receipt of the Option, you acknowledge you understand and agree to participation in the Plan and that you have received a copy of the Plan.</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You understand that the Company has unilaterally, gratuitously and discretionally decided to grant the Option under the Plan to certain individuals who are eligible to receive Options under the Plan. The decision is a limited decision that is entered into upon the express assumption and condition that any grant will not economically or otherwise bind the Company or any of its Affiliates on an ongoing basis. Consequently, you understand that any grant is given on the assumption and condition that it shall not become a part of any employment contract (either with the Company or any of its Affiliates) and shall not be considered a mandatory benefit, salary for any purposes (including severance compensation) or any other right whatsoever. Furthermore, you understand and freely accept that there is no guarantee that any benefit whatsoever shall arise from any gratuitous and discretionary grant since the future value of the Option and the underlying shares of Common Stock is unknown and unpredictable. In addition, you understand that this grant would not be made but for the assumptions and conditions referred to above; thus, you understand, acknowledge and freely accept that should any or all of the assumptions be mistaken or should any of the conditions not be met for any reason, then the Option shall be null and void.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ind w:left="10320"/>
        <w:spacing w:after="0"/>
        <w:rPr>
          <w:sz w:val="20"/>
          <w:szCs w:val="20"/>
          <w:color w:val="auto"/>
        </w:rPr>
      </w:pPr>
      <w:r>
        <w:rPr>
          <w:rFonts w:ascii="Arial" w:cs="Arial" w:eastAsia="Arial" w:hAnsi="Arial"/>
          <w:sz w:val="16"/>
          <w:szCs w:val="16"/>
          <w:b w:val="1"/>
          <w:bCs w:val="1"/>
          <w:color w:val="auto"/>
        </w:rPr>
        <w:t>Exhibit 10.1</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Further, you understand and agree that an unvested portion of the Option will be cancelled immediately without entitlement to any shares of Common</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Stock underlying the Option if your Continuous Service terminated for any reason, including, but not limited to resignation, retirement, disciplinary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dismissal adjudged to be with cause, disciplinary dismissal adjudged or recognized to be without cause (</w:t>
      </w:r>
      <w:r>
        <w:rPr>
          <w:rFonts w:ascii="Arial" w:cs="Arial" w:eastAsia="Arial" w:hAnsi="Arial"/>
          <w:sz w:val="16"/>
          <w:szCs w:val="16"/>
          <w:i w:val="1"/>
          <w:iCs w:val="1"/>
          <w:color w:val="auto"/>
        </w:rPr>
        <w:t>i.e.</w:t>
      </w:r>
      <w:r>
        <w:rPr>
          <w:rFonts w:ascii="Arial" w:cs="Arial" w:eastAsia="Arial" w:hAnsi="Arial"/>
          <w:sz w:val="16"/>
          <w:szCs w:val="16"/>
          <w:color w:val="auto"/>
        </w:rPr>
        <w:t>, subject to a “</w:t>
      </w:r>
      <w:r>
        <w:rPr>
          <w:rFonts w:ascii="Arial" w:cs="Arial" w:eastAsia="Arial" w:hAnsi="Arial"/>
          <w:sz w:val="16"/>
          <w:szCs w:val="16"/>
          <w:i w:val="1"/>
          <w:iCs w:val="1"/>
          <w:color w:val="auto"/>
        </w:rPr>
        <w:t>despido improcedente</w:t>
      </w:r>
      <w:r>
        <w:rPr>
          <w:rFonts w:ascii="Arial" w:cs="Arial" w:eastAsia="Arial" w:hAnsi="Arial"/>
          <w:sz w:val="16"/>
          <w:szCs w:val="16"/>
          <w:color w:val="auto"/>
        </w:rPr>
        <w:t>”), material</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modification of the terms of employment under Article 41 of the Workers’ Statute, relocation under Article 40 of the Workers’ Statute, Article 50 of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Workers’ Statute, or under Article 10.3 of Royal Decree 1382/1985.</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you understand that this grant would not be made to you but for the assumptions and conditions referred to above; thus, you acknowledge and freely accept that, should any or all of the assumptions be mistaken or should any of the conditions not be met for any reason, then any grant of, or right to, the Option shall be null and void.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xml:space="preserve">. If you hold 10% or more of the share capital of the Company or such other amount that would entitle you to join the Board, the acquisition, ownership and disposition of stock in a foreign company (including shares of Common Stock) must be declared for statistical purposes to the </w:t>
      </w:r>
      <w:r>
        <w:rPr>
          <w:rFonts w:ascii="Arial" w:cs="Arial" w:eastAsia="Arial" w:hAnsi="Arial"/>
          <w:sz w:val="18"/>
          <w:szCs w:val="18"/>
          <w:i w:val="1"/>
          <w:iCs w:val="1"/>
          <w:color w:val="auto"/>
        </w:rPr>
        <w:t>Spanish Dirección General de Comercio e Inversiones</w:t>
      </w:r>
      <w:r>
        <w:rPr>
          <w:rFonts w:ascii="Arial" w:cs="Arial" w:eastAsia="Arial" w:hAnsi="Arial"/>
          <w:sz w:val="18"/>
          <w:szCs w:val="18"/>
          <w:color w:val="auto"/>
        </w:rPr>
        <w:t>, the Bureau for Commerce and Investments, which is a department of the Ministry of Economy and Competitiveness. In this case, the declaration must be made in January for shares acquired or disposed of during the prior year and/or for shares owned as of December 31 of the prior year; however, if the value of the shares acquired or sold exceeds €1,502,530, the declaration must be filed within one month of the acquisition or disposition, as applicable.</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When receiving foreign currency payments derived from the ownership of shares of Common Stock (i.e., dividends or sale proceeds) in excess of €50,000, you must inform the financial institution receiving the payment of the basis upon which such payment is made. You will need to provide the following information: (i) your name, address, and fiscal identification number; (ii) the name and corporate domicile of the Company; (iii) the amount of the payment and the currency used; (iv) the country of origin; (v) the reasons for the payment; and (vi) further information that may be required.</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you may be required to electronically declare to the Bank of Spain any foreign accounts (including brokerage accounts held abroad), any foreign instruments (including shares of Common Stock acquired under the Plan), and any transactions with non-Spanish residents (including any payments of shares made pursuant to the Plan), depending on the balances in such accounts together with the value of such instruments as of December 31 of the relevant year, or the volume of transactions with non-Spanish residents during the relevant year.</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No “offer of securities to the public,” as defined under Spanish law, has taken place or will take place in the Spanish territory in connection with the Option. The Option Agreement has not been nor will it be registered with the </w:t>
      </w:r>
      <w:r>
        <w:rPr>
          <w:rFonts w:ascii="Arial" w:cs="Arial" w:eastAsia="Arial" w:hAnsi="Arial"/>
          <w:sz w:val="18"/>
          <w:szCs w:val="18"/>
          <w:i w:val="1"/>
          <w:iCs w:val="1"/>
          <w:color w:val="auto"/>
        </w:rPr>
        <w:t>Comisión Nacional del Mercado de Valores</w:t>
      </w:r>
      <w:r>
        <w:rPr>
          <w:rFonts w:ascii="Arial" w:cs="Arial" w:eastAsia="Arial" w:hAnsi="Arial"/>
          <w:sz w:val="18"/>
          <w:szCs w:val="18"/>
          <w:color w:val="auto"/>
        </w:rPr>
        <w:t>, and does not constitute a public offering prospectus.</w:t>
      </w:r>
    </w:p>
    <w:p>
      <w:pPr>
        <w:spacing w:after="0" w:line="178"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weden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The following provision supplements Section 4 of the Global Stock Option Agreement:</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Without limiting the Company’s and the Service Recipient's authority to satisfy their withholding obligations for Tax-Related Items as set forth in the Global Stock Option Agreement, in accepting the grant of Options, you authorize the Company and/or the Service Recipient to withhold shares of Common Stock or to sell shares of Common Stock otherwise deliverable to you upon exercise to satisfy Tax-Related Items, regardless of whether the Company and/or the Service Recipient have an obligation to withhold such Tax-Related Items.</w:t>
      </w:r>
    </w:p>
    <w:p>
      <w:pPr>
        <w:spacing w:after="0" w:line="190"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witzerland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ind w:left="10320"/>
        <w:spacing w:after="0"/>
        <w:rPr>
          <w:sz w:val="20"/>
          <w:szCs w:val="20"/>
          <w:color w:val="auto"/>
        </w:rPr>
      </w:pPr>
      <w:r>
        <w:rPr>
          <w:rFonts w:ascii="Arial" w:cs="Arial" w:eastAsia="Arial" w:hAnsi="Arial"/>
          <w:sz w:val="16"/>
          <w:szCs w:val="16"/>
          <w:b w:val="1"/>
          <w:bCs w:val="1"/>
          <w:color w:val="auto"/>
        </w:rPr>
        <w:t>Exhibit 10.1</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Neither this Option Agreement nor any other materials relating to the Option (i) constitute a prospectus according to articles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35 et seq. of the Swiss Federal Act on Financial Services (“FinSA”), (ii) may be publicly distributed nor otherwise made publicly available in Switzerland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to any person other than an employee or other service provider of the Company or any Affiliate or (iii) has been or will be filed with, approved or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supervised by any Swiss reviewing body according to article 51 FinSA or any Swiss regulatory authority, including the Swiss Financial Market Supervisory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Authority.</w:t>
      </w:r>
    </w:p>
    <w:p>
      <w:pPr>
        <w:spacing w:after="0" w:line="193"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aiwan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The offer of participation in the Plan is available only for service providers of the Company and its Affiliates. The offer of participation in the Plan is not a public offer of securities by a Taiwanese company.</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Taiwanese residents may acquire and remit foreign currency (including funds to purchase or proceeds from the sale of shares of Common Stock) into and out of Taiwan, through an authorized foreign exchange bank, up to US$5 million per year without submission of supporting documentation. If the transaction amount is TWD$500,000 or more in a single transaction, Taiwanese residents are required to submit a foreign exchange transaction form and if the transaction amount is US$500,000 or more in a single transaction, such residents may be required to provide supporting documentation to the satisfaction of the remitting bank. You are personally responsible for complying with exchange control restrictions in Taiwan.</w:t>
      </w:r>
    </w:p>
    <w:p>
      <w:pPr>
        <w:spacing w:after="0" w:line="181"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nited</w:t>
      </w:r>
      <w:r>
        <w:rPr>
          <w:rFonts w:ascii="Arial" w:cs="Arial" w:eastAsia="Arial" w:hAnsi="Arial"/>
          <w:sz w:val="18"/>
          <w:szCs w:val="18"/>
          <w:b w:val="1"/>
          <w:bCs w:val="1"/>
          <w:color w:val="auto"/>
        </w:rPr>
        <w:t xml:space="preserve"> K</w:t>
      </w:r>
      <w:r>
        <w:rPr>
          <w:rFonts w:ascii="Arial" w:cs="Arial" w:eastAsia="Arial" w:hAnsi="Arial"/>
          <w:sz w:val="12"/>
          <w:szCs w:val="12"/>
          <w:b w:val="1"/>
          <w:bCs w:val="1"/>
          <w:color w:val="auto"/>
        </w:rPr>
        <w:t>ingdom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u w:val="single" w:color="auto"/>
          <w:color w:val="auto"/>
        </w:rPr>
        <w:t>Responsibility for Taxes</w:t>
      </w:r>
      <w:r>
        <w:rPr>
          <w:rFonts w:ascii="Arial" w:cs="Arial" w:eastAsia="Arial" w:hAnsi="Arial"/>
          <w:sz w:val="17"/>
          <w:szCs w:val="17"/>
          <w:color w:val="auto"/>
        </w:rPr>
        <w:t>. Without limitation to Section 4 of the Global Stock Option Agreement, you agree that you are liable for all Tax-Related Items and hereby covenant to pay all such Tax-Related Items as and when requested by the Company, the Service Recipient or by Her Majesty’s Revenue and Customs (“HMRC”) (or any other tax authority or any other relevant authority). You also agree to indemnify and keep indemnified the Company and the Service Recipient against any Tax-Related Items that you are required to pay or withhold or have paid or will pay to HMRC (or any other tax authority or any other relevant authority) on your behalf. For the purposes of this Option Agreement, Tax-Related Items include (without limitation) employment income tax, employee National Insurance Contributions (“NICs”) and the employee portion of the Health and Social Care levy.</w:t>
      </w:r>
    </w:p>
    <w:p>
      <w:pPr>
        <w:spacing w:after="0" w:line="18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Notwithstanding the foregoing, if you are a Director or an Officer, the terms of the immediately foregoing provision may not apply in case the indemnification is viewed as a loan. In such case, the amount of any uncollected income tax may constitute an additional benefit to you on which additional income tax and NICs may be payable. You will be responsible for reporting and paying any income tax due on this additional benefit directly to HMRC under the self-assessment regime and for reimbursing the Company or the Service Recipient (as applicable) for the value of any employee NICs due on this additional benefit, which the Company and/or the Service Recipient may recover at any time thereafter by any of the means referred to in Section 4 of the Global Stock Option Agreement.</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0"/>
          <w:szCs w:val="20"/>
          <w:b w:val="1"/>
          <w:bCs w:val="1"/>
          <w:color w:val="auto"/>
        </w:rPr>
        <w:t>Exhibit 10.2</w:t>
      </w:r>
    </w:p>
    <w:p>
      <w:pPr>
        <w:spacing w:after="0" w:line="257" w:lineRule="exact"/>
        <w:rPr>
          <w:sz w:val="20"/>
          <w:szCs w:val="20"/>
          <w:color w:val="auto"/>
        </w:rPr>
      </w:pPr>
    </w:p>
    <w:p>
      <w:pPr>
        <w:jc w:val="center"/>
        <w:ind w:right="120"/>
        <w:spacing w:after="0"/>
        <w:rPr>
          <w:sz w:val="20"/>
          <w:szCs w:val="20"/>
          <w:color w:val="auto"/>
        </w:rPr>
      </w:pPr>
      <w:r>
        <w:rPr>
          <w:rFonts w:ascii="Arial" w:cs="Arial" w:eastAsia="Arial" w:hAnsi="Arial"/>
          <w:sz w:val="25"/>
          <w:szCs w:val="25"/>
          <w:b w:val="1"/>
          <w:bCs w:val="1"/>
          <w:color w:val="auto"/>
        </w:rPr>
        <w:t>C</w:t>
      </w:r>
      <w:r>
        <w:rPr>
          <w:rFonts w:ascii="Arial" w:cs="Arial" w:eastAsia="Arial" w:hAnsi="Arial"/>
          <w:sz w:val="17"/>
          <w:szCs w:val="17"/>
          <w:b w:val="1"/>
          <w:bCs w:val="1"/>
          <w:color w:val="auto"/>
        </w:rPr>
        <w:t>ytek</w:t>
      </w:r>
      <w:r>
        <w:rPr>
          <w:rFonts w:ascii="Arial" w:cs="Arial" w:eastAsia="Arial" w:hAnsi="Arial"/>
          <w:sz w:val="25"/>
          <w:szCs w:val="25"/>
          <w:b w:val="1"/>
          <w:bCs w:val="1"/>
          <w:color w:val="auto"/>
        </w:rPr>
        <w:t xml:space="preserve"> B</w:t>
      </w:r>
      <w:r>
        <w:rPr>
          <w:rFonts w:ascii="Arial" w:cs="Arial" w:eastAsia="Arial" w:hAnsi="Arial"/>
          <w:sz w:val="17"/>
          <w:szCs w:val="17"/>
          <w:b w:val="1"/>
          <w:bCs w:val="1"/>
          <w:color w:val="auto"/>
        </w:rPr>
        <w:t>iosciences</w:t>
      </w:r>
      <w:r>
        <w:rPr>
          <w:rFonts w:ascii="Arial" w:cs="Arial" w:eastAsia="Arial" w:hAnsi="Arial"/>
          <w:sz w:val="25"/>
          <w:szCs w:val="25"/>
          <w:b w:val="1"/>
          <w:bCs w:val="1"/>
          <w:color w:val="auto"/>
        </w:rPr>
        <w:t>, I</w:t>
      </w:r>
      <w:r>
        <w:rPr>
          <w:rFonts w:ascii="Arial" w:cs="Arial" w:eastAsia="Arial" w:hAnsi="Arial"/>
          <w:sz w:val="19"/>
          <w:szCs w:val="19"/>
          <w:b w:val="1"/>
          <w:bCs w:val="1"/>
          <w:color w:val="auto"/>
        </w:rPr>
        <w:t>NC</w:t>
      </w:r>
      <w:r>
        <w:rPr>
          <w:rFonts w:ascii="Arial" w:cs="Arial" w:eastAsia="Arial" w:hAnsi="Arial"/>
          <w:sz w:val="25"/>
          <w:szCs w:val="25"/>
          <w:b w:val="1"/>
          <w:bCs w:val="1"/>
          <w:color w:val="auto"/>
        </w:rPr>
        <w:t>.</w:t>
      </w:r>
    </w:p>
    <w:p>
      <w:pPr>
        <w:spacing w:after="0" w:line="24" w:lineRule="exact"/>
        <w:rPr>
          <w:sz w:val="20"/>
          <w:szCs w:val="20"/>
          <w:color w:val="auto"/>
        </w:rPr>
      </w:pPr>
    </w:p>
    <w:p>
      <w:pPr>
        <w:jc w:val="center"/>
        <w:ind w:right="120"/>
        <w:spacing w:after="0"/>
        <w:rPr>
          <w:sz w:val="20"/>
          <w:szCs w:val="20"/>
          <w:color w:val="auto"/>
        </w:rPr>
      </w:pPr>
      <w:r>
        <w:rPr>
          <w:rFonts w:ascii="Arial" w:cs="Arial" w:eastAsia="Arial" w:hAnsi="Arial"/>
          <w:sz w:val="25"/>
          <w:szCs w:val="25"/>
          <w:b w:val="1"/>
          <w:bCs w:val="1"/>
          <w:color w:val="auto"/>
        </w:rPr>
        <w:t>RSU A</w:t>
      </w:r>
      <w:r>
        <w:rPr>
          <w:rFonts w:ascii="Arial" w:cs="Arial" w:eastAsia="Arial" w:hAnsi="Arial"/>
          <w:sz w:val="19"/>
          <w:szCs w:val="19"/>
          <w:b w:val="1"/>
          <w:bCs w:val="1"/>
          <w:color w:val="auto"/>
        </w:rPr>
        <w:t>WARD</w:t>
      </w:r>
      <w:r>
        <w:rPr>
          <w:rFonts w:ascii="Arial" w:cs="Arial" w:eastAsia="Arial" w:hAnsi="Arial"/>
          <w:sz w:val="25"/>
          <w:szCs w:val="25"/>
          <w:b w:val="1"/>
          <w:bCs w:val="1"/>
          <w:color w:val="auto"/>
        </w:rPr>
        <w:t xml:space="preserve"> G</w:t>
      </w:r>
      <w:r>
        <w:rPr>
          <w:rFonts w:ascii="Arial" w:cs="Arial" w:eastAsia="Arial" w:hAnsi="Arial"/>
          <w:sz w:val="19"/>
          <w:szCs w:val="19"/>
          <w:b w:val="1"/>
          <w:bCs w:val="1"/>
          <w:color w:val="auto"/>
        </w:rPr>
        <w:t>RANT</w:t>
      </w:r>
      <w:r>
        <w:rPr>
          <w:rFonts w:ascii="Arial" w:cs="Arial" w:eastAsia="Arial" w:hAnsi="Arial"/>
          <w:sz w:val="25"/>
          <w:szCs w:val="25"/>
          <w:b w:val="1"/>
          <w:bCs w:val="1"/>
          <w:color w:val="auto"/>
        </w:rPr>
        <w:t xml:space="preserve"> N</w:t>
      </w:r>
      <w:r>
        <w:rPr>
          <w:rFonts w:ascii="Arial" w:cs="Arial" w:eastAsia="Arial" w:hAnsi="Arial"/>
          <w:sz w:val="19"/>
          <w:szCs w:val="19"/>
          <w:b w:val="1"/>
          <w:bCs w:val="1"/>
          <w:color w:val="auto"/>
        </w:rPr>
        <w:t>OTICE</w:t>
      </w:r>
    </w:p>
    <w:p>
      <w:pPr>
        <w:spacing w:after="0" w:line="13"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(2021 E</w:t>
      </w:r>
      <w:r>
        <w:rPr>
          <w:rFonts w:ascii="Arial" w:cs="Arial" w:eastAsia="Arial" w:hAnsi="Arial"/>
          <w:sz w:val="17"/>
          <w:szCs w:val="17"/>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7"/>
          <w:szCs w:val="17"/>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LAN</w:t>
      </w:r>
      <w:r>
        <w:rPr>
          <w:rFonts w:ascii="Arial" w:cs="Arial" w:eastAsia="Arial" w:hAnsi="Arial"/>
          <w:sz w:val="22"/>
          <w:szCs w:val="22"/>
          <w:b w:val="1"/>
          <w:bCs w:val="1"/>
          <w:color w:val="auto"/>
        </w:rPr>
        <w:t>)</w:t>
      </w:r>
    </w:p>
    <w:p>
      <w:pPr>
        <w:spacing w:after="0" w:line="359" w:lineRule="exact"/>
        <w:rPr>
          <w:sz w:val="20"/>
          <w:szCs w:val="20"/>
          <w:color w:val="auto"/>
        </w:rPr>
      </w:pPr>
    </w:p>
    <w:p>
      <w:pPr>
        <w:jc w:val="both"/>
        <w:ind w:right="120" w:firstLine="624"/>
        <w:spacing w:after="0" w:line="243" w:lineRule="auto"/>
        <w:rPr>
          <w:sz w:val="20"/>
          <w:szCs w:val="20"/>
          <w:color w:val="auto"/>
        </w:rPr>
      </w:pPr>
      <w:r>
        <w:rPr>
          <w:rFonts w:ascii="Arial" w:cs="Arial" w:eastAsia="Arial" w:hAnsi="Arial"/>
          <w:sz w:val="18"/>
          <w:szCs w:val="18"/>
          <w:color w:val="auto"/>
        </w:rPr>
        <w:t xml:space="preserve">Cytek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to you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the number of restricted stock units specified and on the terms set forth below (the </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Your RSU Award is subject to all of the terms and conditions as set forth in this RSU Award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xml:space="preserve">"), the Company’s 2021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the Global RSU Award Agreement, including any additional terms and conditions for your country included in the appendix attached thereto (together with the Global RSU Award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all which are incorporated herein in their entirety. Capitalized terms not explicitly defined herein but defined in the Plan or the Agreement shall have the meanings set forth in the Plan or the Agreement.</w:t>
      </w:r>
    </w:p>
    <w:p>
      <w:pPr>
        <w:spacing w:after="0" w:line="187"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Participant:</w:t>
      </w:r>
      <w:r>
        <w:rPr>
          <w:sz w:val="20"/>
          <w:szCs w:val="20"/>
          <w:color w:val="auto"/>
        </w:rPr>
        <w:tab/>
      </w:r>
      <w:r>
        <w:rPr>
          <w:rFonts w:ascii="Arial" w:cs="Arial" w:eastAsia="Arial" w:hAnsi="Arial"/>
          <w:sz w:val="18"/>
          <w:szCs w:val="18"/>
          <w:color w:val="auto"/>
        </w:rPr>
        <w:t>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 Number of Restricted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Stock Units:</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 [</w:t>
            </w:r>
          </w:p>
        </w:tc>
        <w:tc>
          <w:tcPr>
            <w:tcW w:w="8160" w:type="dxa"/>
            <w:vAlign w:val="bottom"/>
          </w:tcPr>
          <w:p>
            <w:pPr>
              <w:jc w:val="right"/>
              <w:ind w:right="7970"/>
              <w:spacing w:after="0"/>
              <w:rPr>
                <w:sz w:val="20"/>
                <w:szCs w:val="20"/>
                <w:color w:val="auto"/>
              </w:rPr>
            </w:pPr>
            <w:r>
              <w:rPr>
                <w:rFonts w:ascii="Arial" w:cs="Arial" w:eastAsia="Arial" w:hAnsi="Arial"/>
                <w:sz w:val="18"/>
                <w:szCs w:val="18"/>
                <w:color w:val="auto"/>
                <w:w w:val="79"/>
              </w:rPr>
              <w:t>].</w:t>
            </w:r>
          </w:p>
        </w:tc>
      </w:tr>
      <w:tr>
        <w:trPr>
          <w:trHeight w:val="223"/>
        </w:trPr>
        <w:tc>
          <w:tcPr>
            <w:tcW w:w="15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160" w:type="dxa"/>
            <w:vAlign w:val="bottom"/>
          </w:tcPr>
          <w:p>
            <w:pPr>
              <w:jc w:val="right"/>
              <w:spacing w:after="0"/>
              <w:rPr>
                <w:sz w:val="20"/>
                <w:szCs w:val="20"/>
                <w:color w:val="auto"/>
              </w:rPr>
            </w:pPr>
            <w:r>
              <w:rPr>
                <w:rFonts w:ascii="Arial" w:cs="Arial" w:eastAsia="Arial" w:hAnsi="Arial"/>
                <w:sz w:val="18"/>
                <w:szCs w:val="18"/>
                <w:color w:val="auto"/>
                <w:w w:val="91"/>
              </w:rPr>
              <w:t>Notwithstanding the foregoing, vesting shall terminate upon the Participant’s termination of Continuous Service.</w:t>
            </w:r>
          </w:p>
        </w:tc>
      </w:tr>
    </w:tbl>
    <w:p>
      <w:pPr>
        <w:spacing w:after="0" w:line="184" w:lineRule="exact"/>
        <w:rPr>
          <w:sz w:val="20"/>
          <w:szCs w:val="20"/>
          <w:color w:val="auto"/>
        </w:rPr>
      </w:pPr>
    </w:p>
    <w:p>
      <w:pPr>
        <w:ind w:left="1860" w:right="600" w:hanging="1873"/>
        <w:spacing w:after="0" w:line="266" w:lineRule="auto"/>
        <w:rPr>
          <w:sz w:val="20"/>
          <w:szCs w:val="20"/>
          <w:color w:val="auto"/>
        </w:rPr>
      </w:pPr>
      <w:r>
        <w:rPr>
          <w:rFonts w:ascii="Arial" w:cs="Arial" w:eastAsia="Arial" w:hAnsi="Arial"/>
          <w:sz w:val="18"/>
          <w:szCs w:val="18"/>
          <w:b w:val="1"/>
          <w:bCs w:val="1"/>
          <w:color w:val="auto"/>
        </w:rPr>
        <w:t xml:space="preserve">Issuance Schedule: </w:t>
      </w:r>
      <w:r>
        <w:rPr>
          <w:rFonts w:ascii="Arial" w:cs="Arial" w:eastAsia="Arial" w:hAnsi="Arial"/>
          <w:sz w:val="18"/>
          <w:szCs w:val="18"/>
          <w:color w:val="auto"/>
        </w:rPr>
        <w:t>One share of Common Stock will be issued for each restricted stock unit which vests at the time set forth in Section 5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Participant Acknowledgements: </w:t>
      </w:r>
      <w:r>
        <w:rPr>
          <w:rFonts w:ascii="Arial" w:cs="Arial" w:eastAsia="Arial" w:hAnsi="Arial"/>
          <w:sz w:val="18"/>
          <w:szCs w:val="18"/>
          <w:color w:val="auto"/>
        </w:rPr>
        <w:t>By your signature below or by electronic acceptance or authentication in a form authorized by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agree that:</w:t>
      </w:r>
    </w:p>
    <w:p>
      <w:pPr>
        <w:spacing w:after="0" w:line="152" w:lineRule="exact"/>
        <w:rPr>
          <w:sz w:val="20"/>
          <w:szCs w:val="20"/>
          <w:color w:val="auto"/>
        </w:rPr>
      </w:pPr>
    </w:p>
    <w:p>
      <w:pPr>
        <w:jc w:val="both"/>
        <w:ind w:left="740" w:right="120" w:hanging="374"/>
        <w:spacing w:after="0" w:line="278" w:lineRule="auto"/>
        <w:tabs>
          <w:tab w:leader="none" w:pos="7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RSU Award is governed by this Grant Notice, and the provisions of the Plan and the Agreement, all of which are made a part of this document. Unless otherwise provided in the Plan or the Agreement, this Grant Notice may not be modified, amended or revised except in a writing signed by you and the Company’s Chief Executive Officer, Chief Financial Officer or General Counsel.</w:t>
      </w:r>
    </w:p>
    <w:p>
      <w:pPr>
        <w:spacing w:after="0" w:line="157" w:lineRule="exact"/>
        <w:rPr>
          <w:rFonts w:ascii="Arial" w:cs="Arial" w:eastAsia="Arial" w:hAnsi="Arial"/>
          <w:sz w:val="17"/>
          <w:szCs w:val="17"/>
          <w:color w:val="auto"/>
        </w:rPr>
      </w:pPr>
    </w:p>
    <w:p>
      <w:pPr>
        <w:ind w:left="740" w:right="120" w:hanging="374"/>
        <w:spacing w:after="0" w:line="261" w:lineRule="auto"/>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You have read and are familiar with the provisions of the Plan, the Agreement and the Prospectus. In the event of any conflict between the provisions in the Agreement, or the Prospectus and the terms of the Plan, the terms of the Plan shall control.</w:t>
      </w:r>
    </w:p>
    <w:p>
      <w:pPr>
        <w:spacing w:after="0" w:line="184" w:lineRule="exact"/>
        <w:rPr>
          <w:rFonts w:ascii="Arial" w:cs="Arial" w:eastAsia="Arial" w:hAnsi="Arial"/>
          <w:sz w:val="18"/>
          <w:szCs w:val="18"/>
          <w:color w:val="auto"/>
        </w:rPr>
      </w:pPr>
    </w:p>
    <w:p>
      <w:pPr>
        <w:jc w:val="both"/>
        <w:ind w:left="740" w:right="120" w:hanging="374"/>
        <w:spacing w:after="0" w:line="245" w:lineRule="auto"/>
        <w:tabs>
          <w:tab w:leader="none" w:pos="7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or, as applicable, an Affiliate and you in each case that specifies the terms that should govern this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45720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15"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3"/>
          </w:tcPr>
          <w:p>
            <w:pPr>
              <w:ind w:left="1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ytek</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iosciences</w:t>
            </w:r>
            <w:r>
              <w:rPr>
                <w:rFonts w:ascii="Arial" w:cs="Arial" w:eastAsia="Arial" w:hAnsi="Arial"/>
                <w:sz w:val="18"/>
                <w:szCs w:val="18"/>
                <w:b w:val="1"/>
                <w:bCs w:val="1"/>
                <w:color w:val="auto"/>
              </w:rPr>
              <w:t>, INC.</w:t>
            </w:r>
          </w:p>
        </w:tc>
        <w:tc>
          <w:tcPr>
            <w:tcW w:w="7400" w:type="dxa"/>
            <w:vAlign w:val="bottom"/>
            <w:gridSpan w:val="3"/>
          </w:tcPr>
          <w:p>
            <w:pPr>
              <w:ind w:left="188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w:t>
            </w:r>
            <w:r>
              <w:rPr>
                <w:rFonts w:ascii="Arial" w:cs="Arial" w:eastAsia="Arial" w:hAnsi="Arial"/>
                <w:sz w:val="18"/>
                <w:szCs w:val="18"/>
                <w:b w:val="1"/>
                <w:bCs w:val="1"/>
                <w:color w:val="auto"/>
              </w:rPr>
              <w:t>:</w:t>
            </w:r>
          </w:p>
        </w:tc>
      </w:tr>
      <w:tr>
        <w:trPr>
          <w:trHeight w:val="364"/>
        </w:trPr>
        <w:tc>
          <w:tcPr>
            <w:tcW w:w="3840" w:type="dxa"/>
            <w:vAlign w:val="bottom"/>
            <w:gridSpan w:val="3"/>
          </w:tcPr>
          <w:p>
            <w:pPr>
              <w:ind w:left="100"/>
              <w:spacing w:after="0"/>
              <w:rPr>
                <w:sz w:val="20"/>
                <w:szCs w:val="20"/>
                <w:color w:val="auto"/>
              </w:rPr>
            </w:pPr>
            <w:r>
              <w:rPr>
                <w:rFonts w:ascii="Arial" w:cs="Arial" w:eastAsia="Arial" w:hAnsi="Arial"/>
                <w:sz w:val="18"/>
                <w:szCs w:val="18"/>
                <w:color w:val="auto"/>
              </w:rPr>
              <w:t>By:</w:t>
            </w:r>
          </w:p>
        </w:tc>
        <w:tc>
          <w:tcPr>
            <w:tcW w:w="7400" w:type="dxa"/>
            <w:vAlign w:val="bottom"/>
            <w:gridSpan w:val="3"/>
          </w:tcPr>
          <w:p>
            <w:pPr>
              <w:ind w:left="1880"/>
              <w:spacing w:after="0"/>
              <w:rPr>
                <w:sz w:val="20"/>
                <w:szCs w:val="20"/>
                <w:color w:val="auto"/>
              </w:rPr>
            </w:pPr>
            <w:r>
              <w:rPr>
                <w:rFonts w:ascii="Arial" w:cs="Arial" w:eastAsia="Arial" w:hAnsi="Arial"/>
                <w:sz w:val="18"/>
                <w:szCs w:val="18"/>
                <w:color w:val="auto"/>
              </w:rPr>
              <w:t>By:</w:t>
            </w:r>
          </w:p>
        </w:tc>
      </w:tr>
      <w:tr>
        <w:trPr>
          <w:trHeight w:val="20"/>
        </w:trPr>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224"/>
        </w:trPr>
        <w:tc>
          <w:tcPr>
            <w:tcW w:w="820" w:type="dxa"/>
            <w:vAlign w:val="bottom"/>
            <w:gridSpan w:val="2"/>
          </w:tcPr>
          <w:p>
            <w:pPr>
              <w:ind w:left="160"/>
              <w:spacing w:after="0"/>
              <w:rPr>
                <w:sz w:val="20"/>
                <w:szCs w:val="20"/>
                <w:color w:val="auto"/>
              </w:rPr>
            </w:pPr>
            <w:r>
              <w:rPr>
                <w:rFonts w:ascii="Arial" w:cs="Arial" w:eastAsia="Arial" w:hAnsi="Arial"/>
                <w:sz w:val="18"/>
                <w:szCs w:val="18"/>
                <w:color w:val="auto"/>
                <w:w w:val="83"/>
              </w:rPr>
              <w:t>Signature</w:t>
            </w:r>
          </w:p>
        </w:tc>
        <w:tc>
          <w:tcPr>
            <w:tcW w:w="3020" w:type="dxa"/>
            <w:vAlign w:val="bottom"/>
          </w:tcPr>
          <w:p>
            <w:pPr>
              <w:spacing w:after="0"/>
              <w:rPr>
                <w:sz w:val="19"/>
                <w:szCs w:val="19"/>
                <w:color w:val="auto"/>
              </w:rPr>
            </w:pPr>
          </w:p>
        </w:tc>
        <w:tc>
          <w:tcPr>
            <w:tcW w:w="7400" w:type="dxa"/>
            <w:vAlign w:val="bottom"/>
            <w:gridSpan w:val="3"/>
          </w:tcPr>
          <w:p>
            <w:pPr>
              <w:ind w:left="1920"/>
              <w:spacing w:after="0"/>
              <w:rPr>
                <w:sz w:val="20"/>
                <w:szCs w:val="20"/>
                <w:color w:val="auto"/>
              </w:rPr>
            </w:pPr>
            <w:r>
              <w:rPr>
                <w:rFonts w:ascii="Arial" w:cs="Arial" w:eastAsia="Arial" w:hAnsi="Arial"/>
                <w:sz w:val="18"/>
                <w:szCs w:val="18"/>
                <w:color w:val="auto"/>
              </w:rPr>
              <w:t>Signature</w:t>
            </w:r>
          </w:p>
        </w:tc>
      </w:tr>
      <w:tr>
        <w:trPr>
          <w:trHeight w:val="391"/>
        </w:trPr>
        <w:tc>
          <w:tcPr>
            <w:tcW w:w="3840" w:type="dxa"/>
            <w:vAlign w:val="bottom"/>
            <w:gridSpan w:val="3"/>
          </w:tcPr>
          <w:p>
            <w:pPr>
              <w:ind w:left="100"/>
              <w:spacing w:after="0"/>
              <w:rPr>
                <w:sz w:val="20"/>
                <w:szCs w:val="20"/>
                <w:color w:val="auto"/>
              </w:rPr>
            </w:pPr>
            <w:r>
              <w:rPr>
                <w:rFonts w:ascii="Arial" w:cs="Arial" w:eastAsia="Arial" w:hAnsi="Arial"/>
                <w:sz w:val="18"/>
                <w:szCs w:val="18"/>
                <w:color w:val="auto"/>
              </w:rPr>
              <w:t>Title:</w:t>
            </w:r>
          </w:p>
        </w:tc>
        <w:tc>
          <w:tcPr>
            <w:tcW w:w="7400" w:type="dxa"/>
            <w:vAlign w:val="bottom"/>
            <w:gridSpan w:val="3"/>
          </w:tcPr>
          <w:p>
            <w:pPr>
              <w:ind w:left="1880"/>
              <w:spacing w:after="0"/>
              <w:rPr>
                <w:sz w:val="20"/>
                <w:szCs w:val="20"/>
                <w:color w:val="auto"/>
              </w:rPr>
            </w:pPr>
            <w:r>
              <w:rPr>
                <w:rFonts w:ascii="Arial" w:cs="Arial" w:eastAsia="Arial" w:hAnsi="Arial"/>
                <w:sz w:val="18"/>
                <w:szCs w:val="18"/>
                <w:color w:val="auto"/>
              </w:rPr>
              <w:t>Date:</w:t>
            </w:r>
          </w:p>
        </w:tc>
      </w:tr>
      <w:tr>
        <w:trPr>
          <w:trHeight w:val="405"/>
        </w:trPr>
        <w:tc>
          <w:tcPr>
            <w:tcW w:w="3840" w:type="dxa"/>
            <w:vAlign w:val="bottom"/>
            <w:gridSpan w:val="3"/>
          </w:tcPr>
          <w:p>
            <w:pPr>
              <w:ind w:left="100"/>
              <w:spacing w:after="0"/>
              <w:rPr>
                <w:sz w:val="20"/>
                <w:szCs w:val="20"/>
                <w:color w:val="auto"/>
              </w:rPr>
            </w:pPr>
            <w:r>
              <w:rPr>
                <w:rFonts w:ascii="Arial" w:cs="Arial" w:eastAsia="Arial" w:hAnsi="Arial"/>
                <w:sz w:val="18"/>
                <w:szCs w:val="18"/>
                <w:color w:val="auto"/>
              </w:rPr>
              <w:t>Date:</w:t>
            </w:r>
          </w:p>
        </w:tc>
        <w:tc>
          <w:tcPr>
            <w:tcW w:w="2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222"/>
        </w:trPr>
        <w:tc>
          <w:tcPr>
            <w:tcW w:w="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0"/>
          <w:szCs w:val="20"/>
          <w:b w:val="1"/>
          <w:bCs w:val="1"/>
          <w:color w:val="auto"/>
        </w:rPr>
        <w:t>Exhibit 10.2</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ytek</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iosciences</w:t>
      </w:r>
      <w:r>
        <w:rPr>
          <w:rFonts w:ascii="Arial" w:cs="Arial" w:eastAsia="Arial" w:hAnsi="Arial"/>
          <w:sz w:val="20"/>
          <w:szCs w:val="20"/>
          <w:b w:val="1"/>
          <w:bCs w:val="1"/>
          <w:color w:val="auto"/>
        </w:rPr>
        <w:t>, I</w:t>
      </w:r>
      <w:r>
        <w:rPr>
          <w:rFonts w:ascii="Arial" w:cs="Arial" w:eastAsia="Arial" w:hAnsi="Arial"/>
          <w:sz w:val="16"/>
          <w:szCs w:val="16"/>
          <w:b w:val="1"/>
          <w:bCs w:val="1"/>
          <w:color w:val="auto"/>
        </w:rPr>
        <w:t>NC</w:t>
      </w:r>
      <w:r>
        <w:rPr>
          <w:rFonts w:ascii="Arial" w:cs="Arial" w:eastAsia="Arial" w:hAnsi="Arial"/>
          <w:sz w:val="20"/>
          <w:szCs w:val="20"/>
          <w:b w:val="1"/>
          <w:bCs w:val="1"/>
          <w:color w:val="auto"/>
        </w:rPr>
        <w:t>.</w:t>
      </w:r>
    </w:p>
    <w:p>
      <w:pPr>
        <w:spacing w:after="0" w:line="94"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2021 E</w:t>
      </w:r>
      <w:r>
        <w:rPr>
          <w:rFonts w:ascii="Arial" w:cs="Arial" w:eastAsia="Arial" w:hAnsi="Arial"/>
          <w:sz w:val="16"/>
          <w:szCs w:val="16"/>
          <w:b w:val="1"/>
          <w:bCs w:val="1"/>
          <w:color w:val="auto"/>
        </w:rPr>
        <w:t>QUITY</w:t>
      </w:r>
      <w:r>
        <w:rPr>
          <w:rFonts w:ascii="Arial" w:cs="Arial" w:eastAsia="Arial" w:hAnsi="Arial"/>
          <w:sz w:val="20"/>
          <w:szCs w:val="20"/>
          <w:b w:val="1"/>
          <w:bCs w:val="1"/>
          <w:color w:val="auto"/>
        </w:rPr>
        <w:t xml:space="preserve"> I</w:t>
      </w:r>
      <w:r>
        <w:rPr>
          <w:rFonts w:ascii="Arial" w:cs="Arial" w:eastAsia="Arial" w:hAnsi="Arial"/>
          <w:sz w:val="16"/>
          <w:szCs w:val="16"/>
          <w:b w:val="1"/>
          <w:bCs w:val="1"/>
          <w:color w:val="auto"/>
        </w:rPr>
        <w:t>NCENTIVE</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LAN</w:t>
      </w:r>
      <w:r>
        <w:rPr>
          <w:rFonts w:ascii="Arial" w:cs="Arial" w:eastAsia="Arial" w:hAnsi="Arial"/>
          <w:sz w:val="20"/>
          <w:szCs w:val="20"/>
          <w:b w:val="1"/>
          <w:bCs w:val="1"/>
          <w:color w:val="auto"/>
        </w:rPr>
        <w:t xml:space="preserve"> G</w:t>
      </w:r>
      <w:r>
        <w:rPr>
          <w:rFonts w:ascii="Arial" w:cs="Arial" w:eastAsia="Arial" w:hAnsi="Arial"/>
          <w:sz w:val="16"/>
          <w:szCs w:val="16"/>
          <w:b w:val="1"/>
          <w:bCs w:val="1"/>
          <w:color w:val="auto"/>
        </w:rPr>
        <w:t>LOBAL</w:t>
      </w:r>
      <w:r>
        <w:rPr>
          <w:rFonts w:ascii="Arial" w:cs="Arial" w:eastAsia="Arial" w:hAnsi="Arial"/>
          <w:sz w:val="20"/>
          <w:szCs w:val="20"/>
          <w:b w:val="1"/>
          <w:bCs w:val="1"/>
          <w:color w:val="auto"/>
        </w:rPr>
        <w:t xml:space="preserve"> RSU A</w:t>
      </w:r>
      <w:r>
        <w:rPr>
          <w:rFonts w:ascii="Arial" w:cs="Arial" w:eastAsia="Arial" w:hAnsi="Arial"/>
          <w:sz w:val="16"/>
          <w:szCs w:val="16"/>
          <w:b w:val="1"/>
          <w:bCs w:val="1"/>
          <w:color w:val="auto"/>
        </w:rPr>
        <w:t>WARD</w:t>
      </w:r>
    </w:p>
    <w:p>
      <w:pPr>
        <w:spacing w:after="0" w:line="216"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GREEMENT</w:t>
      </w:r>
    </w:p>
    <w:p>
      <w:pPr>
        <w:spacing w:after="0" w:line="316" w:lineRule="exact"/>
        <w:rPr>
          <w:sz w:val="20"/>
          <w:szCs w:val="20"/>
          <w:color w:val="auto"/>
        </w:rPr>
      </w:pPr>
    </w:p>
    <w:p>
      <w:pPr>
        <w:jc w:val="both"/>
        <w:ind w:left="60" w:right="120" w:firstLine="749"/>
        <w:spacing w:after="0" w:line="256" w:lineRule="auto"/>
        <w:rPr>
          <w:sz w:val="20"/>
          <w:szCs w:val="20"/>
          <w:color w:val="auto"/>
        </w:rPr>
      </w:pPr>
      <w:r>
        <w:rPr>
          <w:rFonts w:ascii="Arial" w:cs="Arial" w:eastAsia="Arial" w:hAnsi="Arial"/>
          <w:sz w:val="19"/>
          <w:szCs w:val="19"/>
          <w:color w:val="auto"/>
        </w:rPr>
        <w:t>As reflected by your RSU Award Grant Notice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Cytek Biosciences,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granted you an equity award under its 2021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for the number of restricted stock units (the “</w:t>
      </w:r>
      <w:r>
        <w:rPr>
          <w:rFonts w:ascii="Arial" w:cs="Arial" w:eastAsia="Arial" w:hAnsi="Arial"/>
          <w:sz w:val="19"/>
          <w:szCs w:val="19"/>
          <w:b w:val="1"/>
          <w:bCs w:val="1"/>
          <w:i w:val="1"/>
          <w:iCs w:val="1"/>
          <w:color w:val="auto"/>
        </w:rPr>
        <w:t>Restricted Stock Units</w:t>
      </w:r>
      <w:r>
        <w:rPr>
          <w:rFonts w:ascii="Arial" w:cs="Arial" w:eastAsia="Arial" w:hAnsi="Arial"/>
          <w:sz w:val="19"/>
          <w:szCs w:val="19"/>
          <w:color w:val="auto"/>
        </w:rPr>
        <w:t>”) as indicated in your Grant Notice (the “</w:t>
      </w:r>
      <w:r>
        <w:rPr>
          <w:rFonts w:ascii="Arial" w:cs="Arial" w:eastAsia="Arial" w:hAnsi="Arial"/>
          <w:sz w:val="19"/>
          <w:szCs w:val="19"/>
          <w:b w:val="1"/>
          <w:bCs w:val="1"/>
          <w:i w:val="1"/>
          <w:iCs w:val="1"/>
          <w:color w:val="auto"/>
        </w:rPr>
        <w:t>RSU Award</w:t>
      </w:r>
      <w:r>
        <w:rPr>
          <w:rFonts w:ascii="Arial" w:cs="Arial" w:eastAsia="Arial" w:hAnsi="Arial"/>
          <w:sz w:val="19"/>
          <w:szCs w:val="19"/>
          <w:color w:val="auto"/>
        </w:rPr>
        <w:t>”). The terms of your RSU Award are subject to the Plan, the Grant Notice and this Global RSU Award Agreement, including any additional terms and conditions for your country included in the appendix attached hereto (collectively,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Capitalized terms not explicitly defined in this Agreement but defined in the Grant Notice or the Plan shall have the same definitions as in the Grant Notice or Plan, as applicable.</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general terms applicable to your RSU Award are as follows:</w:t>
      </w:r>
    </w:p>
    <w:p>
      <w:pPr>
        <w:spacing w:after="0" w:line="223" w:lineRule="exact"/>
        <w:rPr>
          <w:sz w:val="20"/>
          <w:szCs w:val="20"/>
          <w:color w:val="auto"/>
        </w:rPr>
      </w:pPr>
    </w:p>
    <w:p>
      <w:pPr>
        <w:jc w:val="both"/>
        <w:ind w:left="60" w:right="120" w:firstLine="740"/>
        <w:spacing w:after="0"/>
        <w:tabs>
          <w:tab w:leader="none" w:pos="1549" w:val="left"/>
        </w:tabs>
        <w:numPr>
          <w:ilvl w:val="0"/>
          <w:numId w:val="66"/>
        </w:numPr>
        <w:rPr>
          <w:rFonts w:ascii="Arial" w:cs="Arial" w:eastAsia="Arial" w:hAnsi="Arial"/>
          <w:sz w:val="22"/>
          <w:szCs w:val="22"/>
          <w:b w:val="1"/>
          <w:bCs w:val="1"/>
          <w:color w:val="auto"/>
        </w:rPr>
      </w:pPr>
      <w:r>
        <w:rPr>
          <w:rFonts w:ascii="Arial" w:cs="Arial" w:eastAsia="Arial" w:hAnsi="Arial"/>
          <w:sz w:val="20"/>
          <w:szCs w:val="20"/>
          <w:b w:val="1"/>
          <w:bCs w:val="1"/>
          <w:color w:val="auto"/>
        </w:rPr>
        <w:t>G</w:t>
      </w:r>
      <w:r>
        <w:rPr>
          <w:rFonts w:ascii="Arial" w:cs="Arial" w:eastAsia="Arial" w:hAnsi="Arial"/>
          <w:sz w:val="16"/>
          <w:szCs w:val="16"/>
          <w:b w:val="1"/>
          <w:bCs w:val="1"/>
          <w:color w:val="auto"/>
        </w:rPr>
        <w:t>OVERNING</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LAN</w:t>
      </w:r>
      <w:r>
        <w:rPr>
          <w:rFonts w:ascii="Arial" w:cs="Arial" w:eastAsia="Arial" w:hAnsi="Arial"/>
          <w:sz w:val="20"/>
          <w:szCs w:val="20"/>
          <w:b w:val="1"/>
          <w:bCs w:val="1"/>
          <w:color w:val="auto"/>
        </w:rPr>
        <w:t xml:space="preserve"> D</w:t>
      </w:r>
      <w:r>
        <w:rPr>
          <w:rFonts w:ascii="Arial" w:cs="Arial" w:eastAsia="Arial" w:hAnsi="Arial"/>
          <w:sz w:val="16"/>
          <w:szCs w:val="16"/>
          <w:b w:val="1"/>
          <w:bCs w:val="1"/>
          <w:color w:val="auto"/>
        </w:rPr>
        <w:t>OCUMENT</w:t>
      </w:r>
      <w:r>
        <w:rPr>
          <w:rFonts w:ascii="Arial" w:cs="Arial" w:eastAsia="Arial" w:hAnsi="Arial"/>
          <w:sz w:val="20"/>
          <w:szCs w:val="20"/>
          <w:b w:val="1"/>
          <w:bCs w:val="1"/>
          <w:color w:val="auto"/>
        </w:rPr>
        <w:t xml:space="preserve">. </w:t>
      </w:r>
      <w:r>
        <w:rPr>
          <w:rFonts w:ascii="Arial" w:cs="Arial" w:eastAsia="Arial" w:hAnsi="Arial"/>
          <w:sz w:val="20"/>
          <w:szCs w:val="20"/>
          <w:color w:val="auto"/>
        </w:rPr>
        <w:t>Your RSU Award is subject to all the provisions of the Plan. Your RSU Award is</w:t>
      </w:r>
      <w:r>
        <w:rPr>
          <w:rFonts w:ascii="Arial" w:cs="Arial" w:eastAsia="Arial" w:hAnsi="Arial"/>
          <w:sz w:val="20"/>
          <w:szCs w:val="20"/>
          <w:b w:val="1"/>
          <w:bCs w:val="1"/>
          <w:color w:val="auto"/>
        </w:rPr>
        <w:t xml:space="preserve"> </w:t>
      </w:r>
      <w:r>
        <w:rPr>
          <w:rFonts w:ascii="Arial" w:cs="Arial" w:eastAsia="Arial" w:hAnsi="Arial"/>
          <w:sz w:val="20"/>
          <w:szCs w:val="20"/>
          <w:color w:val="auto"/>
        </w:rPr>
        <w:t>further subject to all interpretations, amendments, rules and regulations, which may from time to time be promulgated and adopted pursuant to the Plan. In the event of any conflict between the Agreement and the provisions of the Plan, the provisions of the Plan shall control.</w:t>
      </w:r>
    </w:p>
    <w:p>
      <w:pPr>
        <w:spacing w:after="0" w:line="204" w:lineRule="exact"/>
        <w:rPr>
          <w:rFonts w:ascii="Arial" w:cs="Arial" w:eastAsia="Arial" w:hAnsi="Arial"/>
          <w:sz w:val="22"/>
          <w:szCs w:val="22"/>
          <w:b w:val="1"/>
          <w:bCs w:val="1"/>
          <w:color w:val="auto"/>
        </w:rPr>
      </w:pPr>
    </w:p>
    <w:p>
      <w:pPr>
        <w:jc w:val="both"/>
        <w:ind w:left="60" w:right="120" w:firstLine="740"/>
        <w:spacing w:after="0" w:line="252" w:lineRule="auto"/>
        <w:tabs>
          <w:tab w:leader="none" w:pos="1549" w:val="left"/>
        </w:tabs>
        <w:numPr>
          <w:ilvl w:val="0"/>
          <w:numId w:val="66"/>
        </w:numPr>
        <w:rPr>
          <w:rFonts w:ascii="Arial" w:cs="Arial" w:eastAsia="Arial" w:hAnsi="Arial"/>
          <w:sz w:val="21"/>
          <w:szCs w:val="21"/>
          <w:b w:val="1"/>
          <w:bCs w:val="1"/>
          <w:color w:val="auto"/>
        </w:rPr>
      </w:pPr>
      <w:r>
        <w:rPr>
          <w:rFonts w:ascii="Arial" w:cs="Arial" w:eastAsia="Arial" w:hAnsi="Arial"/>
          <w:sz w:val="19"/>
          <w:szCs w:val="19"/>
          <w:b w:val="1"/>
          <w:bCs w:val="1"/>
          <w:color w:val="auto"/>
        </w:rPr>
        <w:t>G</w:t>
      </w:r>
      <w:r>
        <w:rPr>
          <w:rFonts w:ascii="Arial" w:cs="Arial" w:eastAsia="Arial" w:hAnsi="Arial"/>
          <w:sz w:val="15"/>
          <w:szCs w:val="15"/>
          <w:b w:val="1"/>
          <w:bCs w:val="1"/>
          <w:color w:val="auto"/>
        </w:rPr>
        <w:t>RANT OF THE</w:t>
      </w:r>
      <w:r>
        <w:rPr>
          <w:rFonts w:ascii="Arial" w:cs="Arial" w:eastAsia="Arial" w:hAnsi="Arial"/>
          <w:sz w:val="19"/>
          <w:szCs w:val="19"/>
          <w:b w:val="1"/>
          <w:bCs w:val="1"/>
          <w:color w:val="auto"/>
        </w:rPr>
        <w:t xml:space="preserve"> RSU A</w:t>
      </w:r>
      <w:r>
        <w:rPr>
          <w:rFonts w:ascii="Arial" w:cs="Arial" w:eastAsia="Arial" w:hAnsi="Arial"/>
          <w:sz w:val="15"/>
          <w:szCs w:val="15"/>
          <w:b w:val="1"/>
          <w:bCs w:val="1"/>
          <w:color w:val="auto"/>
        </w:rPr>
        <w:t>WARD</w:t>
      </w:r>
      <w:r>
        <w:rPr>
          <w:rFonts w:ascii="Arial" w:cs="Arial" w:eastAsia="Arial" w:hAnsi="Arial"/>
          <w:sz w:val="19"/>
          <w:szCs w:val="19"/>
          <w:b w:val="1"/>
          <w:bCs w:val="1"/>
          <w:color w:val="auto"/>
        </w:rPr>
        <w:t xml:space="preserve">. </w:t>
      </w:r>
      <w:r>
        <w:rPr>
          <w:rFonts w:ascii="Arial" w:cs="Arial" w:eastAsia="Arial" w:hAnsi="Arial"/>
          <w:sz w:val="19"/>
          <w:szCs w:val="19"/>
          <w:color w:val="auto"/>
        </w:rPr>
        <w:t>This RSU Award represents your right to be issued on a future date the number of shares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Company’s Common Stock that is equal to the number of Restricted Stock Units indicated in the Grant Notice, subject to your satisfaction of the vesting conditions set forth therein. Notwithstanding the foregoing, the Company, in its sole discretion, may settle the RSU Award in cash.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92" w:lineRule="exact"/>
        <w:rPr>
          <w:rFonts w:ascii="Arial" w:cs="Arial" w:eastAsia="Arial" w:hAnsi="Arial"/>
          <w:sz w:val="21"/>
          <w:szCs w:val="21"/>
          <w:b w:val="1"/>
          <w:bCs w:val="1"/>
          <w:color w:val="auto"/>
        </w:rPr>
      </w:pPr>
    </w:p>
    <w:p>
      <w:pPr>
        <w:ind w:left="60" w:right="120" w:firstLine="740"/>
        <w:spacing w:after="0" w:line="243" w:lineRule="auto"/>
        <w:tabs>
          <w:tab w:leader="none" w:pos="1548" w:val="left"/>
        </w:tabs>
        <w:numPr>
          <w:ilvl w:val="0"/>
          <w:numId w:val="66"/>
        </w:numPr>
        <w:rPr>
          <w:rFonts w:ascii="Arial" w:cs="Arial" w:eastAsia="Arial" w:hAnsi="Arial"/>
          <w:sz w:val="22"/>
          <w:szCs w:val="22"/>
          <w:b w:val="1"/>
          <w:bCs w:val="1"/>
          <w:color w:val="auto"/>
        </w:rPr>
      </w:pPr>
      <w:r>
        <w:rPr>
          <w:rFonts w:ascii="Arial" w:cs="Arial" w:eastAsia="Arial" w:hAnsi="Arial"/>
          <w:sz w:val="20"/>
          <w:szCs w:val="20"/>
          <w:b w:val="1"/>
          <w:bCs w:val="1"/>
          <w:color w:val="auto"/>
        </w:rPr>
        <w:t>D</w:t>
      </w:r>
      <w:r>
        <w:rPr>
          <w:rFonts w:ascii="Arial" w:cs="Arial" w:eastAsia="Arial" w:hAnsi="Arial"/>
          <w:sz w:val="16"/>
          <w:szCs w:val="16"/>
          <w:b w:val="1"/>
          <w:bCs w:val="1"/>
          <w:color w:val="auto"/>
        </w:rPr>
        <w:t>IVIDENDS</w:t>
      </w:r>
      <w:r>
        <w:rPr>
          <w:rFonts w:ascii="Arial" w:cs="Arial" w:eastAsia="Arial" w:hAnsi="Arial"/>
          <w:sz w:val="20"/>
          <w:szCs w:val="20"/>
          <w:b w:val="1"/>
          <w:bCs w:val="1"/>
          <w:color w:val="auto"/>
        </w:rPr>
        <w:t xml:space="preserve">. </w:t>
      </w:r>
      <w:r>
        <w:rPr>
          <w:rFonts w:ascii="Arial" w:cs="Arial" w:eastAsia="Arial" w:hAnsi="Arial"/>
          <w:sz w:val="20"/>
          <w:szCs w:val="20"/>
          <w:color w:val="auto"/>
        </w:rPr>
        <w:t>You shall receive no benefit or adjustment to your RSU Award with respect to any cash dividend, stock</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 or other distribution that does not result from a Capitalization Adjustment as provided in the Plan.</w:t>
      </w:r>
    </w:p>
    <w:p>
      <w:pPr>
        <w:spacing w:after="0" w:line="199" w:lineRule="exact"/>
        <w:rPr>
          <w:rFonts w:ascii="Arial" w:cs="Arial" w:eastAsia="Arial" w:hAnsi="Arial"/>
          <w:sz w:val="22"/>
          <w:szCs w:val="22"/>
          <w:b w:val="1"/>
          <w:bCs w:val="1"/>
          <w:color w:val="auto"/>
        </w:rPr>
      </w:pPr>
    </w:p>
    <w:p>
      <w:pPr>
        <w:ind w:left="1560" w:hanging="759"/>
        <w:spacing w:after="0"/>
        <w:tabs>
          <w:tab w:leader="none" w:pos="1560" w:val="left"/>
        </w:tabs>
        <w:numPr>
          <w:ilvl w:val="0"/>
          <w:numId w:val="66"/>
        </w:numPr>
        <w:rPr>
          <w:rFonts w:ascii="Arial" w:cs="Arial" w:eastAsia="Arial" w:hAnsi="Arial"/>
          <w:sz w:val="22"/>
          <w:szCs w:val="22"/>
          <w:b w:val="1"/>
          <w:bCs w:val="1"/>
          <w:color w:val="auto"/>
        </w:rPr>
      </w:pPr>
      <w:r>
        <w:rPr>
          <w:rFonts w:ascii="Arial" w:cs="Arial" w:eastAsia="Arial" w:hAnsi="Arial"/>
          <w:sz w:val="20"/>
          <w:szCs w:val="20"/>
          <w:b w:val="1"/>
          <w:bCs w:val="1"/>
          <w:color w:val="auto"/>
        </w:rPr>
        <w:t>R</w:t>
      </w:r>
      <w:r>
        <w:rPr>
          <w:rFonts w:ascii="Arial" w:cs="Arial" w:eastAsia="Arial" w:hAnsi="Arial"/>
          <w:sz w:val="13"/>
          <w:szCs w:val="13"/>
          <w:b w:val="1"/>
          <w:bCs w:val="1"/>
          <w:color w:val="auto"/>
        </w:rPr>
        <w:t>esponsibility for</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axes</w:t>
      </w:r>
      <w:r>
        <w:rPr>
          <w:rFonts w:ascii="Arial" w:cs="Arial" w:eastAsia="Arial" w:hAnsi="Arial"/>
          <w:sz w:val="20"/>
          <w:szCs w:val="20"/>
          <w:b w:val="1"/>
          <w:bCs w:val="1"/>
          <w:color w:val="auto"/>
        </w:rPr>
        <w:t>.</w:t>
      </w:r>
    </w:p>
    <w:p>
      <w:pPr>
        <w:spacing w:after="0" w:line="198" w:lineRule="exact"/>
        <w:rPr>
          <w:rFonts w:ascii="Arial" w:cs="Arial" w:eastAsia="Arial" w:hAnsi="Arial"/>
          <w:sz w:val="22"/>
          <w:szCs w:val="22"/>
          <w:b w:val="1"/>
          <w:bCs w:val="1"/>
          <w:color w:val="auto"/>
        </w:rPr>
      </w:pPr>
    </w:p>
    <w:p>
      <w:pPr>
        <w:jc w:val="both"/>
        <w:ind w:left="60" w:right="120" w:firstLine="1490"/>
        <w:spacing w:after="0" w:line="266" w:lineRule="auto"/>
        <w:tabs>
          <w:tab w:leader="none" w:pos="2298"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You acknowledge that, regardless of any action taken by the Company or, if different, the Affiliate employing you or to which you otherwise provide services (the “</w:t>
      </w:r>
      <w:r>
        <w:rPr>
          <w:rFonts w:ascii="Arial" w:cs="Arial" w:eastAsia="Arial" w:hAnsi="Arial"/>
          <w:sz w:val="18"/>
          <w:szCs w:val="18"/>
          <w:b w:val="1"/>
          <w:bCs w:val="1"/>
          <w:i w:val="1"/>
          <w:iCs w:val="1"/>
          <w:color w:val="auto"/>
        </w:rPr>
        <w:t>Service Recipient</w:t>
      </w:r>
      <w:r>
        <w:rPr>
          <w:rFonts w:ascii="Arial" w:cs="Arial" w:eastAsia="Arial" w:hAnsi="Arial"/>
          <w:sz w:val="18"/>
          <w:szCs w:val="18"/>
          <w:color w:val="auto"/>
        </w:rPr>
        <w:t>”), the ultimate liability for all income tax (including U.S. or non-U.S. federal, state, and local taxes), social insurance, payroll tax, fringe benefits tax, payment on account or other tax-related items related to your participation in the Plan and legally applicable or deemed applicable to you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your responsibility and may exceed the amount, if any, actually withheld by the Company or the Service Recipient. You further acknowledge that the Company and/or the Service Recipient (i) make no representations or undertakings regarding the treatment of any Tax-Related Items in connection with any aspect of the RSU Award, including, but not limited to, the grant of the RSU Award, the vesting of the RSU Award, the issuance of shares in settlement of vesting of the RSU Award, the subsequent sale of any shares of Common Stock acquired pursuant to the RSU Award and the receipt of any dividends or dividend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15"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25" w:lineRule="exact"/>
        <w:rPr>
          <w:sz w:val="20"/>
          <w:szCs w:val="20"/>
          <w:color w:val="auto"/>
        </w:rPr>
      </w:pPr>
    </w:p>
    <w:p>
      <w:pPr>
        <w:jc w:val="both"/>
        <w:ind w:left="60" w:right="120"/>
        <w:spacing w:after="0" w:line="241" w:lineRule="auto"/>
        <w:rPr>
          <w:sz w:val="20"/>
          <w:szCs w:val="20"/>
          <w:color w:val="auto"/>
        </w:rPr>
      </w:pPr>
      <w:r>
        <w:rPr>
          <w:rFonts w:ascii="Arial" w:cs="Arial" w:eastAsia="Arial" w:hAnsi="Arial"/>
          <w:sz w:val="20"/>
          <w:szCs w:val="20"/>
          <w:color w:val="auto"/>
        </w:rPr>
        <w:t>equivalents; and (ii) do not commit to and are under no obligation to reduce or eliminate your liability for Tax-Related Items or to achieve any particular tax result. Further, if you become subject to taxation in more than one country, you acknowledge that the Company and/or the Service Recipient (or former service recipient, as applicable) may be required to withhold or account for Tax-Related Items in more than one country.</w:t>
      </w:r>
    </w:p>
    <w:p>
      <w:pPr>
        <w:spacing w:after="0" w:line="197" w:lineRule="exact"/>
        <w:rPr>
          <w:sz w:val="20"/>
          <w:szCs w:val="20"/>
          <w:color w:val="auto"/>
        </w:rPr>
      </w:pPr>
    </w:p>
    <w:p>
      <w:pPr>
        <w:jc w:val="both"/>
        <w:ind w:left="60" w:right="120" w:firstLine="1489"/>
        <w:spacing w:after="0" w:line="252" w:lineRule="auto"/>
        <w:tabs>
          <w:tab w:leader="none" w:pos="2298" w:val="left"/>
        </w:tabs>
        <w:numPr>
          <w:ilvl w:val="1"/>
          <w:numId w:val="67"/>
        </w:numPr>
        <w:rPr>
          <w:rFonts w:ascii="Arial" w:cs="Arial" w:eastAsia="Arial" w:hAnsi="Arial"/>
          <w:sz w:val="19"/>
          <w:szCs w:val="19"/>
          <w:b w:val="1"/>
          <w:bCs w:val="1"/>
          <w:color w:val="auto"/>
        </w:rPr>
      </w:pPr>
      <w:r>
        <w:rPr>
          <w:rFonts w:ascii="Arial" w:cs="Arial" w:eastAsia="Arial" w:hAnsi="Arial"/>
          <w:sz w:val="19"/>
          <w:szCs w:val="19"/>
          <w:color w:val="auto"/>
        </w:rPr>
        <w:t>Notwithstanding any contrary provision of this Agreement, no share of Common Stock will be issued to you unless and until satisfactory arrangements (as determined by the Plan Administrator) will have been made by you with respect to the payment of Tax-Related Items which the Company determines must be withheld with respect to the RSU Award or such shares of Common Stock. In connection with any relevant taxable or tax withholding event, as applicable, you agree to make adequate arrangements satisfactory to the Company and/or the Service Recipient to satisfy all Tax-Related Items. In this regard, you authorize the Company and/or the Service Recipient, or their respective agents, at their discretion, to satisfy any applicable withholding obligations or rights with regard to all Tax-Related Items by one or a combination of the following: (i) requiring you to make a cash payment; (ii) withholding from your wages or other cash compensation payable to you by the Company and/or any Affiliate, including the Service Recipient; (iii) withholding from proceeds of the sale of shares of Common Stock acquired upon settlement of the Restricted Stock Units either through a voluntary sale or through a mandatory sale arranged by the Company (on your behalf pursuant to this authorization without further consent); (iv) withholding from shares of Common Stock to be issued to you upon settlement of the Restricted Stock Units; or (v) any other method of withholding determined by the Company and permitted by Applicable Law; provided, however, that that if you are an Officer, then the Plan Administrator shall establish the method of withholding from alternatives (i)-(iii) herein and, if the Plan Administrator does not exercise its discretion prior to the applicable withholding event, then you shall be entitled to elect the method of withholding from the alternatives above.</w:t>
      </w:r>
    </w:p>
    <w:p>
      <w:pPr>
        <w:spacing w:after="0" w:line="176" w:lineRule="exact"/>
        <w:rPr>
          <w:rFonts w:ascii="Arial" w:cs="Arial" w:eastAsia="Arial" w:hAnsi="Arial"/>
          <w:sz w:val="19"/>
          <w:szCs w:val="19"/>
          <w:b w:val="1"/>
          <w:bCs w:val="1"/>
          <w:color w:val="auto"/>
        </w:rPr>
      </w:pPr>
    </w:p>
    <w:p>
      <w:pPr>
        <w:jc w:val="both"/>
        <w:ind w:left="60" w:right="120" w:firstLine="1489"/>
        <w:spacing w:after="0" w:line="254" w:lineRule="auto"/>
        <w:tabs>
          <w:tab w:leader="none" w:pos="2298" w:val="left"/>
        </w:tabs>
        <w:numPr>
          <w:ilvl w:val="1"/>
          <w:numId w:val="67"/>
        </w:numPr>
        <w:rPr>
          <w:rFonts w:ascii="Arial" w:cs="Arial" w:eastAsia="Arial" w:hAnsi="Arial"/>
          <w:sz w:val="19"/>
          <w:szCs w:val="19"/>
          <w:b w:val="1"/>
          <w:bCs w:val="1"/>
          <w:color w:val="auto"/>
        </w:rPr>
      </w:pPr>
      <w:r>
        <w:rPr>
          <w:rFonts w:ascii="Arial" w:cs="Arial" w:eastAsia="Arial" w:hAnsi="Arial"/>
          <w:sz w:val="19"/>
          <w:szCs w:val="19"/>
          <w:color w:val="auto"/>
        </w:rPr>
        <w:t>The Company and/or the Service Recipient may withhold or account for Tax-Related Items by considering applicable statutory withholding amounts or other applicable withholding rates, including minimum and maximum rates applicable in your jurisdiction. In the event of over-withholding you may receive a refund of any over-withheld amount in cash (with no entitlement to the equivalent amount in shares of Common Stock) from the Company or the Service Recipient; otherwise, you may be able to seek a refund from the local tax authorities. In the event of under-withholding, you may be required to pay any additional Tax-Related Items directly to the applicable tax authority or to the Company and/or the Service Recipient. If the obligation for Tax-Related Items is satisfied by withholding shares of Common Stock, for tax purposes, you are deemed to have been issued the full number of shares of Common Stock subject to the vested Restricted Stock Units, notwithstanding that a number of the shares of Common Stock is held back solely for the purpose of paying the Tax-Related Items.</w:t>
      </w:r>
    </w:p>
    <w:p>
      <w:pPr>
        <w:spacing w:after="0" w:line="186" w:lineRule="exact"/>
        <w:rPr>
          <w:rFonts w:ascii="Arial" w:cs="Arial" w:eastAsia="Arial" w:hAnsi="Arial"/>
          <w:sz w:val="19"/>
          <w:szCs w:val="19"/>
          <w:b w:val="1"/>
          <w:bCs w:val="1"/>
          <w:color w:val="auto"/>
        </w:rPr>
      </w:pPr>
    </w:p>
    <w:p>
      <w:pPr>
        <w:jc w:val="both"/>
        <w:ind w:left="60" w:right="120" w:firstLine="1489"/>
        <w:spacing w:after="0" w:line="282" w:lineRule="auto"/>
        <w:tabs>
          <w:tab w:leader="none" w:pos="2298" w:val="left"/>
        </w:tabs>
        <w:numPr>
          <w:ilvl w:val="1"/>
          <w:numId w:val="67"/>
        </w:numPr>
        <w:rPr>
          <w:rFonts w:ascii="Arial" w:cs="Arial" w:eastAsia="Arial" w:hAnsi="Arial"/>
          <w:sz w:val="18"/>
          <w:szCs w:val="18"/>
          <w:b w:val="1"/>
          <w:bCs w:val="1"/>
          <w:color w:val="auto"/>
        </w:rPr>
      </w:pPr>
      <w:r>
        <w:rPr>
          <w:rFonts w:ascii="Arial" w:cs="Arial" w:eastAsia="Arial" w:hAnsi="Arial"/>
          <w:sz w:val="18"/>
          <w:szCs w:val="18"/>
          <w:color w:val="auto"/>
        </w:rPr>
        <w:t>You agree to pay to the Company or the Service Recipient any amount of Tax-Related Items that the Company or the Service Recipient may be required to withhold or account for as a result of your participation in the Plan that cannot be satisfied by the means previously described. The Company may refuse to issue or deliver the shares of Common Stock, or the proceeds of the sale of shares of Common Stock, if you fail to comply with your obligations in connection with the Tax-Related Items.</w:t>
      </w:r>
    </w:p>
    <w:p>
      <w:pPr>
        <w:spacing w:after="0" w:line="155" w:lineRule="exact"/>
        <w:rPr>
          <w:rFonts w:ascii="Arial" w:cs="Arial" w:eastAsia="Arial" w:hAnsi="Arial"/>
          <w:sz w:val="18"/>
          <w:szCs w:val="18"/>
          <w:b w:val="1"/>
          <w:bCs w:val="1"/>
          <w:color w:val="auto"/>
        </w:rPr>
      </w:pPr>
    </w:p>
    <w:p>
      <w:pPr>
        <w:ind w:left="1560" w:hanging="759"/>
        <w:spacing w:after="0"/>
        <w:tabs>
          <w:tab w:leader="none" w:pos="1560" w:val="left"/>
        </w:tabs>
        <w:numPr>
          <w:ilvl w:val="0"/>
          <w:numId w:val="68"/>
        </w:numPr>
        <w:rPr>
          <w:rFonts w:ascii="Arial" w:cs="Arial" w:eastAsia="Arial" w:hAnsi="Arial"/>
          <w:sz w:val="22"/>
          <w:szCs w:val="22"/>
          <w:b w:val="1"/>
          <w:bCs w:val="1"/>
          <w:color w:val="auto"/>
        </w:rPr>
      </w:pPr>
      <w:r>
        <w:rPr>
          <w:rFonts w:ascii="Arial" w:cs="Arial" w:eastAsia="Arial" w:hAnsi="Arial"/>
          <w:sz w:val="20"/>
          <w:szCs w:val="20"/>
          <w:b w:val="1"/>
          <w:bCs w:val="1"/>
          <w:color w:val="auto"/>
        </w:rPr>
        <w:t>D</w:t>
      </w:r>
      <w:r>
        <w:rPr>
          <w:rFonts w:ascii="Arial" w:cs="Arial" w:eastAsia="Arial" w:hAnsi="Arial"/>
          <w:sz w:val="16"/>
          <w:szCs w:val="16"/>
          <w:b w:val="1"/>
          <w:bCs w:val="1"/>
          <w:color w:val="auto"/>
        </w:rPr>
        <w:t>ATE OF</w:t>
      </w:r>
      <w:r>
        <w:rPr>
          <w:rFonts w:ascii="Arial" w:cs="Arial" w:eastAsia="Arial" w:hAnsi="Arial"/>
          <w:sz w:val="20"/>
          <w:szCs w:val="20"/>
          <w:b w:val="1"/>
          <w:bCs w:val="1"/>
          <w:color w:val="auto"/>
        </w:rPr>
        <w:t xml:space="preserve"> I</w:t>
      </w:r>
      <w:r>
        <w:rPr>
          <w:rFonts w:ascii="Arial" w:cs="Arial" w:eastAsia="Arial" w:hAnsi="Arial"/>
          <w:sz w:val="16"/>
          <w:szCs w:val="16"/>
          <w:b w:val="1"/>
          <w:bCs w:val="1"/>
          <w:color w:val="auto"/>
        </w:rPr>
        <w:t>SSUANCE</w:t>
      </w:r>
      <w:r>
        <w:rPr>
          <w:rFonts w:ascii="Arial" w:cs="Arial" w:eastAsia="Arial" w:hAnsi="Arial"/>
          <w:sz w:val="20"/>
          <w:szCs w:val="20"/>
          <w:b w:val="1"/>
          <w:bCs w:val="1"/>
          <w:color w:val="auto"/>
        </w:rPr>
        <w:t>.</w:t>
      </w:r>
    </w:p>
    <w:p>
      <w:pPr>
        <w:spacing w:after="0" w:line="198" w:lineRule="exact"/>
        <w:rPr>
          <w:rFonts w:ascii="Arial" w:cs="Arial" w:eastAsia="Arial" w:hAnsi="Arial"/>
          <w:sz w:val="22"/>
          <w:szCs w:val="22"/>
          <w:b w:val="1"/>
          <w:bCs w:val="1"/>
          <w:color w:val="auto"/>
        </w:rPr>
      </w:pPr>
    </w:p>
    <w:p>
      <w:pPr>
        <w:jc w:val="both"/>
        <w:ind w:left="60" w:right="120" w:firstLine="1489"/>
        <w:spacing w:after="0" w:line="241" w:lineRule="auto"/>
        <w:tabs>
          <w:tab w:leader="none" w:pos="2298" w:val="left"/>
        </w:tabs>
        <w:numPr>
          <w:ilvl w:val="1"/>
          <w:numId w:val="68"/>
        </w:numPr>
        <w:rPr>
          <w:rFonts w:ascii="Arial" w:cs="Arial" w:eastAsia="Arial" w:hAnsi="Arial"/>
          <w:sz w:val="20"/>
          <w:szCs w:val="20"/>
          <w:b w:val="1"/>
          <w:bCs w:val="1"/>
          <w:color w:val="auto"/>
        </w:rPr>
      </w:pPr>
      <w:r>
        <w:rPr>
          <w:rFonts w:ascii="Arial" w:cs="Arial" w:eastAsia="Arial" w:hAnsi="Arial"/>
          <w:sz w:val="20"/>
          <w:szCs w:val="20"/>
          <w:color w:val="auto"/>
        </w:rPr>
        <w:t xml:space="preserve">To the extent your RSU Award is exempt from application of Section 409A of the Code and any state law of similar effect (collectively </w:t>
      </w: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Section 409A</w:t>
      </w:r>
      <w:r>
        <w:rPr>
          <w:rFonts w:ascii="Arial" w:cs="Arial" w:eastAsia="Arial" w:hAnsi="Arial"/>
          <w:sz w:val="20"/>
          <w:szCs w:val="20"/>
          <w:b w:val="1"/>
          <w:bCs w:val="1"/>
          <w:color w:val="auto"/>
        </w:rPr>
        <w:t>”</w:t>
      </w:r>
      <w:r>
        <w:rPr>
          <w:rFonts w:ascii="Arial" w:cs="Arial" w:eastAsia="Arial" w:hAnsi="Arial"/>
          <w:sz w:val="20"/>
          <w:szCs w:val="20"/>
          <w:color w:val="auto"/>
        </w:rPr>
        <w:t>), the Company will deliver to you a number of shares of the Company’s Common Stock equal to the number of vested Restricted Stock Units subject to your RSU Award, including any additional Restricted Stock Units received pursuant to Section 3 above that relate to those vested Restricted Stock Units as soon as reasonably practicable after the applicable vesting date(s) (the “</w:t>
      </w:r>
      <w:r>
        <w:rPr>
          <w:rFonts w:ascii="Arial" w:cs="Arial" w:eastAsia="Arial" w:hAnsi="Arial"/>
          <w:sz w:val="20"/>
          <w:szCs w:val="20"/>
          <w:b w:val="1"/>
          <w:bCs w:val="1"/>
          <w:i w:val="1"/>
          <w:iCs w:val="1"/>
          <w:color w:val="auto"/>
        </w:rPr>
        <w:t>Original Distribution Date</w:t>
      </w:r>
      <w:r>
        <w:rPr>
          <w:rFonts w:ascii="Arial" w:cs="Arial" w:eastAsia="Arial" w:hAnsi="Arial"/>
          <w:sz w:val="20"/>
          <w:szCs w:val="20"/>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57785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15"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25" w:lineRule="exact"/>
        <w:rPr>
          <w:sz w:val="20"/>
          <w:szCs w:val="20"/>
          <w:color w:val="auto"/>
        </w:rPr>
      </w:pPr>
    </w:p>
    <w:p>
      <w:pPr>
        <w:jc w:val="both"/>
        <w:ind w:left="60" w:right="120" w:firstLine="1488"/>
        <w:spacing w:after="0" w:line="254" w:lineRule="auto"/>
        <w:tabs>
          <w:tab w:leader="none" w:pos="2297" w:val="left"/>
        </w:tabs>
        <w:numPr>
          <w:ilvl w:val="2"/>
          <w:numId w:val="69"/>
        </w:numPr>
        <w:rPr>
          <w:rFonts w:ascii="Arial" w:cs="Arial" w:eastAsia="Arial" w:hAnsi="Arial"/>
          <w:sz w:val="19"/>
          <w:szCs w:val="19"/>
          <w:b w:val="1"/>
          <w:bCs w:val="1"/>
          <w:color w:val="auto"/>
        </w:rPr>
      </w:pPr>
      <w:r>
        <w:rPr>
          <w:rFonts w:ascii="Arial" w:cs="Arial" w:eastAsia="Arial" w:hAnsi="Arial"/>
          <w:sz w:val="19"/>
          <w:szCs w:val="19"/>
          <w:color w:val="auto"/>
        </w:rPr>
        <w:t>Notwithstanding the foregoing, in the event that you are prohibited from selling shares of the Company’s Common Stock in the public market on the scheduled delivery date by the Trading Policy or otherwise, and the Company elects not to satisfy its withholding obligations for Tax-Related Items, if any, by withholding shares from your distribution, then such shares shall not be delivered on such Original Distribution Date and shall instead be delivered on the first business day when you are not prohibited from selling shares of the Company’s Common Stock in the open market, but in no event later than March 15</w:t>
      </w:r>
      <w:r>
        <w:rPr>
          <w:rFonts w:ascii="Arial" w:cs="Arial" w:eastAsia="Arial" w:hAnsi="Arial"/>
          <w:sz w:val="12"/>
          <w:szCs w:val="12"/>
          <w:color w:val="auto"/>
        </w:rPr>
        <w:t>th</w:t>
      </w:r>
      <w:r>
        <w:rPr>
          <w:rFonts w:ascii="Arial" w:cs="Arial" w:eastAsia="Arial" w:hAnsi="Arial"/>
          <w:sz w:val="19"/>
          <w:szCs w:val="19"/>
          <w:color w:val="auto"/>
        </w:rPr>
        <w:t xml:space="preserve"> of the immediately following calendar year. Delivery of the shares pursuant to the provisions of Section 5 is intended to comply with the requirements for the short-term deferral exemption available under U.S. Treasury Regulations Section 1.409A-1(b)(4) and shall be construed and administered in such manner. However, if and to the extent the RSU Award is a Non-Exempt Award, the provisions of the Plan with respect to Non-Exempt Awards shall apply in lieu of the provisions in this Section 5.</w:t>
      </w:r>
    </w:p>
    <w:p>
      <w:pPr>
        <w:spacing w:after="0" w:line="194" w:lineRule="exact"/>
        <w:rPr>
          <w:rFonts w:ascii="Arial" w:cs="Arial" w:eastAsia="Arial" w:hAnsi="Arial"/>
          <w:sz w:val="19"/>
          <w:szCs w:val="19"/>
          <w:b w:val="1"/>
          <w:bCs w:val="1"/>
          <w:color w:val="auto"/>
        </w:rPr>
      </w:pPr>
    </w:p>
    <w:p>
      <w:pPr>
        <w:ind w:left="1540" w:hanging="739"/>
        <w:spacing w:after="0"/>
        <w:tabs>
          <w:tab w:leader="none" w:pos="1540" w:val="left"/>
        </w:tabs>
        <w:numPr>
          <w:ilvl w:val="0"/>
          <w:numId w:val="70"/>
        </w:numPr>
        <w:rPr>
          <w:rFonts w:ascii="Arial" w:cs="Arial" w:eastAsia="Arial" w:hAnsi="Arial"/>
          <w:sz w:val="22"/>
          <w:szCs w:val="22"/>
          <w:b w:val="1"/>
          <w:bCs w:val="1"/>
          <w:color w:val="auto"/>
        </w:rPr>
      </w:pPr>
      <w:r>
        <w:rPr>
          <w:rFonts w:ascii="Arial" w:cs="Arial" w:eastAsia="Arial" w:hAnsi="Arial"/>
          <w:sz w:val="20"/>
          <w:szCs w:val="20"/>
          <w:b w:val="1"/>
          <w:bCs w:val="1"/>
          <w:color w:val="auto"/>
        </w:rPr>
        <w:t>N</w:t>
      </w:r>
      <w:r>
        <w:rPr>
          <w:rFonts w:ascii="Arial" w:cs="Arial" w:eastAsia="Arial" w:hAnsi="Arial"/>
          <w:sz w:val="16"/>
          <w:szCs w:val="16"/>
          <w:b w:val="1"/>
          <w:bCs w:val="1"/>
          <w:color w:val="auto"/>
        </w:rPr>
        <w:t>ATURE OF</w:t>
      </w:r>
      <w:r>
        <w:rPr>
          <w:rFonts w:ascii="Arial" w:cs="Arial" w:eastAsia="Arial" w:hAnsi="Arial"/>
          <w:sz w:val="20"/>
          <w:szCs w:val="20"/>
          <w:b w:val="1"/>
          <w:bCs w:val="1"/>
          <w:color w:val="auto"/>
        </w:rPr>
        <w:t xml:space="preserve"> G</w:t>
      </w:r>
      <w:r>
        <w:rPr>
          <w:rFonts w:ascii="Arial" w:cs="Arial" w:eastAsia="Arial" w:hAnsi="Arial"/>
          <w:sz w:val="16"/>
          <w:szCs w:val="16"/>
          <w:b w:val="1"/>
          <w:bCs w:val="1"/>
          <w:color w:val="auto"/>
        </w:rPr>
        <w:t>RANT</w:t>
      </w:r>
      <w:r>
        <w:rPr>
          <w:rFonts w:ascii="Arial" w:cs="Arial" w:eastAsia="Arial" w:hAnsi="Arial"/>
          <w:sz w:val="20"/>
          <w:szCs w:val="20"/>
          <w:b w:val="1"/>
          <w:bCs w:val="1"/>
          <w:color w:val="auto"/>
        </w:rPr>
        <w:t xml:space="preserve">. </w:t>
      </w:r>
      <w:r>
        <w:rPr>
          <w:rFonts w:ascii="Arial" w:cs="Arial" w:eastAsia="Arial" w:hAnsi="Arial"/>
          <w:sz w:val="20"/>
          <w:szCs w:val="20"/>
          <w:color w:val="auto"/>
        </w:rPr>
        <w:t>In accepting the RSU Award, you acknowledge, understand and agree that:</w:t>
      </w:r>
    </w:p>
    <w:p>
      <w:pPr>
        <w:spacing w:after="0" w:line="185" w:lineRule="exact"/>
        <w:rPr>
          <w:rFonts w:ascii="Arial" w:cs="Arial" w:eastAsia="Arial" w:hAnsi="Arial"/>
          <w:sz w:val="22"/>
          <w:szCs w:val="22"/>
          <w:b w:val="1"/>
          <w:bCs w:val="1"/>
          <w:color w:val="auto"/>
        </w:rPr>
      </w:pPr>
    </w:p>
    <w:p>
      <w:pPr>
        <w:ind w:left="60" w:right="120" w:firstLine="1490"/>
        <w:spacing w:after="0" w:line="260" w:lineRule="auto"/>
        <w:tabs>
          <w:tab w:leader="none" w:pos="2298" w:val="left"/>
        </w:tabs>
        <w:numPr>
          <w:ilvl w:val="1"/>
          <w:numId w:val="70"/>
        </w:numPr>
        <w:rPr>
          <w:rFonts w:ascii="Arial" w:cs="Arial" w:eastAsia="Arial" w:hAnsi="Arial"/>
          <w:sz w:val="20"/>
          <w:szCs w:val="20"/>
          <w:b w:val="1"/>
          <w:bCs w:val="1"/>
          <w:color w:val="auto"/>
        </w:rPr>
      </w:pPr>
      <w:r>
        <w:rPr>
          <w:rFonts w:ascii="Arial" w:cs="Arial" w:eastAsia="Arial" w:hAnsi="Arial"/>
          <w:sz w:val="20"/>
          <w:szCs w:val="20"/>
          <w:color w:val="auto"/>
        </w:rPr>
        <w:t>the Plan is established voluntarily by the Company, it is discretionary in nature, and may be amended, suspended or terminated by the Company at any time, to the extent permitted by the Plan;</w:t>
      </w:r>
    </w:p>
    <w:p>
      <w:pPr>
        <w:spacing w:after="0" w:line="176" w:lineRule="exact"/>
        <w:rPr>
          <w:rFonts w:ascii="Arial" w:cs="Arial" w:eastAsia="Arial" w:hAnsi="Arial"/>
          <w:sz w:val="20"/>
          <w:szCs w:val="20"/>
          <w:b w:val="1"/>
          <w:bCs w:val="1"/>
          <w:color w:val="auto"/>
        </w:rPr>
      </w:pPr>
    </w:p>
    <w:p>
      <w:pPr>
        <w:jc w:val="both"/>
        <w:ind w:left="60" w:right="120" w:firstLine="1472"/>
        <w:spacing w:after="0" w:line="250" w:lineRule="auto"/>
        <w:tabs>
          <w:tab w:leader="none" w:pos="2281" w:val="left"/>
        </w:tabs>
        <w:numPr>
          <w:ilvl w:val="1"/>
          <w:numId w:val="70"/>
        </w:numPr>
        <w:rPr>
          <w:rFonts w:ascii="Arial" w:cs="Arial" w:eastAsia="Arial" w:hAnsi="Arial"/>
          <w:sz w:val="20"/>
          <w:szCs w:val="20"/>
          <w:b w:val="1"/>
          <w:bCs w:val="1"/>
          <w:color w:val="auto"/>
        </w:rPr>
      </w:pPr>
      <w:r>
        <w:rPr>
          <w:rFonts w:ascii="Arial" w:cs="Arial" w:eastAsia="Arial" w:hAnsi="Arial"/>
          <w:sz w:val="20"/>
          <w:szCs w:val="20"/>
          <w:color w:val="auto"/>
        </w:rPr>
        <w:t>the grant of the RSU Award is an exceptional, voluntary, one-time benefit and does not create any contractual or other right to receive future grants of Restricted Stock Units, other equity awards or benefits in lieu of equity awards, even if equity awards have been granted in the past;</w:t>
      </w:r>
    </w:p>
    <w:p>
      <w:pPr>
        <w:spacing w:after="0" w:line="172" w:lineRule="exact"/>
        <w:rPr>
          <w:rFonts w:ascii="Arial" w:cs="Arial" w:eastAsia="Arial" w:hAnsi="Arial"/>
          <w:sz w:val="20"/>
          <w:szCs w:val="20"/>
          <w:b w:val="1"/>
          <w:bCs w:val="1"/>
          <w:color w:val="auto"/>
        </w:rPr>
      </w:pPr>
    </w:p>
    <w:p>
      <w:pPr>
        <w:ind w:left="2280" w:hanging="731"/>
        <w:spacing w:after="0"/>
        <w:tabs>
          <w:tab w:leader="none" w:pos="2280" w:val="left"/>
        </w:tabs>
        <w:numPr>
          <w:ilvl w:val="1"/>
          <w:numId w:val="70"/>
        </w:numPr>
        <w:rPr>
          <w:rFonts w:ascii="Arial" w:cs="Arial" w:eastAsia="Arial" w:hAnsi="Arial"/>
          <w:sz w:val="19"/>
          <w:szCs w:val="19"/>
          <w:b w:val="1"/>
          <w:bCs w:val="1"/>
          <w:color w:val="auto"/>
        </w:rPr>
      </w:pPr>
      <w:r>
        <w:rPr>
          <w:rFonts w:ascii="Arial" w:cs="Arial" w:eastAsia="Arial" w:hAnsi="Arial"/>
          <w:sz w:val="19"/>
          <w:szCs w:val="19"/>
          <w:color w:val="auto"/>
        </w:rPr>
        <w:t>all decisions with respect to future RSU Awards or other grants, if any, will be at the sole discretion of the</w:t>
      </w:r>
    </w:p>
    <w:p>
      <w:pPr>
        <w:spacing w:after="0" w:line="27" w:lineRule="exact"/>
        <w:rPr>
          <w:rFonts w:ascii="Arial" w:cs="Arial" w:eastAsia="Arial" w:hAnsi="Arial"/>
          <w:sz w:val="19"/>
          <w:szCs w:val="19"/>
          <w:b w:val="1"/>
          <w:bCs w:val="1"/>
          <w:color w:val="auto"/>
        </w:rPr>
      </w:pPr>
    </w:p>
    <w:p>
      <w:pPr>
        <w:ind w:left="60"/>
        <w:spacing w:after="0"/>
        <w:rPr>
          <w:rFonts w:ascii="Arial" w:cs="Arial" w:eastAsia="Arial" w:hAnsi="Arial"/>
          <w:sz w:val="19"/>
          <w:szCs w:val="19"/>
          <w:b w:val="1"/>
          <w:bCs w:val="1"/>
          <w:color w:val="auto"/>
        </w:rPr>
      </w:pPr>
      <w:r>
        <w:rPr>
          <w:rFonts w:ascii="Arial" w:cs="Arial" w:eastAsia="Arial" w:hAnsi="Arial"/>
          <w:sz w:val="20"/>
          <w:szCs w:val="20"/>
          <w:color w:val="auto"/>
        </w:rPr>
        <w:t>Company;</w:t>
      </w:r>
    </w:p>
    <w:p>
      <w:pPr>
        <w:spacing w:after="0" w:line="199" w:lineRule="exact"/>
        <w:rPr>
          <w:rFonts w:ascii="Arial" w:cs="Arial" w:eastAsia="Arial" w:hAnsi="Arial"/>
          <w:sz w:val="19"/>
          <w:szCs w:val="19"/>
          <w:b w:val="1"/>
          <w:bCs w:val="1"/>
          <w:color w:val="auto"/>
        </w:rPr>
      </w:pPr>
    </w:p>
    <w:p>
      <w:pPr>
        <w:ind w:left="60" w:right="120" w:firstLine="1489"/>
        <w:spacing w:after="0" w:line="272" w:lineRule="auto"/>
        <w:tabs>
          <w:tab w:leader="none" w:pos="2298" w:val="left"/>
        </w:tabs>
        <w:numPr>
          <w:ilvl w:val="2"/>
          <w:numId w:val="70"/>
        </w:numPr>
        <w:rPr>
          <w:rFonts w:ascii="Arial" w:cs="Arial" w:eastAsia="Arial" w:hAnsi="Arial"/>
          <w:sz w:val="19"/>
          <w:szCs w:val="19"/>
          <w:b w:val="1"/>
          <w:bCs w:val="1"/>
          <w:color w:val="auto"/>
        </w:rPr>
      </w:pPr>
      <w:r>
        <w:rPr>
          <w:rFonts w:ascii="Arial" w:cs="Arial" w:eastAsia="Arial" w:hAnsi="Arial"/>
          <w:sz w:val="19"/>
          <w:szCs w:val="19"/>
          <w:color w:val="auto"/>
        </w:rPr>
        <w:t>the RSU Award grant and your participation in the Plan shall not create a right to Continuous Service or be interpreted as forming or amending an employment or service contract with the Company, the Service Recipient or any Affiliate;</w:t>
      </w:r>
    </w:p>
    <w:p>
      <w:pPr>
        <w:spacing w:after="0" w:line="166" w:lineRule="exact"/>
        <w:rPr>
          <w:rFonts w:ascii="Arial" w:cs="Arial" w:eastAsia="Arial" w:hAnsi="Arial"/>
          <w:sz w:val="19"/>
          <w:szCs w:val="19"/>
          <w:b w:val="1"/>
          <w:bCs w:val="1"/>
          <w:color w:val="auto"/>
        </w:rPr>
      </w:pPr>
    </w:p>
    <w:p>
      <w:pPr>
        <w:ind w:left="2300" w:hanging="752"/>
        <w:spacing w:after="0"/>
        <w:tabs>
          <w:tab w:leader="none" w:pos="2300" w:val="left"/>
        </w:tabs>
        <w:numPr>
          <w:ilvl w:val="2"/>
          <w:numId w:val="70"/>
        </w:numPr>
        <w:rPr>
          <w:rFonts w:ascii="Arial" w:cs="Arial" w:eastAsia="Arial" w:hAnsi="Arial"/>
          <w:sz w:val="20"/>
          <w:szCs w:val="20"/>
          <w:b w:val="1"/>
          <w:bCs w:val="1"/>
          <w:color w:val="auto"/>
        </w:rPr>
      </w:pPr>
      <w:r>
        <w:rPr>
          <w:rFonts w:ascii="Arial" w:cs="Arial" w:eastAsia="Arial" w:hAnsi="Arial"/>
          <w:sz w:val="20"/>
          <w:szCs w:val="20"/>
          <w:color w:val="auto"/>
        </w:rPr>
        <w:t>you are voluntarily participating in the Plan;</w:t>
      </w:r>
    </w:p>
    <w:p>
      <w:pPr>
        <w:spacing w:after="0" w:line="202" w:lineRule="exact"/>
        <w:rPr>
          <w:rFonts w:ascii="Arial" w:cs="Arial" w:eastAsia="Arial" w:hAnsi="Arial"/>
          <w:sz w:val="20"/>
          <w:szCs w:val="20"/>
          <w:b w:val="1"/>
          <w:bCs w:val="1"/>
          <w:color w:val="auto"/>
        </w:rPr>
      </w:pPr>
    </w:p>
    <w:p>
      <w:pPr>
        <w:ind w:left="60" w:right="140" w:firstLine="1489"/>
        <w:spacing w:after="0" w:line="260" w:lineRule="auto"/>
        <w:tabs>
          <w:tab w:leader="none" w:pos="2298" w:val="left"/>
        </w:tabs>
        <w:numPr>
          <w:ilvl w:val="2"/>
          <w:numId w:val="70"/>
        </w:numPr>
        <w:rPr>
          <w:rFonts w:ascii="Arial" w:cs="Arial" w:eastAsia="Arial" w:hAnsi="Arial"/>
          <w:sz w:val="20"/>
          <w:szCs w:val="20"/>
          <w:b w:val="1"/>
          <w:bCs w:val="1"/>
          <w:color w:val="auto"/>
        </w:rPr>
      </w:pPr>
      <w:r>
        <w:rPr>
          <w:rFonts w:ascii="Arial" w:cs="Arial" w:eastAsia="Arial" w:hAnsi="Arial"/>
          <w:sz w:val="20"/>
          <w:szCs w:val="20"/>
          <w:color w:val="auto"/>
        </w:rPr>
        <w:t>the RSU Award and any shares of Common Stock acquired under the Plan, and the income from and value of same, are not intended to replace any pension rights or compensation;</w:t>
      </w:r>
    </w:p>
    <w:p>
      <w:pPr>
        <w:spacing w:after="0" w:line="244" w:lineRule="exact"/>
        <w:rPr>
          <w:rFonts w:ascii="Arial" w:cs="Arial" w:eastAsia="Arial" w:hAnsi="Arial"/>
          <w:sz w:val="20"/>
          <w:szCs w:val="20"/>
          <w:b w:val="1"/>
          <w:bCs w:val="1"/>
          <w:color w:val="auto"/>
        </w:rPr>
      </w:pPr>
    </w:p>
    <w:p>
      <w:pPr>
        <w:jc w:val="both"/>
        <w:ind w:left="60" w:right="120" w:firstLine="1489"/>
        <w:spacing w:after="0" w:line="241" w:lineRule="auto"/>
        <w:tabs>
          <w:tab w:leader="none" w:pos="2298" w:val="left"/>
        </w:tabs>
        <w:numPr>
          <w:ilvl w:val="2"/>
          <w:numId w:val="70"/>
        </w:numPr>
        <w:rPr>
          <w:rFonts w:ascii="Arial" w:cs="Arial" w:eastAsia="Arial" w:hAnsi="Arial"/>
          <w:sz w:val="20"/>
          <w:szCs w:val="20"/>
          <w:b w:val="1"/>
          <w:bCs w:val="1"/>
          <w:color w:val="auto"/>
        </w:rPr>
      </w:pPr>
      <w:r>
        <w:rPr>
          <w:rFonts w:ascii="Arial" w:cs="Arial" w:eastAsia="Arial" w:hAnsi="Arial"/>
          <w:sz w:val="20"/>
          <w:szCs w:val="20"/>
          <w:color w:val="auto"/>
        </w:rPr>
        <w:t>the RSU Award and any shares of Common Stock acquired under the Plan, and the income from and value of same, are not part of normal or expected compensation for any purpose, including, without limitation, calculating any severance, resignation, termination, redundancy, dismissal, end-of-service payments, holiday pay, bonuses, long-service awards, pension or retirement or welfare benefits or similar mandatory payments;</w:t>
      </w:r>
    </w:p>
    <w:p>
      <w:pPr>
        <w:spacing w:after="0" w:line="196" w:lineRule="exact"/>
        <w:rPr>
          <w:rFonts w:ascii="Arial" w:cs="Arial" w:eastAsia="Arial" w:hAnsi="Arial"/>
          <w:sz w:val="20"/>
          <w:szCs w:val="20"/>
          <w:b w:val="1"/>
          <w:bCs w:val="1"/>
          <w:color w:val="auto"/>
        </w:rPr>
      </w:pPr>
    </w:p>
    <w:p>
      <w:pPr>
        <w:ind w:left="60" w:right="140" w:firstLine="1489"/>
        <w:spacing w:after="0" w:line="260" w:lineRule="auto"/>
        <w:tabs>
          <w:tab w:leader="none" w:pos="2296" w:val="left"/>
        </w:tabs>
        <w:numPr>
          <w:ilvl w:val="2"/>
          <w:numId w:val="70"/>
        </w:numPr>
        <w:rPr>
          <w:rFonts w:ascii="Arial" w:cs="Arial" w:eastAsia="Arial" w:hAnsi="Arial"/>
          <w:sz w:val="20"/>
          <w:szCs w:val="20"/>
          <w:b w:val="1"/>
          <w:bCs w:val="1"/>
          <w:color w:val="auto"/>
        </w:rPr>
      </w:pPr>
      <w:r>
        <w:rPr>
          <w:rFonts w:ascii="Arial" w:cs="Arial" w:eastAsia="Arial" w:hAnsi="Arial"/>
          <w:sz w:val="20"/>
          <w:szCs w:val="20"/>
          <w:color w:val="auto"/>
        </w:rPr>
        <w:t>the future value of the shares of Common Stock underlying the RSU Award is unknown, indeterminable, and cannot be predicted with certainty;</w:t>
      </w:r>
    </w:p>
    <w:p>
      <w:pPr>
        <w:spacing w:after="0" w:line="163" w:lineRule="exact"/>
        <w:rPr>
          <w:rFonts w:ascii="Arial" w:cs="Arial" w:eastAsia="Arial" w:hAnsi="Arial"/>
          <w:sz w:val="20"/>
          <w:szCs w:val="20"/>
          <w:b w:val="1"/>
          <w:bCs w:val="1"/>
          <w:color w:val="auto"/>
        </w:rPr>
      </w:pPr>
    </w:p>
    <w:p>
      <w:pPr>
        <w:ind w:left="60" w:right="120" w:firstLine="1490"/>
        <w:spacing w:after="0" w:line="260" w:lineRule="auto"/>
        <w:tabs>
          <w:tab w:leader="none" w:pos="2298" w:val="left"/>
        </w:tabs>
        <w:numPr>
          <w:ilvl w:val="2"/>
          <w:numId w:val="70"/>
        </w:numPr>
        <w:rPr>
          <w:rFonts w:ascii="Arial" w:cs="Arial" w:eastAsia="Arial" w:hAnsi="Arial"/>
          <w:sz w:val="20"/>
          <w:szCs w:val="20"/>
          <w:b w:val="1"/>
          <w:bCs w:val="1"/>
          <w:color w:val="auto"/>
        </w:rPr>
      </w:pPr>
      <w:r>
        <w:rPr>
          <w:rFonts w:ascii="Arial" w:cs="Arial" w:eastAsia="Arial" w:hAnsi="Arial"/>
          <w:sz w:val="20"/>
          <w:szCs w:val="20"/>
          <w:color w:val="auto"/>
        </w:rPr>
        <w:t>if the RSU Award vests and you are issued shares of Common Stock, the value of such shares of Common Stock may increase or decrease in value following the date the shares are issued;</w:t>
      </w:r>
    </w:p>
    <w:p>
      <w:pPr>
        <w:spacing w:after="0" w:line="163" w:lineRule="exact"/>
        <w:rPr>
          <w:rFonts w:ascii="Arial" w:cs="Arial" w:eastAsia="Arial" w:hAnsi="Arial"/>
          <w:sz w:val="20"/>
          <w:szCs w:val="20"/>
          <w:b w:val="1"/>
          <w:bCs w:val="1"/>
          <w:color w:val="auto"/>
        </w:rPr>
      </w:pPr>
    </w:p>
    <w:p>
      <w:pPr>
        <w:jc w:val="both"/>
        <w:ind w:left="60" w:right="120" w:firstLine="1490"/>
        <w:spacing w:after="0" w:line="244" w:lineRule="auto"/>
        <w:tabs>
          <w:tab w:leader="none" w:pos="2298" w:val="left"/>
        </w:tabs>
        <w:numPr>
          <w:ilvl w:val="2"/>
          <w:numId w:val="70"/>
        </w:numPr>
        <w:rPr>
          <w:rFonts w:ascii="Arial" w:cs="Arial" w:eastAsia="Arial" w:hAnsi="Arial"/>
          <w:sz w:val="20"/>
          <w:szCs w:val="20"/>
          <w:b w:val="1"/>
          <w:bCs w:val="1"/>
          <w:color w:val="auto"/>
        </w:rPr>
      </w:pPr>
      <w:r>
        <w:rPr>
          <w:rFonts w:ascii="Arial" w:cs="Arial" w:eastAsia="Arial" w:hAnsi="Arial"/>
          <w:sz w:val="20"/>
          <w:szCs w:val="20"/>
          <w:color w:val="auto"/>
        </w:rPr>
        <w:t>for purposes of the RSU Award, your Continuous Service will be considered terminated as of the date you are no longer actively providing services to the Company or one of its Affiliates (regardless of the reason for such termination and whether or not later found to be invalid or in breach of employment laws in the jurisdiction where you are employed or otherwise rendering services or</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61595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15" w:right="339" w:bottom="1440" w:gutter="0" w:footer="0" w:header="0"/>
        </w:sectPr>
      </w:pPr>
    </w:p>
    <w:bookmarkStart w:id="110" w:name="page111"/>
    <w:bookmarkEnd w:id="110"/>
    <w:p>
      <w:pPr>
        <w:ind w:left="10140"/>
        <w:spacing w:after="0"/>
        <w:rPr>
          <w:sz w:val="20"/>
          <w:szCs w:val="20"/>
          <w:color w:val="auto"/>
        </w:rPr>
      </w:pPr>
      <w:r>
        <w:rPr>
          <w:rFonts w:ascii="Arial" w:cs="Arial" w:eastAsia="Arial" w:hAnsi="Arial"/>
          <w:sz w:val="18"/>
          <w:szCs w:val="18"/>
          <w:b w:val="1"/>
          <w:bCs w:val="1"/>
          <w:color w:val="auto"/>
        </w:rPr>
        <w:t>Exhibit 10.2</w:t>
      </w:r>
    </w:p>
    <w:p>
      <w:pPr>
        <w:spacing w:after="0" w:line="232" w:lineRule="exact"/>
        <w:rPr>
          <w:sz w:val="20"/>
          <w:szCs w:val="20"/>
          <w:color w:val="auto"/>
        </w:rPr>
      </w:pPr>
    </w:p>
    <w:p>
      <w:pPr>
        <w:jc w:val="both"/>
        <w:ind w:left="60" w:right="120"/>
        <w:spacing w:after="0" w:line="256" w:lineRule="auto"/>
        <w:rPr>
          <w:sz w:val="20"/>
          <w:szCs w:val="20"/>
          <w:color w:val="auto"/>
        </w:rPr>
      </w:pPr>
      <w:r>
        <w:rPr>
          <w:rFonts w:ascii="Arial" w:cs="Arial" w:eastAsia="Arial" w:hAnsi="Arial"/>
          <w:sz w:val="19"/>
          <w:szCs w:val="19"/>
          <w:color w:val="auto"/>
        </w:rPr>
        <w:t>the terms of your employment or other service agreement, if any), and your right to vest in the RSU Award under the Plan, if any, will terminate as of such date; however, unless otherwise determined by the Company, the RSU Award will continue to vest through any statutory notice period or any period of “garden leave” or similar period mandated under employment laws in the jurisdiction where you are employed or otherwise rendering service or the terms of your employment or other service agreement, if any; the Plan Administrator shall have the exclusive discretion to determine when you are no longer actively providing services for purposes of the RSU Award (including whether you may still be considered to be providing services while on a leave of absence);</w:t>
      </w:r>
    </w:p>
    <w:p>
      <w:pPr>
        <w:spacing w:after="0" w:line="181" w:lineRule="exact"/>
        <w:rPr>
          <w:sz w:val="20"/>
          <w:szCs w:val="20"/>
          <w:color w:val="auto"/>
        </w:rPr>
      </w:pPr>
    </w:p>
    <w:p>
      <w:pPr>
        <w:jc w:val="both"/>
        <w:ind w:left="60" w:right="120" w:firstLine="1490"/>
        <w:spacing w:after="0" w:line="241" w:lineRule="auto"/>
        <w:tabs>
          <w:tab w:leader="none" w:pos="2298" w:val="left"/>
        </w:tabs>
        <w:numPr>
          <w:ilvl w:val="1"/>
          <w:numId w:val="71"/>
        </w:numPr>
        <w:rPr>
          <w:rFonts w:ascii="Arial" w:cs="Arial" w:eastAsia="Arial" w:hAnsi="Arial"/>
          <w:sz w:val="20"/>
          <w:szCs w:val="20"/>
          <w:b w:val="1"/>
          <w:bCs w:val="1"/>
          <w:color w:val="auto"/>
        </w:rPr>
      </w:pPr>
      <w:r>
        <w:rPr>
          <w:rFonts w:ascii="Arial" w:cs="Arial" w:eastAsia="Arial" w:hAnsi="Arial"/>
          <w:sz w:val="20"/>
          <w:szCs w:val="20"/>
          <w:color w:val="auto"/>
        </w:rPr>
        <w:t>no claim or entitlement to compensation or damages shall arise from forfeiture of the RSU Award resulting from your termination of Continuous Service (for any reason whatsoever, whether or not later found to be invalid or in breach of employment laws in the jurisdiction where you are employed or otherwise rendering services, or the terms of your employment or other service agreement, if any);</w:t>
      </w:r>
    </w:p>
    <w:p>
      <w:pPr>
        <w:spacing w:after="0" w:line="196" w:lineRule="exact"/>
        <w:rPr>
          <w:rFonts w:ascii="Arial" w:cs="Arial" w:eastAsia="Arial" w:hAnsi="Arial"/>
          <w:sz w:val="20"/>
          <w:szCs w:val="20"/>
          <w:b w:val="1"/>
          <w:bCs w:val="1"/>
          <w:color w:val="auto"/>
        </w:rPr>
      </w:pPr>
    </w:p>
    <w:p>
      <w:pPr>
        <w:ind w:left="60" w:right="120" w:firstLine="1490"/>
        <w:spacing w:after="0" w:line="246" w:lineRule="auto"/>
        <w:tabs>
          <w:tab w:leader="none" w:pos="2298" w:val="left"/>
        </w:tabs>
        <w:numPr>
          <w:ilvl w:val="1"/>
          <w:numId w:val="71"/>
        </w:numPr>
        <w:rPr>
          <w:rFonts w:ascii="Arial" w:cs="Arial" w:eastAsia="Arial" w:hAnsi="Arial"/>
          <w:sz w:val="20"/>
          <w:szCs w:val="20"/>
          <w:b w:val="1"/>
          <w:bCs w:val="1"/>
          <w:color w:val="auto"/>
        </w:rPr>
      </w:pPr>
      <w:r>
        <w:rPr>
          <w:rFonts w:ascii="Arial" w:cs="Arial" w:eastAsia="Arial" w:hAnsi="Arial"/>
          <w:sz w:val="20"/>
          <w:szCs w:val="20"/>
          <w:color w:val="auto"/>
        </w:rPr>
        <w:t>in the event that you are not a direct service provider to the Company, the grant of the RSU Award will not be interpreted to form an employment or other service relationship with the Company;</w:t>
      </w:r>
    </w:p>
    <w:p>
      <w:pPr>
        <w:spacing w:after="0" w:line="190" w:lineRule="exact"/>
        <w:rPr>
          <w:rFonts w:ascii="Arial" w:cs="Arial" w:eastAsia="Arial" w:hAnsi="Arial"/>
          <w:sz w:val="20"/>
          <w:szCs w:val="20"/>
          <w:b w:val="1"/>
          <w:bCs w:val="1"/>
          <w:color w:val="auto"/>
        </w:rPr>
      </w:pPr>
    </w:p>
    <w:p>
      <w:pPr>
        <w:jc w:val="both"/>
        <w:ind w:left="60" w:right="120" w:firstLine="1490"/>
        <w:spacing w:after="0" w:line="250" w:lineRule="auto"/>
        <w:tabs>
          <w:tab w:leader="none" w:pos="2298" w:val="left"/>
        </w:tabs>
        <w:numPr>
          <w:ilvl w:val="1"/>
          <w:numId w:val="71"/>
        </w:numPr>
        <w:rPr>
          <w:rFonts w:ascii="Arial" w:cs="Arial" w:eastAsia="Arial" w:hAnsi="Arial"/>
          <w:sz w:val="20"/>
          <w:szCs w:val="20"/>
          <w:b w:val="1"/>
          <w:bCs w:val="1"/>
          <w:color w:val="auto"/>
        </w:rPr>
      </w:pPr>
      <w:r>
        <w:rPr>
          <w:rFonts w:ascii="Arial" w:cs="Arial" w:eastAsia="Arial" w:hAnsi="Arial"/>
          <w:sz w:val="20"/>
          <w:szCs w:val="20"/>
          <w:color w:val="auto"/>
        </w:rPr>
        <w:t>unless otherwise agreed with the Company in writing, the RSU Award and any shares of Common Stock acquired under the Plan, and the income from and value of same, are not granted as consideration for, or in connection with, any service you may provide as a director of any Affiliate; and</w:t>
      </w:r>
    </w:p>
    <w:p>
      <w:pPr>
        <w:spacing w:after="0" w:line="185" w:lineRule="exact"/>
        <w:rPr>
          <w:rFonts w:ascii="Arial" w:cs="Arial" w:eastAsia="Arial" w:hAnsi="Arial"/>
          <w:sz w:val="20"/>
          <w:szCs w:val="20"/>
          <w:b w:val="1"/>
          <w:bCs w:val="1"/>
          <w:color w:val="auto"/>
        </w:rPr>
      </w:pPr>
    </w:p>
    <w:p>
      <w:pPr>
        <w:jc w:val="both"/>
        <w:ind w:left="60" w:right="120" w:firstLine="1490"/>
        <w:spacing w:after="0" w:line="250" w:lineRule="auto"/>
        <w:tabs>
          <w:tab w:leader="none" w:pos="2298" w:val="left"/>
        </w:tabs>
        <w:numPr>
          <w:ilvl w:val="1"/>
          <w:numId w:val="71"/>
        </w:numPr>
        <w:rPr>
          <w:rFonts w:ascii="Arial" w:cs="Arial" w:eastAsia="Arial" w:hAnsi="Arial"/>
          <w:sz w:val="20"/>
          <w:szCs w:val="20"/>
          <w:b w:val="1"/>
          <w:bCs w:val="1"/>
          <w:color w:val="auto"/>
        </w:rPr>
      </w:pPr>
      <w:r>
        <w:rPr>
          <w:rFonts w:ascii="Arial" w:cs="Arial" w:eastAsia="Arial" w:hAnsi="Arial"/>
          <w:sz w:val="20"/>
          <w:szCs w:val="20"/>
          <w:color w:val="auto"/>
        </w:rPr>
        <w:t>neither the Company, the Service Recipient or any other Affiliate shall be liable for any foreign exchange rate fluctuation between your local currency and the United States Dollar that may affect the value of the RSU Award or any shares of Common Stock acquired upon settlement of the RSU Award.</w:t>
      </w:r>
    </w:p>
    <w:p>
      <w:pPr>
        <w:spacing w:after="0" w:line="179" w:lineRule="exact"/>
        <w:rPr>
          <w:rFonts w:ascii="Arial" w:cs="Arial" w:eastAsia="Arial" w:hAnsi="Arial"/>
          <w:sz w:val="20"/>
          <w:szCs w:val="20"/>
          <w:b w:val="1"/>
          <w:bCs w:val="1"/>
          <w:color w:val="auto"/>
        </w:rPr>
      </w:pPr>
    </w:p>
    <w:p>
      <w:pPr>
        <w:jc w:val="both"/>
        <w:ind w:left="60" w:right="120" w:firstLine="740"/>
        <w:spacing w:after="0" w:line="279" w:lineRule="auto"/>
        <w:tabs>
          <w:tab w:leader="none" w:pos="1548" w:val="left"/>
        </w:tabs>
        <w:numPr>
          <w:ilvl w:val="0"/>
          <w:numId w:val="72"/>
        </w:numPr>
        <w:rPr>
          <w:rFonts w:ascii="Arial" w:cs="Arial" w:eastAsia="Arial" w:hAnsi="Arial"/>
          <w:sz w:val="19"/>
          <w:szCs w:val="19"/>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LECTRONIC</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ELIVERY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ARTICIPATION</w:t>
      </w:r>
      <w:r>
        <w:rPr>
          <w:rFonts w:ascii="Arial" w:cs="Arial" w:eastAsia="Arial" w:hAnsi="Arial"/>
          <w:sz w:val="18"/>
          <w:szCs w:val="18"/>
          <w:color w:val="auto"/>
        </w:rPr>
        <w:t>. The Company may, in its sole discretion, decide to deliver any</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related to current or future participation in the Plan by electronic means or request your consent to participate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58" w:lineRule="exact"/>
        <w:rPr>
          <w:rFonts w:ascii="Arial" w:cs="Arial" w:eastAsia="Arial" w:hAnsi="Arial"/>
          <w:sz w:val="19"/>
          <w:szCs w:val="19"/>
          <w:b w:val="1"/>
          <w:bCs w:val="1"/>
          <w:color w:val="auto"/>
        </w:rPr>
      </w:pPr>
    </w:p>
    <w:p>
      <w:pPr>
        <w:ind w:left="60" w:right="120" w:firstLine="740"/>
        <w:spacing w:after="0" w:line="257" w:lineRule="auto"/>
        <w:tabs>
          <w:tab w:leader="none" w:pos="1548" w:val="left"/>
        </w:tabs>
        <w:numPr>
          <w:ilvl w:val="0"/>
          <w:numId w:val="72"/>
        </w:numPr>
        <w:rPr>
          <w:rFonts w:ascii="Arial" w:cs="Arial" w:eastAsia="Arial" w:hAnsi="Arial"/>
          <w:sz w:val="22"/>
          <w:szCs w:val="22"/>
          <w:b w:val="1"/>
          <w:bCs w:val="1"/>
          <w:color w:val="auto"/>
        </w:rPr>
      </w:pPr>
      <w:r>
        <w:rPr>
          <w:rFonts w:ascii="Arial" w:cs="Arial" w:eastAsia="Arial" w:hAnsi="Arial"/>
          <w:sz w:val="20"/>
          <w:szCs w:val="20"/>
          <w:b w:val="1"/>
          <w:bCs w:val="1"/>
          <w:color w:val="auto"/>
        </w:rPr>
        <w:t>T</w:t>
      </w:r>
      <w:r>
        <w:rPr>
          <w:rFonts w:ascii="Arial" w:cs="Arial" w:eastAsia="Arial" w:hAnsi="Arial"/>
          <w:sz w:val="16"/>
          <w:szCs w:val="16"/>
          <w:b w:val="1"/>
          <w:bCs w:val="1"/>
          <w:color w:val="auto"/>
        </w:rPr>
        <w:t>RANSFERABILITY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provided in the Plan, your RSU Award is not transferable, except by will or</w:t>
      </w:r>
      <w:r>
        <w:rPr>
          <w:rFonts w:ascii="Arial" w:cs="Arial" w:eastAsia="Arial" w:hAnsi="Arial"/>
          <w:sz w:val="20"/>
          <w:szCs w:val="20"/>
          <w:b w:val="1"/>
          <w:bCs w:val="1"/>
          <w:color w:val="auto"/>
        </w:rPr>
        <w:t xml:space="preserve"> </w:t>
      </w:r>
      <w:r>
        <w:rPr>
          <w:rFonts w:ascii="Arial" w:cs="Arial" w:eastAsia="Arial" w:hAnsi="Arial"/>
          <w:sz w:val="20"/>
          <w:szCs w:val="20"/>
          <w:color w:val="auto"/>
        </w:rPr>
        <w:t>by the applicable laws of descent and distribution.</w:t>
      </w:r>
    </w:p>
    <w:p>
      <w:pPr>
        <w:spacing w:after="0" w:line="238" w:lineRule="exact"/>
        <w:rPr>
          <w:rFonts w:ascii="Arial" w:cs="Arial" w:eastAsia="Arial" w:hAnsi="Arial"/>
          <w:sz w:val="22"/>
          <w:szCs w:val="22"/>
          <w:b w:val="1"/>
          <w:bCs w:val="1"/>
          <w:color w:val="auto"/>
        </w:rPr>
      </w:pPr>
    </w:p>
    <w:p>
      <w:pPr>
        <w:jc w:val="both"/>
        <w:ind w:left="60" w:right="120" w:firstLine="739"/>
        <w:spacing w:after="0" w:line="252" w:lineRule="auto"/>
        <w:tabs>
          <w:tab w:leader="none" w:pos="1548" w:val="left"/>
        </w:tabs>
        <w:numPr>
          <w:ilvl w:val="0"/>
          <w:numId w:val="72"/>
        </w:numPr>
        <w:rPr>
          <w:rFonts w:ascii="Arial" w:cs="Arial" w:eastAsia="Arial" w:hAnsi="Arial"/>
          <w:sz w:val="21"/>
          <w:szCs w:val="21"/>
          <w:b w:val="1"/>
          <w:bCs w:val="1"/>
          <w:color w:val="auto"/>
        </w:rPr>
      </w:pPr>
      <w:r>
        <w:rPr>
          <w:rFonts w:ascii="Arial" w:cs="Arial" w:eastAsia="Arial" w:hAnsi="Arial"/>
          <w:sz w:val="19"/>
          <w:szCs w:val="19"/>
          <w:b w:val="1"/>
          <w:bCs w:val="1"/>
          <w:color w:val="auto"/>
        </w:rPr>
        <w:t>C</w:t>
      </w:r>
      <w:r>
        <w:rPr>
          <w:rFonts w:ascii="Arial" w:cs="Arial" w:eastAsia="Arial" w:hAnsi="Arial"/>
          <w:sz w:val="15"/>
          <w:szCs w:val="15"/>
          <w:b w:val="1"/>
          <w:bCs w:val="1"/>
          <w:color w:val="auto"/>
        </w:rPr>
        <w:t>ORPORATE</w:t>
      </w:r>
      <w:r>
        <w:rPr>
          <w:rFonts w:ascii="Arial" w:cs="Arial" w:eastAsia="Arial" w:hAnsi="Arial"/>
          <w:sz w:val="19"/>
          <w:szCs w:val="19"/>
          <w:b w:val="1"/>
          <w:bCs w:val="1"/>
          <w:color w:val="auto"/>
        </w:rPr>
        <w:t xml:space="preserve"> T</w:t>
      </w:r>
      <w:r>
        <w:rPr>
          <w:rFonts w:ascii="Arial" w:cs="Arial" w:eastAsia="Arial" w:hAnsi="Arial"/>
          <w:sz w:val="15"/>
          <w:szCs w:val="15"/>
          <w:b w:val="1"/>
          <w:bCs w:val="1"/>
          <w:color w:val="auto"/>
        </w:rPr>
        <w:t>RANSACTION</w:t>
      </w:r>
      <w:r>
        <w:rPr>
          <w:rFonts w:ascii="Arial" w:cs="Arial" w:eastAsia="Arial" w:hAnsi="Arial"/>
          <w:sz w:val="19"/>
          <w:szCs w:val="19"/>
          <w:b w:val="1"/>
          <w:bCs w:val="1"/>
          <w:color w:val="auto"/>
        </w:rPr>
        <w:t xml:space="preserve">. </w:t>
      </w:r>
      <w:r>
        <w:rPr>
          <w:rFonts w:ascii="Arial" w:cs="Arial" w:eastAsia="Arial" w:hAnsi="Arial"/>
          <w:sz w:val="19"/>
          <w:szCs w:val="19"/>
          <w:color w:val="auto"/>
        </w:rPr>
        <w:t>Your RSU Award is subject to the terms of any agreement governing a Corporate</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involving the Company, including, without limitation, a provision for the appointment of a stockholder representative that is authorized to act on your behalf with respect to any escrow, indemnities and any contingent consideration.</w:t>
      </w:r>
    </w:p>
    <w:p>
      <w:pPr>
        <w:spacing w:after="0" w:line="178" w:lineRule="exact"/>
        <w:rPr>
          <w:rFonts w:ascii="Arial" w:cs="Arial" w:eastAsia="Arial" w:hAnsi="Arial"/>
          <w:sz w:val="21"/>
          <w:szCs w:val="21"/>
          <w:b w:val="1"/>
          <w:bCs w:val="1"/>
          <w:color w:val="auto"/>
        </w:rPr>
      </w:pPr>
    </w:p>
    <w:p>
      <w:pPr>
        <w:jc w:val="both"/>
        <w:ind w:left="60" w:right="120" w:firstLine="740"/>
        <w:spacing w:after="0" w:line="243" w:lineRule="auto"/>
        <w:tabs>
          <w:tab w:leader="none" w:pos="1549" w:val="left"/>
        </w:tabs>
        <w:numPr>
          <w:ilvl w:val="0"/>
          <w:numId w:val="72"/>
        </w:numPr>
        <w:rPr>
          <w:rFonts w:ascii="Arial" w:cs="Arial" w:eastAsia="Arial" w:hAnsi="Arial"/>
          <w:sz w:val="22"/>
          <w:szCs w:val="22"/>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iability</w:t>
      </w:r>
      <w:r>
        <w:rPr>
          <w:rFonts w:ascii="Arial" w:cs="Arial" w:eastAsia="Arial" w:hAnsi="Arial"/>
          <w:sz w:val="20"/>
          <w:szCs w:val="20"/>
          <w:b w:val="1"/>
          <w:bCs w:val="1"/>
          <w:color w:val="auto"/>
        </w:rPr>
        <w:t xml:space="preserve"> F</w:t>
      </w:r>
      <w:r>
        <w:rPr>
          <w:rFonts w:ascii="Arial" w:cs="Arial" w:eastAsia="Arial" w:hAnsi="Arial"/>
          <w:sz w:val="13"/>
          <w:szCs w:val="13"/>
          <w:b w:val="1"/>
          <w:bCs w:val="1"/>
          <w:color w:val="auto"/>
        </w:rPr>
        <w:t>or</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axes</w:t>
      </w:r>
      <w:r>
        <w:rPr>
          <w:rFonts w:ascii="Arial" w:cs="Arial" w:eastAsia="Arial" w:hAnsi="Arial"/>
          <w:sz w:val="20"/>
          <w:szCs w:val="20"/>
          <w:color w:val="auto"/>
        </w:rPr>
        <w:t>. As a condition to accepting the RSU Award, you hereby (a) agree to not make any claim</w:t>
      </w:r>
      <w:r>
        <w:rPr>
          <w:rFonts w:ascii="Arial" w:cs="Arial" w:eastAsia="Arial" w:hAnsi="Arial"/>
          <w:sz w:val="20"/>
          <w:szCs w:val="20"/>
          <w:b w:val="1"/>
          <w:bCs w:val="1"/>
          <w:color w:val="auto"/>
        </w:rPr>
        <w:t xml:space="preserve"> </w:t>
      </w:r>
      <w:r>
        <w:rPr>
          <w:rFonts w:ascii="Arial" w:cs="Arial" w:eastAsia="Arial" w:hAnsi="Arial"/>
          <w:sz w:val="20"/>
          <w:szCs w:val="20"/>
          <w:color w:val="auto"/>
        </w:rPr>
        <w:t>against the Company, or any of its Officers, Directors, Employees or Affiliates related to any liabilities for Tax-Related Items arising from the RSU Award or the shares of Common Stock subject to the RSU Award and (b) acknowledge that you were advised to consult with your own personal tax, financial and other legal advisors regarding the tax consequences of the RSU Award and have either done so or knowingly and voluntarily declined to do so.</w:t>
      </w:r>
    </w:p>
    <w:p>
      <w:pPr>
        <w:spacing w:after="0" w:line="189" w:lineRule="exact"/>
        <w:rPr>
          <w:rFonts w:ascii="Arial" w:cs="Arial" w:eastAsia="Arial" w:hAnsi="Arial"/>
          <w:sz w:val="22"/>
          <w:szCs w:val="22"/>
          <w:b w:val="1"/>
          <w:bCs w:val="1"/>
          <w:color w:val="auto"/>
        </w:rPr>
      </w:pPr>
    </w:p>
    <w:p>
      <w:pPr>
        <w:jc w:val="both"/>
        <w:ind w:left="60" w:right="120" w:firstLine="740"/>
        <w:spacing w:after="0"/>
        <w:tabs>
          <w:tab w:leader="none" w:pos="1550" w:val="left"/>
        </w:tabs>
        <w:numPr>
          <w:ilvl w:val="0"/>
          <w:numId w:val="72"/>
        </w:numPr>
        <w:rPr>
          <w:rFonts w:ascii="Arial" w:cs="Arial" w:eastAsia="Arial" w:hAnsi="Arial"/>
          <w:sz w:val="22"/>
          <w:szCs w:val="22"/>
          <w:b w:val="1"/>
          <w:bCs w:val="1"/>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EVERABILITY</w:t>
      </w:r>
      <w:r>
        <w:rPr>
          <w:rFonts w:ascii="Arial" w:cs="Arial" w:eastAsia="Arial" w:hAnsi="Arial"/>
          <w:sz w:val="20"/>
          <w:szCs w:val="20"/>
          <w:color w:val="auto"/>
        </w:rPr>
        <w:t>. If any part of this Agreement or the Plan is declared by any court or governmental authority to be</w:t>
      </w:r>
      <w:r>
        <w:rPr>
          <w:rFonts w:ascii="Arial" w:cs="Arial" w:eastAsia="Arial" w:hAnsi="Arial"/>
          <w:sz w:val="20"/>
          <w:szCs w:val="20"/>
          <w:b w:val="1"/>
          <w:bCs w:val="1"/>
          <w:color w:val="auto"/>
        </w:rPr>
        <w:t xml:space="preserve"> </w:t>
      </w:r>
      <w:r>
        <w:rPr>
          <w:rFonts w:ascii="Arial" w:cs="Arial" w:eastAsia="Arial" w:hAnsi="Arial"/>
          <w:sz w:val="20"/>
          <w:szCs w:val="20"/>
          <w:color w:val="auto"/>
        </w:rPr>
        <w:t>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61595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15"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9"/>
          <w:szCs w:val="19"/>
          <w:color w:val="auto"/>
        </w:rPr>
        <w:t>which will give effect to the terms of such Section or part of a Section to the fullest extent possible while remaining lawful and valid.</w:t>
      </w:r>
    </w:p>
    <w:p>
      <w:pPr>
        <w:spacing w:after="0" w:line="235" w:lineRule="exact"/>
        <w:rPr>
          <w:sz w:val="20"/>
          <w:szCs w:val="20"/>
          <w:color w:val="auto"/>
        </w:rPr>
      </w:pPr>
    </w:p>
    <w:p>
      <w:pPr>
        <w:ind w:left="60" w:right="120" w:firstLine="740"/>
        <w:spacing w:after="0" w:line="268" w:lineRule="auto"/>
        <w:tabs>
          <w:tab w:leader="none" w:pos="1547" w:val="left"/>
        </w:tabs>
        <w:numPr>
          <w:ilvl w:val="1"/>
          <w:numId w:val="73"/>
        </w:numPr>
        <w:rPr>
          <w:rFonts w:ascii="Arial" w:cs="Arial" w:eastAsia="Arial" w:hAnsi="Arial"/>
          <w:sz w:val="21"/>
          <w:szCs w:val="21"/>
          <w:b w:val="1"/>
          <w:bCs w:val="1"/>
          <w:color w:val="auto"/>
        </w:rPr>
      </w:pPr>
      <w:r>
        <w:rPr>
          <w:rFonts w:ascii="Arial" w:cs="Arial" w:eastAsia="Arial" w:hAnsi="Arial"/>
          <w:sz w:val="19"/>
          <w:szCs w:val="19"/>
          <w:b w:val="1"/>
          <w:bCs w:val="1"/>
          <w:color w:val="auto"/>
        </w:rPr>
        <w:t>W</w:t>
      </w:r>
      <w:r>
        <w:rPr>
          <w:rFonts w:ascii="Arial" w:cs="Arial" w:eastAsia="Arial" w:hAnsi="Arial"/>
          <w:sz w:val="15"/>
          <w:szCs w:val="15"/>
          <w:b w:val="1"/>
          <w:bCs w:val="1"/>
          <w:color w:val="auto"/>
        </w:rPr>
        <w:t>AIVER</w:t>
      </w:r>
      <w:r>
        <w:rPr>
          <w:rFonts w:ascii="Arial" w:cs="Arial" w:eastAsia="Arial" w:hAnsi="Arial"/>
          <w:sz w:val="19"/>
          <w:szCs w:val="19"/>
          <w:b w:val="1"/>
          <w:bCs w:val="1"/>
          <w:color w:val="auto"/>
        </w:rPr>
        <w:t xml:space="preserve">. </w:t>
      </w:r>
      <w:r>
        <w:rPr>
          <w:rFonts w:ascii="Arial" w:cs="Arial" w:eastAsia="Arial" w:hAnsi="Arial"/>
          <w:sz w:val="19"/>
          <w:szCs w:val="19"/>
          <w:color w:val="auto"/>
        </w:rPr>
        <w:t>You acknowledge that a waiver by the Company of a breach of any provision of this Agreement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operate or be construed as a waiver of any other provision of this Agreement, or of any subsequent breach of this Agreement.</w:t>
      </w:r>
    </w:p>
    <w:p>
      <w:pPr>
        <w:spacing w:after="0" w:line="174" w:lineRule="exact"/>
        <w:rPr>
          <w:rFonts w:ascii="Arial" w:cs="Arial" w:eastAsia="Arial" w:hAnsi="Arial"/>
          <w:sz w:val="21"/>
          <w:szCs w:val="21"/>
          <w:b w:val="1"/>
          <w:bCs w:val="1"/>
          <w:color w:val="auto"/>
        </w:rPr>
      </w:pPr>
    </w:p>
    <w:p>
      <w:pPr>
        <w:jc w:val="both"/>
        <w:ind w:left="60" w:right="120" w:firstLine="740"/>
        <w:spacing w:after="0" w:line="241" w:lineRule="auto"/>
        <w:tabs>
          <w:tab w:leader="none" w:pos="1548" w:val="left"/>
        </w:tabs>
        <w:numPr>
          <w:ilvl w:val="1"/>
          <w:numId w:val="73"/>
        </w:numPr>
        <w:rPr>
          <w:rFonts w:ascii="Arial" w:cs="Arial" w:eastAsia="Arial" w:hAnsi="Arial"/>
          <w:sz w:val="22"/>
          <w:szCs w:val="22"/>
          <w:b w:val="1"/>
          <w:bCs w:val="1"/>
          <w:color w:val="auto"/>
        </w:rPr>
      </w:pPr>
      <w:r>
        <w:rPr>
          <w:rFonts w:ascii="Arial" w:cs="Arial" w:eastAsia="Arial" w:hAnsi="Arial"/>
          <w:sz w:val="20"/>
          <w:szCs w:val="20"/>
          <w:b w:val="1"/>
          <w:bCs w:val="1"/>
          <w:color w:val="auto"/>
        </w:rPr>
        <w:t>N</w:t>
      </w:r>
      <w:r>
        <w:rPr>
          <w:rFonts w:ascii="Arial" w:cs="Arial" w:eastAsia="Arial" w:hAnsi="Arial"/>
          <w:sz w:val="16"/>
          <w:szCs w:val="16"/>
          <w:b w:val="1"/>
          <w:bCs w:val="1"/>
          <w:color w:val="auto"/>
        </w:rPr>
        <w:t>O</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DVICE</w:t>
      </w:r>
      <w:r>
        <w:rPr>
          <w:rFonts w:ascii="Arial" w:cs="Arial" w:eastAsia="Arial" w:hAnsi="Arial"/>
          <w:sz w:val="20"/>
          <w:szCs w:val="20"/>
          <w:b w:val="1"/>
          <w:bCs w:val="1"/>
          <w:color w:val="auto"/>
        </w:rPr>
        <w:t xml:space="preserve"> R</w:t>
      </w:r>
      <w:r>
        <w:rPr>
          <w:rFonts w:ascii="Arial" w:cs="Arial" w:eastAsia="Arial" w:hAnsi="Arial"/>
          <w:sz w:val="16"/>
          <w:szCs w:val="16"/>
          <w:b w:val="1"/>
          <w:bCs w:val="1"/>
          <w:color w:val="auto"/>
        </w:rPr>
        <w:t>EGARDING</w:t>
      </w:r>
      <w:r>
        <w:rPr>
          <w:rFonts w:ascii="Arial" w:cs="Arial" w:eastAsia="Arial" w:hAnsi="Arial"/>
          <w:sz w:val="20"/>
          <w:szCs w:val="20"/>
          <w:b w:val="1"/>
          <w:bCs w:val="1"/>
          <w:color w:val="auto"/>
        </w:rPr>
        <w:t xml:space="preserve"> G</w:t>
      </w:r>
      <w:r>
        <w:rPr>
          <w:rFonts w:ascii="Arial" w:cs="Arial" w:eastAsia="Arial" w:hAnsi="Arial"/>
          <w:sz w:val="16"/>
          <w:szCs w:val="16"/>
          <w:b w:val="1"/>
          <w:bCs w:val="1"/>
          <w:color w:val="auto"/>
        </w:rPr>
        <w:t>RANT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is not providing any tax, legal or financial advice, nor is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making any recommendations regarding your participation in the Plan, or your acquisition or sale of the underlying shares of Common Stock.</w:t>
      </w:r>
    </w:p>
    <w:p>
      <w:pPr>
        <w:spacing w:after="0" w:line="202" w:lineRule="exact"/>
        <w:rPr>
          <w:rFonts w:ascii="Arial" w:cs="Arial" w:eastAsia="Arial" w:hAnsi="Arial"/>
          <w:sz w:val="22"/>
          <w:szCs w:val="22"/>
          <w:b w:val="1"/>
          <w:bCs w:val="1"/>
          <w:color w:val="auto"/>
        </w:rPr>
      </w:pPr>
    </w:p>
    <w:p>
      <w:pPr>
        <w:ind w:left="1560" w:hanging="759"/>
        <w:spacing w:after="0"/>
        <w:tabs>
          <w:tab w:leader="none" w:pos="1560" w:val="left"/>
        </w:tabs>
        <w:numPr>
          <w:ilvl w:val="1"/>
          <w:numId w:val="73"/>
        </w:numPr>
        <w:rPr>
          <w:rFonts w:ascii="Arial" w:cs="Arial" w:eastAsia="Arial" w:hAnsi="Arial"/>
          <w:sz w:val="22"/>
          <w:szCs w:val="22"/>
          <w:b w:val="1"/>
          <w:bCs w:val="1"/>
          <w:color w:val="auto"/>
        </w:rPr>
      </w:pPr>
      <w:r>
        <w:rPr>
          <w:rFonts w:ascii="Arial" w:cs="Arial" w:eastAsia="Arial" w:hAnsi="Arial"/>
          <w:sz w:val="20"/>
          <w:szCs w:val="20"/>
          <w:b w:val="1"/>
          <w:bCs w:val="1"/>
          <w:color w:val="auto"/>
        </w:rPr>
        <w:t>D</w:t>
      </w:r>
      <w:r>
        <w:rPr>
          <w:rFonts w:ascii="Arial" w:cs="Arial" w:eastAsia="Arial" w:hAnsi="Arial"/>
          <w:sz w:val="16"/>
          <w:szCs w:val="16"/>
          <w:b w:val="1"/>
          <w:bCs w:val="1"/>
          <w:color w:val="auto"/>
        </w:rPr>
        <w:t>ATA</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RIVACY</w:t>
      </w:r>
      <w:r>
        <w:rPr>
          <w:rFonts w:ascii="Arial" w:cs="Arial" w:eastAsia="Arial" w:hAnsi="Arial"/>
          <w:sz w:val="20"/>
          <w:szCs w:val="20"/>
          <w:b w:val="1"/>
          <w:bCs w:val="1"/>
          <w:color w:val="auto"/>
        </w:rPr>
        <w:t xml:space="preserve"> N</w:t>
      </w:r>
      <w:r>
        <w:rPr>
          <w:rFonts w:ascii="Arial" w:cs="Arial" w:eastAsia="Arial" w:hAnsi="Arial"/>
          <w:sz w:val="16"/>
          <w:szCs w:val="16"/>
          <w:b w:val="1"/>
          <w:bCs w:val="1"/>
          <w:color w:val="auto"/>
        </w:rPr>
        <w:t>OTICE AND</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ONSENT</w:t>
      </w:r>
      <w:r>
        <w:rPr>
          <w:rFonts w:ascii="Arial" w:cs="Arial" w:eastAsia="Arial" w:hAnsi="Arial"/>
          <w:sz w:val="20"/>
          <w:szCs w:val="20"/>
          <w:b w:val="1"/>
          <w:bCs w:val="1"/>
          <w:color w:val="auto"/>
        </w:rPr>
        <w:t>.</w:t>
      </w:r>
    </w:p>
    <w:p>
      <w:pPr>
        <w:spacing w:after="0" w:line="192" w:lineRule="exact"/>
        <w:rPr>
          <w:rFonts w:ascii="Arial" w:cs="Arial" w:eastAsia="Arial" w:hAnsi="Arial"/>
          <w:sz w:val="22"/>
          <w:szCs w:val="22"/>
          <w:b w:val="1"/>
          <w:bCs w:val="1"/>
          <w:color w:val="auto"/>
        </w:rPr>
      </w:pPr>
    </w:p>
    <w:p>
      <w:pPr>
        <w:jc w:val="both"/>
        <w:ind w:left="60" w:right="120" w:firstLine="1489"/>
        <w:spacing w:after="0" w:line="314" w:lineRule="auto"/>
        <w:tabs>
          <w:tab w:leader="none" w:pos="2298" w:val="left"/>
        </w:tabs>
        <w:numPr>
          <w:ilvl w:val="2"/>
          <w:numId w:val="7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Data Collection and Usage</w:t>
      </w:r>
      <w:r>
        <w:rPr>
          <w:rFonts w:ascii="Arial" w:cs="Arial" w:eastAsia="Arial" w:hAnsi="Arial"/>
          <w:sz w:val="16"/>
          <w:szCs w:val="16"/>
          <w:b w:val="1"/>
          <w:bCs w:val="1"/>
          <w:color w:val="auto"/>
        </w:rPr>
        <w:t>. The Company and the Service Recipient collect, process and use certain personal information about you, including, but not limited to, your name, home address, email address and telephone number, date of birth, social insurance number, passport or other identification number, salary, nationality, job title, any shares of Common Stock or directorships held in the Company, details of all Restricted Stock Units or any other entitlement to shares of Common Stock awarded, canceled, exercised, vested, unvested or outstanding in your favor (“Data”), for the purposes of implementing, administering and managing the Plan. The legal basis, where required, for the processing of Data is your consent.</w:t>
      </w:r>
    </w:p>
    <w:p>
      <w:pPr>
        <w:spacing w:after="0" w:line="189" w:lineRule="exact"/>
        <w:rPr>
          <w:rFonts w:ascii="Arial" w:cs="Arial" w:eastAsia="Arial" w:hAnsi="Arial"/>
          <w:sz w:val="16"/>
          <w:szCs w:val="16"/>
          <w:b w:val="1"/>
          <w:bCs w:val="1"/>
          <w:color w:val="auto"/>
        </w:rPr>
      </w:pPr>
    </w:p>
    <w:p>
      <w:pPr>
        <w:jc w:val="both"/>
        <w:ind w:left="60" w:right="120" w:firstLine="1489"/>
        <w:spacing w:after="0" w:line="310" w:lineRule="auto"/>
        <w:tabs>
          <w:tab w:leader="none" w:pos="2298" w:val="left"/>
        </w:tabs>
        <w:numPr>
          <w:ilvl w:val="2"/>
          <w:numId w:val="7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Stock Plan Administration Service Providers</w:t>
      </w:r>
      <w:r>
        <w:rPr>
          <w:rFonts w:ascii="Arial" w:cs="Arial" w:eastAsia="Arial" w:hAnsi="Arial"/>
          <w:sz w:val="16"/>
          <w:szCs w:val="16"/>
          <w:b w:val="1"/>
          <w:bCs w:val="1"/>
          <w:color w:val="auto"/>
        </w:rPr>
        <w:t>. The Company transfers Data to E*TRADE Financial Corporate Services, Inc. and certain of its affiliated companies (the “</w:t>
      </w:r>
      <w:r>
        <w:rPr>
          <w:rFonts w:ascii="Arial" w:cs="Arial" w:eastAsia="Arial" w:hAnsi="Arial"/>
          <w:sz w:val="16"/>
          <w:szCs w:val="16"/>
          <w:b w:val="1"/>
          <w:bCs w:val="1"/>
          <w:i w:val="1"/>
          <w:iCs w:val="1"/>
          <w:color w:val="auto"/>
        </w:rPr>
        <w:t>Designated Broker</w:t>
      </w:r>
      <w:r>
        <w:rPr>
          <w:rFonts w:ascii="Arial" w:cs="Arial" w:eastAsia="Arial" w:hAnsi="Arial"/>
          <w:sz w:val="16"/>
          <w:szCs w:val="16"/>
          <w:b w:val="1"/>
          <w:bCs w:val="1"/>
          <w:color w:val="auto"/>
        </w:rPr>
        <w:t>”), an independent service provider based in the United States, which is assisting the Company with the implementation, administration and management of the Plan. The Company may select a different service provider or additional service providers and share Data with such other provider serving in a similar manner. You may be asked to agree on separate terms and data processing practices with the Designated Broker or other service providers, with such agreement being a condition to the ability to participate in the Plan. The Company and the Designated Broker are based in the United States. Your country or jurisdiction may have different data privacy laws and protections than the United States. The Company’s legal basis, where required, for the transfer of Data is your consent.</w:t>
      </w:r>
    </w:p>
    <w:p>
      <w:pPr>
        <w:spacing w:after="0" w:line="137" w:lineRule="exact"/>
        <w:rPr>
          <w:rFonts w:ascii="Arial" w:cs="Arial" w:eastAsia="Arial" w:hAnsi="Arial"/>
          <w:sz w:val="16"/>
          <w:szCs w:val="16"/>
          <w:b w:val="1"/>
          <w:bCs w:val="1"/>
          <w:color w:val="auto"/>
        </w:rPr>
      </w:pPr>
    </w:p>
    <w:p>
      <w:pPr>
        <w:jc w:val="both"/>
        <w:ind w:left="60" w:right="120" w:firstLine="1490"/>
        <w:spacing w:after="0" w:line="294" w:lineRule="auto"/>
        <w:tabs>
          <w:tab w:leader="none" w:pos="2298" w:val="left"/>
        </w:tabs>
        <w:numPr>
          <w:ilvl w:val="2"/>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Retention</w:t>
      </w:r>
      <w:r>
        <w:rPr>
          <w:rFonts w:ascii="Arial" w:cs="Arial" w:eastAsia="Arial" w:hAnsi="Arial"/>
          <w:sz w:val="18"/>
          <w:szCs w:val="18"/>
          <w:b w:val="1"/>
          <w:bCs w:val="1"/>
          <w:color w:val="auto"/>
        </w:rPr>
        <w:t>. The Company will hold and use the Data only as long as is necessary to implement, administer and manage your participation in the Plan, or as required to comply with legal or regulatory obligations, including under tax, exchange control, labor and securities laws. This period may extend beyond your period of Continuous Service.</w:t>
      </w:r>
    </w:p>
    <w:p>
      <w:pPr>
        <w:spacing w:after="0" w:line="130" w:lineRule="exact"/>
        <w:rPr>
          <w:rFonts w:ascii="Arial" w:cs="Arial" w:eastAsia="Arial" w:hAnsi="Arial"/>
          <w:sz w:val="18"/>
          <w:szCs w:val="18"/>
          <w:b w:val="1"/>
          <w:bCs w:val="1"/>
          <w:color w:val="auto"/>
        </w:rPr>
      </w:pPr>
    </w:p>
    <w:p>
      <w:pPr>
        <w:jc w:val="both"/>
        <w:ind w:left="60" w:right="120" w:firstLine="1490"/>
        <w:spacing w:after="0" w:line="246" w:lineRule="auto"/>
        <w:tabs>
          <w:tab w:leader="none" w:pos="2298" w:val="left"/>
        </w:tabs>
        <w:numPr>
          <w:ilvl w:val="2"/>
          <w:numId w:val="7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Voluntariness and Consequences of Consent Denial or Withdrawal</w:t>
      </w:r>
      <w:r>
        <w:rPr>
          <w:rFonts w:ascii="Arial" w:cs="Arial" w:eastAsia="Arial" w:hAnsi="Arial"/>
          <w:sz w:val="20"/>
          <w:szCs w:val="20"/>
          <w:b w:val="1"/>
          <w:bCs w:val="1"/>
          <w:color w:val="auto"/>
        </w:rPr>
        <w:t>. Participation in the Plan is voluntary and you are providing the consents herein on a purely voluntary basis. If you do not consent, or if you later seek to revoke your consent, your salary from or employment or other service with the Service Recipient will not be affected; the only consequence of refusing or withdrawing your consent is that the Company would not be able to grant Restricted Stock Units or other equity awards to you or administer or maintain such awards.</w:t>
      </w:r>
    </w:p>
    <w:p>
      <w:pPr>
        <w:spacing w:after="0" w:line="171" w:lineRule="exact"/>
        <w:rPr>
          <w:rFonts w:ascii="Arial" w:cs="Arial" w:eastAsia="Arial" w:hAnsi="Arial"/>
          <w:sz w:val="20"/>
          <w:szCs w:val="20"/>
          <w:b w:val="1"/>
          <w:bCs w:val="1"/>
          <w:color w:val="auto"/>
        </w:rPr>
      </w:pPr>
    </w:p>
    <w:p>
      <w:pPr>
        <w:jc w:val="both"/>
        <w:ind w:left="60" w:right="120" w:firstLine="1489"/>
        <w:spacing w:after="0" w:line="274" w:lineRule="auto"/>
        <w:tabs>
          <w:tab w:leader="none" w:pos="2298" w:val="left"/>
        </w:tabs>
        <w:numPr>
          <w:ilvl w:val="2"/>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Subject Rights</w:t>
      </w:r>
      <w:r>
        <w:rPr>
          <w:rFonts w:ascii="Arial" w:cs="Arial" w:eastAsia="Arial" w:hAnsi="Arial"/>
          <w:sz w:val="18"/>
          <w:szCs w:val="18"/>
          <w:b w:val="1"/>
          <w:bCs w:val="1"/>
          <w:color w:val="auto"/>
        </w:rPr>
        <w:t>. You may have a number of rights under data privacy laws in your jurisdiction. Depending on where you are based, such rights may include the right to (i) request access or copies of Data the Company processes, (ii) rectification of incorrect Data, (iii) deletion of Data, (iv) restrictions on processing of Data, (v) portability of Data,</w:t>
      </w:r>
    </w:p>
    <w:p>
      <w:pPr>
        <w:spacing w:after="0" w:line="1" w:lineRule="exact"/>
        <w:rPr>
          <w:rFonts w:ascii="Arial" w:cs="Arial" w:eastAsia="Arial" w:hAnsi="Arial"/>
          <w:sz w:val="18"/>
          <w:szCs w:val="18"/>
          <w:b w:val="1"/>
          <w:bCs w:val="1"/>
          <w:color w:val="auto"/>
        </w:rPr>
      </w:pPr>
    </w:p>
    <w:p>
      <w:pPr>
        <w:ind w:left="380" w:hanging="328"/>
        <w:spacing w:after="0"/>
        <w:tabs>
          <w:tab w:leader="none" w:pos="38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lodge complaints with competent authorities in your jurisdiction, and/or (vii) receive a list with the names and</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61595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15" w:right="339" w:bottom="1440" w:gutter="0" w:footer="0" w:header="0"/>
        </w:sectPr>
      </w:pPr>
    </w:p>
    <w:bookmarkStart w:id="112" w:name="page113"/>
    <w:bookmarkEnd w:id="112"/>
    <w:p>
      <w:pPr>
        <w:ind w:left="10140"/>
        <w:spacing w:after="0"/>
        <w:rPr>
          <w:sz w:val="20"/>
          <w:szCs w:val="20"/>
          <w:color w:val="auto"/>
        </w:rPr>
      </w:pPr>
      <w:r>
        <w:rPr>
          <w:rFonts w:ascii="Arial" w:cs="Arial" w:eastAsia="Arial" w:hAnsi="Arial"/>
          <w:sz w:val="18"/>
          <w:szCs w:val="18"/>
          <w:b w:val="1"/>
          <w:bCs w:val="1"/>
          <w:color w:val="auto"/>
        </w:rPr>
        <w:t>Exhibit 10.2</w:t>
      </w:r>
    </w:p>
    <w:p>
      <w:pPr>
        <w:spacing w:after="0" w:line="226" w:lineRule="exact"/>
        <w:rPr>
          <w:sz w:val="20"/>
          <w:szCs w:val="20"/>
          <w:color w:val="auto"/>
        </w:rPr>
      </w:pPr>
    </w:p>
    <w:p>
      <w:pPr>
        <w:ind w:left="60" w:right="120"/>
        <w:spacing w:after="0" w:line="267" w:lineRule="auto"/>
        <w:rPr>
          <w:sz w:val="20"/>
          <w:szCs w:val="20"/>
          <w:color w:val="auto"/>
        </w:rPr>
      </w:pPr>
      <w:r>
        <w:rPr>
          <w:rFonts w:ascii="Arial" w:cs="Arial" w:eastAsia="Arial" w:hAnsi="Arial"/>
          <w:sz w:val="20"/>
          <w:szCs w:val="20"/>
          <w:b w:val="1"/>
          <w:bCs w:val="1"/>
          <w:color w:val="auto"/>
        </w:rPr>
        <w:t>addresses of any potential recipients of Data. To receive clarification regarding these rights or to exercise these rights, you can contact your local human resources representative.</w:t>
      </w:r>
    </w:p>
    <w:p>
      <w:pPr>
        <w:spacing w:after="0" w:line="177" w:lineRule="exact"/>
        <w:rPr>
          <w:sz w:val="20"/>
          <w:szCs w:val="20"/>
          <w:color w:val="auto"/>
        </w:rPr>
      </w:pPr>
    </w:p>
    <w:p>
      <w:pPr>
        <w:jc w:val="both"/>
        <w:ind w:left="60" w:right="120" w:firstLine="740"/>
        <w:spacing w:after="0" w:line="256" w:lineRule="auto"/>
        <w:tabs>
          <w:tab w:leader="none" w:pos="1548" w:val="left"/>
        </w:tabs>
        <w:numPr>
          <w:ilvl w:val="0"/>
          <w:numId w:val="75"/>
        </w:numPr>
        <w:rPr>
          <w:rFonts w:ascii="Arial" w:cs="Arial" w:eastAsia="Arial" w:hAnsi="Arial"/>
          <w:sz w:val="21"/>
          <w:szCs w:val="21"/>
          <w:b w:val="1"/>
          <w:bCs w:val="1"/>
          <w:color w:val="auto"/>
        </w:rPr>
      </w:pPr>
      <w:r>
        <w:rPr>
          <w:rFonts w:ascii="Arial" w:cs="Arial" w:eastAsia="Arial" w:hAnsi="Arial"/>
          <w:sz w:val="19"/>
          <w:szCs w:val="19"/>
          <w:b w:val="1"/>
          <w:bCs w:val="1"/>
          <w:color w:val="auto"/>
        </w:rPr>
        <w:t>L</w:t>
      </w:r>
      <w:r>
        <w:rPr>
          <w:rFonts w:ascii="Arial" w:cs="Arial" w:eastAsia="Arial" w:hAnsi="Arial"/>
          <w:sz w:val="15"/>
          <w:szCs w:val="15"/>
          <w:b w:val="1"/>
          <w:bCs w:val="1"/>
          <w:color w:val="auto"/>
        </w:rPr>
        <w:t>ANGUAGE</w:t>
      </w:r>
      <w:r>
        <w:rPr>
          <w:rFonts w:ascii="Arial" w:cs="Arial" w:eastAsia="Arial" w:hAnsi="Arial"/>
          <w:sz w:val="19"/>
          <w:szCs w:val="19"/>
          <w:b w:val="1"/>
          <w:bCs w:val="1"/>
          <w:color w:val="auto"/>
        </w:rPr>
        <w:t xml:space="preserve">. </w:t>
      </w:r>
      <w:r>
        <w:rPr>
          <w:rFonts w:ascii="Arial" w:cs="Arial" w:eastAsia="Arial" w:hAnsi="Arial"/>
          <w:sz w:val="19"/>
          <w:szCs w:val="19"/>
          <w:color w:val="auto"/>
        </w:rPr>
        <w:t>You acknowledge that you are sufficiently proficient in the English language, or have consulted with an</w:t>
      </w:r>
      <w:r>
        <w:rPr>
          <w:rFonts w:ascii="Arial" w:cs="Arial" w:eastAsia="Arial" w:hAnsi="Arial"/>
          <w:sz w:val="19"/>
          <w:szCs w:val="19"/>
          <w:b w:val="1"/>
          <w:bCs w:val="1"/>
          <w:color w:val="auto"/>
        </w:rPr>
        <w:t xml:space="preserve"> </w:t>
      </w:r>
      <w:r>
        <w:rPr>
          <w:rFonts w:ascii="Arial" w:cs="Arial" w:eastAsia="Arial" w:hAnsi="Arial"/>
          <w:sz w:val="19"/>
          <w:szCs w:val="19"/>
          <w:color w:val="auto"/>
        </w:rPr>
        <w:t>advisor who is sufficiently proficient in English, so as to allow you to understand the terms and conditions of this Agreement. If you have received this Agreement or any other documents related to the Plan translated into a language other than English, and if the meaning of the translated version is different than the English version, the English version will control.</w:t>
      </w:r>
    </w:p>
    <w:p>
      <w:pPr>
        <w:spacing w:after="0" w:line="177" w:lineRule="exact"/>
        <w:rPr>
          <w:rFonts w:ascii="Arial" w:cs="Arial" w:eastAsia="Arial" w:hAnsi="Arial"/>
          <w:sz w:val="21"/>
          <w:szCs w:val="21"/>
          <w:b w:val="1"/>
          <w:bCs w:val="1"/>
          <w:color w:val="auto"/>
        </w:rPr>
      </w:pPr>
    </w:p>
    <w:p>
      <w:pPr>
        <w:jc w:val="both"/>
        <w:ind w:left="60" w:right="120" w:firstLine="740"/>
        <w:spacing w:after="0" w:line="255" w:lineRule="auto"/>
        <w:tabs>
          <w:tab w:leader="none" w:pos="1548" w:val="left"/>
        </w:tabs>
        <w:numPr>
          <w:ilvl w:val="0"/>
          <w:numId w:val="75"/>
        </w:numPr>
        <w:rPr>
          <w:rFonts w:ascii="Arial" w:cs="Arial" w:eastAsia="Arial" w:hAnsi="Arial"/>
          <w:sz w:val="21"/>
          <w:szCs w:val="21"/>
          <w:b w:val="1"/>
          <w:bCs w:val="1"/>
          <w:color w:val="auto"/>
        </w:rPr>
      </w:pPr>
      <w:r>
        <w:rPr>
          <w:rFonts w:ascii="Arial" w:cs="Arial" w:eastAsia="Arial" w:hAnsi="Arial"/>
          <w:sz w:val="19"/>
          <w:szCs w:val="19"/>
          <w:b w:val="1"/>
          <w:bCs w:val="1"/>
          <w:color w:val="auto"/>
        </w:rPr>
        <w:t>G</w:t>
      </w:r>
      <w:r>
        <w:rPr>
          <w:rFonts w:ascii="Arial" w:cs="Arial" w:eastAsia="Arial" w:hAnsi="Arial"/>
          <w:sz w:val="15"/>
          <w:szCs w:val="15"/>
          <w:b w:val="1"/>
          <w:bCs w:val="1"/>
          <w:color w:val="auto"/>
        </w:rPr>
        <w:t>OVERNING</w:t>
      </w:r>
      <w:r>
        <w:rPr>
          <w:rFonts w:ascii="Arial" w:cs="Arial" w:eastAsia="Arial" w:hAnsi="Arial"/>
          <w:sz w:val="19"/>
          <w:szCs w:val="19"/>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9"/>
          <w:szCs w:val="19"/>
          <w:b w:val="1"/>
          <w:bCs w:val="1"/>
          <w:color w:val="auto"/>
        </w:rPr>
        <w:t>/V</w:t>
      </w:r>
      <w:r>
        <w:rPr>
          <w:rFonts w:ascii="Arial" w:cs="Arial" w:eastAsia="Arial" w:hAnsi="Arial"/>
          <w:sz w:val="15"/>
          <w:szCs w:val="15"/>
          <w:b w:val="1"/>
          <w:bCs w:val="1"/>
          <w:color w:val="auto"/>
        </w:rPr>
        <w:t>ENUE</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any controversy arising out of or relating to this Agreement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governed by, and construed in accordance with, the internal laws of the State of Delaware, without regard to conflict of law principles that would result in any application of any law other than the law of the State of Delaware. For purposes of any action, lawsuit or other proceeding brought to enforce this Agreement, relating to it, or arising from it, the parties hereby submit to and consent to the sole and exclusive jurisdiction of the courts of Alameda County, California, or the federal courts for the United States for the Northern District of California, and no other courts where this grant is made and/or to be performed.</w:t>
      </w:r>
    </w:p>
    <w:p>
      <w:pPr>
        <w:spacing w:after="0" w:line="175" w:lineRule="exact"/>
        <w:rPr>
          <w:rFonts w:ascii="Arial" w:cs="Arial" w:eastAsia="Arial" w:hAnsi="Arial"/>
          <w:sz w:val="21"/>
          <w:szCs w:val="21"/>
          <w:b w:val="1"/>
          <w:bCs w:val="1"/>
          <w:color w:val="auto"/>
        </w:rPr>
      </w:pPr>
    </w:p>
    <w:p>
      <w:pPr>
        <w:jc w:val="both"/>
        <w:ind w:left="60" w:right="120" w:firstLine="740"/>
        <w:spacing w:after="0" w:line="268" w:lineRule="auto"/>
        <w:tabs>
          <w:tab w:leader="none" w:pos="1549" w:val="left"/>
        </w:tabs>
        <w:numPr>
          <w:ilvl w:val="0"/>
          <w:numId w:val="75"/>
        </w:numPr>
        <w:rPr>
          <w:rFonts w:ascii="Arial" w:cs="Arial" w:eastAsia="Arial" w:hAnsi="Arial"/>
          <w:sz w:val="19"/>
          <w:szCs w:val="19"/>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NSIDER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RADING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ESTRICTIONS</w:t>
      </w:r>
      <w:r>
        <w:rPr>
          <w:rFonts w:ascii="Arial" w:cs="Arial" w:eastAsia="Arial" w:hAnsi="Arial"/>
          <w:sz w:val="18"/>
          <w:szCs w:val="18"/>
          <w:b w:val="1"/>
          <w:bCs w:val="1"/>
          <w:color w:val="auto"/>
        </w:rPr>
        <w:t xml:space="preserve"> / M</w:t>
      </w:r>
      <w:r>
        <w:rPr>
          <w:rFonts w:ascii="Arial" w:cs="Arial" w:eastAsia="Arial" w:hAnsi="Arial"/>
          <w:sz w:val="14"/>
          <w:szCs w:val="14"/>
          <w:b w:val="1"/>
          <w:bCs w:val="1"/>
          <w:color w:val="auto"/>
        </w:rPr>
        <w:t>ARKET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BUSE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be subject to insider trading restrictions and/or</w:t>
      </w:r>
      <w:r>
        <w:rPr>
          <w:rFonts w:ascii="Arial" w:cs="Arial" w:eastAsia="Arial" w:hAnsi="Arial"/>
          <w:sz w:val="18"/>
          <w:szCs w:val="18"/>
          <w:b w:val="1"/>
          <w:bCs w:val="1"/>
          <w:color w:val="auto"/>
        </w:rPr>
        <w:t xml:space="preserve"> </w:t>
      </w:r>
      <w:r>
        <w:rPr>
          <w:rFonts w:ascii="Arial" w:cs="Arial" w:eastAsia="Arial" w:hAnsi="Arial"/>
          <w:sz w:val="18"/>
          <w:szCs w:val="18"/>
          <w:color w:val="auto"/>
        </w:rPr>
        <w:t>market abuse laws based on the exchange on which the shares of Common Stock are listed and in applicable jurisdictions, including the United States, your country and the Designated Broker’s country, which may affect your ability to accept, acquire, sell or otherwise dispose of shares of Common Stock, rights to shares of Common Stock (</w:t>
      </w:r>
      <w:r>
        <w:rPr>
          <w:rFonts w:ascii="Arial" w:cs="Arial" w:eastAsia="Arial" w:hAnsi="Arial"/>
          <w:sz w:val="18"/>
          <w:szCs w:val="18"/>
          <w:i w:val="1"/>
          <w:iCs w:val="1"/>
          <w:color w:val="auto"/>
        </w:rPr>
        <w:t>i.e.,</w:t>
      </w:r>
      <w:r>
        <w:rPr>
          <w:rFonts w:ascii="Arial" w:cs="Arial" w:eastAsia="Arial" w:hAnsi="Arial"/>
          <w:sz w:val="18"/>
          <w:szCs w:val="18"/>
          <w:color w:val="auto"/>
        </w:rPr>
        <w:t xml:space="preserve"> RSU Awards) or rights linked to the value of the shares of Common Stock under the Plan during such times as you are considered to have “inside information” regarding the Company (as defined by the laws in the applicable jurisdiction(s)). Local insider trading laws and regulations may prohibit the cancellation or amendment of orders you placed before you possessed inside information. Furthermore, you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Trading Policy, or any other applicable insider trading policy then in effect. You acknowledge that you are responsible for complying with any applicable restrictions and are encouraged to speak with your personal legal advisor for further details regarding any applicable insider-trading and/or market-abuse laws in your country.</w:t>
      </w:r>
    </w:p>
    <w:p>
      <w:pPr>
        <w:spacing w:after="0" w:line="183" w:lineRule="exact"/>
        <w:rPr>
          <w:rFonts w:ascii="Arial" w:cs="Arial" w:eastAsia="Arial" w:hAnsi="Arial"/>
          <w:sz w:val="19"/>
          <w:szCs w:val="19"/>
          <w:b w:val="1"/>
          <w:bCs w:val="1"/>
          <w:color w:val="auto"/>
        </w:rPr>
      </w:pPr>
    </w:p>
    <w:p>
      <w:pPr>
        <w:jc w:val="both"/>
        <w:ind w:left="60" w:right="120" w:firstLine="740"/>
        <w:spacing w:after="0" w:line="238" w:lineRule="auto"/>
        <w:tabs>
          <w:tab w:leader="none" w:pos="1548" w:val="left"/>
        </w:tabs>
        <w:numPr>
          <w:ilvl w:val="0"/>
          <w:numId w:val="75"/>
        </w:numPr>
        <w:rPr>
          <w:rFonts w:ascii="Arial" w:cs="Arial" w:eastAsia="Arial" w:hAnsi="Arial"/>
          <w:sz w:val="22"/>
          <w:szCs w:val="22"/>
          <w:b w:val="1"/>
          <w:bCs w:val="1"/>
          <w:color w:val="auto"/>
        </w:rPr>
      </w:pPr>
      <w:r>
        <w:rPr>
          <w:rFonts w:ascii="Arial" w:cs="Arial" w:eastAsia="Arial" w:hAnsi="Arial"/>
          <w:sz w:val="20"/>
          <w:szCs w:val="20"/>
          <w:b w:val="1"/>
          <w:bCs w:val="1"/>
          <w:color w:val="auto"/>
        </w:rPr>
        <w:t>F</w:t>
      </w:r>
      <w:r>
        <w:rPr>
          <w:rFonts w:ascii="Arial" w:cs="Arial" w:eastAsia="Arial" w:hAnsi="Arial"/>
          <w:sz w:val="16"/>
          <w:szCs w:val="16"/>
          <w:b w:val="1"/>
          <w:bCs w:val="1"/>
          <w:color w:val="auto"/>
        </w:rPr>
        <w:t>OREIGN</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SSET</w:t>
      </w:r>
      <w:r>
        <w:rPr>
          <w:rFonts w:ascii="Arial" w:cs="Arial" w:eastAsia="Arial" w:hAnsi="Arial"/>
          <w:sz w:val="20"/>
          <w:szCs w:val="20"/>
          <w:b w:val="1"/>
          <w:bCs w:val="1"/>
          <w:color w:val="auto"/>
        </w:rPr>
        <w:t>/A</w:t>
      </w:r>
      <w:r>
        <w:rPr>
          <w:rFonts w:ascii="Arial" w:cs="Arial" w:eastAsia="Arial" w:hAnsi="Arial"/>
          <w:sz w:val="16"/>
          <w:szCs w:val="16"/>
          <w:b w:val="1"/>
          <w:bCs w:val="1"/>
          <w:color w:val="auto"/>
        </w:rPr>
        <w:t>CCOUNT</w:t>
      </w:r>
      <w:r>
        <w:rPr>
          <w:rFonts w:ascii="Arial" w:cs="Arial" w:eastAsia="Arial" w:hAnsi="Arial"/>
          <w:sz w:val="20"/>
          <w:szCs w:val="20"/>
          <w:b w:val="1"/>
          <w:bCs w:val="1"/>
          <w:color w:val="auto"/>
        </w:rPr>
        <w:t>, E</w:t>
      </w:r>
      <w:r>
        <w:rPr>
          <w:rFonts w:ascii="Arial" w:cs="Arial" w:eastAsia="Arial" w:hAnsi="Arial"/>
          <w:sz w:val="16"/>
          <w:szCs w:val="16"/>
          <w:b w:val="1"/>
          <w:bCs w:val="1"/>
          <w:color w:val="auto"/>
        </w:rPr>
        <w:t>XCHANGE</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ONTROL AND</w:t>
      </w:r>
      <w:r>
        <w:rPr>
          <w:rFonts w:ascii="Arial" w:cs="Arial" w:eastAsia="Arial" w:hAnsi="Arial"/>
          <w:sz w:val="20"/>
          <w:szCs w:val="20"/>
          <w:b w:val="1"/>
          <w:bCs w:val="1"/>
          <w:color w:val="auto"/>
        </w:rPr>
        <w:t xml:space="preserve"> T</w:t>
      </w:r>
      <w:r>
        <w:rPr>
          <w:rFonts w:ascii="Arial" w:cs="Arial" w:eastAsia="Arial" w:hAnsi="Arial"/>
          <w:sz w:val="16"/>
          <w:szCs w:val="16"/>
          <w:b w:val="1"/>
          <w:bCs w:val="1"/>
          <w:color w:val="auto"/>
        </w:rPr>
        <w:t>AX</w:t>
      </w:r>
      <w:r>
        <w:rPr>
          <w:rFonts w:ascii="Arial" w:cs="Arial" w:eastAsia="Arial" w:hAnsi="Arial"/>
          <w:sz w:val="20"/>
          <w:szCs w:val="20"/>
          <w:b w:val="1"/>
          <w:bCs w:val="1"/>
          <w:color w:val="auto"/>
        </w:rPr>
        <w:t xml:space="preserve"> R</w:t>
      </w:r>
      <w:r>
        <w:rPr>
          <w:rFonts w:ascii="Arial" w:cs="Arial" w:eastAsia="Arial" w:hAnsi="Arial"/>
          <w:sz w:val="16"/>
          <w:szCs w:val="16"/>
          <w:b w:val="1"/>
          <w:bCs w:val="1"/>
          <w:color w:val="auto"/>
        </w:rPr>
        <w:t>EPORTING</w:t>
      </w:r>
      <w:r>
        <w:rPr>
          <w:rFonts w:ascii="Arial" w:cs="Arial" w:eastAsia="Arial" w:hAnsi="Arial"/>
          <w:sz w:val="20"/>
          <w:szCs w:val="20"/>
          <w:b w:val="1"/>
          <w:bCs w:val="1"/>
          <w:color w:val="auto"/>
        </w:rPr>
        <w:t xml:space="preserve">. </w:t>
      </w:r>
      <w:r>
        <w:rPr>
          <w:rFonts w:ascii="Arial" w:cs="Arial" w:eastAsia="Arial" w:hAnsi="Arial"/>
          <w:sz w:val="20"/>
          <w:szCs w:val="20"/>
          <w:color w:val="auto"/>
        </w:rPr>
        <w:t>You may be subject to foreign</w:t>
      </w:r>
      <w:r>
        <w:rPr>
          <w:rFonts w:ascii="Arial" w:cs="Arial" w:eastAsia="Arial" w:hAnsi="Arial"/>
          <w:sz w:val="20"/>
          <w:szCs w:val="20"/>
          <w:b w:val="1"/>
          <w:bCs w:val="1"/>
          <w:color w:val="auto"/>
        </w:rPr>
        <w:t xml:space="preserve"> </w:t>
      </w:r>
      <w:r>
        <w:rPr>
          <w:rFonts w:ascii="Arial" w:cs="Arial" w:eastAsia="Arial" w:hAnsi="Arial"/>
          <w:sz w:val="20"/>
          <w:szCs w:val="20"/>
          <w:color w:val="auto"/>
        </w:rPr>
        <w:t>asset/account, exchange control and/or tax reporting requirements as a result of the acquisition, holding and/or transfer of shares of Common Stock or cash (including dividends and the proceeds arising from the sale of shares of Common Stock) derived from your participation in the Plan in, to and/or from a brokerage/bank account or legal entity located outside your country. The Applicable Laws in your country may require that you report such accounts, assets and balances therein, the value thereof and/or the transactions related thereto to the applicable authorities in such country. You may also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are encouraged to consult with your personal legal advisor for any details.</w:t>
      </w:r>
    </w:p>
    <w:p>
      <w:pPr>
        <w:spacing w:after="0" w:line="192" w:lineRule="exact"/>
        <w:rPr>
          <w:rFonts w:ascii="Arial" w:cs="Arial" w:eastAsia="Arial" w:hAnsi="Arial"/>
          <w:sz w:val="22"/>
          <w:szCs w:val="22"/>
          <w:b w:val="1"/>
          <w:bCs w:val="1"/>
          <w:color w:val="auto"/>
        </w:rPr>
      </w:pPr>
    </w:p>
    <w:p>
      <w:pPr>
        <w:jc w:val="both"/>
        <w:ind w:left="60" w:right="120" w:firstLine="740"/>
        <w:spacing w:after="0" w:line="259" w:lineRule="auto"/>
        <w:tabs>
          <w:tab w:leader="none" w:pos="1548" w:val="left"/>
        </w:tabs>
        <w:numPr>
          <w:ilvl w:val="0"/>
          <w:numId w:val="75"/>
        </w:numPr>
        <w:rPr>
          <w:rFonts w:ascii="Arial" w:cs="Arial" w:eastAsia="Arial" w:hAnsi="Arial"/>
          <w:sz w:val="20"/>
          <w:szCs w:val="20"/>
          <w:b w:val="1"/>
          <w:bCs w:val="1"/>
          <w:color w:val="auto"/>
        </w:rPr>
      </w:pPr>
      <w:r>
        <w:rPr>
          <w:rFonts w:ascii="Arial" w:cs="Arial" w:eastAsia="Arial" w:hAnsi="Arial"/>
          <w:sz w:val="19"/>
          <w:szCs w:val="19"/>
          <w:b w:val="1"/>
          <w:bCs w:val="1"/>
          <w:color w:val="auto"/>
        </w:rPr>
        <w:t>C</w:t>
      </w:r>
      <w:r>
        <w:rPr>
          <w:rFonts w:ascii="Arial" w:cs="Arial" w:eastAsia="Arial" w:hAnsi="Arial"/>
          <w:sz w:val="12"/>
          <w:szCs w:val="12"/>
          <w:b w:val="1"/>
          <w:bCs w:val="1"/>
          <w:color w:val="auto"/>
        </w:rPr>
        <w:t>ompliance</w:t>
      </w:r>
      <w:r>
        <w:rPr>
          <w:rFonts w:ascii="Arial" w:cs="Arial" w:eastAsia="Arial" w:hAnsi="Arial"/>
          <w:sz w:val="19"/>
          <w:szCs w:val="19"/>
          <w:b w:val="1"/>
          <w:bCs w:val="1"/>
          <w:color w:val="auto"/>
        </w:rPr>
        <w:t xml:space="preserve"> W</w:t>
      </w:r>
      <w:r>
        <w:rPr>
          <w:rFonts w:ascii="Arial" w:cs="Arial" w:eastAsia="Arial" w:hAnsi="Arial"/>
          <w:sz w:val="12"/>
          <w:szCs w:val="12"/>
          <w:b w:val="1"/>
          <w:bCs w:val="1"/>
          <w:color w:val="auto"/>
        </w:rPr>
        <w:t>ith</w:t>
      </w:r>
      <w:r>
        <w:rPr>
          <w:rFonts w:ascii="Arial" w:cs="Arial" w:eastAsia="Arial" w:hAnsi="Arial"/>
          <w:sz w:val="19"/>
          <w:szCs w:val="19"/>
          <w:b w:val="1"/>
          <w:bCs w:val="1"/>
          <w:color w:val="auto"/>
        </w:rPr>
        <w:t xml:space="preserve"> L</w:t>
      </w:r>
      <w:r>
        <w:rPr>
          <w:rFonts w:ascii="Arial" w:cs="Arial" w:eastAsia="Arial" w:hAnsi="Arial"/>
          <w:sz w:val="12"/>
          <w:szCs w:val="12"/>
          <w:b w:val="1"/>
          <w:bCs w:val="1"/>
          <w:color w:val="auto"/>
        </w:rPr>
        <w:t>aw</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other provision of the Plan or this Agreement, unless there is an available</w:t>
      </w:r>
      <w:r>
        <w:rPr>
          <w:rFonts w:ascii="Arial" w:cs="Arial" w:eastAsia="Arial" w:hAnsi="Arial"/>
          <w:sz w:val="19"/>
          <w:szCs w:val="19"/>
          <w:b w:val="1"/>
          <w:bCs w:val="1"/>
          <w:color w:val="auto"/>
        </w:rPr>
        <w:t xml:space="preserve"> </w:t>
      </w:r>
      <w:r>
        <w:rPr>
          <w:rFonts w:ascii="Arial" w:cs="Arial" w:eastAsia="Arial" w:hAnsi="Arial"/>
          <w:sz w:val="19"/>
          <w:szCs w:val="19"/>
          <w:color w:val="auto"/>
        </w:rPr>
        <w:t>exemption from any registration, qualification or other legal requirement applicable to the shares of Common Stock, the Company shall not be required to deliver any shares issuable upon settlement of the RSU prior to the completion of any registration or qualification of the shares under any local, state, federal or foreign securities or exchange control law or under rulings or</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61595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15" w:right="339" w:bottom="1440" w:gutter="0" w:footer="0" w:header="0"/>
        </w:sectPr>
      </w:pPr>
    </w:p>
    <w:bookmarkStart w:id="113" w:name="page114"/>
    <w:bookmarkEnd w:id="113"/>
    <w:p>
      <w:pPr>
        <w:ind w:left="10140"/>
        <w:spacing w:after="0"/>
        <w:rPr>
          <w:sz w:val="20"/>
          <w:szCs w:val="20"/>
          <w:color w:val="auto"/>
        </w:rPr>
      </w:pPr>
      <w:r>
        <w:rPr>
          <w:rFonts w:ascii="Arial" w:cs="Arial" w:eastAsia="Arial" w:hAnsi="Arial"/>
          <w:sz w:val="18"/>
          <w:szCs w:val="18"/>
          <w:b w:val="1"/>
          <w:bCs w:val="1"/>
          <w:color w:val="auto"/>
        </w:rPr>
        <w:t>Exhibit 10.2</w:t>
      </w:r>
    </w:p>
    <w:p>
      <w:pPr>
        <w:spacing w:after="0" w:line="232" w:lineRule="exact"/>
        <w:rPr>
          <w:sz w:val="20"/>
          <w:szCs w:val="20"/>
          <w:color w:val="auto"/>
        </w:rPr>
      </w:pPr>
    </w:p>
    <w:p>
      <w:pPr>
        <w:jc w:val="both"/>
        <w:ind w:left="60" w:right="120"/>
        <w:spacing w:after="0"/>
        <w:rPr>
          <w:sz w:val="20"/>
          <w:szCs w:val="20"/>
          <w:color w:val="auto"/>
        </w:rPr>
      </w:pPr>
      <w:r>
        <w:rPr>
          <w:rFonts w:ascii="Arial" w:cs="Arial" w:eastAsia="Arial" w:hAnsi="Arial"/>
          <w:sz w:val="20"/>
          <w:szCs w:val="20"/>
          <w:color w:val="auto"/>
        </w:rPr>
        <w:t>regulations of the U.S. Securities and Exchange Commission (“</w:t>
      </w:r>
      <w:r>
        <w:rPr>
          <w:rFonts w:ascii="Arial" w:cs="Arial" w:eastAsia="Arial" w:hAnsi="Arial"/>
          <w:sz w:val="20"/>
          <w:szCs w:val="20"/>
          <w:b w:val="1"/>
          <w:bCs w:val="1"/>
          <w:i w:val="1"/>
          <w:iCs w:val="1"/>
          <w:color w:val="auto"/>
        </w:rPr>
        <w:t>SEC</w:t>
      </w:r>
      <w:r>
        <w:rPr>
          <w:rFonts w:ascii="Arial" w:cs="Arial" w:eastAsia="Arial" w:hAnsi="Arial"/>
          <w:sz w:val="20"/>
          <w:szCs w:val="20"/>
          <w:color w:val="auto"/>
        </w:rPr>
        <w:t>”) or of any other governmental regulatory body, or prior to obtaining any approval or other clearance from any local, state, federal or foreign governmental agency, which registration, qualification or approval the Company shall, in its absolute discretion, deem necessary or advisable. You understand that the Company is under no obligation to register or qualify the shares with the SEC or any state or foreign securities commission or to seek approval or clearance from any governmental authority for the issuance or sale of the shares. Further, you agree that the Company shall have unilateral authority to amend the Plan and the Agreement without your consent to the extent necessary to comply with securities or other laws applicable to issuance of shares.</w:t>
      </w:r>
    </w:p>
    <w:p>
      <w:pPr>
        <w:spacing w:after="0" w:line="207" w:lineRule="exact"/>
        <w:rPr>
          <w:sz w:val="20"/>
          <w:szCs w:val="20"/>
          <w:color w:val="auto"/>
        </w:rPr>
      </w:pPr>
    </w:p>
    <w:p>
      <w:pPr>
        <w:jc w:val="both"/>
        <w:ind w:left="60" w:right="120" w:firstLine="741"/>
        <w:spacing w:after="0" w:line="255" w:lineRule="auto"/>
        <w:tabs>
          <w:tab w:leader="none" w:pos="1549" w:val="left"/>
        </w:tabs>
        <w:numPr>
          <w:ilvl w:val="0"/>
          <w:numId w:val="76"/>
        </w:numPr>
        <w:rPr>
          <w:rFonts w:ascii="Arial" w:cs="Arial" w:eastAsia="Arial" w:hAnsi="Arial"/>
          <w:sz w:val="21"/>
          <w:szCs w:val="21"/>
          <w:b w:val="1"/>
          <w:bCs w:val="1"/>
          <w:color w:val="auto"/>
        </w:rPr>
      </w:pPr>
      <w:r>
        <w:rPr>
          <w:rFonts w:ascii="Arial" w:cs="Arial" w:eastAsia="Arial" w:hAnsi="Arial"/>
          <w:sz w:val="19"/>
          <w:szCs w:val="19"/>
          <w:b w:val="1"/>
          <w:bCs w:val="1"/>
          <w:color w:val="auto"/>
        </w:rPr>
        <w:t>C</w:t>
      </w:r>
      <w:r>
        <w:rPr>
          <w:rFonts w:ascii="Arial" w:cs="Arial" w:eastAsia="Arial" w:hAnsi="Arial"/>
          <w:sz w:val="15"/>
          <w:szCs w:val="15"/>
          <w:b w:val="1"/>
          <w:bCs w:val="1"/>
          <w:color w:val="auto"/>
        </w:rPr>
        <w:t>OUNTRY</w:t>
      </w:r>
      <w:r>
        <w:rPr>
          <w:rFonts w:ascii="Arial" w:cs="Arial" w:eastAsia="Arial" w:hAnsi="Arial"/>
          <w:sz w:val="19"/>
          <w:szCs w:val="19"/>
          <w:b w:val="1"/>
          <w:bCs w:val="1"/>
          <w:color w:val="auto"/>
        </w:rPr>
        <w:t>-S</w:t>
      </w:r>
      <w:r>
        <w:rPr>
          <w:rFonts w:ascii="Arial" w:cs="Arial" w:eastAsia="Arial" w:hAnsi="Arial"/>
          <w:sz w:val="15"/>
          <w:szCs w:val="15"/>
          <w:b w:val="1"/>
          <w:bCs w:val="1"/>
          <w:color w:val="auto"/>
        </w:rPr>
        <w:t>PECIFIC</w:t>
      </w:r>
      <w:r>
        <w:rPr>
          <w:rFonts w:ascii="Arial" w:cs="Arial" w:eastAsia="Arial" w:hAnsi="Arial"/>
          <w:sz w:val="19"/>
          <w:szCs w:val="19"/>
          <w:b w:val="1"/>
          <w:bCs w:val="1"/>
          <w:color w:val="auto"/>
        </w:rPr>
        <w:t xml:space="preserve"> P</w:t>
      </w:r>
      <w:r>
        <w:rPr>
          <w:rFonts w:ascii="Arial" w:cs="Arial" w:eastAsia="Arial" w:hAnsi="Arial"/>
          <w:sz w:val="15"/>
          <w:szCs w:val="15"/>
          <w:b w:val="1"/>
          <w:bCs w:val="1"/>
          <w:color w:val="auto"/>
        </w:rPr>
        <w:t>ROVISIONS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provisions of this Global RSU Award Agreement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contrary, the RSU Award shall be subject to any additional terms and conditions for your country set forth in the appendix attached hereto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Further, if you transfer to another country reflected in the Appendix, the terms and conditions for such country will apply to you to the extent the Company determines, in its sole discretion, that the application of such terms and conditions is necessary or advisable for legal or administrative reasons. The Appendix constitutes part of this Agreement.</w:t>
      </w:r>
    </w:p>
    <w:p>
      <w:pPr>
        <w:spacing w:after="0" w:line="178" w:lineRule="exact"/>
        <w:rPr>
          <w:rFonts w:ascii="Arial" w:cs="Arial" w:eastAsia="Arial" w:hAnsi="Arial"/>
          <w:sz w:val="21"/>
          <w:szCs w:val="21"/>
          <w:b w:val="1"/>
          <w:bCs w:val="1"/>
          <w:color w:val="auto"/>
        </w:rPr>
      </w:pPr>
    </w:p>
    <w:p>
      <w:pPr>
        <w:jc w:val="both"/>
        <w:ind w:left="60" w:right="120" w:firstLine="740"/>
        <w:spacing w:after="0"/>
        <w:tabs>
          <w:tab w:leader="none" w:pos="1549" w:val="left"/>
        </w:tabs>
        <w:numPr>
          <w:ilvl w:val="0"/>
          <w:numId w:val="76"/>
        </w:numPr>
        <w:rPr>
          <w:rFonts w:ascii="Arial" w:cs="Arial" w:eastAsia="Arial" w:hAnsi="Arial"/>
          <w:sz w:val="22"/>
          <w:szCs w:val="22"/>
          <w:b w:val="1"/>
          <w:bCs w:val="1"/>
          <w:color w:val="auto"/>
        </w:rPr>
      </w:pPr>
      <w:r>
        <w:rPr>
          <w:rFonts w:ascii="Arial" w:cs="Arial" w:eastAsia="Arial" w:hAnsi="Arial"/>
          <w:sz w:val="20"/>
          <w:szCs w:val="20"/>
          <w:b w:val="1"/>
          <w:bCs w:val="1"/>
          <w:color w:val="auto"/>
        </w:rPr>
        <w:t>I</w:t>
      </w:r>
      <w:r>
        <w:rPr>
          <w:rFonts w:ascii="Arial" w:cs="Arial" w:eastAsia="Arial" w:hAnsi="Arial"/>
          <w:sz w:val="16"/>
          <w:szCs w:val="16"/>
          <w:b w:val="1"/>
          <w:bCs w:val="1"/>
          <w:color w:val="auto"/>
        </w:rPr>
        <w:t>MPOSITION OF</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THER</w:t>
      </w:r>
      <w:r>
        <w:rPr>
          <w:rFonts w:ascii="Arial" w:cs="Arial" w:eastAsia="Arial" w:hAnsi="Arial"/>
          <w:sz w:val="20"/>
          <w:szCs w:val="20"/>
          <w:b w:val="1"/>
          <w:bCs w:val="1"/>
          <w:color w:val="auto"/>
        </w:rPr>
        <w:t xml:space="preserve"> R</w:t>
      </w:r>
      <w:r>
        <w:rPr>
          <w:rFonts w:ascii="Arial" w:cs="Arial" w:eastAsia="Arial" w:hAnsi="Arial"/>
          <w:sz w:val="16"/>
          <w:szCs w:val="16"/>
          <w:b w:val="1"/>
          <w:bCs w:val="1"/>
          <w:color w:val="auto"/>
        </w:rPr>
        <w:t>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reserves the right to impose other requirements on your</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RSU Award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204" w:lineRule="exact"/>
        <w:rPr>
          <w:rFonts w:ascii="Arial" w:cs="Arial" w:eastAsia="Arial" w:hAnsi="Arial"/>
          <w:sz w:val="22"/>
          <w:szCs w:val="22"/>
          <w:b w:val="1"/>
          <w:bCs w:val="1"/>
          <w:color w:val="auto"/>
        </w:rPr>
      </w:pPr>
    </w:p>
    <w:p>
      <w:pPr>
        <w:jc w:val="both"/>
        <w:ind w:left="60" w:right="120" w:firstLine="740"/>
        <w:spacing w:after="0" w:line="241" w:lineRule="auto"/>
        <w:tabs>
          <w:tab w:leader="none" w:pos="1548" w:val="left"/>
        </w:tabs>
        <w:numPr>
          <w:ilvl w:val="0"/>
          <w:numId w:val="76"/>
        </w:numPr>
        <w:rPr>
          <w:rFonts w:ascii="Arial" w:cs="Arial" w:eastAsia="Arial" w:hAnsi="Arial"/>
          <w:sz w:val="22"/>
          <w:szCs w:val="22"/>
          <w:b w:val="1"/>
          <w:bCs w:val="1"/>
          <w:color w:val="auto"/>
        </w:rPr>
      </w:pPr>
      <w:r>
        <w:rPr>
          <w:rFonts w:ascii="Arial" w:cs="Arial" w:eastAsia="Arial" w:hAnsi="Arial"/>
          <w:sz w:val="20"/>
          <w:szCs w:val="20"/>
          <w:b w:val="1"/>
          <w:bCs w:val="1"/>
          <w:color w:val="auto"/>
        </w:rPr>
        <w:t>O</w:t>
      </w:r>
      <w:r>
        <w:rPr>
          <w:rFonts w:ascii="Arial" w:cs="Arial" w:eastAsia="Arial" w:hAnsi="Arial"/>
          <w:sz w:val="16"/>
          <w:szCs w:val="16"/>
          <w:b w:val="1"/>
          <w:bCs w:val="1"/>
          <w:color w:val="auto"/>
        </w:rPr>
        <w:t>THER</w:t>
      </w:r>
      <w:r>
        <w:rPr>
          <w:rFonts w:ascii="Arial" w:cs="Arial" w:eastAsia="Arial" w:hAnsi="Arial"/>
          <w:sz w:val="20"/>
          <w:szCs w:val="20"/>
          <w:b w:val="1"/>
          <w:bCs w:val="1"/>
          <w:color w:val="auto"/>
        </w:rPr>
        <w:t xml:space="preserve"> D</w:t>
      </w:r>
      <w:r>
        <w:rPr>
          <w:rFonts w:ascii="Arial" w:cs="Arial" w:eastAsia="Arial" w:hAnsi="Arial"/>
          <w:sz w:val="16"/>
          <w:szCs w:val="16"/>
          <w:b w:val="1"/>
          <w:bCs w:val="1"/>
          <w:color w:val="auto"/>
        </w:rPr>
        <w:t>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You hereby acknowledge receipt of or the right to receive a document providing the 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by Rule 428(b)(1) promulgated under the Securities Act, which includes the Prospectus. In addition, you acknowledge receipt of the Company’s Trading Policy.</w:t>
      </w:r>
    </w:p>
    <w:p>
      <w:pPr>
        <w:spacing w:after="0" w:line="269" w:lineRule="exact"/>
        <w:rPr>
          <w:rFonts w:ascii="Arial" w:cs="Arial" w:eastAsia="Arial" w:hAnsi="Arial"/>
          <w:sz w:val="22"/>
          <w:szCs w:val="22"/>
          <w:b w:val="1"/>
          <w:bCs w:val="1"/>
          <w:color w:val="auto"/>
        </w:rPr>
      </w:pPr>
    </w:p>
    <w:p>
      <w:pPr>
        <w:ind w:left="60" w:right="120" w:firstLine="741"/>
        <w:spacing w:after="0" w:line="243" w:lineRule="auto"/>
        <w:tabs>
          <w:tab w:leader="none" w:pos="1549" w:val="left"/>
        </w:tabs>
        <w:numPr>
          <w:ilvl w:val="0"/>
          <w:numId w:val="76"/>
        </w:numPr>
        <w:rPr>
          <w:rFonts w:ascii="Arial" w:cs="Arial" w:eastAsia="Arial" w:hAnsi="Arial"/>
          <w:sz w:val="22"/>
          <w:szCs w:val="22"/>
          <w:b w:val="1"/>
          <w:bCs w:val="1"/>
          <w:color w:val="auto"/>
        </w:rPr>
      </w:pPr>
      <w:r>
        <w:rPr>
          <w:rFonts w:ascii="Arial" w:cs="Arial" w:eastAsia="Arial" w:hAnsi="Arial"/>
          <w:sz w:val="20"/>
          <w:szCs w:val="20"/>
          <w:b w:val="1"/>
          <w:bCs w:val="1"/>
          <w:color w:val="auto"/>
        </w:rPr>
        <w:t>Q</w:t>
      </w:r>
      <w:r>
        <w:rPr>
          <w:rFonts w:ascii="Arial" w:cs="Arial" w:eastAsia="Arial" w:hAnsi="Arial"/>
          <w:sz w:val="16"/>
          <w:szCs w:val="16"/>
          <w:b w:val="1"/>
          <w:bCs w:val="1"/>
          <w:color w:val="auto"/>
        </w:rPr>
        <w:t>UESTIONS</w:t>
      </w:r>
      <w:r>
        <w:rPr>
          <w:rFonts w:ascii="Arial" w:cs="Arial" w:eastAsia="Arial" w:hAnsi="Arial"/>
          <w:sz w:val="20"/>
          <w:szCs w:val="20"/>
          <w:b w:val="1"/>
          <w:bCs w:val="1"/>
          <w:color w:val="auto"/>
        </w:rPr>
        <w:t xml:space="preserve">. </w:t>
      </w:r>
      <w:r>
        <w:rPr>
          <w:rFonts w:ascii="Arial" w:cs="Arial" w:eastAsia="Arial" w:hAnsi="Arial"/>
          <w:sz w:val="20"/>
          <w:szCs w:val="20"/>
          <w:color w:val="auto"/>
        </w:rPr>
        <w:t>If you have questions regarding these or any other terms and conditions applicable to your RSU Award,</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a summary of the applicable U.S. federal income tax consequences please see the Prospectus.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66040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15"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0"/>
          <w:szCs w:val="20"/>
          <w:b w:val="1"/>
          <w:bCs w:val="1"/>
          <w:color w:val="auto"/>
        </w:rPr>
        <w:t>Exhibit 10.2</w:t>
      </w:r>
    </w:p>
    <w:p>
      <w:pPr>
        <w:spacing w:after="0" w:line="284" w:lineRule="exact"/>
        <w:rPr>
          <w:sz w:val="20"/>
          <w:szCs w:val="20"/>
          <w:color w:val="auto"/>
        </w:rPr>
      </w:pPr>
    </w:p>
    <w:p>
      <w:pPr>
        <w:ind w:left="4580"/>
        <w:spacing w:after="0"/>
        <w:rPr>
          <w:sz w:val="20"/>
          <w:szCs w:val="20"/>
          <w:color w:val="auto"/>
        </w:rPr>
      </w:pPr>
      <w:r>
        <w:rPr>
          <w:rFonts w:ascii="Arial" w:cs="Arial" w:eastAsia="Arial" w:hAnsi="Arial"/>
          <w:sz w:val="20"/>
          <w:szCs w:val="20"/>
          <w:b w:val="1"/>
          <w:bCs w:val="1"/>
          <w:color w:val="auto"/>
        </w:rPr>
        <w:t>APPENDIX TO THE</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20"/>
          <w:szCs w:val="20"/>
          <w:b w:val="1"/>
          <w:bCs w:val="1"/>
          <w:color w:val="auto"/>
        </w:rPr>
        <w:t>CYTEK BIOSCIENCES, INC.</w:t>
      </w:r>
    </w:p>
    <w:p>
      <w:pPr>
        <w:spacing w:after="0" w:line="21"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2021 EQUITY INCENTIVE PLAN GLOBAL RSU AWARD</w:t>
      </w:r>
    </w:p>
    <w:p>
      <w:pPr>
        <w:jc w:val="center"/>
        <w:ind w:right="120"/>
        <w:spacing w:after="0"/>
        <w:rPr>
          <w:sz w:val="20"/>
          <w:szCs w:val="20"/>
          <w:color w:val="auto"/>
        </w:rPr>
      </w:pPr>
      <w:r>
        <w:rPr>
          <w:rFonts w:ascii="Arial" w:cs="Arial" w:eastAsia="Arial" w:hAnsi="Arial"/>
          <w:sz w:val="20"/>
          <w:szCs w:val="20"/>
          <w:b w:val="1"/>
          <w:bCs w:val="1"/>
          <w:color w:val="auto"/>
        </w:rPr>
        <w:t>AGREEMENT</w:t>
      </w:r>
    </w:p>
    <w:p>
      <w:pPr>
        <w:spacing w:after="0" w:line="200"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Capitalized terms used but not defined in this Appendix have the meanings set forth in the Plan, the Grant Notice and/or the Global RSU Award Agreement.</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2" w:lineRule="exact"/>
        <w:rPr>
          <w:sz w:val="20"/>
          <w:szCs w:val="20"/>
          <w:color w:val="auto"/>
        </w:rPr>
      </w:pPr>
    </w:p>
    <w:p>
      <w:pPr>
        <w:jc w:val="both"/>
        <w:ind w:right="120"/>
        <w:spacing w:after="0" w:line="276" w:lineRule="auto"/>
        <w:rPr>
          <w:sz w:val="20"/>
          <w:szCs w:val="20"/>
          <w:color w:val="auto"/>
        </w:rPr>
      </w:pPr>
      <w:r>
        <w:rPr>
          <w:rFonts w:ascii="Arial" w:cs="Arial" w:eastAsia="Arial" w:hAnsi="Arial"/>
          <w:sz w:val="18"/>
          <w:szCs w:val="18"/>
          <w:color w:val="auto"/>
        </w:rPr>
        <w:t>This Appendix includes additional terms and conditions that govern the RSU Award granted to you under the Plan if you work or reside outside the U.S. and/or in one of the countries listed below. If you are a citizen or resident of a country other than the one in which you are currently working and/or residing, transfer Continuous Service and/or residency to another country after the date of grant, are a consultant, change employment status to a consultant position, or are considered a resident of another country for local law purposes, the Company shall, in its discretion, determine the extent to which the additional terms and conditions contained herein shall be applicable to you. References to the Service Recipient shall include any entity that engages your services.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2" w:lineRule="exact"/>
        <w:rPr>
          <w:sz w:val="20"/>
          <w:szCs w:val="20"/>
          <w:color w:val="auto"/>
        </w:rPr>
      </w:pPr>
    </w:p>
    <w:p>
      <w:pPr>
        <w:jc w:val="both"/>
        <w:ind w:right="120"/>
        <w:spacing w:after="0" w:line="256" w:lineRule="auto"/>
        <w:rPr>
          <w:sz w:val="20"/>
          <w:szCs w:val="20"/>
          <w:color w:val="auto"/>
        </w:rPr>
      </w:pPr>
      <w:r>
        <w:rPr>
          <w:rFonts w:ascii="Arial" w:cs="Arial" w:eastAsia="Arial" w:hAnsi="Arial"/>
          <w:sz w:val="19"/>
          <w:szCs w:val="19"/>
          <w:color w:val="auto"/>
        </w:rPr>
        <w:t>This Appendix also includes information regarding exchange controls and certain other issues of which you should be aware with respect to your participation in the Plan. The information is provided solely for your convenience and is based on the securities, exchange control and other laws in effect in the respective countries as of June 1, 2022. Such laws are often complex and change frequently. As a result, the Company strongly recommends that you not rely on the information noted herein as the only source of information relating to the consequences of your participation in the Plan because the information may be out of date by the time you vest in the RSU Award or sell any shares of Common Stock acquired upon settlement of the vested Restricted Stock Units.</w:t>
      </w:r>
    </w:p>
    <w:p>
      <w:pPr>
        <w:spacing w:after="0" w:line="181" w:lineRule="exact"/>
        <w:rPr>
          <w:sz w:val="20"/>
          <w:szCs w:val="20"/>
          <w:color w:val="auto"/>
        </w:rPr>
      </w:pPr>
    </w:p>
    <w:p>
      <w:pPr>
        <w:jc w:val="both"/>
        <w:ind w:right="120"/>
        <w:spacing w:after="0" w:line="243" w:lineRule="auto"/>
        <w:rPr>
          <w:sz w:val="20"/>
          <w:szCs w:val="20"/>
          <w:color w:val="auto"/>
        </w:rPr>
      </w:pPr>
      <w:r>
        <w:rPr>
          <w:rFonts w:ascii="Arial" w:cs="Arial" w:eastAsia="Arial" w:hAnsi="Arial"/>
          <w:sz w:val="20"/>
          <w:szCs w:val="20"/>
          <w:color w:val="auto"/>
        </w:rPr>
        <w:t>In addition, the information contained in this Appendix is general in nature and may not apply to your particular situation, and the Company is not in a position to assure you of any particular result. Accordingly, you should seek appropriate professional advice as to how the applicable laws in your country may apply to your situation.</w:t>
      </w:r>
    </w:p>
    <w:p>
      <w:pPr>
        <w:spacing w:after="0" w:line="192"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Finally, if you are a citizen or resident of a country other than the one in which you are currently residing and/or working, transfer to another country after the date of grant, or are considered a resident of another country for local law purposes, the notifications contained herein may not be applicable to you in the same manner.</w:t>
      </w:r>
    </w:p>
    <w:p>
      <w:pPr>
        <w:spacing w:after="0" w:line="172"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74930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115"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b w:val="1"/>
          <w:bCs w:val="1"/>
          <w:color w:val="auto"/>
        </w:rPr>
        <w:t>Exhibit 10.2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ustralia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2" w:lineRule="exact"/>
        <w:rPr>
          <w:sz w:val="20"/>
          <w:szCs w:val="20"/>
          <w:color w:val="auto"/>
        </w:rPr>
      </w:pPr>
    </w:p>
    <w:p>
      <w:pPr>
        <w:spacing w:after="0" w:line="26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Exchange control reporting is required for cash transactions exceeding AUD10,000 and for international fund transfers. If an Australian bank is assisting with the transaction, the bank will file the report on your behalf.</w:t>
      </w:r>
    </w:p>
    <w:p>
      <w:pPr>
        <w:spacing w:after="0" w:line="163" w:lineRule="exact"/>
        <w:rPr>
          <w:sz w:val="20"/>
          <w:szCs w:val="20"/>
          <w:color w:val="auto"/>
        </w:rPr>
      </w:pPr>
    </w:p>
    <w:p>
      <w:pPr>
        <w:spacing w:after="0" w:line="26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xml:space="preserve"> If you acquire shares of Common Stock under the Plan and offer the shares of Common Stock for sale to a person or entity resident in Australia, such offer may be subject to disclosure requirements under Australian law.</w:t>
      </w:r>
    </w:p>
    <w:p>
      <w:pPr>
        <w:spacing w:after="0" w:line="163" w:lineRule="exact"/>
        <w:rPr>
          <w:sz w:val="20"/>
          <w:szCs w:val="20"/>
          <w:color w:val="auto"/>
        </w:rPr>
      </w:pPr>
    </w:p>
    <w:p>
      <w:pPr>
        <w:spacing w:after="0" w:line="260" w:lineRule="auto"/>
        <w:rPr>
          <w:sz w:val="20"/>
          <w:szCs w:val="20"/>
          <w:color w:val="auto"/>
        </w:rPr>
      </w:pPr>
      <w:r>
        <w:rPr>
          <w:rFonts w:ascii="Arial" w:cs="Arial" w:eastAsia="Arial" w:hAnsi="Arial"/>
          <w:sz w:val="20"/>
          <w:szCs w:val="20"/>
          <w:u w:val="single" w:color="auto"/>
          <w:color w:val="auto"/>
        </w:rPr>
        <w:t>Tax Information</w:t>
      </w:r>
      <w:r>
        <w:rPr>
          <w:rFonts w:ascii="Arial" w:cs="Arial" w:eastAsia="Arial" w:hAnsi="Arial"/>
          <w:sz w:val="20"/>
          <w:szCs w:val="20"/>
          <w:color w:val="auto"/>
        </w:rPr>
        <w:t>. Subdivision 83A-C of the Income Tax Assessment Act 1997 (Cth) applies to the Restricted Stock Units granted under the Plan, such that the Restricted Stock Units are intended to be subject to deferred taxation.</w:t>
      </w:r>
    </w:p>
    <w:p>
      <w:pPr>
        <w:spacing w:after="0" w:line="157"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B</w:t>
      </w:r>
      <w:r>
        <w:rPr>
          <w:rFonts w:ascii="Arial" w:cs="Arial" w:eastAsia="Arial" w:hAnsi="Arial"/>
          <w:sz w:val="13"/>
          <w:szCs w:val="13"/>
          <w:b w:val="1"/>
          <w:bCs w:val="1"/>
          <w:color w:val="auto"/>
        </w:rPr>
        <w:t>elgium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196" w:lineRule="exact"/>
        <w:rPr>
          <w:sz w:val="20"/>
          <w:szCs w:val="20"/>
          <w:color w:val="auto"/>
        </w:rPr>
      </w:pPr>
    </w:p>
    <w:p>
      <w:pPr>
        <w:jc w:val="both"/>
        <w:ind w:right="120"/>
        <w:spacing w:after="0" w:line="279"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b w:val="1"/>
          <w:bCs w:val="1"/>
          <w:color w:val="auto"/>
        </w:rPr>
        <w:t>.</w:t>
      </w:r>
      <w:r>
        <w:rPr>
          <w:rFonts w:ascii="Arial" w:cs="Arial" w:eastAsia="Arial" w:hAnsi="Arial"/>
          <w:sz w:val="18"/>
          <w:szCs w:val="18"/>
          <w:color w:val="auto"/>
        </w:rPr>
        <w:t xml:space="preserve"> Belgian residents are required to report any security (</w:t>
      </w:r>
      <w:r>
        <w:rPr>
          <w:rFonts w:ascii="Arial" w:cs="Arial" w:eastAsia="Arial" w:hAnsi="Arial"/>
          <w:sz w:val="18"/>
          <w:szCs w:val="18"/>
          <w:i w:val="1"/>
          <w:iCs w:val="1"/>
          <w:color w:val="auto"/>
        </w:rPr>
        <w:t>e.g.</w:t>
      </w:r>
      <w:r>
        <w:rPr>
          <w:rFonts w:ascii="Arial" w:cs="Arial" w:eastAsia="Arial" w:hAnsi="Arial"/>
          <w:sz w:val="18"/>
          <w:szCs w:val="18"/>
          <w:color w:val="auto"/>
        </w:rPr>
        <w:t>, shares of Common Stock acquired under the Plan) or bank account held outside of Belgium on their annual tax return. In a separate report, they will be required to provide the National Bank of Belgium with certain details regarding such foreign accounts (including the account number, bank name and country in which such account was opened). The forms to complete the report are available on the National Bank of Belgium website.</w:t>
      </w:r>
    </w:p>
    <w:p>
      <w:pPr>
        <w:spacing w:after="0" w:line="145" w:lineRule="exact"/>
        <w:rPr>
          <w:sz w:val="20"/>
          <w:szCs w:val="20"/>
          <w:color w:val="auto"/>
        </w:rPr>
      </w:pPr>
    </w:p>
    <w:p>
      <w:pPr>
        <w:jc w:val="both"/>
        <w:ind w:right="120"/>
        <w:spacing w:after="0" w:line="248" w:lineRule="auto"/>
        <w:rPr>
          <w:sz w:val="20"/>
          <w:szCs w:val="20"/>
          <w:color w:val="auto"/>
        </w:rPr>
      </w:pPr>
      <w:r>
        <w:rPr>
          <w:rFonts w:ascii="Arial" w:cs="Arial" w:eastAsia="Arial" w:hAnsi="Arial"/>
          <w:sz w:val="20"/>
          <w:szCs w:val="20"/>
          <w:u w:val="single" w:color="auto"/>
          <w:color w:val="auto"/>
        </w:rPr>
        <w:t>Stock Exchange Tax Information</w:t>
      </w:r>
      <w:r>
        <w:rPr>
          <w:rFonts w:ascii="Arial" w:cs="Arial" w:eastAsia="Arial" w:hAnsi="Arial"/>
          <w:sz w:val="20"/>
          <w:szCs w:val="20"/>
          <w:b w:val="1"/>
          <w:bCs w:val="1"/>
          <w:color w:val="auto"/>
        </w:rPr>
        <w:t>.</w:t>
      </w:r>
      <w:r>
        <w:rPr>
          <w:rFonts w:ascii="Arial" w:cs="Arial" w:eastAsia="Arial" w:hAnsi="Arial"/>
          <w:sz w:val="20"/>
          <w:szCs w:val="20"/>
          <w:color w:val="auto"/>
        </w:rPr>
        <w:t xml:space="preserve"> A stock exchange tax applies to transactions executed by a Belgian resident through a non-Belgian financial intermediary, such as a U.S. broker. The stock exchange tax may apply when shares of Common Stock acquired under the Plan are sold. Belgian residents should consult with a personal tax or financial advisor for additional details on their obligations with respect to the stock exchange tax.</w:t>
      </w:r>
    </w:p>
    <w:p>
      <w:pPr>
        <w:spacing w:after="0" w:line="170" w:lineRule="exact"/>
        <w:rPr>
          <w:sz w:val="20"/>
          <w:szCs w:val="20"/>
          <w:color w:val="auto"/>
        </w:rPr>
      </w:pPr>
    </w:p>
    <w:p>
      <w:pPr>
        <w:jc w:val="both"/>
        <w:ind w:right="120"/>
        <w:spacing w:after="0" w:line="242" w:lineRule="auto"/>
        <w:rPr>
          <w:sz w:val="20"/>
          <w:szCs w:val="20"/>
          <w:color w:val="auto"/>
        </w:rPr>
      </w:pPr>
      <w:r>
        <w:rPr>
          <w:rFonts w:ascii="Arial" w:cs="Arial" w:eastAsia="Arial" w:hAnsi="Arial"/>
          <w:sz w:val="20"/>
          <w:szCs w:val="20"/>
          <w:u w:val="single" w:color="auto"/>
          <w:color w:val="auto"/>
        </w:rPr>
        <w:t>Annual Securities Account Tax Information</w:t>
      </w:r>
      <w:r>
        <w:rPr>
          <w:rFonts w:ascii="Arial" w:cs="Arial" w:eastAsia="Arial" w:hAnsi="Arial"/>
          <w:sz w:val="20"/>
          <w:szCs w:val="20"/>
          <w:b w:val="1"/>
          <w:bCs w:val="1"/>
          <w:color w:val="auto"/>
        </w:rPr>
        <w:t>.</w:t>
      </w:r>
      <w:r>
        <w:rPr>
          <w:rFonts w:ascii="Arial" w:cs="Arial" w:eastAsia="Arial" w:hAnsi="Arial"/>
          <w:sz w:val="20"/>
          <w:szCs w:val="20"/>
          <w:color w:val="auto"/>
        </w:rPr>
        <w:t xml:space="preserve"> An “annual securities account tax” has been implemented, which imposes an annual tax on the value of qualifying securities held in a Belgian or foreign securities account. The tax will not apply unless the total value of securities you hold in such an account exceeds a certain threshold on four reference dates within the relevant reporting period (i.e., December 31, March 31, June 30 and September 30). Different payment obligations may apply, depending on whether the securities account is held with a Belgian or foreign financial institution. You should consult your personal tax advisor for more information regarding your annual securities accounts tax payment obligations.</w:t>
      </w:r>
    </w:p>
    <w:p>
      <w:pPr>
        <w:spacing w:after="0" w:line="18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anada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2" w:lineRule="exact"/>
        <w:rPr>
          <w:sz w:val="20"/>
          <w:szCs w:val="20"/>
          <w:color w:val="auto"/>
        </w:rPr>
      </w:pPr>
    </w:p>
    <w:p>
      <w:pPr>
        <w:spacing w:after="0" w:line="260" w:lineRule="auto"/>
        <w:rPr>
          <w:sz w:val="20"/>
          <w:szCs w:val="20"/>
          <w:color w:val="auto"/>
        </w:rPr>
      </w:pPr>
      <w:r>
        <w:rPr>
          <w:rFonts w:ascii="Arial" w:cs="Arial" w:eastAsia="Arial" w:hAnsi="Arial"/>
          <w:sz w:val="20"/>
          <w:szCs w:val="20"/>
          <w:u w:val="single" w:color="auto"/>
          <w:color w:val="auto"/>
        </w:rPr>
        <w:t>Settlement</w:t>
      </w:r>
      <w:r>
        <w:rPr>
          <w:rFonts w:ascii="Arial" w:cs="Arial" w:eastAsia="Arial" w:hAnsi="Arial"/>
          <w:sz w:val="20"/>
          <w:szCs w:val="20"/>
          <w:color w:val="auto"/>
        </w:rPr>
        <w:t>. For the avoidance of doubt, notwithstanding any discretion in the Plan and the Global RSU Award Agreement to the contrary, Restricted Stock Units granted in Canada shall be settled in shares of Common Stock only.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xml:space="preserve"> The following provision supplements Section 6(j) of the Global RSU Award Agreement: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the RSU Award, your Continuous Service will be considered terminated (regardless of the</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6" w:name="page117"/>
    <w:bookmarkEnd w:id="116"/>
    <w:p>
      <w:pPr>
        <w:ind w:left="10220"/>
        <w:spacing w:after="0"/>
        <w:rPr>
          <w:sz w:val="20"/>
          <w:szCs w:val="20"/>
          <w:color w:val="auto"/>
        </w:rPr>
      </w:pPr>
      <w:r>
        <w:rPr>
          <w:rFonts w:ascii="Arial" w:cs="Arial" w:eastAsia="Arial" w:hAnsi="Arial"/>
          <w:sz w:val="18"/>
          <w:szCs w:val="18"/>
          <w:b w:val="1"/>
          <w:bCs w:val="1"/>
          <w:color w:val="auto"/>
        </w:rPr>
        <w:t>Exhibit 10.2</w:t>
      </w:r>
    </w:p>
    <w:p>
      <w:pPr>
        <w:spacing w:after="0" w:line="23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reason for such termination and whether or not later found to be invalid or in breach of employment laws in the jurisdiction where you are employed or otherwise rendering services or the terms of your employment or other service agreement, if any) as of the date that is the earliest of: (a) the date you are no longer actively providing services to the Company or any Affiliate, or (b) the date you receive notice of termination of your Continuous Service. However, unless otherwise determined by the Company, the RSU Award will continue to vest through any statutory notice period or any period of “garden leave” or similar period mandated under employment laws in the jurisdiction where you are employed or otherwise rendering service or the terms of your employment or other service agreement, if any. You will not earn or be entitled to any pro-rated vesting for that portion of time before the date on which your right to vest terminates, nor will you be entitled to any compensation for lost vesting. In case of any dispute as to whether termination of Continuous Service has occurred that cannot be reasonably determined under the Agreement and the Plan, the Plan Administrator shall have the sole discretion, subject to applicable legislation, to determine whether such termination has occurred and the effective date of such termination.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provisions apply if you are a resident of Québec:</w:t>
      </w:r>
    </w:p>
    <w:p>
      <w:pPr>
        <w:spacing w:after="0" w:line="202"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u w:val="single" w:color="auto"/>
          <w:color w:val="auto"/>
        </w:rPr>
        <w:t>Language Consent</w:t>
      </w:r>
      <w:r>
        <w:rPr>
          <w:rFonts w:ascii="Arial" w:cs="Arial" w:eastAsia="Arial" w:hAnsi="Arial"/>
          <w:sz w:val="19"/>
          <w:szCs w:val="19"/>
          <w:color w:val="auto"/>
        </w:rPr>
        <w:t>. The parties acknowledge that it is their express wish that this Agreement, as well as all documents, notices, and legal proceedings entered into, given or instituted pursuant hereto or relating directly or indirectly hereto, be drawn up in English.</w:t>
      </w:r>
    </w:p>
    <w:p>
      <w:pPr>
        <w:spacing w:after="0" w:line="13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u w:val="single" w:color="auto"/>
          <w:color w:val="auto"/>
        </w:rPr>
        <w:t>Consentement Relatif à la Langue Utilisée</w:t>
      </w:r>
      <w:r>
        <w:rPr>
          <w:rFonts w:ascii="Arial" w:cs="Arial" w:eastAsia="Arial" w:hAnsi="Arial"/>
          <w:sz w:val="20"/>
          <w:szCs w:val="20"/>
          <w:i w:val="1"/>
          <w:iCs w:val="1"/>
          <w:color w:val="auto"/>
        </w:rPr>
        <w:t>. Les parties reconnaissent avoir exigé la rédaction en anglais de cette convention (“Agreement”), ainsi que de tous documents, avis et procédures judiciaires, exécutés, donnés ou intentés en vertu de, ou liés directement ou indirectement à, la présente convention.</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Shares of Common Stock acquired under the Plan may not be sold or otherwise disposed of within Canada. You are permitted to sell the shares of Common Stock acquired under the Plan only through the Designated Broker, provided the resale of the shares of Common Stock takes place outside Canada.</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xml:space="preserve">. You are required to report any foreign specified property (including shares of Common Stock and unvested Restricted Stock Units) on form T1135 (Foreign Income Verification Statement) if the total cost of your foreign specified property exceeds C$100,000 at any time in the year. Restricted Stock Units must be reported - generally at nil cost - if the C$100,000 cost threshold is exceeded because of other foreign specified property held by you. When shares of Common Stock are acquired, their cost is generally the adjusted cost base (“ACB”) of the shares of Common Stock. The ACB ordinarily would equal the fair market value of the shares of Common Stock at the time of acquisition, but if you own other shares of Common Stock, this ACB may have to be averaged with the ACB of other shares of Common Stock. The form T1135 generally must be filed by April 30 of the following year. </w:t>
      </w:r>
      <w:r>
        <w:rPr>
          <w:rFonts w:ascii="Arial" w:cs="Arial" w:eastAsia="Arial" w:hAnsi="Arial"/>
          <w:sz w:val="19"/>
          <w:szCs w:val="19"/>
          <w:i w:val="1"/>
          <w:iCs w:val="1"/>
          <w:color w:val="auto"/>
        </w:rPr>
        <w:t>You should consult</w:t>
      </w:r>
      <w:r>
        <w:rPr>
          <w:rFonts w:ascii="Arial" w:cs="Arial" w:eastAsia="Arial" w:hAnsi="Arial"/>
          <w:sz w:val="19"/>
          <w:szCs w:val="19"/>
          <w:color w:val="auto"/>
        </w:rPr>
        <w:t xml:space="preserve"> </w:t>
      </w:r>
      <w:r>
        <w:rPr>
          <w:rFonts w:ascii="Arial" w:cs="Arial" w:eastAsia="Arial" w:hAnsi="Arial"/>
          <w:sz w:val="19"/>
          <w:szCs w:val="19"/>
          <w:i w:val="1"/>
          <w:iCs w:val="1"/>
          <w:color w:val="auto"/>
        </w:rPr>
        <w:t>your personal legal advisor to ensure compliance with applicable reporting obligations.</w:t>
      </w:r>
    </w:p>
    <w:p>
      <w:pPr>
        <w:spacing w:after="0" w:line="169"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hina</w:t>
      </w:r>
    </w:p>
    <w:p>
      <w:pPr>
        <w:spacing w:after="0" w:line="222" w:lineRule="exact"/>
        <w:rPr>
          <w:sz w:val="20"/>
          <w:szCs w:val="20"/>
          <w:color w:val="auto"/>
        </w:rPr>
      </w:pPr>
    </w:p>
    <w:p>
      <w:pPr>
        <w:jc w:val="both"/>
        <w:ind w:right="20"/>
        <w:spacing w:after="0" w:line="300" w:lineRule="auto"/>
        <w:rPr>
          <w:sz w:val="20"/>
          <w:szCs w:val="20"/>
          <w:color w:val="auto"/>
        </w:rPr>
      </w:pPr>
      <w:r>
        <w:rPr>
          <w:rFonts w:ascii="Arial" w:cs="Arial" w:eastAsia="Arial" w:hAnsi="Arial"/>
          <w:sz w:val="18"/>
          <w:szCs w:val="18"/>
          <w:i w:val="1"/>
          <w:iCs w:val="1"/>
          <w:color w:val="auto"/>
        </w:rPr>
        <w:t>The following terms and conditions apply if you are subject to exchange control restrictions and regulations in China, including the requirements imposed by the State Administration of Foreign Exchange (“SAFE”) as determined by the Company in its sole discretion.</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Notwithstanding anything to the contrary in the Plan or the Agreement, unless otherwise determined by the Company, the Restricted Stock Units will not vest and no shares of Common Stock will be issued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7" w:name="page118"/>
    <w:bookmarkEnd w:id="117"/>
    <w:p>
      <w:pPr>
        <w:ind w:left="10220"/>
        <w:spacing w:after="0"/>
        <w:rPr>
          <w:sz w:val="20"/>
          <w:szCs w:val="20"/>
          <w:color w:val="auto"/>
        </w:rPr>
      </w:pPr>
      <w:r>
        <w:rPr>
          <w:rFonts w:ascii="Arial" w:cs="Arial" w:eastAsia="Arial" w:hAnsi="Arial"/>
          <w:sz w:val="18"/>
          <w:szCs w:val="18"/>
          <w:b w:val="1"/>
          <w:bCs w:val="1"/>
          <w:color w:val="auto"/>
        </w:rPr>
        <w:t>Exhibit 10.2</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you unless and until all necessary exchange control or other approvals with respect to the Restricted Stock Units under the Plan have been obtained from SAFE or its local counterpart (“</w:t>
      </w:r>
      <w:r>
        <w:rPr>
          <w:rFonts w:ascii="Arial" w:cs="Arial" w:eastAsia="Arial" w:hAnsi="Arial"/>
          <w:sz w:val="19"/>
          <w:szCs w:val="19"/>
          <w:b w:val="1"/>
          <w:bCs w:val="1"/>
          <w:i w:val="1"/>
          <w:iCs w:val="1"/>
          <w:color w:val="auto"/>
        </w:rPr>
        <w:t>SAFE Approval</w:t>
      </w:r>
      <w:r>
        <w:rPr>
          <w:rFonts w:ascii="Arial" w:cs="Arial" w:eastAsia="Arial" w:hAnsi="Arial"/>
          <w:sz w:val="19"/>
          <w:szCs w:val="19"/>
          <w:color w:val="auto"/>
        </w:rPr>
        <w:t>”). In the event that SAFE Approval has not been obtained prior to any date(s) on which the Restricted Stock Units are scheduled to vest in accordance with the vesting schedule set forth in this Agreement, unless otherwise determined by the Company, you will receive a vesting credit for the Restricted Stock Units that would have vested once SAFE Approval is obtained (the “</w:t>
      </w:r>
      <w:r>
        <w:rPr>
          <w:rFonts w:ascii="Arial" w:cs="Arial" w:eastAsia="Arial" w:hAnsi="Arial"/>
          <w:sz w:val="19"/>
          <w:szCs w:val="19"/>
          <w:b w:val="1"/>
          <w:bCs w:val="1"/>
          <w:i w:val="1"/>
          <w:iCs w:val="1"/>
          <w:color w:val="auto"/>
        </w:rPr>
        <w:t>Actual Vesting Date</w:t>
      </w:r>
      <w:r>
        <w:rPr>
          <w:rFonts w:ascii="Arial" w:cs="Arial" w:eastAsia="Arial" w:hAnsi="Arial"/>
          <w:sz w:val="19"/>
          <w:szCs w:val="19"/>
          <w:color w:val="auto"/>
        </w:rPr>
        <w:t>”). Unless otherwise determined by the Company, if your Continuous Service terminates prior to the Actual Vesting Date, you shall not be entitled to vest in any portion of the Restricted Stock Units and the Restricted Stock Units shall be forfeited without any liability to the Company, the Service Recipient or any other Affiliate.</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u w:val="single" w:color="auto"/>
          <w:color w:val="auto"/>
        </w:rPr>
        <w:t>Sale Requirement</w:t>
      </w:r>
      <w:r>
        <w:rPr>
          <w:rFonts w:ascii="Arial" w:cs="Arial" w:eastAsia="Arial" w:hAnsi="Arial"/>
          <w:sz w:val="18"/>
          <w:szCs w:val="18"/>
          <w:color w:val="auto"/>
        </w:rPr>
        <w:t>. You agree that the Company reserves the right to require the sale of any shares of Common Stock issued upon settlement of the Restricted Stock Units. You understand and agree that any such sale of shares of Common Stock may occur as soon as is practical following settlement of the Restricted Stock Units or at a later time. In any event, the Company will require the sale of any shares of Common Stock you may then hold within six (6) months (or such other period as may be required under applicable legal or exchange control requirements, as determined by the Company) following the termination of your Continuous Service.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You agree that the Company is authorized to instruct the Designated Broker to assist with the sale of the shares of Common Stock on your behalf pursuant to this authorization, and you expressly authorize the Designated Broker to complete the sale of such shares of Common Stock. You also agree to sign any agreements, forms and/or consents that may be reasonably requested by the Company (or the Designated Broker) to effectuate the sale of the shares of Common Stock (including, without limitation, as to the transfers of the proceeds and other exchange control matters noted below) and to otherwise cooperate with the Company with respect to such matters, provided that you shall not be permitted to exercise any influence over how, when or whether the sales occur. Upon the sale of the shares of Common Stock, you will receive the cash proceeds from the sale, less any applicable Tax-Related Items, brokerage fees or commissions, in accordance with applicable exchange control laws and regulations.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You acknowledge that the Designated Broker is under no obligation to arrange for the sale of the shares of Common Stock at any particular price. Due to fluctuations in the price and/or applicable exchange rates between the settlement date and (if later) the date on which the shares of Common Stock are sold, the amount of proceeds ultimately distributed to you may be more or less than the market value of the shares of Common Stock on the settlement date (which is the amount relevant to determining your liability for Tax-Related Items). You understand and agree that the Company is not responsible for the amount of any loss that you may incur and that the Company assumes no liability for any fluctuations in the price of the shares of Common Stock and/or any applicable exchange rate.</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Designated Broker Account</w:t>
      </w:r>
      <w:r>
        <w:rPr>
          <w:rFonts w:ascii="Arial" w:cs="Arial" w:eastAsia="Arial" w:hAnsi="Arial"/>
          <w:sz w:val="19"/>
          <w:szCs w:val="19"/>
          <w:color w:val="auto"/>
        </w:rPr>
        <w:t>. If shares of Common Stock issued upon the settlement of the Restricted Stock Units are not sold after issuance, you acknowledge that you are required to maintain the shares of Common Stock in an account as may be selected by the Company until the shares of Common Stock are sold through the Designated Broker (as further detailed below).</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u w:val="single" w:color="auto"/>
          <w:color w:val="auto"/>
        </w:rPr>
        <w:t>Exchange Control Requirements</w:t>
      </w:r>
      <w:r>
        <w:rPr>
          <w:rFonts w:ascii="Arial" w:cs="Arial" w:eastAsia="Arial" w:hAnsi="Arial"/>
          <w:sz w:val="19"/>
          <w:szCs w:val="19"/>
          <w:color w:val="auto"/>
        </w:rPr>
        <w:t>. You understand and agree that, pursuant to local exchange control requirements, you will be required to immediately repatriate the cash proceeds from the sale of shares of Common Stock and any cash dividends paid on such shares of Common Stock to China. You further understand that, under local law, such repatriation of your cash proceeds may need to be effectuated through a special exchange control account established by the Company, the Service Recipient or any other Affiliate, and you hereby consent and agree that any proceeds from the sale of shares of Common Stock or any cash dividends paid on such shares of Common Stock may be transferred to such special account prior to being delivered to you.</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8" w:name="page119"/>
    <w:bookmarkEnd w:id="118"/>
    <w:p>
      <w:pPr>
        <w:ind w:left="10220"/>
        <w:spacing w:after="0"/>
        <w:rPr>
          <w:sz w:val="20"/>
          <w:szCs w:val="20"/>
          <w:color w:val="auto"/>
        </w:rPr>
      </w:pPr>
      <w:r>
        <w:rPr>
          <w:rFonts w:ascii="Arial" w:cs="Arial" w:eastAsia="Arial" w:hAnsi="Arial"/>
          <w:sz w:val="18"/>
          <w:szCs w:val="18"/>
          <w:b w:val="1"/>
          <w:bCs w:val="1"/>
          <w:color w:val="auto"/>
        </w:rPr>
        <w:t>Exhibit 10.2</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proceeds may be paid to you in U.S. dollars or local currency at the Company’s discretion. In the event the proceeds are paid to you in U.S. dollars, you understand that you will be required to set up a U.S. dollar bank account in China and provide the bank account details to the Service Recipient and/or the Company so that the proceeds may be deposited into this account. If the proceeds are paid to you in local currency, the Company is under no obligation to secure any particular exchange conversion rate and/or conversion date and the Company may face delays in converting the proceeds to local currency due to exchange control restrictions. You agree to bear any currency fluctuation risk between the time the shares of Common Stock are sold or dividends are received and the time the proceeds are distributed through any such special exchange account.</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You further agree to comply with any other requirements that may be imposed by the Company in the future in order to facilitate compliance with exchange control requirements in China.</w:t>
      </w:r>
    </w:p>
    <w:p>
      <w:pPr>
        <w:spacing w:after="0" w:line="157"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olombia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Labor Law Acknowledgment</w:t>
      </w:r>
      <w:r>
        <w:rPr>
          <w:rFonts w:ascii="Arial" w:cs="Arial" w:eastAsia="Arial" w:hAnsi="Arial"/>
          <w:sz w:val="18"/>
          <w:szCs w:val="18"/>
          <w:color w:val="auto"/>
        </w:rPr>
        <w:t>. By accepting the RSU Award, you expressly acknowledge that, pursuant to Article 15 of Law 50/1990 (Article 128 of the Colombian Labor Code), the Restricted Stock Units and any payments you receive pursuant to the Restricted Stock Units are wholly discretionary and are a benefit of an extraordinary nature that do not exclusively depend on your performance. Accordingly, the Plan, the RSU Award and any related benefits do not constitute a component of your “salary” for any legal purpose, including for the purposes of calculating any and all labor benefits, such as fringe benefits, vacation pay, termination or other indemnities, payroll taxes, social insurance contributions or any outstanding employment-related amounts, subject to limitations provided in Law 1393/2010.</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underlying shares of Common Stock are not and will not be registered in the Colombian registry of publicly traded securities (</w:t>
      </w:r>
      <w:r>
        <w:rPr>
          <w:rFonts w:ascii="Arial" w:cs="Arial" w:eastAsia="Arial" w:hAnsi="Arial"/>
          <w:sz w:val="18"/>
          <w:szCs w:val="18"/>
          <w:i w:val="1"/>
          <w:iCs w:val="1"/>
          <w:color w:val="auto"/>
        </w:rPr>
        <w:t>Registro Vacional de Valores y Emisores</w:t>
      </w:r>
      <w:r>
        <w:rPr>
          <w:rFonts w:ascii="Arial" w:cs="Arial" w:eastAsia="Arial" w:hAnsi="Arial"/>
          <w:sz w:val="18"/>
          <w:szCs w:val="18"/>
          <w:color w:val="auto"/>
        </w:rPr>
        <w:t>) and therefore the underlying shares of Common Stock may not be offered to the public in Colombia. Nothing in this document should be construed as the making of a public offer of securities in Colombia.</w:t>
      </w:r>
    </w:p>
    <w:p>
      <w:pPr>
        <w:spacing w:after="0" w:line="15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You are responsible for complying with any and all Colombian foreign exchange requirements in connection with the Restricted Stock Units, any shares of Common Stock acquired and funds remitted into Colombia in connection with the Plan. This may include, among others, reporting obligations to the Central Bank (</w:t>
      </w:r>
      <w:r>
        <w:rPr>
          <w:rFonts w:ascii="Arial" w:cs="Arial" w:eastAsia="Arial" w:hAnsi="Arial"/>
          <w:sz w:val="20"/>
          <w:szCs w:val="20"/>
          <w:i w:val="1"/>
          <w:iCs w:val="1"/>
          <w:color w:val="auto"/>
        </w:rPr>
        <w:t>Banco de la República</w:t>
      </w:r>
      <w:r>
        <w:rPr>
          <w:rFonts w:ascii="Arial" w:cs="Arial" w:eastAsia="Arial" w:hAnsi="Arial"/>
          <w:sz w:val="20"/>
          <w:szCs w:val="20"/>
          <w:color w:val="auto"/>
        </w:rPr>
        <w:t>) and, in certain circumstances, repatriation requirements. You are responsible for ensuring your compliance with any applicable requirements and should speak to your personal legal advisor on this matter.</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b w:val="1"/>
          <w:bCs w:val="1"/>
          <w:color w:val="auto"/>
        </w:rPr>
        <w:t>.</w:t>
      </w:r>
      <w:r>
        <w:rPr>
          <w:rFonts w:ascii="Arial" w:cs="Arial" w:eastAsia="Arial" w:hAnsi="Arial"/>
          <w:sz w:val="20"/>
          <w:szCs w:val="20"/>
          <w:color w:val="auto"/>
        </w:rPr>
        <w:t xml:space="preserve"> You may be required to file an annual information return detailing any assets held abroad to the Colombian Tax Office. If the individual value of these assets exceeds a certain threshold, you must identify and characterize each asset, specify the jurisdiction in which it is located and provide its value.</w:t>
      </w:r>
    </w:p>
    <w:p>
      <w:pPr>
        <w:spacing w:after="0" w:line="177"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F</w:t>
      </w:r>
      <w:r>
        <w:rPr>
          <w:rFonts w:ascii="Arial" w:cs="Arial" w:eastAsia="Arial" w:hAnsi="Arial"/>
          <w:sz w:val="13"/>
          <w:szCs w:val="13"/>
          <w:b w:val="1"/>
          <w:bCs w:val="1"/>
          <w:color w:val="auto"/>
        </w:rPr>
        <w:t>rance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u w:val="single" w:color="auto"/>
          <w:color w:val="auto"/>
        </w:rPr>
        <w:t>Type of Award</w:t>
      </w:r>
      <w:r>
        <w:rPr>
          <w:rFonts w:ascii="Arial" w:cs="Arial" w:eastAsia="Arial" w:hAnsi="Arial"/>
          <w:sz w:val="20"/>
          <w:szCs w:val="20"/>
          <w:color w:val="auto"/>
        </w:rPr>
        <w:t>. The Restricted Stock Units are not granted as “French-qualified” awards and are not intended to qualify for the specific tax and social security treatment applicable to shares granted for no consideration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19" w:name="page120"/>
    <w:bookmarkEnd w:id="119"/>
    <w:p>
      <w:pPr>
        <w:ind w:left="10220"/>
        <w:spacing w:after="0"/>
        <w:rPr>
          <w:sz w:val="20"/>
          <w:szCs w:val="20"/>
          <w:color w:val="auto"/>
        </w:rPr>
      </w:pPr>
      <w:r>
        <w:rPr>
          <w:rFonts w:ascii="Arial" w:cs="Arial" w:eastAsia="Arial" w:hAnsi="Arial"/>
          <w:sz w:val="18"/>
          <w:szCs w:val="18"/>
          <w:b w:val="1"/>
          <w:bCs w:val="1"/>
          <w:color w:val="auto"/>
        </w:rPr>
        <w:t>Exhibit 10.2</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under Sections L. 225-197-1 to L. 225-197-5 and Sections L. 22-10-59 to L. 22-10-60 of the French Commercial Code, as amended.</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Consent to Receive Information in English</w:t>
      </w:r>
      <w:r>
        <w:rPr>
          <w:rFonts w:ascii="Arial" w:cs="Arial" w:eastAsia="Arial" w:hAnsi="Arial"/>
          <w:sz w:val="20"/>
          <w:szCs w:val="20"/>
          <w:color w:val="auto"/>
        </w:rPr>
        <w:t>. By accepting the RSU Award, you confirm having read and understood the documents relating to this grant (the Plan and this Agreement), including all terms and conditions included therein, which were provided in the English language. You accept the terms and conditions of these documents accordingly.</w:t>
      </w:r>
    </w:p>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u w:val="single" w:color="auto"/>
          <w:color w:val="auto"/>
        </w:rPr>
        <w:t>Consentement relatif à la réception d’informations en langue anglaise</w:t>
      </w:r>
      <w:r>
        <w:rPr>
          <w:rFonts w:ascii="Arial" w:cs="Arial" w:eastAsia="Arial" w:hAnsi="Arial"/>
          <w:sz w:val="20"/>
          <w:szCs w:val="20"/>
          <w:i w:val="1"/>
          <w:iCs w:val="1"/>
          <w:color w:val="auto"/>
        </w:rPr>
        <w:t>. En acceptant les Droits sur des Actions Assujettis à des Restrictions, vous confirmez avoir lu et compris les documents relatifs à cette attribution (le Plan et le présent Contrat d’Attribution), y compris les termes et conditions de ces documents, qui ont été communiqués en langue anglaise. Vous acceptez les termes et conditions de ces documents en connaissance de cause.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The value of any cash or securities imported to or exported from France without the use of a financial institution must be reported to the customs and excise authorities when the value of such cash or securities is equal to or greater than a certain amount. You should consult with your personal financial advisor for further details regarding this requirement.</w:t>
      </w:r>
    </w:p>
    <w:p>
      <w:pPr>
        <w:spacing w:after="0" w:line="15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color w:val="auto"/>
        </w:rPr>
        <w:t>. You are required to report all foreign accounts (whether open, current or closed) to the French tax authorities when filing your annual tax return.</w:t>
      </w:r>
    </w:p>
    <w:p>
      <w:pPr>
        <w:spacing w:after="0" w:line="157"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G</w:t>
      </w:r>
      <w:r>
        <w:rPr>
          <w:rFonts w:ascii="Arial" w:cs="Arial" w:eastAsia="Arial" w:hAnsi="Arial"/>
          <w:sz w:val="13"/>
          <w:szCs w:val="13"/>
          <w:b w:val="1"/>
          <w:bCs w:val="1"/>
          <w:color w:val="auto"/>
        </w:rPr>
        <w:t>ermany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Cross-border payments and certain other transactions with a value in excess of €12,500 must be reported monthly to the German Federal Bank (</w:t>
      </w:r>
      <w:r>
        <w:rPr>
          <w:rFonts w:ascii="Arial" w:cs="Arial" w:eastAsia="Arial" w:hAnsi="Arial"/>
          <w:sz w:val="18"/>
          <w:szCs w:val="18"/>
          <w:i w:val="1"/>
          <w:iCs w:val="1"/>
          <w:color w:val="auto"/>
        </w:rPr>
        <w:t>Bundesbank</w:t>
      </w:r>
      <w:r>
        <w:rPr>
          <w:rFonts w:ascii="Arial" w:cs="Arial" w:eastAsia="Arial" w:hAnsi="Arial"/>
          <w:sz w:val="18"/>
          <w:szCs w:val="18"/>
          <w:color w:val="auto"/>
        </w:rPr>
        <w:t>). In case of payments in connection with securities (including proceeds realized upon the sale of shares of Common Stock or from the receipt of any dividends paid on such shares of Common Stock), the report must be made by the 5th day of the month following the month in which the payment was received. The report must be filed electronically. The form of report (“</w:t>
      </w:r>
      <w:r>
        <w:rPr>
          <w:rFonts w:ascii="Arial" w:cs="Arial" w:eastAsia="Arial" w:hAnsi="Arial"/>
          <w:sz w:val="18"/>
          <w:szCs w:val="18"/>
          <w:i w:val="1"/>
          <w:iCs w:val="1"/>
          <w:color w:val="auto"/>
        </w:rPr>
        <w:t>Allgemeines Meldeportal Statistik</w:t>
      </w:r>
      <w:r>
        <w:rPr>
          <w:rFonts w:ascii="Arial" w:cs="Arial" w:eastAsia="Arial" w:hAnsi="Arial"/>
          <w:sz w:val="18"/>
          <w:szCs w:val="18"/>
          <w:color w:val="auto"/>
        </w:rPr>
        <w:t>”) can be accessed via the Bundesbank’s website (www.bundesbank.de) and is available in both German and English. In addition, you may be required to report the acquisition of shares of Common Stock to the Bundesbank via email or telephone if the value of the shares of Common Stock acquired exceeds €12,500. You are responsible for complying with applicable reporting requirements and should consult with your advisor or directly with the Bundesbank as to the transactions that trigger a reporting obligation.</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If your acquisition of shares of Common Stock under the Plan leads to a so-called qualified participation at any point during the calendar year, you will need to report the acquisition when you file your tax return for the relevant year. A qualified participation is attained only if (i) you own at least 1% of the Company and the value of the shares of Common Stock acquired exceeds €150,000 or (ii) you hold shares of Common Stock exceeding 10% of the Company's total Common Stock.</w:t>
      </w:r>
    </w:p>
    <w:p>
      <w:pPr>
        <w:spacing w:after="0" w:line="145"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taly</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Plan Document Acknowledgement</w:t>
      </w:r>
      <w:r>
        <w:rPr>
          <w:rFonts w:ascii="Arial" w:cs="Arial" w:eastAsia="Arial" w:hAnsi="Arial"/>
          <w:sz w:val="20"/>
          <w:szCs w:val="20"/>
          <w:color w:val="auto"/>
        </w:rPr>
        <w:t>. By accepting the RSU Award, you acknowledge you have received a copy of the Plan and the Agreement and have reviewed the Plan and the Agreement, including this Appendix,</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0"/>
          <w:szCs w:val="20"/>
          <w:b w:val="1"/>
          <w:bCs w:val="1"/>
          <w:color w:val="auto"/>
        </w:rPr>
        <w:t>Exhibit 10.2</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in their entirety and fully understand and accept all provisions of the Plan and the Agreement, including this Appendix.</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color w:val="auto"/>
        </w:rPr>
        <w:t>. Italian residents who, at any time during the fiscal year, hold foreign financial assets (including cash and shares of Common Stock) which may generate income taxable in Italy are required to report these assets on their annual tax returns (UNICO Form, RW Schedule) for the year during which the assets are held, or on a special form if no tax return is due. These reporting obligations also will apply to Italian residents who are the beneficial owners of foreign financial assets under Italian money laundering provisions.</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u w:val="single" w:color="auto"/>
          <w:color w:val="auto"/>
        </w:rPr>
        <w:t>Tax on Foreign Financial Assets</w:t>
      </w:r>
      <w:r>
        <w:rPr>
          <w:rFonts w:ascii="Arial" w:cs="Arial" w:eastAsia="Arial" w:hAnsi="Arial"/>
          <w:sz w:val="18"/>
          <w:szCs w:val="18"/>
          <w:color w:val="auto"/>
        </w:rPr>
        <w:t>. The value of any shares of Common Stock (and certain other foreign assets) you hold outside Italy will be subject to a foreign financial assets tax, to the extent the aggregate value of your covered foreign assets exceeds a certain threshold. The taxable amount is equal to the fair market value of the shares of Common Stock on December 31 or on the last day the shares of Common Stock were held (in such case, or when the shares of Common Stock are acquired during the course of the year, the tax is levied in proportion to the number of days the shares of Common Stock were held over the calendar year). If you are subject to this foreign financial assets tax, you will need to report the value of the financial assets held abroad in Form RM of your annual tax return. You are advised to contact your personal tax advisor for additional information about the foreign financial assets tax.</w:t>
      </w:r>
    </w:p>
    <w:p>
      <w:pPr>
        <w:spacing w:after="0" w:line="167"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J</w:t>
      </w:r>
      <w:r>
        <w:rPr>
          <w:rFonts w:ascii="Arial" w:cs="Arial" w:eastAsia="Arial" w:hAnsi="Arial"/>
          <w:sz w:val="13"/>
          <w:szCs w:val="13"/>
          <w:b w:val="1"/>
          <w:bCs w:val="1"/>
          <w:color w:val="auto"/>
        </w:rPr>
        <w:t>apan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you acquire shares of Common Stock valued at more than ¥100,000,000 in a single transaction, you must file a Securities Acquisition Report with the Ministry of Finance through the Bank of Japan within 20 days of the acquisition of the share of Common Stock.</w:t>
      </w:r>
    </w:p>
    <w:p>
      <w:pPr>
        <w:spacing w:after="0" w:line="7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color w:val="auto"/>
        </w:rPr>
        <w:t>. You are required to report details of any assets held outside Japan as of December 31 (including shares of Common Stock acquired under the Plan), to the extent such assets have a total net fair market value exceeding ¥50 million. Such report will be due by March 15 each year. You should consult with your personal tax advisor to determine if the reporting obligation applies to your personal situation.</w:t>
      </w:r>
    </w:p>
    <w:p>
      <w:pPr>
        <w:spacing w:after="0" w:line="285"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etherlands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10"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oland</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Polish residents holding foreign securities (including shares of Common Stock) and maintaining accounts abroad may be required to file certain reports with the National Bank of Poland on the transactions and balances of the securities and cash deposited in such accounts if the value of such transactions or balances exceeds PLN 7,000,000 in the aggregate. If required, the resident must file reports on the transactions and balances of the accounts on a quarterly basis on special forms available on the website of the National Bank of Poland.</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In addition, Polish residents are required to transfer funds (e.g., in connection with the sale of shares of</w:t>
      </w:r>
    </w:p>
    <w:p>
      <w:pPr>
        <w:spacing w:after="0" w:line="16"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1" w:name="page122"/>
    <w:bookmarkEnd w:id="121"/>
    <w:p>
      <w:pPr>
        <w:ind w:left="10220"/>
        <w:spacing w:after="0"/>
        <w:rPr>
          <w:sz w:val="20"/>
          <w:szCs w:val="20"/>
          <w:color w:val="auto"/>
        </w:rPr>
      </w:pPr>
      <w:r>
        <w:rPr>
          <w:rFonts w:ascii="Arial" w:cs="Arial" w:eastAsia="Arial" w:hAnsi="Arial"/>
          <w:sz w:val="18"/>
          <w:szCs w:val="18"/>
          <w:b w:val="1"/>
          <w:bCs w:val="1"/>
          <w:color w:val="auto"/>
        </w:rPr>
        <w:t>Exhibit 10.2</w:t>
      </w:r>
    </w:p>
    <w:p>
      <w:pPr>
        <w:spacing w:after="0" w:line="232" w:lineRule="exact"/>
        <w:rPr>
          <w:sz w:val="20"/>
          <w:szCs w:val="20"/>
          <w:color w:val="auto"/>
        </w:rPr>
      </w:pPr>
    </w:p>
    <w:p>
      <w:pPr>
        <w:jc w:val="both"/>
        <w:ind w:right="120"/>
        <w:spacing w:after="0" w:line="246" w:lineRule="auto"/>
        <w:rPr>
          <w:sz w:val="20"/>
          <w:szCs w:val="20"/>
          <w:color w:val="auto"/>
        </w:rPr>
      </w:pPr>
      <w:r>
        <w:rPr>
          <w:rFonts w:ascii="Arial" w:cs="Arial" w:eastAsia="Arial" w:hAnsi="Arial"/>
          <w:sz w:val="20"/>
          <w:szCs w:val="20"/>
          <w:color w:val="auto"/>
        </w:rPr>
        <w:t>Common Stock) through a bank in Poland if the transferred amount in any single transaction exceeds a specified threshold (currently €15,000 unless the transfer of funds is considered to be connected with the business activity of an entrepreneur, in which case a lower threshold may apply). Polish residents are required to retain the documents connected with a foreign exchange transaction for a period of five (5) years, as measured from the end of the year in which such transaction occurred.</w:t>
      </w:r>
    </w:p>
    <w:p>
      <w:pPr>
        <w:spacing w:after="0" w:line="172"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ortugal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Language Consent</w:t>
      </w:r>
      <w:r>
        <w:rPr>
          <w:rFonts w:ascii="Arial" w:cs="Arial" w:eastAsia="Arial" w:hAnsi="Arial"/>
          <w:sz w:val="20"/>
          <w:szCs w:val="20"/>
          <w:color w:val="auto"/>
        </w:rPr>
        <w:t>. You hereby expressly declare that you have full knowledge of the English language and have read, understood and fully accepted and agreed with the terms and conditions established in the Plan and Agreement.</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Conhecimento da Lingua</w:t>
      </w:r>
      <w:r>
        <w:rPr>
          <w:rFonts w:ascii="Arial" w:cs="Arial" w:eastAsia="Arial" w:hAnsi="Arial"/>
          <w:sz w:val="20"/>
          <w:szCs w:val="20"/>
          <w:color w:val="auto"/>
        </w:rPr>
        <w:t xml:space="preserve">. </w:t>
      </w:r>
      <w:r>
        <w:rPr>
          <w:rFonts w:ascii="Arial" w:cs="Arial" w:eastAsia="Arial" w:hAnsi="Arial"/>
          <w:sz w:val="20"/>
          <w:szCs w:val="20"/>
          <w:i w:val="1"/>
          <w:iCs w:val="1"/>
          <w:color w:val="auto"/>
        </w:rPr>
        <w:t>Por meio do presente, você declaro expressamente que tem pleno conhecimento da língua inglesa e que leu,</w:t>
      </w:r>
      <w:r>
        <w:rPr>
          <w:rFonts w:ascii="Arial" w:cs="Arial" w:eastAsia="Arial" w:hAnsi="Arial"/>
          <w:sz w:val="20"/>
          <w:szCs w:val="20"/>
          <w:color w:val="auto"/>
        </w:rPr>
        <w:t xml:space="preserve"> </w:t>
      </w:r>
      <w:r>
        <w:rPr>
          <w:rFonts w:ascii="Arial" w:cs="Arial" w:eastAsia="Arial" w:hAnsi="Arial"/>
          <w:sz w:val="20"/>
          <w:szCs w:val="20"/>
          <w:i w:val="1"/>
          <w:iCs w:val="1"/>
          <w:color w:val="auto"/>
        </w:rPr>
        <w:t>compreendeu e livremente aceitou e concordou com os termos e condições estabelecidas no Plano e no Acordo.</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you are a resident of Portugal and you receive shares of Common Stock, the acquisition of such shares of Common Stock should be reported to the Banco de Portugal for statistical purposes. If the shares of Common Stock are deposited with a commercial bank or financial intermediary in Portugal, such bank or financial intermediary will submit the report to the Banco de Portugal. If the shares of Common Stock are not deposited with a commercial bank, broker or financial intermediary in Portugal, you will be responsible for submitting the report to the Banco de Portugal.</w:t>
      </w:r>
    </w:p>
    <w:p>
      <w:pPr>
        <w:spacing w:after="0" w:line="392"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ingapore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RSU Award is being granted pursuant to the “Qualifying Person” exemption under section 273(1)(f) of the Singapore Securities and Futures Act (Chapter 289, 2006 Ed.) (“SFA”) and is not being granted to you with a view to the shares of Common Stock acquired from the RSU Award being subsequently offered for sale to any other party. The Plan has not been, and will not be, lodged or registered as a prospectus with the Monetary Authority of Singapore. Further, the RSU Award is subject to section 257 of the SFA and you should not sell, or offer to sell, any shares of Common Stock acquired pursuant to the RSU Award in Singapore, unless such sale or offer is made (i) after six months from the Date of Grant or (ii) pursuant to the exemptions under Part XIII Division (1) Subdivision (4) (other than section 280) of the SFA.</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To the extent you sell, offer to sell or otherwise dispose of shares of Common Stock acquired through the Plan within six months of the Date of Grant, you are permitted to dispose of such shares of Common Stock through the Designated Broker, provided the resale of shares of Common Stock acquired under the Plan takes place outside Singapore through the facilities of a stock exchange on which the shares of Common Stock are listed.</w:t>
      </w:r>
    </w:p>
    <w:p>
      <w:pPr>
        <w:spacing w:after="0" w:line="191" w:lineRule="exact"/>
        <w:rPr>
          <w:sz w:val="20"/>
          <w:szCs w:val="20"/>
          <w:color w:val="auto"/>
        </w:rPr>
      </w:pPr>
    </w:p>
    <w:p>
      <w:pPr>
        <w:jc w:val="both"/>
        <w:ind w:right="120"/>
        <w:spacing w:after="0" w:line="252" w:lineRule="auto"/>
        <w:rPr>
          <w:sz w:val="20"/>
          <w:szCs w:val="20"/>
          <w:color w:val="auto"/>
        </w:rPr>
      </w:pPr>
      <w:r>
        <w:rPr>
          <w:rFonts w:ascii="Arial" w:cs="Arial" w:eastAsia="Arial" w:hAnsi="Arial"/>
          <w:sz w:val="19"/>
          <w:szCs w:val="19"/>
          <w:u w:val="single" w:color="auto"/>
          <w:color w:val="auto"/>
        </w:rPr>
        <w:t>Director Notification Obligation</w:t>
      </w:r>
      <w:r>
        <w:rPr>
          <w:rFonts w:ascii="Arial" w:cs="Arial" w:eastAsia="Arial" w:hAnsi="Arial"/>
          <w:sz w:val="19"/>
          <w:szCs w:val="19"/>
          <w:color w:val="auto"/>
        </w:rPr>
        <w:t>. If you are a director, associate director or shadow director of a Singaporean Affiliate, you are subject to certain notification requirements under the Singapore Companies Act. Among these requirements is an obligation to notify the Singaporean Affiliate in writing when you receive an interest (e.g., Restricted Stock Units, shares of Common Stock) in the Company or an Affiliate. In addition, you must notify the Singaporean Affiliate when you sell any shares of Common Stock (including when you sell the shares of Common Stock acquired under the Plan). These notifications must be made within two (2)</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2" w:name="page123"/>
    <w:bookmarkEnd w:id="122"/>
    <w:p>
      <w:pPr>
        <w:ind w:left="10220"/>
        <w:spacing w:after="0"/>
        <w:rPr>
          <w:sz w:val="20"/>
          <w:szCs w:val="20"/>
          <w:color w:val="auto"/>
        </w:rPr>
      </w:pPr>
      <w:r>
        <w:rPr>
          <w:rFonts w:ascii="Arial" w:cs="Arial" w:eastAsia="Arial" w:hAnsi="Arial"/>
          <w:sz w:val="18"/>
          <w:szCs w:val="18"/>
          <w:b w:val="1"/>
          <w:bCs w:val="1"/>
          <w:color w:val="auto"/>
        </w:rPr>
        <w:t>Exhibit 10.2</w:t>
      </w:r>
    </w:p>
    <w:p>
      <w:pPr>
        <w:spacing w:after="0" w:line="232"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business days of acquiring or disposing of any interest in the Company or any Affiliate. In addition, a notification must be made of your interests in the Company or any Affiliate within two (2) business days of becoming a director, associate director or shadow director of an Affiliate in Singapore.</w:t>
      </w:r>
    </w:p>
    <w:p>
      <w:pPr>
        <w:spacing w:after="0" w:line="166"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pain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Labor Law Acknowledgement</w:t>
      </w:r>
      <w:r>
        <w:rPr>
          <w:rFonts w:ascii="Arial" w:cs="Arial" w:eastAsia="Arial" w:hAnsi="Arial"/>
          <w:sz w:val="20"/>
          <w:szCs w:val="20"/>
          <w:color w:val="auto"/>
        </w:rPr>
        <w:t>. As a condition of receipt of the RSU Award, you acknowledge you understand and agree to participation in the Plan and that you have received a copy of the Plan.</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You understand that the Company has unilaterally, gratuitously and discretionally decided to grant Restricted Stock Units under the Plan to certain individuals who are eligible to receive Awards under the Plan. The decision is a limited decision that is entered into upon the express assumption and condition that any grant will not economically or otherwise bind the Company or any of its Affiliates on an ongoing basis. Consequently, you understand that any grant is given on the assumption and condition that it shall not become a part of any employment contract (either with the Company or any of its Affiliates) and shall not be considered a mandatory benefit, salary for any purposes (including severance compensation) or any other right whatsoever. Furthermore, you understand and freely accept that there is no guarantee that any benefit whatsoever shall arise from any gratuitous and discretionary grant since the future value of the RSU Award and the underlying shares of Common Stock is unknown and unpredictable. In addition, you understand that this grant would not be made but for the assumptions and conditions referred to above; thus, you understand, acknowledge and freely accept that should any or all of the assumptions be mistaken or should any of the conditions not be met for any reason, then the RSU Award shall be null and void.</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Furthermore, you understand that the RSU Award is a conditional right. Except as determined by the Plan Administrator or as provided in the Agreement, you shall forfeit any unvested RSU Award upon termination of Continuous Service. The terms of this provision apply even if you are considered to be unfairly dismissed without good cause (i.e., subject to a “</w:t>
      </w:r>
      <w:r>
        <w:rPr>
          <w:rFonts w:ascii="Arial" w:cs="Arial" w:eastAsia="Arial" w:hAnsi="Arial"/>
          <w:sz w:val="19"/>
          <w:szCs w:val="19"/>
          <w:i w:val="1"/>
          <w:iCs w:val="1"/>
          <w:color w:val="auto"/>
        </w:rPr>
        <w:t>despido improcedente</w:t>
      </w:r>
      <w:r>
        <w:rPr>
          <w:rFonts w:ascii="Arial" w:cs="Arial" w:eastAsia="Arial" w:hAnsi="Arial"/>
          <w:sz w:val="19"/>
          <w:szCs w:val="19"/>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xml:space="preserve">. If you hold 10% or more of the share capital of the Company or such other amount that would entitle you to join the Board, the acquisition, ownership and disposition of stock in a foreign company (including shares of Common Stock) must be declared for statistical purposes to the </w:t>
      </w:r>
      <w:r>
        <w:rPr>
          <w:rFonts w:ascii="Arial" w:cs="Arial" w:eastAsia="Arial" w:hAnsi="Arial"/>
          <w:sz w:val="18"/>
          <w:szCs w:val="18"/>
          <w:i w:val="1"/>
          <w:iCs w:val="1"/>
          <w:color w:val="auto"/>
        </w:rPr>
        <w:t>Spanish Dirección General de Comercio e Inversiones</w:t>
      </w:r>
      <w:r>
        <w:rPr>
          <w:rFonts w:ascii="Arial" w:cs="Arial" w:eastAsia="Arial" w:hAnsi="Arial"/>
          <w:sz w:val="18"/>
          <w:szCs w:val="18"/>
          <w:color w:val="auto"/>
        </w:rPr>
        <w:t>, the Bureau for Commerce and Investments, which is a department of the Ministry of Economy and Competitiveness. In this case, the declaration must be made in January for shares acquired or disposed of during the prior year and/or for shares owned as of December 31 of the prior year; however, if the value of the shares acquired or sold exceeds €1,502,530, the declaration must be filed within one month of the acquisition or disposition, as applicable.</w:t>
      </w:r>
    </w:p>
    <w:p>
      <w:pPr>
        <w:spacing w:after="0" w:line="167"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When receiving foreign currency payments derived from the ownership of shares of Common Stock (i.e., dividends or sale proceeds) in excess of €50,000, you must inform the financial institution receiving the payment of the basis upon which such payment is made. You will need to provide the following information: (i) your name, address, and fiscal identification number; (ii) the name and corporate domicile of the Company; (iii) the amount of the payment and the currency used; (iv) the country of origin; (v) the reasons for the payment; and (vi) further information that may be required.</w:t>
      </w:r>
    </w:p>
    <w:p>
      <w:pPr>
        <w:spacing w:after="0" w:line="195"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addition, you may be required to electronically declare to the Bank of Spain any foreign accounts (including brokerage accounts held abroad), any foreign instruments (including shares of Common Stock acquired under the Plan), and any transactions with non-Spanish residents (including any payments of shares made pursuant to the Plan), depending on the balances in such accounts together with the value of such instruments as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Exhibit 10.2</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December 31 of the relevant year, or the volume of transactions with non-Spanish residents during the relevant year.</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xml:space="preserve">. No “offer of securities to the public,” as defined under Spanish law, has taken place or will take place in the Spanish territory in connection with the RSU Award. The Agreement has not been nor will it be registered with the </w:t>
      </w:r>
      <w:r>
        <w:rPr>
          <w:rFonts w:ascii="Arial" w:cs="Arial" w:eastAsia="Arial" w:hAnsi="Arial"/>
          <w:sz w:val="20"/>
          <w:szCs w:val="20"/>
          <w:i w:val="1"/>
          <w:iCs w:val="1"/>
          <w:color w:val="auto"/>
        </w:rPr>
        <w:t>Comisión Nacional del</w:t>
      </w:r>
      <w:r>
        <w:rPr>
          <w:rFonts w:ascii="Arial" w:cs="Arial" w:eastAsia="Arial" w:hAnsi="Arial"/>
          <w:sz w:val="20"/>
          <w:szCs w:val="20"/>
          <w:color w:val="auto"/>
        </w:rPr>
        <w:t xml:space="preserve"> </w:t>
      </w:r>
      <w:r>
        <w:rPr>
          <w:rFonts w:ascii="Arial" w:cs="Arial" w:eastAsia="Arial" w:hAnsi="Arial"/>
          <w:sz w:val="20"/>
          <w:szCs w:val="20"/>
          <w:i w:val="1"/>
          <w:iCs w:val="1"/>
          <w:color w:val="auto"/>
        </w:rPr>
        <w:t>Mercado de Valores</w:t>
      </w:r>
      <w:r>
        <w:rPr>
          <w:rFonts w:ascii="Arial" w:cs="Arial" w:eastAsia="Arial" w:hAnsi="Arial"/>
          <w:sz w:val="20"/>
          <w:szCs w:val="20"/>
          <w:color w:val="auto"/>
        </w:rPr>
        <w:t>, and does not constitute a public offering prospectus.</w:t>
      </w:r>
    </w:p>
    <w:p>
      <w:pPr>
        <w:spacing w:after="0" w:line="180"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weden</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 The following provision supplements Section 4 of the Global RSU Award Agreement:</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Without limiting the Company’s and the Service Recipient's authority to satisfy their withholding obligations for Tax-Related Items as set forth in the Global RSU Award Agreement, in accepting the Restricted Stock Units, you authorize the Company and/or the Service Recipient to withhold shares of Common Stock or to sell shares of Common Stock otherwise deliverable to you upon vesting/settlement to satisfy Tax-Related Items, regardless of whether the Company and/or the Service Recipient have an obligation to withhold such Tax-Related Items.</w:t>
      </w:r>
    </w:p>
    <w:p>
      <w:pPr>
        <w:spacing w:after="0" w:line="35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witzerland</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Because the grant of Restricted Stock Units is considered a private offering in Switzerland; it is not subject to registration in Switzerland. Neither this Agreement nor any other materials relating to the Restricted Stock Units (i) constitute a prospectus according to articles 35 et seq. of the Swiss Federal Act on Financial Services (“FinSA”), (ii) may be publicly distributed nor otherwise made publicly available in Switzerland to any person other than an employee or other service provider of the Company or any Affiliate or (iii) has been or will be filed with, approved or supervised by any Swiss reviewing body according to article 51 FinSA or any Swiss regulatory authority, including the Swiss Financial Market Supervisory Authority (“FINMA”).</w:t>
      </w:r>
    </w:p>
    <w:p>
      <w:pPr>
        <w:spacing w:after="0" w:line="378"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aiwan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xml:space="preserve"> The offer of participation in the Plan is available only for service providers of the Company and its Affiliates.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The offer of participation in the Plan is not a public offer of securities by a Taiwanese company.</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u w:val="single" w:color="auto"/>
          <w:color w:val="auto"/>
        </w:rPr>
        <w:t>Exchange Control Information</w:t>
      </w:r>
      <w:r>
        <w:rPr>
          <w:rFonts w:ascii="Arial" w:cs="Arial" w:eastAsia="Arial" w:hAnsi="Arial"/>
          <w:sz w:val="19"/>
          <w:szCs w:val="19"/>
          <w:color w:val="auto"/>
        </w:rPr>
        <w:t>. Taiwanese residents may acquire and remit foreign currency (including funds to purchase or proceeds from the sale of shares of Common Stock) into and out of Taiwan, through an authorized foreign exchange bank, up to US$5 million per year without submission of supporting documentation. If the transaction amount is TWD$500,000 or more in a single transaction, Taiwanese residents are required to submit a foreign exchange transaction form and if the transaction amount is US$500,000 or more in a single transaction, such residents may be required to provide supporting documentation to the satisfaction of the remitting bank. You are personally responsible for complying with exchange control restrictions in Taiwan.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U</w:t>
      </w:r>
      <w:r>
        <w:rPr>
          <w:rFonts w:ascii="Arial" w:cs="Arial" w:eastAsia="Arial" w:hAnsi="Arial"/>
          <w:sz w:val="13"/>
          <w:szCs w:val="13"/>
          <w:b w:val="1"/>
          <w:bCs w:val="1"/>
          <w:color w:val="auto"/>
        </w:rPr>
        <w:t>nited</w:t>
      </w:r>
      <w:r>
        <w:rPr>
          <w:rFonts w:ascii="Arial" w:cs="Arial" w:eastAsia="Arial" w:hAnsi="Arial"/>
          <w:sz w:val="20"/>
          <w:szCs w:val="20"/>
          <w:b w:val="1"/>
          <w:bCs w:val="1"/>
          <w:color w:val="auto"/>
        </w:rPr>
        <w:t xml:space="preserve"> K</w:t>
      </w:r>
      <w:r>
        <w:rPr>
          <w:rFonts w:ascii="Arial" w:cs="Arial" w:eastAsia="Arial" w:hAnsi="Arial"/>
          <w:sz w:val="13"/>
          <w:szCs w:val="13"/>
          <w:b w:val="1"/>
          <w:bCs w:val="1"/>
          <w:color w:val="auto"/>
        </w:rPr>
        <w:t>ingdom</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 Without limitation to Section 4 of the Global RSU Award Agreement, you agree that you are liable for all Tax-Related Items and hereby covenant to pay all such Tax-Related Items as and when requested by the Company, the Service Recipient or by Her Majesty’s Revenue and Customs (“HMRC”) (or any other tax authority or any other relevant authority). You also agree to indemnify and keep indemnified the Company and the Service Recipient against any Tax-Related Items that you are required to pay or withhold or have paid or will pay to HMRC (or any other tax authority or any other relevant authority) on your behalf. For the purposes of this Agreement, Tax-Related Items include (without limitation) employment income tax, employee National Insurance Contributions (“NICs”) and the employee portion of the Health and Social Care levy.</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Notwithstanding the foregoing, if you are a Director or an Officer, the terms of the immediately foregoing provision may not apply in case the indemnification is viewed as a loan. In such case, the amount of any uncollected income tax may constitute an additional benefit to you on which additional income tax and NICs may be payable. You will be responsible for reporting and paying any income tax due on this additional benefit directly to HMRC under the self-assessment regime and for reimbursing the Company or the Service Recipient (as applicable) for the value of any employee NICs due on this additional benefit, which the Company and/or the Service Recipient may recover at any time thereafter by any of the means referred to in Section 4 of the Global RSU Award Agreement.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 Wenbin Jiang, Ph.D., certify that:</w:t>
      </w:r>
    </w:p>
    <w:p>
      <w:pPr>
        <w:ind w:left="180" w:hanging="172"/>
        <w:spacing w:after="0" w:line="234" w:lineRule="auto"/>
        <w:tabs>
          <w:tab w:leader="none" w:pos="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Cytek Biosciences, Inc.;</w:t>
      </w:r>
    </w:p>
    <w:p>
      <w:pPr>
        <w:ind w:left="180" w:hanging="172"/>
        <w:spacing w:after="0"/>
        <w:tabs>
          <w:tab w:leader="none" w:pos="1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statements made, in light of the circumstances under which such statements were made, not misleading with respect to the period covered by this report;</w:t>
      </w:r>
    </w:p>
    <w:p>
      <w:pPr>
        <w:spacing w:after="0" w:line="20" w:lineRule="exact"/>
        <w:rPr>
          <w:sz w:val="20"/>
          <w:szCs w:val="20"/>
          <w:color w:val="auto"/>
        </w:rPr>
      </w:pPr>
    </w:p>
    <w:p>
      <w:pPr>
        <w:ind w:right="540" w:firstLine="8"/>
        <w:spacing w:after="0" w:line="248" w:lineRule="auto"/>
        <w:tabs>
          <w:tab w:leader="none" w:pos="1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20" w:firstLine="8"/>
        <w:spacing w:after="0" w:line="258" w:lineRule="auto"/>
        <w:tabs>
          <w:tab w:leader="none" w:pos="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5" w:lineRule="exact"/>
        <w:rPr>
          <w:rFonts w:ascii="Arial" w:cs="Arial" w:eastAsia="Arial" w:hAnsi="Arial"/>
          <w:sz w:val="18"/>
          <w:szCs w:val="18"/>
          <w:color w:val="auto"/>
        </w:rPr>
      </w:pPr>
    </w:p>
    <w:p>
      <w:pPr>
        <w:ind w:left="760" w:right="280" w:hanging="378"/>
        <w:spacing w:after="0" w:line="256" w:lineRule="auto"/>
        <w:tabs>
          <w:tab w:leader="none" w:pos="7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jc w:val="both"/>
        <w:ind w:left="760" w:right="760" w:hanging="378"/>
        <w:spacing w:after="0" w:line="324" w:lineRule="auto"/>
        <w:tabs>
          <w:tab w:leader="none" w:pos="7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760" w:right="280" w:hanging="378"/>
        <w:spacing w:after="0" w:line="245" w:lineRule="auto"/>
        <w:tabs>
          <w:tab w:leader="none" w:pos="7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right="480" w:firstLine="8"/>
        <w:spacing w:after="0" w:line="273" w:lineRule="auto"/>
        <w:tabs>
          <w:tab w:leader="none" w:pos="1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7"/>
          <w:szCs w:val="17"/>
          <w:color w:val="auto"/>
        </w:rPr>
      </w:pPr>
    </w:p>
    <w:p>
      <w:pPr>
        <w:ind w:left="760" w:right="180" w:hanging="378"/>
        <w:spacing w:after="0" w:line="277" w:lineRule="auto"/>
        <w:tabs>
          <w:tab w:leader="none" w:pos="7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760" w:right="140" w:hanging="378"/>
        <w:spacing w:after="0" w:line="261" w:lineRule="auto"/>
        <w:tabs>
          <w:tab w:leader="none" w:pos="7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Pr>
          <w:p>
            <w:pPr>
              <w:spacing w:after="0"/>
              <w:rPr>
                <w:sz w:val="20"/>
                <w:szCs w:val="20"/>
                <w:color w:val="auto"/>
              </w:rPr>
            </w:pPr>
            <w:r>
              <w:rPr>
                <w:rFonts w:ascii="Arial" w:cs="Arial" w:eastAsia="Arial" w:hAnsi="Arial"/>
                <w:sz w:val="18"/>
                <w:szCs w:val="18"/>
                <w:color w:val="auto"/>
              </w:rPr>
              <w:t>Date: November 9, 2022</w:t>
            </w:r>
          </w:p>
        </w:tc>
        <w:tc>
          <w:tcPr>
            <w:tcW w:w="8100" w:type="dxa"/>
            <w:vAlign w:val="bottom"/>
            <w:gridSpan w:val="3"/>
          </w:tcPr>
          <w:p>
            <w:pPr>
              <w:ind w:left="1340"/>
              <w:spacing w:after="0"/>
              <w:rPr>
                <w:sz w:val="20"/>
                <w:szCs w:val="20"/>
                <w:color w:val="auto"/>
              </w:rPr>
            </w:pPr>
            <w:r>
              <w:rPr>
                <w:rFonts w:ascii="Arial" w:cs="Arial" w:eastAsia="Arial" w:hAnsi="Arial"/>
                <w:sz w:val="18"/>
                <w:szCs w:val="18"/>
                <w:color w:val="auto"/>
              </w:rPr>
              <w:t>By: /s/ Wenbin Jiang, Ph.D.</w:t>
            </w:r>
          </w:p>
        </w:tc>
      </w:tr>
      <w:tr>
        <w:trPr>
          <w:trHeight w:val="195"/>
        </w:trPr>
        <w:tc>
          <w:tcPr>
            <w:tcW w:w="31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w w:val="87"/>
              </w:rPr>
              <w:t>Wenbin Jiang, Ph.D.</w:t>
            </w:r>
          </w:p>
        </w:tc>
        <w:tc>
          <w:tcPr>
            <w:tcW w:w="4760" w:type="dxa"/>
            <w:vAlign w:val="bottom"/>
          </w:tcPr>
          <w:p>
            <w:pPr>
              <w:spacing w:after="0"/>
              <w:rPr>
                <w:sz w:val="16"/>
                <w:szCs w:val="16"/>
                <w:color w:val="auto"/>
              </w:rPr>
            </w:pPr>
          </w:p>
        </w:tc>
      </w:tr>
      <w:tr>
        <w:trPr>
          <w:trHeight w:val="216"/>
        </w:trPr>
        <w:tc>
          <w:tcPr>
            <w:tcW w:w="3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440" w:type="dxa"/>
            <w:vAlign w:val="bottom"/>
            <w:gridSpan w:val="2"/>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440" w:type="dxa"/>
            <w:vAlign w:val="bottom"/>
            <w:gridSpan w:val="2"/>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304"/>
        </w:trPr>
        <w:tc>
          <w:tcPr>
            <w:tcW w:w="31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 Patrik Jeanmonod, certify that:</w:t>
      </w:r>
    </w:p>
    <w:p>
      <w:pPr>
        <w:ind w:left="180" w:hanging="172"/>
        <w:spacing w:after="0" w:line="234" w:lineRule="auto"/>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Cytek Biosciences, Inc.;</w:t>
      </w:r>
    </w:p>
    <w:p>
      <w:pPr>
        <w:ind w:left="180" w:hanging="172"/>
        <w:spacing w:after="0"/>
        <w:tabs>
          <w:tab w:leader="none" w:pos="1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statements made, in light of the circumstances under which such statements were made, not misleading with respect to the period covered by this report;</w:t>
      </w:r>
    </w:p>
    <w:p>
      <w:pPr>
        <w:spacing w:after="0" w:line="20" w:lineRule="exact"/>
        <w:rPr>
          <w:sz w:val="20"/>
          <w:szCs w:val="20"/>
          <w:color w:val="auto"/>
        </w:rPr>
      </w:pPr>
    </w:p>
    <w:p>
      <w:pPr>
        <w:ind w:right="540" w:firstLine="8"/>
        <w:spacing w:after="0" w:line="248" w:lineRule="auto"/>
        <w:tabs>
          <w:tab w:leader="none" w:pos="1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20" w:firstLine="8"/>
        <w:spacing w:after="0" w:line="258" w:lineRule="auto"/>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5" w:lineRule="exact"/>
        <w:rPr>
          <w:rFonts w:ascii="Arial" w:cs="Arial" w:eastAsia="Arial" w:hAnsi="Arial"/>
          <w:sz w:val="18"/>
          <w:szCs w:val="18"/>
          <w:color w:val="auto"/>
        </w:rPr>
      </w:pPr>
    </w:p>
    <w:p>
      <w:pPr>
        <w:ind w:left="1020" w:hanging="503"/>
        <w:spacing w:after="0" w:line="256" w:lineRule="auto"/>
        <w:tabs>
          <w:tab w:leader="none" w:pos="10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20" w:hanging="503"/>
        <w:spacing w:after="0" w:line="245" w:lineRule="auto"/>
        <w:tabs>
          <w:tab w:leader="none" w:pos="10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right="480" w:firstLine="8"/>
        <w:spacing w:after="0" w:line="273" w:lineRule="auto"/>
        <w:tabs>
          <w:tab w:leader="none" w:pos="1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20"/>
                <w:szCs w:val="20"/>
                <w:color w:val="auto"/>
              </w:rPr>
            </w:pPr>
            <w:r>
              <w:rPr>
                <w:rFonts w:ascii="Arial" w:cs="Arial" w:eastAsia="Arial" w:hAnsi="Arial"/>
                <w:sz w:val="18"/>
                <w:szCs w:val="18"/>
                <w:color w:val="auto"/>
              </w:rPr>
              <w:t>Date: November 9, 2022</w:t>
            </w:r>
          </w:p>
        </w:tc>
        <w:tc>
          <w:tcPr>
            <w:tcW w:w="1860" w:type="dxa"/>
            <w:vAlign w:val="bottom"/>
          </w:tcPr>
          <w:p>
            <w:pPr>
              <w:ind w:left="1500"/>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18"/>
                <w:szCs w:val="18"/>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Patrik Jeanmonod</w:t>
            </w:r>
          </w:p>
        </w:tc>
        <w:tc>
          <w:tcPr>
            <w:tcW w:w="4260" w:type="dxa"/>
            <w:vAlign w:val="bottom"/>
          </w:tcPr>
          <w:p>
            <w:pPr>
              <w:spacing w:after="0"/>
              <w:rPr>
                <w:sz w:val="18"/>
                <w:szCs w:val="18"/>
                <w:color w:val="auto"/>
              </w:rPr>
            </w:pPr>
          </w:p>
        </w:tc>
      </w:tr>
      <w:tr>
        <w:trPr>
          <w:trHeight w:val="195"/>
        </w:trPr>
        <w:tc>
          <w:tcPr>
            <w:tcW w:w="33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20" w:type="dxa"/>
            <w:vAlign w:val="bottom"/>
            <w:gridSpan w:val="2"/>
          </w:tcPr>
          <w:p>
            <w:pPr>
              <w:ind w:left="120"/>
              <w:spacing w:after="0" w:line="195" w:lineRule="exact"/>
              <w:rPr>
                <w:sz w:val="20"/>
                <w:szCs w:val="20"/>
                <w:color w:val="auto"/>
              </w:rPr>
            </w:pPr>
            <w:r>
              <w:rPr>
                <w:rFonts w:ascii="Arial" w:cs="Arial" w:eastAsia="Arial" w:hAnsi="Arial"/>
                <w:sz w:val="18"/>
                <w:szCs w:val="18"/>
                <w:color w:val="auto"/>
              </w:rPr>
              <w:t>Patrik Jeanmonod</w:t>
            </w:r>
          </w:p>
        </w:tc>
        <w:tc>
          <w:tcPr>
            <w:tcW w:w="4260" w:type="dxa"/>
            <w:vAlign w:val="bottom"/>
          </w:tcPr>
          <w:p>
            <w:pPr>
              <w:spacing w:after="0"/>
              <w:rPr>
                <w:sz w:val="16"/>
                <w:szCs w:val="16"/>
                <w:color w:val="auto"/>
              </w:rPr>
            </w:pPr>
          </w:p>
        </w:tc>
      </w:tr>
      <w:tr>
        <w:trPr>
          <w:trHeight w:val="216"/>
        </w:trPr>
        <w:tc>
          <w:tcPr>
            <w:tcW w:w="33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08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r>
      <w:tr>
        <w:trPr>
          <w:trHeight w:val="230"/>
        </w:trPr>
        <w:tc>
          <w:tcPr>
            <w:tcW w:w="3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080" w:type="dxa"/>
            <w:vAlign w:val="bottom"/>
            <w:gridSpan w:val="3"/>
          </w:tcPr>
          <w:p>
            <w:pPr>
              <w:ind w:left="120"/>
              <w:spacing w:after="0"/>
              <w:rPr>
                <w:sz w:val="20"/>
                <w:szCs w:val="20"/>
                <w:color w:val="auto"/>
              </w:rPr>
            </w:pPr>
            <w:r>
              <w:rPr>
                <w:rFonts w:ascii="Arial" w:cs="Arial" w:eastAsia="Arial" w:hAnsi="Arial"/>
                <w:sz w:val="18"/>
                <w:szCs w:val="18"/>
                <w:color w:val="auto"/>
              </w:rPr>
              <w:t>(Principal Financial Officer)</w:t>
            </w:r>
          </w:p>
        </w:tc>
      </w:tr>
      <w:tr>
        <w:trPr>
          <w:trHeight w:val="520"/>
        </w:trPr>
        <w:tc>
          <w:tcPr>
            <w:tcW w:w="33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firstLine="898"/>
        <w:spacing w:after="0" w:line="249" w:lineRule="auto"/>
        <w:rPr>
          <w:sz w:val="20"/>
          <w:szCs w:val="20"/>
          <w:color w:val="auto"/>
        </w:rPr>
      </w:pPr>
      <w:r>
        <w:rPr>
          <w:rFonts w:ascii="Arial" w:cs="Arial" w:eastAsia="Arial" w:hAnsi="Arial"/>
          <w:sz w:val="18"/>
          <w:szCs w:val="18"/>
          <w:color w:val="auto"/>
        </w:rPr>
        <w:t>In connection with the Quarterly Report on Form 10-Q of Cytek Biosciences, Inc. (the “Company”) for the period ended September 30, 2022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spacing w:after="0" w:line="73" w:lineRule="exact"/>
        <w:rPr>
          <w:sz w:val="20"/>
          <w:szCs w:val="20"/>
          <w:color w:val="auto"/>
        </w:rPr>
      </w:pPr>
    </w:p>
    <w:p>
      <w:pPr>
        <w:ind w:left="1020" w:hanging="503"/>
        <w:spacing w:after="0"/>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03"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left="20"/>
        <w:spacing w:after="0"/>
        <w:tabs>
          <w:tab w:leader="none" w:pos="4400" w:val="left"/>
          <w:tab w:leader="none" w:pos="504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Wenbin Jiang, Ph.D.</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Wenbin Jiang, Ph.D.</w:t>
      </w:r>
    </w:p>
    <w:p>
      <w:pPr>
        <w:ind w:left="502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40" w:firstLine="898"/>
        <w:spacing w:after="0" w:line="243" w:lineRule="auto"/>
        <w:rPr>
          <w:sz w:val="20"/>
          <w:szCs w:val="20"/>
          <w:color w:val="auto"/>
        </w:rPr>
      </w:pPr>
      <w:r>
        <w:rPr>
          <w:rFonts w:ascii="Arial" w:cs="Arial" w:eastAsia="Arial" w:hAnsi="Arial"/>
          <w:sz w:val="18"/>
          <w:szCs w:val="18"/>
          <w:color w:val="auto"/>
        </w:rPr>
        <w:t>In connection with the Quarterly Report on Form 10-Q of Cytek Biosciences, Inc. (the “Company”) for the period ended September 30, 2022 as filed with the Securities and Exchange Commission on the date hereof (the “Report”), the undersigned, Patrik Jeanmonod, Chief Financial Officer of the Company, hereby certifies, pursuant to requirements set forth in Rule 13a-14(b) of the Securities Exchange Act of 1934, as amended (the “Exchange Act”), and 18 U.S.C. Section 1350, that to his knowledge:</w:t>
      </w:r>
    </w:p>
    <w:p>
      <w:pPr>
        <w:spacing w:after="0" w:line="93" w:lineRule="exact"/>
        <w:rPr>
          <w:sz w:val="20"/>
          <w:szCs w:val="20"/>
          <w:color w:val="auto"/>
        </w:rPr>
      </w:pPr>
    </w:p>
    <w:p>
      <w:pPr>
        <w:ind w:left="1020" w:hanging="503"/>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03"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ind w:left="540"/>
              <w:spacing w:after="0"/>
              <w:rPr>
                <w:sz w:val="20"/>
                <w:szCs w:val="20"/>
                <w:color w:val="auto"/>
              </w:rPr>
            </w:pPr>
            <w:r>
              <w:rPr>
                <w:rFonts w:ascii="Arial" w:cs="Arial" w:eastAsia="Arial" w:hAnsi="Arial"/>
                <w:sz w:val="18"/>
                <w:szCs w:val="18"/>
                <w:color w:val="auto"/>
              </w:rPr>
              <w:t>Date:   November 9, 2022</w:t>
            </w:r>
          </w:p>
        </w:tc>
        <w:tc>
          <w:tcPr>
            <w:tcW w:w="1080" w:type="dxa"/>
            <w:vAlign w:val="bottom"/>
          </w:tcPr>
          <w:p>
            <w:pPr>
              <w:ind w:left="660"/>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17"/>
                <w:szCs w:val="17"/>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/s/ Patrik Jeanmonod</w:t>
            </w:r>
          </w:p>
        </w:tc>
      </w:tr>
      <w:tr>
        <w:trPr>
          <w:trHeight w:val="209"/>
        </w:trPr>
        <w:tc>
          <w:tcPr>
            <w:tcW w:w="3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Patrik Jeanmonod</w:t>
            </w:r>
          </w:p>
        </w:tc>
        <w:tc>
          <w:tcPr>
            <w:tcW w:w="5240" w:type="dxa"/>
            <w:vAlign w:val="bottom"/>
          </w:tcPr>
          <w:p>
            <w:pPr>
              <w:spacing w:after="0"/>
              <w:rPr>
                <w:sz w:val="18"/>
                <w:szCs w:val="18"/>
                <w:color w:val="auto"/>
              </w:rPr>
            </w:pPr>
          </w:p>
        </w:tc>
      </w:tr>
      <w:tr>
        <w:trPr>
          <w:trHeight w:val="203"/>
        </w:trPr>
        <w:tc>
          <w:tcPr>
            <w:tcW w:w="3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96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Chief Financial Officer</w:t>
            </w:r>
          </w:p>
        </w:tc>
      </w:tr>
      <w:tr>
        <w:trPr>
          <w:trHeight w:val="230"/>
        </w:trPr>
        <w:tc>
          <w:tcPr>
            <w:tcW w:w="3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960" w:type="dxa"/>
            <w:vAlign w:val="bottom"/>
            <w:gridSpan w:val="3"/>
          </w:tcPr>
          <w:p>
            <w:pPr>
              <w:ind w:left="140"/>
              <w:spacing w:after="0"/>
              <w:rPr>
                <w:sz w:val="20"/>
                <w:szCs w:val="20"/>
                <w:color w:val="auto"/>
              </w:rPr>
            </w:pPr>
            <w:r>
              <w:rPr>
                <w:rFonts w:ascii="Arial" w:cs="Arial" w:eastAsia="Arial" w:hAnsi="Arial"/>
                <w:sz w:val="18"/>
                <w:szCs w:val="18"/>
                <w:color w:val="auto"/>
              </w:rPr>
              <w:t>(Principal Financial Officer)</w:t>
            </w:r>
          </w:p>
        </w:tc>
      </w:tr>
      <w:tr>
        <w:trPr>
          <w:trHeight w:val="520"/>
        </w:trPr>
        <w:tc>
          <w:tcPr>
            <w:tcW w:w="3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9" w:name="page130"/>
    <w:bookmarkEnd w:id="1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decimal"/>
      <w:start w:val="1"/>
    </w:lvl>
  </w:abstractNum>
  <w:abstractNum w:abstractNumId="3">
    <w:nsid w:val="2A487CB0"/>
    <w:multiLevelType w:val="hybridMultilevel"/>
    <w:lvl w:ilvl="0">
      <w:lvlJc w:val="left"/>
      <w:lvlText w:val="%1."/>
      <w:numFmt w:val="decimal"/>
      <w:start w:val="2"/>
    </w:lvl>
  </w:abstractNum>
  <w:abstractNum w:abstractNumId="4">
    <w:nsid w:val="1D4ED43B"/>
    <w:multiLevelType w:val="hybridMultilevel"/>
    <w:lvl w:ilvl="0">
      <w:lvlJc w:val="left"/>
      <w:lvlText w:val="%1."/>
      <w:numFmt w:val="decimal"/>
      <w:start w:val="3"/>
    </w:lvl>
  </w:abstractNum>
  <w:abstractNum w:abstractNumId="5">
    <w:nsid w:val="725A06FB"/>
    <w:multiLevelType w:val="hybridMultilevel"/>
    <w:lvl w:ilvl="0">
      <w:lvlJc w:val="left"/>
      <w:lvlText w:val="%1."/>
      <w:numFmt w:val="decimal"/>
      <w:start w:val="4"/>
    </w:lvl>
  </w:abstractNum>
  <w:abstractNum w:abstractNumId="6">
    <w:nsid w:val="2CD89A32"/>
    <w:multiLevelType w:val="hybridMultilevel"/>
    <w:lvl w:ilvl="0">
      <w:lvlJc w:val="left"/>
      <w:lvlText w:val="%1."/>
      <w:numFmt w:val="decimal"/>
      <w:start w:val="6"/>
    </w:lvl>
  </w:abstractNum>
  <w:abstractNum w:abstractNumId="7">
    <w:nsid w:val="57E4CCAF"/>
    <w:multiLevelType w:val="hybridMultilevel"/>
    <w:lvl w:ilvl="0">
      <w:lvlJc w:val="left"/>
      <w:lvlText w:val="%1."/>
      <w:numFmt w:val="decimal"/>
      <w:start w:val="7"/>
    </w:lvl>
  </w:abstractNum>
  <w:abstractNum w:abstractNumId="8">
    <w:nsid w:val="7A6D8D3C"/>
    <w:multiLevelType w:val="hybridMultilevel"/>
    <w:lvl w:ilvl="0">
      <w:lvlJc w:val="left"/>
      <w:lvlText w:val="%1."/>
      <w:numFmt w:val="decimal"/>
      <w:start w:val="8"/>
    </w:lvl>
  </w:abstractNum>
  <w:abstractNum w:abstractNumId="9">
    <w:nsid w:val="4B588F54"/>
    <w:multiLevelType w:val="hybridMultilevel"/>
    <w:lvl w:ilvl="0">
      <w:lvlJc w:val="left"/>
      <w:lvlText w:val="%1."/>
      <w:numFmt w:val="decimal"/>
      <w:start w:val="9"/>
    </w:lvl>
  </w:abstractNum>
  <w:abstractNum w:abstractNumId="10">
    <w:nsid w:val="542289EC"/>
    <w:multiLevelType w:val="hybridMultilevel"/>
    <w:lvl w:ilvl="0">
      <w:lvlJc w:val="left"/>
      <w:lvlText w:val="%1."/>
      <w:numFmt w:val="decimal"/>
      <w:start w:val="10"/>
    </w:lvl>
  </w:abstractNum>
  <w:abstractNum w:abstractNumId="11">
    <w:nsid w:val="6DE91B18"/>
    <w:multiLevelType w:val="hybridMultilevel"/>
    <w:lvl w:ilvl="0">
      <w:lvlJc w:val="left"/>
      <w:lvlText w:val="%1."/>
      <w:numFmt w:val="decimal"/>
      <w:start w:val="11"/>
    </w:lvl>
  </w:abstractNum>
  <w:abstractNum w:abstractNumId="12">
    <w:nsid w:val="38437FDB"/>
    <w:multiLevelType w:val="hybridMultilevel"/>
    <w:lvl w:ilvl="0">
      <w:lvlJc w:val="left"/>
      <w:lvlText w:val="%1."/>
      <w:numFmt w:val="decimal"/>
      <w:start w:val="12"/>
    </w:lvl>
  </w:abstractNum>
  <w:abstractNum w:abstractNumId="13">
    <w:nsid w:val="7644A45C"/>
    <w:multiLevelType w:val="hybridMultilevel"/>
    <w:lvl w:ilvl="0">
      <w:lvlJc w:val="left"/>
      <w:lvlText w:val="%1."/>
      <w:numFmt w:val="decimal"/>
      <w:start w:val="13"/>
    </w:lvl>
  </w:abstractNum>
  <w:abstractNum w:abstractNumId="14">
    <w:nsid w:val="32FFF902"/>
    <w:multiLevelType w:val="hybridMultilevel"/>
    <w:lvl w:ilvl="0">
      <w:lvlJc w:val="left"/>
      <w:lvlText w:val="%1."/>
      <w:numFmt w:val="decimal"/>
      <w:start w:val="14"/>
    </w:lvl>
  </w:abstractNum>
  <w:abstractNum w:abstractNumId="15">
    <w:nsid w:val="684A481A"/>
    <w:multiLevelType w:val="hybridMultilevel"/>
    <w:lvl w:ilvl="0">
      <w:lvlJc w:val="left"/>
      <w:lvlText w:val="%1."/>
      <w:numFmt w:val="decimal"/>
      <w:start w:val="15"/>
    </w:lvl>
  </w:abstractNum>
  <w:abstractNum w:abstractNumId="16">
    <w:nsid w:val="579478FE"/>
    <w:multiLevelType w:val="hybridMultilevel"/>
    <w:lvl w:ilvl="0">
      <w:lvlJc w:val="left"/>
      <w:lvlText w:val="%1."/>
      <w:numFmt w:val="decimal"/>
      <w:start w:val="16"/>
    </w:lvl>
  </w:abstractNum>
  <w:abstractNum w:abstractNumId="17">
    <w:nsid w:val="749ABB43"/>
    <w:multiLevelType w:val="hybridMultilevel"/>
    <w:lvl w:ilvl="0">
      <w:lvlJc w:val="left"/>
      <w:lvlText w:val="%1."/>
      <w:numFmt w:val="decimal"/>
      <w:start w:val="17"/>
    </w:lvl>
  </w:abstractNum>
  <w:abstractNum w:abstractNumId="18">
    <w:nsid w:val="3DC240FB"/>
    <w:multiLevelType w:val="hybridMultilevel"/>
    <w:lvl w:ilvl="0">
      <w:lvlJc w:val="left"/>
      <w:lvlText w:val="%1."/>
      <w:numFmt w:val="decimal"/>
      <w:start w:val="18"/>
    </w:lvl>
  </w:abstractNum>
  <w:abstractNum w:abstractNumId="19">
    <w:nsid w:val="1BA026FA"/>
    <w:multiLevelType w:val="hybridMultilevel"/>
    <w:lvl w:ilvl="0">
      <w:lvlJc w:val="left"/>
      <w:lvlText w:val="%1."/>
      <w:numFmt w:val="decimal"/>
      <w:start w:val="19"/>
    </w:lvl>
  </w:abstractNum>
  <w:abstractNum w:abstractNumId="20">
    <w:nsid w:val="79A1DEAA"/>
    <w:multiLevelType w:val="hybridMultilevel"/>
    <w:lvl w:ilvl="0">
      <w:lvlJc w:val="left"/>
      <w:lvlText w:val="%1."/>
      <w:numFmt w:val="decimal"/>
      <w:start w:val="20"/>
    </w:lvl>
  </w:abstractNum>
  <w:abstractNum w:abstractNumId="21">
    <w:nsid w:val="75C6C33A"/>
    <w:multiLevelType w:val="hybridMultilevel"/>
    <w:lvl w:ilvl="0">
      <w:lvlJc w:val="left"/>
      <w:lvlText w:val="%1."/>
      <w:numFmt w:val="decimal"/>
      <w:start w:val="21"/>
    </w:lvl>
  </w:abstractNum>
  <w:abstractNum w:abstractNumId="22">
    <w:nsid w:val="12E685FB"/>
    <w:multiLevelType w:val="hybridMultilevel"/>
    <w:lvl w:ilvl="0">
      <w:lvlJc w:val="left"/>
      <w:lvlText w:val="%1."/>
      <w:numFmt w:val="decimal"/>
      <w:start w:val="22"/>
    </w:lvl>
  </w:abstractNum>
  <w:abstractNum w:abstractNumId="23">
    <w:nsid w:val="70C6A529"/>
    <w:multiLevelType w:val="hybridMultilevel"/>
    <w:lvl w:ilvl="0">
      <w:lvlJc w:val="left"/>
      <w:lvlText w:val="%1."/>
      <w:numFmt w:val="decimal"/>
      <w:start w:val="23"/>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1."/>
      <w:numFmt w:val="decimal"/>
      <w:start w:val="1"/>
    </w:lvl>
    <w:lvl w:ilvl="1">
      <w:lvlJc w:val="left"/>
      <w:lvlText w:val="(%2)"/>
      <w:numFmt w:val="lowerLetter"/>
      <w:start w:val="1"/>
    </w:lvl>
  </w:abstractNum>
  <w:abstractNum w:abstractNumId="54">
    <w:nsid w:val="100F8FCA"/>
    <w:multiLevelType w:val="hybridMultilevel"/>
    <w:lvl w:ilvl="0">
      <w:lvlJc w:val="left"/>
      <w:lvlText w:val="%1."/>
      <w:numFmt w:val="decimal"/>
      <w:start w:val="3"/>
    </w:lvl>
    <w:lvl w:ilvl="1">
      <w:lvlJc w:val="left"/>
      <w:lvlText w:val="(%2)"/>
      <w:numFmt w:val="lowerLetter"/>
      <w:start w:val="1"/>
    </w:lvl>
  </w:abstractNum>
  <w:abstractNum w:abstractNumId="55">
    <w:nsid w:val="6590700B"/>
    <w:multiLevelType w:val="hybridMultilevel"/>
    <w:lvl w:ilvl="0">
      <w:lvlJc w:val="left"/>
      <w:lvlText w:val="(%1)"/>
      <w:numFmt w:val="lowerLetter"/>
      <w:start w:val="4"/>
    </w:lvl>
  </w:abstractNum>
  <w:abstractNum w:abstractNumId="56">
    <w:nsid w:val="15014ACB"/>
    <w:multiLevelType w:val="hybridMultilevel"/>
    <w:lvl w:ilvl="0">
      <w:lvlJc w:val="left"/>
      <w:lvlText w:val="%1."/>
      <w:numFmt w:val="decimal"/>
      <w:start w:val="4"/>
    </w:lvl>
    <w:lvl w:ilvl="1">
      <w:lvlJc w:val="left"/>
      <w:lvlText w:val="(%2)"/>
      <w:numFmt w:val="lowerLetter"/>
      <w:start w:val="1"/>
    </w:lvl>
  </w:abstractNum>
  <w:abstractNum w:abstractNumId="57">
    <w:nsid w:val="5F5E7FD0"/>
    <w:multiLevelType w:val="hybridMultilevel"/>
    <w:lvl w:ilvl="0">
      <w:lvlJc w:val="left"/>
      <w:lvlText w:val="%1"/>
      <w:numFmt w:val="decimal"/>
      <w:start w:val="1"/>
    </w:lvl>
    <w:lvl w:ilvl="1">
      <w:lvlJc w:val="left"/>
      <w:lvlText w:val="(%2)"/>
      <w:numFmt w:val="lowerLetter"/>
      <w:start w:val="4"/>
    </w:lvl>
  </w:abstractNum>
  <w:abstractNum w:abstractNumId="58">
    <w:nsid w:val="98A3148"/>
    <w:multiLevelType w:val="hybridMultilevel"/>
    <w:lvl w:ilvl="0">
      <w:lvlJc w:val="left"/>
      <w:lvlText w:val="%1."/>
      <w:numFmt w:val="decimal"/>
      <w:start w:val="5"/>
    </w:lvl>
    <w:lvl w:ilvl="1">
      <w:lvlJc w:val="left"/>
      <w:lvlText w:val="(%2)"/>
      <w:numFmt w:val="lowerLetter"/>
      <w:start w:val="1"/>
    </w:lvl>
  </w:abstractNum>
  <w:abstractNum w:abstractNumId="59">
    <w:nsid w:val="799D0247"/>
    <w:multiLevelType w:val="hybridMultilevel"/>
    <w:lvl w:ilvl="0">
      <w:lvlJc w:val="left"/>
      <w:lvlText w:val="%1"/>
      <w:numFmt w:val="decimal"/>
      <w:start w:val="1"/>
    </w:lvl>
    <w:lvl w:ilvl="1">
      <w:lvlJc w:val="left"/>
      <w:lvlText w:val="(%2)"/>
      <w:numFmt w:val="lowerLetter"/>
      <w:start w:val="13"/>
    </w:lvl>
  </w:abstractNum>
  <w:abstractNum w:abstractNumId="60">
    <w:nsid w:val="6B94764"/>
    <w:multiLevelType w:val="hybridMultilevel"/>
    <w:lvl w:ilvl="0">
      <w:lvlJc w:val="left"/>
      <w:lvlText w:val="%1."/>
      <w:numFmt w:val="decimal"/>
      <w:start w:val="7"/>
    </w:lvl>
    <w:lvl w:ilvl="1">
      <w:lvlJc w:val="left"/>
      <w:lvlText w:val="%2"/>
      <w:numFmt w:val="lowerLetter"/>
      <w:start w:val="1"/>
    </w:lvl>
  </w:abstractNum>
  <w:abstractNum w:abstractNumId="61">
    <w:nsid w:val="42C296BD"/>
    <w:multiLevelType w:val="hybridMultilevel"/>
    <w:lvl w:ilvl="0">
      <w:lvlJc w:val="left"/>
      <w:lvlText w:val="%1."/>
      <w:numFmt w:val="decimal"/>
      <w:start w:val="11"/>
    </w:lvl>
    <w:lvl w:ilvl="1">
      <w:lvlJc w:val="left"/>
      <w:lvlText w:val="(%2)"/>
      <w:numFmt w:val="lowerLetter"/>
      <w:start w:val="1"/>
    </w:lvl>
  </w:abstractNum>
  <w:abstractNum w:abstractNumId="62">
    <w:nsid w:val="168E121F"/>
    <w:multiLevelType w:val="hybridMultilevel"/>
    <w:lvl w:ilvl="0">
      <w:lvlJc w:val="left"/>
      <w:lvlText w:val="%1."/>
      <w:numFmt w:val="decimal"/>
      <w:start w:val="15"/>
    </w:lvl>
  </w:abstractNum>
  <w:abstractNum w:abstractNumId="63">
    <w:nsid w:val="1EBA5D23"/>
    <w:multiLevelType w:val="hybridMultilevel"/>
    <w:lvl w:ilvl="0">
      <w:lvlJc w:val="left"/>
      <w:lvlText w:val="%1."/>
      <w:numFmt w:val="decimal"/>
      <w:start w:val="20"/>
    </w:lvl>
    <w:lvl w:ilvl="1">
      <w:lvlJc w:val="left"/>
      <w:lvlText w:val="*"/>
      <w:numFmt w:val="bullet"/>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1."/>
      <w:numFmt w:val="decimal"/>
      <w:start w:val="1"/>
    </w:lvl>
    <w:lvl w:ilvl="1">
      <w:lvlJc w:val="left"/>
      <w:lvlText w:val="(%2)"/>
      <w:numFmt w:val="lowerLetter"/>
      <w:start w:val="1"/>
    </w:lvl>
  </w:abstractNum>
  <w:abstractNum w:abstractNumId="66">
    <w:nsid w:val="540A471C"/>
    <w:multiLevelType w:val="hybridMultilevel"/>
    <w:lvl w:ilvl="0">
      <w:lvlJc w:val="left"/>
      <w:lvlText w:val="%1"/>
      <w:numFmt w:val="decimal"/>
      <w:start w:val="1"/>
    </w:lvl>
    <w:lvl w:ilvl="1">
      <w:lvlJc w:val="left"/>
      <w:lvlText w:val="(%2)"/>
      <w:numFmt w:val="lowerLetter"/>
      <w:start w:val="2"/>
    </w:lvl>
  </w:abstractNum>
  <w:abstractNum w:abstractNumId="67">
    <w:nsid w:val="7BD3EE7B"/>
    <w:multiLevelType w:val="hybridMultilevel"/>
    <w:lvl w:ilvl="0">
      <w:lvlJc w:val="left"/>
      <w:lvlText w:val="%1."/>
      <w:numFmt w:val="decimal"/>
      <w:start w:val="5"/>
    </w:lvl>
    <w:lvl w:ilvl="1">
      <w:lvlJc w:val="left"/>
      <w:lvlText w:val="(%2)"/>
      <w:numFmt w:val="lowerLetter"/>
      <w:start w:val="1"/>
    </w:lvl>
  </w:abstractNum>
  <w:abstractNum w:abstractNumId="68">
    <w:nsid w:val="51D9C5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9">
    <w:nsid w:val="613EFDC5"/>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4"/>
    </w:lvl>
  </w:abstractNum>
  <w:abstractNum w:abstractNumId="70">
    <w:nsid w:val="BF72B14"/>
    <w:multiLevelType w:val="hybridMultilevel"/>
    <w:lvl w:ilvl="0">
      <w:lvlJc w:val="left"/>
      <w:lvlText w:val="%1"/>
      <w:numFmt w:val="decimal"/>
      <w:start w:val="1"/>
    </w:lvl>
    <w:lvl w:ilvl="1">
      <w:lvlJc w:val="left"/>
      <w:lvlText w:val="(%2)"/>
      <w:numFmt w:val="lowerLetter"/>
      <w:start w:val="11"/>
    </w:lvl>
  </w:abstractNum>
  <w:abstractNum w:abstractNumId="71">
    <w:nsid w:val="11447B73"/>
    <w:multiLevelType w:val="hybridMultilevel"/>
    <w:lvl w:ilvl="0">
      <w:lvlJc w:val="left"/>
      <w:lvlText w:val="%1."/>
      <w:numFmt w:val="decimal"/>
      <w:start w:val="7"/>
    </w:lvl>
    <w:lvl w:ilvl="1">
      <w:lvlJc w:val="left"/>
      <w:lvlText w:val="%2"/>
      <w:numFmt w:val="lowerLetter"/>
      <w:start w:val="1"/>
    </w:lvl>
  </w:abstractNum>
  <w:abstractNum w:abstractNumId="72">
    <w:nsid w:val="42963E5A"/>
    <w:multiLevelType w:val="hybridMultilevel"/>
    <w:lvl w:ilvl="0">
      <w:lvlJc w:val="left"/>
      <w:lvlText w:val="%1"/>
      <w:numFmt w:val="lowerRoman"/>
      <w:start w:val="1"/>
    </w:lvl>
    <w:lvl w:ilvl="1">
      <w:lvlJc w:val="left"/>
      <w:lvlText w:val="%2."/>
      <w:numFmt w:val="decimal"/>
      <w:start w:val="12"/>
    </w:lvl>
    <w:lvl w:ilvl="2">
      <w:lvlJc w:val="left"/>
      <w:lvlText w:val="(%3)"/>
      <w:numFmt w:val="lowerLetter"/>
      <w:start w:val="1"/>
    </w:lvl>
  </w:abstractNum>
  <w:abstractNum w:abstractNumId="73">
    <w:nsid w:val="A0382C5"/>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1"/>
    </w:lvl>
  </w:abstractNum>
  <w:abstractNum w:abstractNumId="74">
    <w:nsid w:val="8F2B15E"/>
    <w:multiLevelType w:val="hybridMultilevel"/>
    <w:lvl w:ilvl="0">
      <w:lvlJc w:val="left"/>
      <w:lvlText w:val="%1."/>
      <w:numFmt w:val="decimal"/>
      <w:start w:val="15"/>
    </w:lvl>
  </w:abstractNum>
  <w:abstractNum w:abstractNumId="75">
    <w:nsid w:val="1A32234B"/>
    <w:multiLevelType w:val="hybridMultilevel"/>
    <w:lvl w:ilvl="0">
      <w:lvlJc w:val="left"/>
      <w:lvlText w:val="%1."/>
      <w:numFmt w:val="decimal"/>
      <w:start w:val="20"/>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1."/>
      <w:numFmt w:val="decimal"/>
      <w:start w:val="3"/>
    </w:lvl>
    <w:lvl w:ilvl="1">
      <w:lvlJc w:val="left"/>
      <w:lvlText w:val="%2)"/>
      <w:numFmt w:val="lowerLetter"/>
      <w:start w:val="1"/>
    </w:lvl>
  </w:abstractNum>
  <w:abstractNum w:abstractNumId="78">
    <w:nsid w:val="4962813B"/>
    <w:multiLevelType w:val="hybridMultilevel"/>
    <w:lvl w:ilvl="0">
      <w:lvlJc w:val="left"/>
      <w:lvlText w:val="%1."/>
      <w:numFmt w:val="decimal"/>
      <w:start w:val="1"/>
    </w:lvl>
  </w:abstractNum>
  <w:abstractNum w:abstractNumId="79">
    <w:nsid w:val="60B6DF70"/>
    <w:multiLevelType w:val="hybridMultilevel"/>
    <w:lvl w:ilvl="0">
      <w:lvlJc w:val="left"/>
      <w:lvlText w:val="%1."/>
      <w:numFmt w:val="decimal"/>
      <w:start w:val="3"/>
    </w:lvl>
    <w:lvl w:ilvl="1">
      <w:lvlJc w:val="left"/>
      <w:lvlText w:val="%2)"/>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248" Type="http://schemas.openxmlformats.org/officeDocument/2006/relationships/hyperlink" Target="https://www.sec.gov/Archives/edgar/data/1831915/000119312521225716/d183956dex31.htm" TargetMode="External"/><Relationship Id="rId249" Type="http://schemas.openxmlformats.org/officeDocument/2006/relationships/hyperlink" Target="https://www.sec.gov/Archives/edgar/data/1831915/000119312521225716/d18395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2022-11-10T07:35:13Z</dcterms:created>
  <dcterms:modified xsi:type="dcterms:W3CDTF">2022-11-10T07:35:13Z</dcterms:modified>
</cp:coreProperties>
</file>