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412115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46" w:lineRule="exact"/>
        <w:rPr>
          <w:sz w:val="24"/>
          <w:szCs w:val="24"/>
          <w:color w:val="auto"/>
        </w:rPr>
      </w:pPr>
    </w:p>
    <w:p>
      <w:pPr>
        <w:ind w:left="480" w:hanging="461"/>
        <w:spacing w:after="0"/>
        <w:tabs>
          <w:tab w:leader="none" w:pos="480"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4" w:lineRule="exact"/>
        <w:rPr>
          <w:sz w:val="24"/>
          <w:szCs w:val="24"/>
          <w:color w:val="auto"/>
        </w:rPr>
      </w:pPr>
    </w:p>
    <w:p>
      <w:pPr>
        <w:ind w:left="1160" w:right="960" w:hanging="1141"/>
        <w:spacing w:after="0" w:line="290" w:lineRule="auto"/>
        <w:tabs>
          <w:tab w:leader="none" w:pos="456"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340" w:type="dxa"/>
            <w:vAlign w:val="bottom"/>
            <w:gridSpan w:val="4"/>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Commission File Number 001-40632</w:t>
            </w:r>
          </w:p>
        </w:tc>
        <w:tc>
          <w:tcPr>
            <w:tcW w:w="3420" w:type="dxa"/>
            <w:vAlign w:val="bottom"/>
          </w:tcPr>
          <w:p>
            <w:pPr>
              <w:spacing w:after="0"/>
              <w:rPr>
                <w:sz w:val="16"/>
                <w:szCs w:val="16"/>
                <w:color w:val="auto"/>
              </w:rPr>
            </w:pPr>
          </w:p>
        </w:tc>
      </w:tr>
      <w:tr>
        <w:trPr>
          <w:trHeight w:val="212"/>
        </w:trPr>
        <w:tc>
          <w:tcPr>
            <w:tcW w:w="3500" w:type="dxa"/>
            <w:vAlign w:val="bottom"/>
          </w:tcPr>
          <w:p>
            <w:pPr>
              <w:spacing w:after="0"/>
              <w:rPr>
                <w:sz w:val="18"/>
                <w:szCs w:val="18"/>
                <w:color w:val="auto"/>
              </w:rPr>
            </w:pPr>
          </w:p>
        </w:tc>
        <w:tc>
          <w:tcPr>
            <w:tcW w:w="43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color w:val="auto"/>
              </w:rPr>
              <w:t>____________________________________</w:t>
            </w:r>
          </w:p>
        </w:tc>
        <w:tc>
          <w:tcPr>
            <w:tcW w:w="3420" w:type="dxa"/>
            <w:vAlign w:val="bottom"/>
          </w:tcPr>
          <w:p>
            <w:pPr>
              <w:spacing w:after="0"/>
              <w:rPr>
                <w:sz w:val="18"/>
                <w:szCs w:val="18"/>
                <w:color w:val="auto"/>
              </w:rPr>
            </w:pPr>
          </w:p>
        </w:tc>
      </w:tr>
      <w:tr>
        <w:trPr>
          <w:trHeight w:val="466"/>
        </w:trPr>
        <w:tc>
          <w:tcPr>
            <w:tcW w:w="3500" w:type="dxa"/>
            <w:vAlign w:val="bottom"/>
          </w:tcPr>
          <w:p>
            <w:pPr>
              <w:spacing w:after="0"/>
              <w:rPr>
                <w:sz w:val="24"/>
                <w:szCs w:val="24"/>
                <w:color w:val="auto"/>
              </w:rPr>
            </w:pPr>
          </w:p>
        </w:tc>
        <w:tc>
          <w:tcPr>
            <w:tcW w:w="4360" w:type="dxa"/>
            <w:vAlign w:val="bottom"/>
            <w:gridSpan w:val="5"/>
          </w:tcPr>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CYTEK BIOSCIENCES, INC.</w:t>
            </w:r>
          </w:p>
        </w:tc>
        <w:tc>
          <w:tcPr>
            <w:tcW w:w="3420" w:type="dxa"/>
            <w:vAlign w:val="bottom"/>
          </w:tcPr>
          <w:p>
            <w:pPr>
              <w:spacing w:after="0"/>
              <w:rPr>
                <w:sz w:val="24"/>
                <w:szCs w:val="24"/>
                <w:color w:val="auto"/>
              </w:rPr>
            </w:pPr>
          </w:p>
        </w:tc>
      </w:tr>
      <w:tr>
        <w:trPr>
          <w:trHeight w:val="203"/>
        </w:trPr>
        <w:tc>
          <w:tcPr>
            <w:tcW w:w="3500" w:type="dxa"/>
            <w:vAlign w:val="bottom"/>
          </w:tcPr>
          <w:p>
            <w:pPr>
              <w:spacing w:after="0"/>
              <w:rPr>
                <w:sz w:val="17"/>
                <w:szCs w:val="17"/>
                <w:color w:val="auto"/>
              </w:rPr>
            </w:pPr>
          </w:p>
        </w:tc>
        <w:tc>
          <w:tcPr>
            <w:tcW w:w="43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420" w:type="dxa"/>
            <w:vAlign w:val="bottom"/>
          </w:tcPr>
          <w:p>
            <w:pPr>
              <w:spacing w:after="0"/>
              <w:rPr>
                <w:sz w:val="17"/>
                <w:szCs w:val="17"/>
                <w:color w:val="auto"/>
              </w:rPr>
            </w:pPr>
          </w:p>
        </w:tc>
      </w:tr>
      <w:tr>
        <w:trPr>
          <w:trHeight w:val="212"/>
        </w:trPr>
        <w:tc>
          <w:tcPr>
            <w:tcW w:w="3500" w:type="dxa"/>
            <w:vAlign w:val="bottom"/>
          </w:tcPr>
          <w:p>
            <w:pPr>
              <w:spacing w:after="0"/>
              <w:rPr>
                <w:sz w:val="18"/>
                <w:szCs w:val="18"/>
                <w:color w:val="auto"/>
              </w:rPr>
            </w:pPr>
          </w:p>
        </w:tc>
        <w:tc>
          <w:tcPr>
            <w:tcW w:w="43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color w:val="auto"/>
              </w:rPr>
              <w:t>____________________________________</w:t>
            </w:r>
          </w:p>
        </w:tc>
        <w:tc>
          <w:tcPr>
            <w:tcW w:w="3420" w:type="dxa"/>
            <w:vAlign w:val="bottom"/>
          </w:tcPr>
          <w:p>
            <w:pPr>
              <w:spacing w:after="0"/>
              <w:rPr>
                <w:sz w:val="18"/>
                <w:szCs w:val="18"/>
                <w:color w:val="auto"/>
              </w:rPr>
            </w:pPr>
          </w:p>
        </w:tc>
      </w:tr>
      <w:tr>
        <w:trPr>
          <w:trHeight w:val="255"/>
        </w:trPr>
        <w:tc>
          <w:tcPr>
            <w:tcW w:w="3500" w:type="dxa"/>
            <w:vAlign w:val="bottom"/>
          </w:tcPr>
          <w:p>
            <w:pPr>
              <w:jc w:val="center"/>
              <w:ind w:left="210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20" w:type="dxa"/>
            <w:vAlign w:val="bottom"/>
          </w:tcPr>
          <w:p>
            <w:pPr>
              <w:jc w:val="right"/>
              <w:ind w:right="2422"/>
              <w:spacing w:after="0"/>
              <w:rPr>
                <w:sz w:val="20"/>
                <w:szCs w:val="20"/>
                <w:color w:val="auto"/>
              </w:rPr>
            </w:pPr>
            <w:r>
              <w:rPr>
                <w:rFonts w:ascii="Times New Roman" w:cs="Times New Roman" w:eastAsia="Times New Roman" w:hAnsi="Times New Roman"/>
                <w:sz w:val="14"/>
                <w:szCs w:val="14"/>
                <w:b w:val="1"/>
                <w:bCs w:val="1"/>
                <w:color w:val="auto"/>
              </w:rPr>
              <w:t>47-2547526</w:t>
            </w:r>
          </w:p>
        </w:tc>
      </w:tr>
      <w:tr>
        <w:trPr>
          <w:trHeight w:val="146"/>
        </w:trPr>
        <w:tc>
          <w:tcPr>
            <w:tcW w:w="3500" w:type="dxa"/>
            <w:vAlign w:val="bottom"/>
          </w:tcPr>
          <w:p>
            <w:pPr>
              <w:jc w:val="center"/>
              <w:ind w:left="2102"/>
              <w:spacing w:after="0"/>
              <w:rPr>
                <w:sz w:val="20"/>
                <w:szCs w:val="20"/>
                <w:color w:val="auto"/>
              </w:rPr>
            </w:pPr>
            <w:r>
              <w:rPr>
                <w:rFonts w:ascii="Times New Roman" w:cs="Times New Roman" w:eastAsia="Times New Roman" w:hAnsi="Times New Roman"/>
                <w:sz w:val="10"/>
                <w:szCs w:val="10"/>
                <w:color w:val="auto"/>
                <w:w w:val="98"/>
              </w:rPr>
              <w:t>(State or other jurisdiction of</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20" w:type="dxa"/>
            <w:vAlign w:val="bottom"/>
          </w:tcPr>
          <w:p>
            <w:pPr>
              <w:jc w:val="center"/>
              <w:ind w:right="2162"/>
              <w:spacing w:after="0"/>
              <w:rPr>
                <w:sz w:val="20"/>
                <w:szCs w:val="20"/>
                <w:color w:val="auto"/>
              </w:rPr>
            </w:pPr>
            <w:r>
              <w:rPr>
                <w:rFonts w:ascii="Times New Roman" w:cs="Times New Roman" w:eastAsia="Times New Roman" w:hAnsi="Times New Roman"/>
                <w:sz w:val="10"/>
                <w:szCs w:val="10"/>
                <w:color w:val="auto"/>
                <w:w w:val="99"/>
              </w:rPr>
              <w:t>(I.R.S. Employer</w:t>
            </w:r>
          </w:p>
        </w:tc>
      </w:tr>
      <w:tr>
        <w:trPr>
          <w:trHeight w:val="128"/>
        </w:trPr>
        <w:tc>
          <w:tcPr>
            <w:tcW w:w="3500" w:type="dxa"/>
            <w:vAlign w:val="bottom"/>
          </w:tcPr>
          <w:p>
            <w:pPr>
              <w:jc w:val="center"/>
              <w:ind w:left="2102"/>
              <w:spacing w:after="0"/>
              <w:rPr>
                <w:sz w:val="20"/>
                <w:szCs w:val="20"/>
                <w:color w:val="auto"/>
              </w:rPr>
            </w:pPr>
            <w:r>
              <w:rPr>
                <w:rFonts w:ascii="Times New Roman" w:cs="Times New Roman" w:eastAsia="Times New Roman" w:hAnsi="Times New Roman"/>
                <w:sz w:val="10"/>
                <w:szCs w:val="10"/>
                <w:color w:val="auto"/>
                <w:w w:val="97"/>
              </w:rPr>
              <w:t>incorporation or organization)</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20" w:type="dxa"/>
            <w:vAlign w:val="bottom"/>
          </w:tcPr>
          <w:p>
            <w:pPr>
              <w:jc w:val="center"/>
              <w:ind w:right="2142"/>
              <w:spacing w:after="0"/>
              <w:rPr>
                <w:sz w:val="20"/>
                <w:szCs w:val="20"/>
                <w:color w:val="auto"/>
              </w:rPr>
            </w:pPr>
            <w:r>
              <w:rPr>
                <w:rFonts w:ascii="Times New Roman" w:cs="Times New Roman" w:eastAsia="Times New Roman" w:hAnsi="Times New Roman"/>
                <w:sz w:val="10"/>
                <w:szCs w:val="10"/>
                <w:color w:val="auto"/>
                <w:w w:val="99"/>
              </w:rPr>
              <w:t>Identification No.)</w:t>
            </w:r>
          </w:p>
        </w:tc>
      </w:tr>
      <w:tr>
        <w:trPr>
          <w:trHeight w:val="214"/>
        </w:trPr>
        <w:tc>
          <w:tcPr>
            <w:tcW w:w="7860" w:type="dxa"/>
            <w:vAlign w:val="bottom"/>
            <w:gridSpan w:val="6"/>
          </w:tcPr>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47215 Lakeview Blvd. Fremont, California</w:t>
            </w:r>
          </w:p>
        </w:tc>
        <w:tc>
          <w:tcPr>
            <w:tcW w:w="3420" w:type="dxa"/>
            <w:vAlign w:val="bottom"/>
          </w:tcPr>
          <w:p>
            <w:pPr>
              <w:jc w:val="right"/>
              <w:ind w:right="2582"/>
              <w:spacing w:after="0"/>
              <w:rPr>
                <w:sz w:val="20"/>
                <w:szCs w:val="20"/>
                <w:color w:val="auto"/>
              </w:rPr>
            </w:pPr>
            <w:r>
              <w:rPr>
                <w:rFonts w:ascii="Times New Roman" w:cs="Times New Roman" w:eastAsia="Times New Roman" w:hAnsi="Times New Roman"/>
                <w:sz w:val="14"/>
                <w:szCs w:val="14"/>
                <w:b w:val="1"/>
                <w:bCs w:val="1"/>
                <w:color w:val="auto"/>
              </w:rPr>
              <w:t>94538</w:t>
            </w:r>
          </w:p>
        </w:tc>
      </w:tr>
      <w:tr>
        <w:trPr>
          <w:trHeight w:val="158"/>
        </w:trPr>
        <w:tc>
          <w:tcPr>
            <w:tcW w:w="7860" w:type="dxa"/>
            <w:vAlign w:val="bottom"/>
            <w:gridSpan w:val="6"/>
          </w:tcPr>
          <w:p>
            <w:pPr>
              <w:jc w:val="center"/>
              <w:ind w:right="2200"/>
              <w:spacing w:after="0"/>
              <w:rPr>
                <w:sz w:val="20"/>
                <w:szCs w:val="20"/>
                <w:color w:val="auto"/>
              </w:rPr>
            </w:pPr>
            <w:r>
              <w:rPr>
                <w:rFonts w:ascii="Times New Roman" w:cs="Times New Roman" w:eastAsia="Times New Roman" w:hAnsi="Times New Roman"/>
                <w:sz w:val="10"/>
                <w:szCs w:val="10"/>
                <w:color w:val="auto"/>
                <w:w w:val="99"/>
              </w:rPr>
              <w:t>(Address of principal executive offices)</w:t>
            </w:r>
          </w:p>
        </w:tc>
        <w:tc>
          <w:tcPr>
            <w:tcW w:w="3420" w:type="dxa"/>
            <w:vAlign w:val="bottom"/>
          </w:tcPr>
          <w:p>
            <w:pPr>
              <w:jc w:val="center"/>
              <w:ind w:right="2162"/>
              <w:spacing w:after="0"/>
              <w:rPr>
                <w:sz w:val="20"/>
                <w:szCs w:val="20"/>
                <w:color w:val="auto"/>
              </w:rPr>
            </w:pPr>
            <w:r>
              <w:rPr>
                <w:rFonts w:ascii="Times New Roman" w:cs="Times New Roman" w:eastAsia="Times New Roman" w:hAnsi="Times New Roman"/>
                <w:sz w:val="10"/>
                <w:szCs w:val="10"/>
                <w:color w:val="auto"/>
                <w:w w:val="99"/>
              </w:rPr>
              <w:t>(Zip Code)</w:t>
            </w:r>
          </w:p>
        </w:tc>
      </w:tr>
      <w:tr>
        <w:trPr>
          <w:trHeight w:val="309"/>
        </w:trPr>
        <w:tc>
          <w:tcPr>
            <w:tcW w:w="3500" w:type="dxa"/>
            <w:vAlign w:val="bottom"/>
          </w:tcPr>
          <w:p>
            <w:pPr>
              <w:spacing w:after="0"/>
              <w:rPr>
                <w:sz w:val="24"/>
                <w:szCs w:val="24"/>
                <w:color w:val="auto"/>
              </w:rPr>
            </w:pPr>
          </w:p>
        </w:tc>
        <w:tc>
          <w:tcPr>
            <w:tcW w:w="436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4"/>
                <w:szCs w:val="14"/>
                <w:b w:val="1"/>
                <w:bCs w:val="1"/>
                <w:color w:val="auto"/>
              </w:rPr>
              <w:t>(877) 922-9835</w:t>
            </w:r>
          </w:p>
        </w:tc>
        <w:tc>
          <w:tcPr>
            <w:tcW w:w="3420" w:type="dxa"/>
            <w:vAlign w:val="bottom"/>
          </w:tcPr>
          <w:p>
            <w:pPr>
              <w:spacing w:after="0"/>
              <w:rPr>
                <w:sz w:val="24"/>
                <w:szCs w:val="24"/>
                <w:color w:val="auto"/>
              </w:rPr>
            </w:pPr>
          </w:p>
        </w:tc>
      </w:tr>
      <w:tr>
        <w:trPr>
          <w:trHeight w:val="212"/>
        </w:trPr>
        <w:tc>
          <w:tcPr>
            <w:tcW w:w="3500" w:type="dxa"/>
            <w:vAlign w:val="bottom"/>
          </w:tcPr>
          <w:p>
            <w:pPr>
              <w:spacing w:after="0"/>
              <w:rPr>
                <w:sz w:val="18"/>
                <w:szCs w:val="18"/>
                <w:color w:val="auto"/>
              </w:rPr>
            </w:pPr>
          </w:p>
        </w:tc>
        <w:tc>
          <w:tcPr>
            <w:tcW w:w="43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color w:val="auto"/>
              </w:rPr>
              <w:t>____________________________________</w:t>
            </w:r>
          </w:p>
        </w:tc>
        <w:tc>
          <w:tcPr>
            <w:tcW w:w="3420" w:type="dxa"/>
            <w:vAlign w:val="bottom"/>
          </w:tcPr>
          <w:p>
            <w:pPr>
              <w:spacing w:after="0"/>
              <w:rPr>
                <w:sz w:val="18"/>
                <w:szCs w:val="18"/>
                <w:color w:val="auto"/>
              </w:rPr>
            </w:pPr>
          </w:p>
        </w:tc>
      </w:tr>
      <w:tr>
        <w:trPr>
          <w:trHeight w:val="185"/>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210"/>
        </w:trPr>
        <w:tc>
          <w:tcPr>
            <w:tcW w:w="3500" w:type="dxa"/>
            <w:vAlign w:val="bottom"/>
          </w:tcPr>
          <w:p>
            <w:pPr>
              <w:ind w:left="1860"/>
              <w:spacing w:after="0"/>
              <w:rPr>
                <w:sz w:val="20"/>
                <w:szCs w:val="20"/>
                <w:color w:val="auto"/>
              </w:rPr>
            </w:pPr>
            <w:r>
              <w:rPr>
                <w:rFonts w:ascii="Times New Roman" w:cs="Times New Roman" w:eastAsia="Times New Roman" w:hAnsi="Times New Roman"/>
                <w:sz w:val="11"/>
                <w:szCs w:val="11"/>
                <w:color w:val="auto"/>
              </w:rPr>
              <w:t>Title of each class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gridSpan w:val="3"/>
          </w:tcPr>
          <w:p>
            <w:pPr>
              <w:jc w:val="center"/>
              <w:ind w:right="1200"/>
              <w:spacing w:after="0"/>
              <w:rPr>
                <w:sz w:val="20"/>
                <w:szCs w:val="20"/>
                <w:color w:val="auto"/>
              </w:rPr>
            </w:pPr>
            <w:r>
              <w:rPr>
                <w:rFonts w:ascii="Times New Roman" w:cs="Times New Roman" w:eastAsia="Times New Roman" w:hAnsi="Times New Roman"/>
                <w:sz w:val="11"/>
                <w:szCs w:val="11"/>
                <w:color w:val="auto"/>
              </w:rPr>
              <w:t>Trading Symbol(s)</w:t>
            </w:r>
          </w:p>
        </w:tc>
        <w:tc>
          <w:tcPr>
            <w:tcW w:w="3420" w:type="dxa"/>
            <w:vAlign w:val="bottom"/>
          </w:tcPr>
          <w:p>
            <w:pPr>
              <w:jc w:val="center"/>
              <w:ind w:right="1042"/>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30"/>
        </w:trPr>
        <w:tc>
          <w:tcPr>
            <w:tcW w:w="3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154"/>
        </w:trPr>
        <w:tc>
          <w:tcPr>
            <w:tcW w:w="35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Common Stock, par value $0.001 per share</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60" w:type="dxa"/>
            <w:vAlign w:val="bottom"/>
            <w:gridSpan w:val="3"/>
          </w:tcPr>
          <w:p>
            <w:pPr>
              <w:jc w:val="center"/>
              <w:ind w:right="1200"/>
              <w:spacing w:after="0"/>
              <w:rPr>
                <w:sz w:val="20"/>
                <w:szCs w:val="20"/>
                <w:color w:val="auto"/>
              </w:rPr>
            </w:pPr>
            <w:r>
              <w:rPr>
                <w:rFonts w:ascii="Times New Roman" w:cs="Times New Roman" w:eastAsia="Times New Roman" w:hAnsi="Times New Roman"/>
                <w:sz w:val="12"/>
                <w:szCs w:val="12"/>
                <w:b w:val="1"/>
                <w:bCs w:val="1"/>
                <w:color w:val="auto"/>
                <w:w w:val="99"/>
              </w:rPr>
              <w:t>CTKB</w:t>
            </w:r>
          </w:p>
        </w:tc>
        <w:tc>
          <w:tcPr>
            <w:tcW w:w="3420" w:type="dxa"/>
            <w:vAlign w:val="bottom"/>
          </w:tcPr>
          <w:p>
            <w:pPr>
              <w:jc w:val="center"/>
              <w:ind w:right="1062"/>
              <w:spacing w:after="0"/>
              <w:rPr>
                <w:sz w:val="20"/>
                <w:szCs w:val="20"/>
                <w:color w:val="auto"/>
              </w:rPr>
            </w:pPr>
            <w:r>
              <w:rPr>
                <w:rFonts w:ascii="Times New Roman" w:cs="Times New Roman" w:eastAsia="Times New Roman" w:hAnsi="Times New Roman"/>
                <w:sz w:val="12"/>
                <w:szCs w:val="12"/>
                <w:b w:val="1"/>
                <w:bCs w:val="1"/>
                <w:color w:val="auto"/>
                <w:w w:val="99"/>
              </w:rPr>
              <w:t>The Nasdaq Global Select Market</w:t>
            </w:r>
          </w:p>
        </w:tc>
      </w:tr>
    </w:tbl>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Securities registered pursuant to Section 12(g) of the Act: </w:t>
      </w:r>
      <w:r>
        <w:rPr>
          <w:rFonts w:ascii="Times New Roman" w:cs="Times New Roman" w:eastAsia="Times New Roman" w:hAnsi="Times New Roman"/>
          <w:sz w:val="11"/>
          <w:szCs w:val="11"/>
          <w:b w:val="1"/>
          <w:bCs w:val="1"/>
          <w:color w:val="auto"/>
        </w:rPr>
        <w:t>None</w:t>
      </w:r>
    </w:p>
    <w:p>
      <w:pPr>
        <w:spacing w:after="0" w:line="30" w:lineRule="exact"/>
        <w:rPr>
          <w:sz w:val="24"/>
          <w:szCs w:val="24"/>
          <w:color w:val="auto"/>
        </w:rPr>
      </w:pPr>
    </w:p>
    <w:p>
      <w:pPr>
        <w:ind w:right="5240"/>
        <w:spacing w:after="0" w:line="181"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by check mark if the Registrant is not required to file reports pursuant to Section 13 or 15(d)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6" w:lineRule="exact"/>
        <w:rPr>
          <w:sz w:val="24"/>
          <w:szCs w:val="24"/>
          <w:color w:val="auto"/>
        </w:rPr>
      </w:pPr>
    </w:p>
    <w:p>
      <w:pPr>
        <w:ind w:right="60"/>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6" w:lineRule="exact"/>
        <w:rPr>
          <w:sz w:val="24"/>
          <w:szCs w:val="24"/>
          <w:color w:val="auto"/>
        </w:rPr>
      </w:pPr>
    </w:p>
    <w:p>
      <w:pPr>
        <w:ind w:right="120"/>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5" w:lineRule="exact"/>
        <w:rPr>
          <w:sz w:val="24"/>
          <w:szCs w:val="24"/>
          <w:color w:val="auto"/>
        </w:rPr>
      </w:pPr>
    </w:p>
    <w:p>
      <w:pPr>
        <w:ind w:right="200"/>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155"/>
        </w:trPr>
        <w:tc>
          <w:tcPr>
            <w:tcW w:w="252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980" w:type="dxa"/>
            <w:vAlign w:val="bottom"/>
          </w:tcPr>
          <w:p>
            <w:pPr>
              <w:ind w:left="1220"/>
              <w:spacing w:after="0"/>
              <w:rPr>
                <w:sz w:val="20"/>
                <w:szCs w:val="20"/>
                <w:color w:val="auto"/>
              </w:rPr>
            </w:pPr>
            <w:r>
              <w:rPr>
                <w:rFonts w:ascii="Wingdings" w:cs="Wingdings" w:eastAsia="Wingdings" w:hAnsi="Wingdings"/>
                <w:sz w:val="12"/>
                <w:szCs w:val="12"/>
                <w:b w:val="1"/>
                <w:bCs w:val="1"/>
                <w:color w:val="auto"/>
              </w:rPr>
              <w:t>x</w:t>
            </w:r>
          </w:p>
        </w:tc>
        <w:tc>
          <w:tcPr>
            <w:tcW w:w="4280" w:type="dxa"/>
            <w:vAlign w:val="bottom"/>
          </w:tcPr>
          <w:p>
            <w:pPr>
              <w:ind w:left="1620"/>
              <w:spacing w:after="0"/>
              <w:rPr>
                <w:sz w:val="20"/>
                <w:szCs w:val="20"/>
                <w:color w:val="auto"/>
              </w:rPr>
            </w:pPr>
            <w:r>
              <w:rPr>
                <w:rFonts w:ascii="Times New Roman" w:cs="Times New Roman" w:eastAsia="Times New Roman" w:hAnsi="Times New Roman"/>
                <w:sz w:val="12"/>
                <w:szCs w:val="12"/>
                <w:color w:val="auto"/>
              </w:rPr>
              <w:t>Accelerated filer</w:t>
            </w:r>
          </w:p>
        </w:tc>
        <w:tc>
          <w:tcPr>
            <w:tcW w:w="1460" w:type="dxa"/>
            <w:vAlign w:val="bottom"/>
          </w:tcPr>
          <w:p>
            <w:pPr>
              <w:ind w:left="1360"/>
              <w:spacing w:after="0"/>
              <w:rPr>
                <w:sz w:val="20"/>
                <w:szCs w:val="20"/>
                <w:color w:val="auto"/>
              </w:rPr>
            </w:pPr>
            <w:r>
              <w:rPr>
                <w:rFonts w:ascii="Wingdings" w:cs="Wingdings" w:eastAsia="Wingdings" w:hAnsi="Wingdings"/>
                <w:sz w:val="12"/>
                <w:szCs w:val="12"/>
                <w:b w:val="1"/>
                <w:bCs w:val="1"/>
                <w:color w:val="auto"/>
                <w:w w:val="74"/>
              </w:rPr>
              <w:t>o</w:t>
            </w:r>
          </w:p>
        </w:tc>
      </w:tr>
      <w:tr>
        <w:trPr>
          <w:trHeight w:val="233"/>
        </w:trPr>
        <w:tc>
          <w:tcPr>
            <w:tcW w:w="252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980" w:type="dxa"/>
            <w:vAlign w:val="bottom"/>
          </w:tcPr>
          <w:p>
            <w:pPr>
              <w:ind w:left="1220"/>
              <w:spacing w:after="0"/>
              <w:rPr>
                <w:sz w:val="20"/>
                <w:szCs w:val="20"/>
                <w:color w:val="auto"/>
              </w:rPr>
            </w:pPr>
            <w:r>
              <w:rPr>
                <w:rFonts w:ascii="Wingdings" w:cs="Wingdings" w:eastAsia="Wingdings" w:hAnsi="Wingdings"/>
                <w:sz w:val="12"/>
                <w:szCs w:val="12"/>
                <w:b w:val="1"/>
                <w:bCs w:val="1"/>
                <w:color w:val="auto"/>
              </w:rPr>
              <w:t>o</w:t>
            </w:r>
          </w:p>
        </w:tc>
        <w:tc>
          <w:tcPr>
            <w:tcW w:w="4280" w:type="dxa"/>
            <w:vAlign w:val="bottom"/>
          </w:tcPr>
          <w:p>
            <w:pPr>
              <w:ind w:left="16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1460" w:type="dxa"/>
            <w:vAlign w:val="bottom"/>
          </w:tcPr>
          <w:p>
            <w:pPr>
              <w:ind w:left="1360"/>
              <w:spacing w:after="0"/>
              <w:rPr>
                <w:sz w:val="20"/>
                <w:szCs w:val="20"/>
                <w:color w:val="auto"/>
              </w:rPr>
            </w:pPr>
            <w:r>
              <w:rPr>
                <w:rFonts w:ascii="Wingdings" w:cs="Wingdings" w:eastAsia="Wingdings" w:hAnsi="Wingdings"/>
                <w:sz w:val="12"/>
                <w:szCs w:val="12"/>
                <w:b w:val="1"/>
                <w:bCs w:val="1"/>
                <w:color w:val="auto"/>
                <w:w w:val="74"/>
              </w:rPr>
              <w:t>o</w:t>
            </w:r>
          </w:p>
        </w:tc>
      </w:tr>
      <w:tr>
        <w:trPr>
          <w:trHeight w:val="233"/>
        </w:trPr>
        <w:tc>
          <w:tcPr>
            <w:tcW w:w="2520" w:type="dxa"/>
            <w:vAlign w:val="bottom"/>
          </w:tcPr>
          <w:p>
            <w:pPr>
              <w:spacing w:after="0"/>
              <w:rPr>
                <w:sz w:val="20"/>
                <w:szCs w:val="20"/>
                <w:color w:val="auto"/>
              </w:rPr>
            </w:pPr>
            <w:r>
              <w:rPr>
                <w:rFonts w:ascii="Times New Roman" w:cs="Times New Roman" w:eastAsia="Times New Roman" w:hAnsi="Times New Roman"/>
                <w:sz w:val="12"/>
                <w:szCs w:val="12"/>
                <w:color w:val="auto"/>
              </w:rPr>
              <w:t>Emerging growth company</w:t>
            </w:r>
          </w:p>
        </w:tc>
        <w:tc>
          <w:tcPr>
            <w:tcW w:w="2980" w:type="dxa"/>
            <w:vAlign w:val="bottom"/>
          </w:tcPr>
          <w:p>
            <w:pPr>
              <w:ind w:left="1220"/>
              <w:spacing w:after="0"/>
              <w:rPr>
                <w:sz w:val="20"/>
                <w:szCs w:val="20"/>
                <w:color w:val="auto"/>
              </w:rPr>
            </w:pPr>
            <w:r>
              <w:rPr>
                <w:rFonts w:ascii="Wingdings" w:cs="Wingdings" w:eastAsia="Wingdings" w:hAnsi="Wingdings"/>
                <w:sz w:val="12"/>
                <w:szCs w:val="12"/>
                <w:b w:val="1"/>
                <w:bCs w:val="1"/>
                <w:color w:val="auto"/>
              </w:rPr>
              <w:t>o</w:t>
            </w:r>
          </w:p>
        </w:tc>
        <w:tc>
          <w:tcPr>
            <w:tcW w:w="428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127" w:lineRule="exact"/>
        <w:rPr>
          <w:sz w:val="24"/>
          <w:szCs w:val="24"/>
          <w:color w:val="auto"/>
        </w:rPr>
      </w:pPr>
    </w:p>
    <w:p>
      <w:pPr>
        <w:ind w:right="40"/>
        <w:spacing w:after="0" w:line="300" w:lineRule="auto"/>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430530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340"/>
        <w:spacing w:after="0" w:line="157" w:lineRule="exact"/>
        <w:rPr>
          <w:sz w:val="20"/>
          <w:szCs w:val="20"/>
          <w:color w:val="auto"/>
        </w:rPr>
      </w:pPr>
      <w:r>
        <w:rPr>
          <w:rFonts w:ascii="Times New Roman" w:cs="Times New Roman" w:eastAsia="Times New Roman" w:hAnsi="Times New Roman"/>
          <w:sz w:val="11"/>
          <w:szCs w:val="1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1"/>
          <w:szCs w:val="11"/>
          <w:color w:val="auto"/>
        </w:rPr>
        <w:t>☒</w:t>
      </w: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69" w:lineRule="exact"/>
        <w:rPr>
          <w:sz w:val="20"/>
          <w:szCs w:val="20"/>
          <w:color w:val="auto"/>
        </w:rPr>
      </w:pPr>
    </w:p>
    <w:p>
      <w:pPr>
        <w:ind w:right="100"/>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8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1"/>
          <w:szCs w:val="11"/>
          <w:color w:val="auto"/>
        </w:rPr>
        <w:t>The aggregate market value of registrant’s voting and non-voting common stock held by non-affiliates of registrant on June 30, 2023, the last business day of the registrant’s most recently completed second fiscal quarter, was approximately $1.03 billion, based upon the closing sale price of the common stock as reported on The Nasdaq Global Select Market. Shares of common stock held by each officer and director have been excluded in that such persons may be deemed to be affiliates. This determination of affiliate status is not a conclusive determination for other purposes.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of Registrant’s Common Stock outstanding as of February 16, 2024 was 130,824,069.</w:t>
      </w:r>
    </w:p>
    <w:p>
      <w:pPr>
        <w:spacing w:after="0" w:line="5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1"/>
          <w:szCs w:val="11"/>
          <w:color w:val="auto"/>
        </w:rPr>
        <w:t>DOCUMENTS INCORPORATED BY REFERENCE</w:t>
      </w:r>
    </w:p>
    <w:p>
      <w:pPr>
        <w:spacing w:after="0" w:line="54"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1"/>
          <w:szCs w:val="11"/>
          <w:color w:val="auto"/>
        </w:rPr>
        <w:t>Portions of the Registrant’s Definitive Proxy Statement relating to the Registrant’s 2024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633095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113665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40"/>
          </w:cols>
          <w:pgMar w:left="300" w:top="21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60" w:type="dxa"/>
            <w:vAlign w:val="bottom"/>
            <w:gridSpan w:val="7"/>
          </w:tcPr>
          <w:p>
            <w:pPr>
              <w:jc w:val="center"/>
              <w:ind w:right="39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30"/>
        </w:trPr>
        <w:tc>
          <w:tcPr>
            <w:tcW w:w="13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380" w:type="dxa"/>
            <w:vAlign w:val="bottom"/>
            <w:gridSpan w:val="4"/>
            <w:vMerge w:val="continue"/>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w:t>
            </w: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Business</w:t>
            </w:r>
          </w:p>
        </w:tc>
        <w:tc>
          <w:tcPr>
            <w:tcW w:w="8480" w:type="dxa"/>
            <w:vAlign w:val="bottom"/>
            <w:gridSpan w:val="21"/>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280" w:type="dxa"/>
            <w:vAlign w:val="bottom"/>
            <w:gridSpan w:val="19"/>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1B.</w:t>
            </w:r>
          </w:p>
        </w:tc>
        <w:tc>
          <w:tcPr>
            <w:tcW w:w="1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7380" w:type="dxa"/>
            <w:vAlign w:val="bottom"/>
            <w:gridSpan w:val="12"/>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1C.</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2.</w:t>
            </w:r>
          </w:p>
        </w:tc>
        <w:tc>
          <w:tcPr>
            <w:tcW w:w="8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8200" w:type="dxa"/>
            <w:vAlign w:val="bottom"/>
            <w:gridSpan w:val="18"/>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3.</w:t>
            </w: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7940" w:type="dxa"/>
            <w:vAlign w:val="bottom"/>
            <w:gridSpan w:val="16"/>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4.</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436"/>
        </w:trPr>
        <w:tc>
          <w:tcPr>
            <w:tcW w:w="1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5.</w:t>
            </w:r>
          </w:p>
        </w:tc>
        <w:tc>
          <w:tcPr>
            <w:tcW w:w="63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6.</w:t>
            </w: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Reserved</w:t>
            </w:r>
          </w:p>
        </w:tc>
        <w:tc>
          <w:tcPr>
            <w:tcW w:w="8420" w:type="dxa"/>
            <w:vAlign w:val="bottom"/>
            <w:gridSpan w:val="20"/>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7.</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7A.</w:t>
            </w:r>
          </w:p>
        </w:tc>
        <w:tc>
          <w:tcPr>
            <w:tcW w:w="344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tcBorders>
            <w:gridSpan w:val="3"/>
          </w:tcPr>
          <w:p>
            <w:pPr>
              <w:spacing w:after="0"/>
              <w:rPr>
                <w:sz w:val="16"/>
                <w:szCs w:val="16"/>
                <w:color w:val="auto"/>
              </w:rPr>
            </w:pPr>
          </w:p>
        </w:tc>
        <w:tc>
          <w:tcPr>
            <w:tcW w:w="3920" w:type="dxa"/>
            <w:vAlign w:val="bottom"/>
            <w:gridSpan w:val="4"/>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8.</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9.</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9A.</w:t>
            </w:r>
          </w:p>
        </w:tc>
        <w:tc>
          <w:tcPr>
            <w:tcW w:w="14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720" w:type="dxa"/>
            <w:vAlign w:val="bottom"/>
            <w:tcBorders>
              <w:top w:val="single" w:sz="8" w:color="0000FF"/>
            </w:tcBorders>
            <w:gridSpan w:val="11"/>
          </w:tcPr>
          <w:p>
            <w:pPr>
              <w:spacing w:after="0"/>
              <w:rPr>
                <w:sz w:val="16"/>
                <w:szCs w:val="16"/>
                <w:color w:val="auto"/>
              </w:rPr>
            </w:pPr>
          </w:p>
        </w:tc>
        <w:tc>
          <w:tcPr>
            <w:tcW w:w="3880" w:type="dxa"/>
            <w:vAlign w:val="bottom"/>
            <w:gridSpan w:val="3"/>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9B.</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9C.</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436"/>
        </w:trPr>
        <w:tc>
          <w:tcPr>
            <w:tcW w:w="1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10.</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11.</w:t>
            </w:r>
          </w:p>
        </w:tc>
        <w:tc>
          <w:tcPr>
            <w:tcW w:w="32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5780" w:type="dxa"/>
            <w:vAlign w:val="bottom"/>
            <w:gridSpan w:val="8"/>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12.</w:t>
            </w:r>
          </w:p>
        </w:tc>
        <w:tc>
          <w:tcPr>
            <w:tcW w:w="57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3260" w:type="dxa"/>
            <w:vAlign w:val="bottom"/>
            <w:gridSpan w:val="2"/>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13.</w:t>
            </w:r>
          </w:p>
        </w:tc>
        <w:tc>
          <w:tcPr>
            <w:tcW w:w="43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4700" w:type="dxa"/>
            <w:vAlign w:val="bottom"/>
            <w:gridSpan w:val="5"/>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14.</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436"/>
        </w:trPr>
        <w:tc>
          <w:tcPr>
            <w:tcW w:w="1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15.</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Item 16.</w:t>
            </w:r>
          </w:p>
        </w:tc>
        <w:tc>
          <w:tcPr>
            <w:tcW w:w="24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6520" w:type="dxa"/>
            <w:vAlign w:val="bottom"/>
            <w:gridSpan w:val="10"/>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5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7940" w:type="dxa"/>
            <w:vAlign w:val="bottom"/>
            <w:gridSpan w:val="1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Po</w:t>
            </w:r>
            <w:r>
              <w:rPr>
                <w:rFonts w:ascii="Times New Roman" w:cs="Times New Roman" w:eastAsia="Times New Roman" w:hAnsi="Times New Roman"/>
                <w:sz w:val="14"/>
                <w:szCs w:val="14"/>
                <w:color w:val="000000"/>
              </w:rPr>
              <w:t>wer of Attorney</w:t>
            </w:r>
          </w:p>
        </w:tc>
        <w:tc>
          <w:tcPr>
            <w:tcW w:w="9000" w:type="dxa"/>
            <w:vAlign w:val="bottom"/>
            <w:gridSpan w:val="22"/>
          </w:tcPr>
          <w:p>
            <w:pPr>
              <w:spacing w:after="0"/>
              <w:rPr>
                <w:sz w:val="20"/>
                <w:szCs w:val="20"/>
                <w:color w:val="auto"/>
              </w:rPr>
            </w:pPr>
            <w:r>
              <w:rPr>
                <w:rFonts w:ascii="Times New Roman" w:cs="Times New Roman" w:eastAsia="Times New Roman" w:hAnsi="Times New Roman"/>
                <w:sz w:val="14"/>
                <w:szCs w:val="14"/>
                <w:color w:val="0000FF"/>
              </w:rPr>
              <w:t>Power of Attorney</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743"/>
        </w:trPr>
        <w:tc>
          <w:tcPr>
            <w:tcW w:w="14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Borders>
              <w:top w:val="single" w:sz="8" w:color="0000FF"/>
            </w:tcBorders>
            <w:gridSpan w:val="6"/>
          </w:tcPr>
          <w:p>
            <w:pPr>
              <w:spacing w:after="0"/>
              <w:rPr>
                <w:sz w:val="24"/>
                <w:szCs w:val="24"/>
                <w:color w:val="auto"/>
              </w:rPr>
            </w:pPr>
          </w:p>
        </w:tc>
        <w:tc>
          <w:tcPr>
            <w:tcW w:w="4020" w:type="dxa"/>
            <w:vAlign w:val="bottom"/>
            <w:gridSpan w:val="12"/>
          </w:tcPr>
          <w:p>
            <w:pPr>
              <w:jc w:val="right"/>
              <w:ind w:right="78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6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“would,” “become,” “forecast,” or the negative of these words or other similar terms or expressions.</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in the section titled “Risk Factors” and elsewhere in this Annual Report on Form 10-K, regarding, among other things:</w:t>
      </w:r>
    </w:p>
    <w:p>
      <w:pPr>
        <w:spacing w:after="0" w:line="51" w:lineRule="exact"/>
        <w:rPr>
          <w:sz w:val="20"/>
          <w:szCs w:val="20"/>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future growth;</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products, and our ability to serve those markets;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accurately forecast demand for our products;</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market conditions, including as a result of infectious disease outbreaks, seasonal demands, regulatory matters, economic recessions or slowdowns, the ongoing war in Ukraine and the general inflationary environment;</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future growth of our sales and marketing organization;</w:t>
      </w:r>
    </w:p>
    <w:p>
      <w:pPr>
        <w:spacing w:after="0" w:line="93" w:lineRule="exact"/>
        <w:rPr>
          <w:rFonts w:ascii="Times New Roman" w:cs="Times New Roman" w:eastAsia="Times New Roman" w:hAnsi="Times New Roman"/>
          <w:sz w:val="14"/>
          <w:szCs w:val="14"/>
          <w:color w:val="auto"/>
        </w:rPr>
      </w:pPr>
    </w:p>
    <w:p>
      <w:pPr>
        <w:ind w:left="760" w:hanging="373"/>
        <w:spacing w:after="0" w:line="263"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of, and our reliance on, third parties in connection with the commercialization of our products, including single-source suppliers and, in some cases, sole source suppliers;</w:t>
      </w:r>
    </w:p>
    <w:p>
      <w:pPr>
        <w:spacing w:after="0" w:line="247"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accurately forecast and manufacture appropriate quantities of our products to meet commercial demand;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integrate the businesses we acquire and to achieve and recognize the anticipated benefits of the transaction;</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and foreign countries;</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regulatory approval for our products or obtain regulatory approval for new products in the United States and in any foreign countries in which we make seek to do business;</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research and development for existing products and any future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regulatory approval and commercialization of competing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and hire senior management and key personnel;</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maintain our corporate infrastructure, including our ability to remediate our existing material weaknesses and to design and maintain an effective system of internal controls;</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 and capital requirements; and</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obtain and maintain intellectual property protection for our products, as well as our ability to operate our business without infringing the intellectual property rights of others.</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These risks are not exhaustive. Other sections of this Annual Report on Form 10-K may include additional factors that could harm our business and financial performance. We operate in a very competitive and rapidly changing environment where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These forward-looking statements speak only as of the date of this annual report. We undertake no obligation to update any forward-looking statements made in this Annual Report on Form 10-K to reflect events or circumstances after the date of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Unless the context indicates otherwise, as used in this Annual Report on Form 10-K, the terms “Company,” “Cytek,” “Registrant,” “we,” “us” and “our” refer to Cytek Biosciences, Inc., a Delaware corporation, and its direct and indirect subsidiaries, taken as a whole.</w:t>
      </w:r>
    </w:p>
    <w:p>
      <w:pPr>
        <w:spacing w:after="0" w:line="39"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4"/>
          <w:szCs w:val="14"/>
          <w:color w:val="auto"/>
        </w:rPr>
        <w:t xml:space="preserve">“Cytek,” “Cytek Aurora,” “Northern Lights,” “Cytek Northern Lights,” “NL-CLC,” “Cytek Orion,” “Amnis,” “Guava,” “ImageStream,” “Muse,” “easyCyte,” “Tonbo,” “SpectroFlo,” “SpectroPrep,” “Similarity,” “Complexity,” “cFluor,” “FSP,” “Full Spectrum Profiling,” and “DxP Athena” are trademarks of the Company. All other service marks, trademarks and trade names appearing in this Annual Report on Form 10-K are the property of their respective owners. We do not intend our use or display of other companies’ trade names, trademarks or service marks to imply a relationship with, or endorsement or sponsorship of us by, these other companies. Solely for convenience, the trademarks and trade names referred to in this Annual Report on Form 10-K appear without the </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symbols, but those references are not intended to indicate, in any way, that we will not assert, to the fullest extent under applicable law, our rights, or the right of the applicable licensor to these trademarks and trade names.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are a leading cell analysis solutions company advancing the next generation of cell analysis tools with our novel technical approach of leveraging the full spectrum of fluorescence</w:t>
      </w:r>
    </w:p>
    <w:p>
      <w:pPr>
        <w:spacing w:after="0" w:line="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signatures from multiple lasers to distinguish fluorescent tags on single cells (“Full Spectrum Profiling” or “FSP” technology). Our goal is to become the premier cell analysis company through continued innovation that facilitates scientific advances in biomedical research and clinical applications.</w:t>
      </w:r>
    </w:p>
    <w:p>
      <w:pPr>
        <w:spacing w:after="0" w:line="3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Biological systems are highly complex, and scientists are challenged by the multitude of questions that remain unanswered. Analysis at the single-cell level is essential to understand these complex systems. Identifying the correct cell in the context of a given biological question can have profound implications for drug development and health care decisions. It is essential to correlate information derived from multiple cell analysis approaches and to translate what is known at the gene level to the actual cell function. There is growing demand for deep content through high dimensional cell analysis and for solutions that can provide a complete picture of cellular biological processes and interactions. To achieve this, scientists need to phenotype and isolate rare events or unique populations down to the single-cell through highly resolvable multi-dimensional cell analysis. While flow cytometry is a widely used tool for single-cell analysis, conventional flow cytometry, mass cytometry and early approaches to spectral flow cytometry technologies have historically been challenged due to limited dimensionality, sub-optimal resolution, low throughput, high cost for performance and/or significant technical expertise required to operate systems.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Full Spectrum Profiling™ (FSP™) Technology</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patented FSP technology optimizes sensitivity and accuracy through its unique optical and electronic designs that utilize an innovative method of light detection and distribution to a specifically selected number and type of detectors. This patented optics design enables researchers to effectively collect the full range of light emissions in an extremely compact space, resulting in higher resolution and enabling the development of highly complex assays with more than 40 different colors (individual fluorochromes), supporting more than 40 biomarkers within just a single tube.</w:t>
      </w:r>
    </w:p>
    <w:p>
      <w:pPr>
        <w:spacing w:after="0" w:line="51" w:lineRule="exact"/>
        <w:rPr>
          <w:sz w:val="20"/>
          <w:szCs w:val="20"/>
          <w:color w:val="auto"/>
        </w:rPr>
      </w:pPr>
    </w:p>
    <w:p>
      <w:pPr>
        <w:jc w:val="both"/>
        <w:ind w:firstLine="382"/>
        <w:spacing w:after="0" w:line="244" w:lineRule="auto"/>
        <w:rPr>
          <w:sz w:val="20"/>
          <w:szCs w:val="20"/>
          <w:color w:val="auto"/>
        </w:rPr>
      </w:pPr>
      <w:r>
        <w:rPr>
          <w:rFonts w:ascii="Times New Roman" w:cs="Times New Roman" w:eastAsia="Times New Roman" w:hAnsi="Times New Roman"/>
          <w:sz w:val="14"/>
          <w:szCs w:val="14"/>
          <w:color w:val="auto"/>
        </w:rPr>
        <w:t>Our core FSP systems, the Cytek Aurora™ and Northern Lights™ flow cytometers, deliver high-resolution, high-content and high-sensitivity cell analysis and address the inherent limitations of other technologies by providing a higher level of multiplexing with exquisite sensitivity, more flexibility and increased efficiency, all at a lower cost for performance. Additionally, our Cytek Aurora cell sorter (“Aurora CS” system) leverages our FSP technology to further broaden our potential applications across cell analysis by enabling the same number of parameters with the same sensitivity as the Cytek Aurora cell analyzer system. Each system is supported by our highly intuitive, proprietary embedded SpectroFlo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software, our reagents, and our service offerings to provide a comprehensive, end-to-end platform of solutions for our customers.</w:t>
      </w:r>
    </w:p>
    <w:p>
      <w:pPr>
        <w:spacing w:after="0" w:line="6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Since our first U.S. commercial launch in mid-2017 through December 31, 2023, we have sold and deployed our instruments to customers around the world, including pharmaceutical companies, biopharma companies, academic research centers, and clinical research organizations (“CROs”). Our solutions have enabled researchers to make significant scientific advances in key areas of medical discovery (such as oncology, immunology and infectious diseases) in addition to empowering improved downstream cell analysis with complementary cell analysis technologies (such as next-generation sequencing (“NGS”)). We believe that our innovative FSP and targeted cell isolation technology has the potential to accelerate scientific discovery and have a profound impact on the understanding of cell biology, immunotherapy, and targeted therapeutic approaches (personalized medicine). Further, there has been a meaningful acceleration in the rate of publications generated to showcase our technology, with over 1,650 peer-reviewed articles published, including many prominent journals, across a wide range of applications including oncology, infectious diseases, immunology, immunotherapy and immuno-oncology.</w:t>
      </w:r>
    </w:p>
    <w:p>
      <w:pPr>
        <w:spacing w:after="0" w:line="6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FSP platform was purpose-built to advance the next generation of cell analysis by delivering deep insights, high-throughputs and ease-of-use. Our FSP platform is designed to offer the following key benefits:</w:t>
      </w:r>
    </w:p>
    <w:p>
      <w:pPr>
        <w:spacing w:after="0" w:line="37" w:lineRule="exact"/>
        <w:rPr>
          <w:sz w:val="20"/>
          <w:szCs w:val="20"/>
          <w:color w:val="auto"/>
        </w:rPr>
      </w:pPr>
    </w:p>
    <w:p>
      <w:pPr>
        <w:ind w:left="760" w:hanging="373"/>
        <w:spacing w:after="0" w:line="290" w:lineRule="auto"/>
        <w:tabs>
          <w:tab w:leader="none" w:pos="7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Ultra-sensitive: </w:t>
      </w:r>
      <w:r>
        <w:rPr>
          <w:rFonts w:ascii="Times New Roman" w:cs="Times New Roman" w:eastAsia="Times New Roman" w:hAnsi="Times New Roman"/>
          <w:sz w:val="14"/>
          <w:szCs w:val="14"/>
          <w:color w:val="auto"/>
        </w:rPr>
        <w:t>resolve the most challenging cell populations (such as cells with high autofluorescence or low levels of expression of key biomarkers) by providing high-resolution data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at the single-cell level with an optimized signal-to-noise ratio.</w:t>
      </w:r>
    </w:p>
    <w:p>
      <w:pPr>
        <w:spacing w:after="0" w:line="35" w:lineRule="exact"/>
        <w:rPr>
          <w:rFonts w:ascii="Times New Roman" w:cs="Times New Roman" w:eastAsia="Times New Roman" w:hAnsi="Times New Roman"/>
          <w:sz w:val="14"/>
          <w:szCs w:val="14"/>
          <w:color w:val="auto"/>
        </w:rPr>
      </w:pPr>
    </w:p>
    <w:p>
      <w:pPr>
        <w:ind w:left="760" w:hanging="373"/>
        <w:spacing w:after="0" w:line="290" w:lineRule="auto"/>
        <w:tabs>
          <w:tab w:leader="none" w:pos="7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Deep, high integrity content: </w:t>
      </w:r>
      <w:r>
        <w:rPr>
          <w:rFonts w:ascii="Times New Roman" w:cs="Times New Roman" w:eastAsia="Times New Roman" w:hAnsi="Times New Roman"/>
          <w:sz w:val="14"/>
          <w:szCs w:val="14"/>
          <w:color w:val="auto"/>
        </w:rPr>
        <w:t>allow development of highly complex assays through access to more than 40 different colors and thus, supporting more than 40 biomarkers in a single tube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without sacrificing precision and throughput to gain a deeper understanding of biological systems and arrive at faster and more accurate diagnoses in clinical settings.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760" w:hanging="373"/>
        <w:spacing w:after="0" w:line="290" w:lineRule="auto"/>
        <w:tabs>
          <w:tab w:leader="none" w:pos="7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Flexible and compatible: </w:t>
      </w:r>
      <w:r>
        <w:rPr>
          <w:rFonts w:ascii="Times New Roman" w:cs="Times New Roman" w:eastAsia="Times New Roman" w:hAnsi="Times New Roman"/>
          <w:sz w:val="14"/>
          <w:szCs w:val="14"/>
          <w:color w:val="auto"/>
        </w:rPr>
        <w:t>enable a single configuration across a wide range of reagents and applications, full backwards compatibility across panels, and greater leverage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downstream analysis with complementary technologies, including NGS.</w:t>
      </w:r>
    </w:p>
    <w:p>
      <w:pPr>
        <w:spacing w:after="0" w:line="35" w:lineRule="exact"/>
        <w:rPr>
          <w:rFonts w:ascii="Times New Roman" w:cs="Times New Roman" w:eastAsia="Times New Roman" w:hAnsi="Times New Roman"/>
          <w:sz w:val="14"/>
          <w:szCs w:val="14"/>
          <w:color w:val="auto"/>
        </w:rPr>
      </w:pPr>
    </w:p>
    <w:p>
      <w:pPr>
        <w:ind w:left="760" w:hanging="373"/>
        <w:spacing w:after="0" w:line="290" w:lineRule="auto"/>
        <w:tabs>
          <w:tab w:leader="none" w:pos="7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Efficient and compact: </w:t>
      </w:r>
      <w:r>
        <w:rPr>
          <w:rFonts w:ascii="Times New Roman" w:cs="Times New Roman" w:eastAsia="Times New Roman" w:hAnsi="Times New Roman"/>
          <w:sz w:val="14"/>
          <w:szCs w:val="14"/>
          <w:color w:val="auto"/>
        </w:rPr>
        <w:t>improve costs and save time while maintaining industry-leading performance and efficient workflows that limit consumables usage and reduce labor costs—all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within a highly compact footprint minimizing space requirements for laboratories.</w:t>
      </w:r>
    </w:p>
    <w:p>
      <w:pPr>
        <w:spacing w:after="0" w:line="35" w:lineRule="exact"/>
        <w:rPr>
          <w:rFonts w:ascii="Times New Roman" w:cs="Times New Roman" w:eastAsia="Times New Roman" w:hAnsi="Times New Roman"/>
          <w:sz w:val="14"/>
          <w:szCs w:val="14"/>
          <w:color w:val="auto"/>
        </w:rPr>
      </w:pPr>
    </w:p>
    <w:p>
      <w:pPr>
        <w:ind w:left="760" w:hanging="373"/>
        <w:spacing w:after="0" w:line="290" w:lineRule="auto"/>
        <w:tabs>
          <w:tab w:leader="none" w:pos="7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Integrated and intuitive: </w:t>
      </w:r>
      <w:r>
        <w:rPr>
          <w:rFonts w:ascii="Times New Roman" w:cs="Times New Roman" w:eastAsia="Times New Roman" w:hAnsi="Times New Roman"/>
          <w:sz w:val="14"/>
          <w:szCs w:val="14"/>
          <w:color w:val="auto"/>
        </w:rPr>
        <w:t>provide fully-integrated workflows through a suite of solutions that include instruments, accessories, reagents and kits, software and services. Our proprietary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tools and the intuitive functionality of our proprietary SpectroFlo software coupled with a user-friendly interface allow for enhanced ease-of-use and minimal operator training.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Flow Cytometry and Imaging (FCI) Business</w:t>
      </w:r>
    </w:p>
    <w:p>
      <w:pPr>
        <w:spacing w:after="0" w:line="96" w:lineRule="exact"/>
        <w:rPr>
          <w:sz w:val="20"/>
          <w:szCs w:val="20"/>
          <w:color w:val="auto"/>
        </w:rPr>
      </w:pPr>
    </w:p>
    <w:p>
      <w:pPr>
        <w:jc w:val="both"/>
        <w:ind w:firstLine="382"/>
        <w:spacing w:after="0" w:line="241" w:lineRule="auto"/>
        <w:rPr>
          <w:sz w:val="20"/>
          <w:szCs w:val="20"/>
          <w:color w:val="auto"/>
        </w:rPr>
      </w:pPr>
      <w:r>
        <w:rPr>
          <w:rFonts w:ascii="Times New Roman" w:cs="Times New Roman" w:eastAsia="Times New Roman" w:hAnsi="Times New Roman"/>
          <w:sz w:val="14"/>
          <w:szCs w:val="14"/>
          <w:color w:val="auto"/>
        </w:rPr>
        <w:t>On February 28, 2023, we completed the acquisition of certain assets (the “FCI Acquisition”) relating to the flow cytometry and imaging business of Luminex Corporation (“Luminex”), including relating to the business of manufacturing, marketing, selling, servicing and maintaining Amnis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Guava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-branded instruments, and flow cytometry reagent products and services (the “FCI Business”). The acquired FCI Business includes conventional flow and image-based flow cytometry instrumentation and related products and services (the “FCI Products”), which provide insights into all facets of cellular phenotypes and morphology.</w:t>
      </w:r>
    </w:p>
    <w:p>
      <w:pPr>
        <w:spacing w:after="0" w:line="7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By adding first-to-market Amnis imaging flow cytometers to our cell analysis solutions, we plan to provide researchers and scientists with tools that combine high-resolution cell images with the speed, sensitivity and phenotyping abilities of flow cytometry. Amnis instruments and applications are important tools in the investigation of cell morphology, intracellular translocation and cell-cell interaction in a variety of research areas, including immunology, neurobiology, stem cell research and cell biology.</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addition of Guava flow cytometers expands our core instrument offerings, adding cost-effective, entry-level and personal instrument options with microcapillary-based fluidics for cell analysis. The Guava microcapillary-based flow cytometers are mainly adopted by entry to mid-range flow cytometry users who are looking for easy-to-use and cost-effective solutions for applications such as cell counting, cell biology and lower-plex immunophenotyping.</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Over 7,000 Amnis and Guava systems have been sold and deployed in academic and industry laboratories worldwide, with more than 1,500 active customers in more than 70 countries. The acquisition supports our plan to develop new products and capabilities with flow cytometry and imaging technology, expand our reach and offerings into customer segments previously underserved, and increase the efficiency of our operations</w:t>
      </w:r>
      <w:r>
        <w:rPr>
          <w:rFonts w:ascii="Times New Roman" w:cs="Times New Roman" w:eastAsia="Times New Roman" w:hAnsi="Times New Roman"/>
          <w:sz w:val="14"/>
          <w:szCs w:val="14"/>
          <w:color w:val="231F20"/>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231F20"/>
        </w:rPr>
        <w:t>We aim to transform the cell analysis market by continuing to build upon our success as a leading platform of innovative solutions by leveraging our key competitive strengths, which include:</w:t>
      </w:r>
    </w:p>
    <w:p>
      <w:pPr>
        <w:spacing w:after="0" w:line="94" w:lineRule="exact"/>
        <w:rPr>
          <w:sz w:val="20"/>
          <w:szCs w:val="20"/>
          <w:color w:val="auto"/>
        </w:rPr>
      </w:pPr>
    </w:p>
    <w:p>
      <w:pPr>
        <w:ind w:left="760" w:hanging="373"/>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novel, patented FSP platform delivers high-resolution, high-content and high-sensitivity cell analysis by utilizing the full spectrum of fluorescent signatures.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solutions address many of our customers’ unmet needs.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complete offering is available across a range of price points while consistently delivering high performance.</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diversified customer base and breadth of relationships and scientific validation.</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global scale and reach.</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believe the combination of our people and our global reach will enable us to continue to execute on our growth strategies, stay ahead of competition and remain at the forefront of innovation in cell analysis. Our leadership team has extensive track records in the life sciences and technology sectors. As of December 31, 2023, our multidisciplinary group of over 676 employees includes employees with expertise across optics, electronics, fluidics, computer sciences, chemistry, biology, and medical sciences. Our worldwide commercial team of 254 employees and our research and development team of 164 employees have significant expertise, industry experience and collaborative relationships with key opinion leaders (“KOLs”), industry leaders, innovators and potential customers.</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have a long history of providing high-quality and efficient customer service and our product development efforts reflect our deep understanding of our customers’ needs. One of our key differentiators is our customer-facing technical team, which collaborates closely with our customers to identify and find solutions for unmet needs across the market. We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collaborate closely with KOLs, generating relevant data and publications to demonstrate not only the feasibility, but also the quality of our approach. We plan to continue executing on our strategy to accelerate our growth by driving adoption of our solutions, inspiring innovation, investing in integrated workflow solutions, and driving application development and adoption in clinical markets.</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believe our financial results reflect the significant market demand for our product offerings and adoption of our FSP technology: our strong financial profile is differentiated by the combination of our scaled revenue base, revenue growth and cash balance. Our revenue for fiscal years 2023, 2022 and 2021 was $193.0 million, $164.0 million, and $128.0 million, respectively. We generated net loss of $12.1 million for fiscal year 2023 and net income of $2.5 million and $3.0 million for fiscal years 2022 and 2021, respectively. Our cash and cash equivalents were $167.6 million, $299.5 million and $364.6 million on December 31, 2023, 2022 and 2021,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strategy includes the following core elements:</w:t>
      </w:r>
    </w:p>
    <w:p>
      <w:pPr>
        <w:spacing w:after="0" w:line="92" w:lineRule="exact"/>
        <w:rPr>
          <w:sz w:val="20"/>
          <w:szCs w:val="20"/>
          <w:color w:val="auto"/>
        </w:rPr>
      </w:pPr>
    </w:p>
    <w:p>
      <w:pPr>
        <w:jc w:val="both"/>
        <w:ind w:left="760" w:hanging="373"/>
        <w:spacing w:after="0" w:line="271"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Accelerate adoption of our solutions. </w:t>
      </w:r>
      <w:r>
        <w:rPr>
          <w:rFonts w:ascii="Times New Roman" w:cs="Times New Roman" w:eastAsia="Times New Roman" w:hAnsi="Times New Roman"/>
          <w:sz w:val="14"/>
          <w:szCs w:val="14"/>
          <w:color w:val="auto"/>
        </w:rPr>
        <w:t>To continue driving adoption of our solutions and to support our leading global brand, we intend to maximize the effectiveness of our sales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infrastructure, including our sales representatives, technical applications specialists and customer support staff, in addition to increasing marketing efforts. This investment will also support our entry into new markets as we rollout new solutions and applications and appropriately manage inbound interest from new customers.</w:t>
      </w:r>
    </w:p>
    <w:p>
      <w:pPr>
        <w:spacing w:after="0" w:line="48" w:lineRule="exact"/>
        <w:rPr>
          <w:rFonts w:ascii="Times New Roman" w:cs="Times New Roman" w:eastAsia="Times New Roman" w:hAnsi="Times New Roman"/>
          <w:sz w:val="14"/>
          <w:szCs w:val="14"/>
          <w:color w:val="auto"/>
        </w:rPr>
      </w:pPr>
    </w:p>
    <w:p>
      <w:pPr>
        <w:jc w:val="both"/>
        <w:ind w:left="760" w:hanging="373"/>
        <w:spacing w:after="0" w:line="271"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Continue to innovate and offer our customers best-in-class solutions. </w:t>
      </w:r>
      <w:r>
        <w:rPr>
          <w:rFonts w:ascii="Times New Roman" w:cs="Times New Roman" w:eastAsia="Times New Roman" w:hAnsi="Times New Roman"/>
          <w:sz w:val="14"/>
          <w:szCs w:val="14"/>
          <w:color w:val="auto"/>
        </w:rPr>
        <w:t>Our development efforts focus on value-additive features and enhancements to meet the growing needs of the cell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analysis market. These efforts drive continued innovation across our proprietary reagents, software and services offerings, in addition to new instrumentation releases, such as the Aurora CS and the recently launched </w:t>
      </w:r>
      <w:r>
        <w:rPr>
          <w:rFonts w:ascii="Times New Roman" w:cs="Times New Roman" w:eastAsia="Times New Roman" w:hAnsi="Times New Roman"/>
          <w:sz w:val="14"/>
          <w:szCs w:val="14"/>
          <w:color w:val="231F20"/>
        </w:rPr>
        <w:t>Cytek Orion™ reagent cocktail preparation system</w:t>
      </w:r>
      <w:r>
        <w:rPr>
          <w:rFonts w:ascii="Times New Roman" w:cs="Times New Roman" w:eastAsia="Times New Roman" w:hAnsi="Times New Roman"/>
          <w:sz w:val="14"/>
          <w:szCs w:val="14"/>
          <w:color w:val="auto"/>
        </w:rPr>
        <w:t>.</w:t>
      </w:r>
    </w:p>
    <w:p>
      <w:pPr>
        <w:spacing w:after="0" w:line="48" w:lineRule="exact"/>
        <w:rPr>
          <w:rFonts w:ascii="Times New Roman" w:cs="Times New Roman" w:eastAsia="Times New Roman" w:hAnsi="Times New Roman"/>
          <w:sz w:val="14"/>
          <w:szCs w:val="14"/>
          <w:color w:val="auto"/>
        </w:rPr>
      </w:pPr>
    </w:p>
    <w:p>
      <w:pPr>
        <w:jc w:val="both"/>
        <w:ind w:left="760" w:hanging="373"/>
        <w:spacing w:after="0" w:line="271"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Invest in integrated workflow solutions to drive pull-through from our consumables and services. </w:t>
      </w:r>
      <w:r>
        <w:rPr>
          <w:rFonts w:ascii="Times New Roman" w:cs="Times New Roman" w:eastAsia="Times New Roman" w:hAnsi="Times New Roman"/>
          <w:sz w:val="14"/>
          <w:szCs w:val="14"/>
          <w:color w:val="auto"/>
        </w:rPr>
        <w:t>Our overarching goal is to become a comprehensive solutions provider to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customers by delivering a fully-integrated offering of instruments, accessories, consumables, software and services. As we continue to penetrate our addressable markets, we can leverage our growing installed base to drive consumable pull-through and recurring revenue.</w:t>
      </w:r>
    </w:p>
    <w:p>
      <w:pPr>
        <w:spacing w:after="0" w:line="48" w:lineRule="exact"/>
        <w:rPr>
          <w:rFonts w:ascii="Times New Roman" w:cs="Times New Roman" w:eastAsia="Times New Roman" w:hAnsi="Times New Roman"/>
          <w:sz w:val="14"/>
          <w:szCs w:val="14"/>
          <w:color w:val="auto"/>
        </w:rPr>
      </w:pPr>
    </w:p>
    <w:p>
      <w:pPr>
        <w:jc w:val="both"/>
        <w:ind w:left="760" w:hanging="373"/>
        <w:spacing w:after="0" w:line="260"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Drive clinical research application development. </w:t>
      </w:r>
      <w:r>
        <w:rPr>
          <w:rFonts w:ascii="Times New Roman" w:cs="Times New Roman" w:eastAsia="Times New Roman" w:hAnsi="Times New Roman"/>
          <w:sz w:val="14"/>
          <w:szCs w:val="14"/>
          <w:color w:val="auto"/>
        </w:rPr>
        <w:t>We are deeply committed to developing our platform’s clinical research applications, and in particular, within disease detection,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diagnosis, and treatment monitoring. We also focus on areas where we can leverage the combination of our platform with complementary cell analysis technologies (such as NGS) to produce differentiated outcomes with greater sensitivity, such as with </w:t>
      </w:r>
      <w:r>
        <w:rPr>
          <w:rFonts w:ascii="Times New Roman" w:cs="Times New Roman" w:eastAsia="Times New Roman" w:hAnsi="Times New Roman"/>
          <w:sz w:val="14"/>
          <w:szCs w:val="14"/>
          <w:color w:val="231F20"/>
        </w:rPr>
        <w:t>minimal residual disease (“MRD”) testing</w:t>
      </w:r>
      <w:r>
        <w:rPr>
          <w:rFonts w:ascii="Times New Roman" w:cs="Times New Roman" w:eastAsia="Times New Roman" w:hAnsi="Times New Roman"/>
          <w:sz w:val="14"/>
          <w:szCs w:val="14"/>
          <w:color w:val="auto"/>
        </w:rPr>
        <w:t>. We can provide insights to clinicians to facilitate personalized medicine for patients, as well as facilitate biopharma’s research and development efforts to develop the next-generation of targeted therapies. Our Northern Lights CLC system has been registered or approved for clinical use in the European Union and China and we plan to continue generating supporting publications and data, as well as pursue any required regulatory approvals for clinical use in the United States.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Market Opportunity and Industry Background</w:t>
      </w:r>
    </w:p>
    <w:p>
      <w:pPr>
        <w:spacing w:after="0" w:line="9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Our market opportunity. </w:t>
      </w:r>
      <w:r>
        <w:rPr>
          <w:rFonts w:ascii="Times New Roman" w:cs="Times New Roman" w:eastAsia="Times New Roman" w:hAnsi="Times New Roman"/>
          <w:sz w:val="14"/>
          <w:szCs w:val="14"/>
          <w:color w:val="auto"/>
        </w:rPr>
        <w:t>Within the life sciences technology market, flow cytometry technologies currently provide solutions, including cell proliferation, cell counting, cell identification, cell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quality control and single- cell applications, largely within the global cell analysis market. However, we believe that, driven by enhanced capabilities, our products have the potential to capture an increasingly greater share of the total addressable market by accessing the entire cell analysis market. Further, we believe our differentiated platform will enable us to expand the use of cell analysis into new markets, well beyond current applications addressed by prior flow cytometry technologies and other cell analysis technologies. Thus, we believe our potential total addressable market is larger than the current cell analysis market, which excludes new and existing markets addressable by our platform, such as clinical research applications within immunotherapy, immuno-oncology, bio-processing, infectious diseases and immuno-deficiencies. In addition, the combination of our platform with complementary, downstream cell analysis technologies is expected to provide additional areas for new applications—for example, combining FSP technology with NGS has demonstrated an improved ability to predict leukemia relapse after therapy (such as MRD testing) and served to support the use of our technology within personalized medicine. As our products are further validated through the continued acceleration of peer-reviewed publications in new applications, we expect our total addressable market to expand.</w:t>
      </w:r>
    </w:p>
    <w:p>
      <w:pPr>
        <w:spacing w:after="0" w:line="61"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Complementary technologies to FSP and multi-omics applications. </w:t>
      </w:r>
      <w:r>
        <w:rPr>
          <w:rFonts w:ascii="Times New Roman" w:cs="Times New Roman" w:eastAsia="Times New Roman" w:hAnsi="Times New Roman"/>
          <w:sz w:val="14"/>
          <w:szCs w:val="14"/>
          <w:color w:val="auto"/>
        </w:rPr>
        <w:t>Since our FSP platform provides highly complex data down to single-cell resolution at a rapid speed, it is inherently well-suited to drive more targeted and efficient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downstream analyses for other single-cell technologies, such as NGS, single-cell capture and sample preparation, high-resolution microscopy (such as mass imaging cytometry, super resolution microscopy, confocal microscopy and high-throughput screening platforms), and micro and optofluidic systems. FSP technology is highly complementary to single-cell genomics applications utilizing NGS as it can be used earlier in workflows to rapidly phenotype and isolate living cell populations to the single-cell level with highly multiplexed proteomic data. These cells can then be transferred from our instrument into NGS systems to correlate proteomic and genomic expression, which in turn enables researchers to develop novel drug targets for therapeutics and clinicians to drive outcomes for patients through more informed treatment decision-making. For example, a peer-reviewed article published in the Biology of Blood and Marrow Transplantation journal recognized that combining multiparameter flow cytometry with NGS resulted in an improved ability to predict leukemia relapse after therapy, demonstrating strong potential utility in the large and growing market for MRD testing. With MRD, end users require high sensitivity and standardization, which makes our FSP technology ideal in addressing these challenges. According to a global MRD testing market report by BIS Research in December 2020, flow cytometry technology has the largest market share in MRD testing among relevant technologies, including NGS, polymerase chain reaction and others.</w:t>
      </w:r>
    </w:p>
    <w:p>
      <w:pPr>
        <w:spacing w:after="0" w:line="232"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Importance of cell analysis at the single-cell level. </w:t>
      </w:r>
      <w:r>
        <w:rPr>
          <w:rFonts w:ascii="Times New Roman" w:cs="Times New Roman" w:eastAsia="Times New Roman" w:hAnsi="Times New Roman"/>
          <w:sz w:val="14"/>
          <w:szCs w:val="14"/>
          <w:color w:val="auto"/>
        </w:rPr>
        <w:t>Due to the heterogeneity within tissues, understanding cellular biology, particularly at the single-cell level, is necessary to unravel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mechanisms that might otherwise not be detectable in bulk assays. Deep cellular analysis is a key application that we expect to enable a new age of healthcare delivery, and in particular, personalized medicine. The global healthcare market requires advanced cell analysis technologies to research therapeutic and diagnostic solutions to address emerging and chronic infectious diseases, an aging population with a myriad of chronic diseases, and the need for more effective and targeted therapeutics. These primary market forces, among others, will drive the direction for cell analysis applications that provide new possibilities for novel drug development and improved patient outcomes through enhanced disease detection, diagnosis, and treatment monitoring.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are a leading cell analysis solutions provider that develops compact, cost-effective instruments with high multiplexing capability, and we offer a wide range of services to support scientists and clinicians. Our products are used in the world’s most renowned pharmaceutical and clinical research organizations, as well as premier academic and research institutions.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Cytek Aurora and Cytek Northern Lights</w:t>
      </w:r>
      <w:r>
        <w:rPr>
          <w:rFonts w:ascii="Times New Roman" w:cs="Times New Roman" w:eastAsia="Times New Roman" w:hAnsi="Times New Roman"/>
          <w:sz w:val="14"/>
          <w:szCs w:val="14"/>
          <w:b w:val="1"/>
          <w:bCs w:val="1"/>
          <w:color w:val="231F20"/>
        </w:rPr>
        <w:t>™</w:t>
      </w:r>
      <w:r>
        <w:rPr>
          <w:rFonts w:ascii="Times New Roman" w:cs="Times New Roman" w:eastAsia="Times New Roman" w:hAnsi="Times New Roman"/>
          <w:sz w:val="14"/>
          <w:szCs w:val="14"/>
          <w:b w:val="1"/>
          <w:bCs w:val="1"/>
          <w:color w:val="auto"/>
        </w:rPr>
        <w:t xml:space="preserve"> Systems</w:t>
      </w:r>
    </w:p>
    <w:p>
      <w:pPr>
        <w:spacing w:after="0" w:line="85"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 xml:space="preserve">Our Cytek Aurora and Cytek Northern Lights systems were commercially launched in June 2017 and October 2018, respectively. Both instruments are highly flexible, intuitive, and ultra-sensitive full spectrum flow cytometers, utilizing state-of-the-art optics and low-noise electronics to provide excellent sensitivity and resolution, allowing researchers to resolve rare cell populations that were previously challenging to resolve. The optics and electronics designs, combined with flat-top beam profiles and a unique vacuum fluidics system, translate to outstanding performance from low to high sample flow rate, analyzing up to 35,000 events per second with certain configurations. Additionally, our optical design and unmixing algorithm make the instrument amenable to a wide array of applications and fluorochrome options, all without needing to reconfigure the instrument hardware as would otherwise be required on a </w:t>
      </w:r>
      <w:r>
        <w:rPr>
          <w:rFonts w:ascii="Times New Roman" w:cs="Times New Roman" w:eastAsia="Times New Roman" w:hAnsi="Times New Roman"/>
          <w:sz w:val="14"/>
          <w:szCs w:val="14"/>
          <w:color w:val="231F20"/>
        </w:rPr>
        <w:t>conventional flow cytometer (“CFC”). Our Cytek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Aurora and Northern Lights systems are used in the study of infectious diseases, immunology, immunotherapy, immuno-oncology, oncology, inflammation, and drug discovery</w:t>
      </w:r>
      <w:r>
        <w:rPr>
          <w:rFonts w:ascii="Times New Roman" w:cs="Times New Roman" w:eastAsia="Times New Roman" w:hAnsi="Times New Roman"/>
          <w:sz w:val="14"/>
          <w:szCs w:val="14"/>
          <w:color w:val="000000"/>
        </w:rPr>
        <w:t>.</w:t>
      </w:r>
    </w:p>
    <w:p>
      <w:pPr>
        <w:spacing w:after="0" w:line="61" w:lineRule="exact"/>
        <w:rPr>
          <w:sz w:val="20"/>
          <w:szCs w:val="20"/>
          <w:color w:val="auto"/>
        </w:rPr>
      </w:pPr>
    </w:p>
    <w:p>
      <w:pPr>
        <w:jc w:val="both"/>
        <w:ind w:firstLine="382"/>
        <w:spacing w:after="0" w:line="241" w:lineRule="auto"/>
        <w:rPr>
          <w:sz w:val="20"/>
          <w:szCs w:val="20"/>
          <w:color w:val="auto"/>
        </w:rPr>
      </w:pPr>
      <w:r>
        <w:rPr>
          <w:rFonts w:ascii="Times New Roman" w:cs="Times New Roman" w:eastAsia="Times New Roman" w:hAnsi="Times New Roman"/>
          <w:sz w:val="14"/>
          <w:szCs w:val="14"/>
          <w:color w:val="auto"/>
        </w:rPr>
        <w:t>The Cytek Aurora system is available with three to five lasers and can detect more than 40 biomarkers in one sample tube. The Northern Lights system is available with one to three lasers and can detect more than 24 biomarkers in one sample tube. Both instruments are upgradeable based on the desired number of lasers, which drives greater or less access to biomarkers. In addition, both instruments incorporate our SpectroFlo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software, which offers an intuitive workflow from quality control to sample acquisition to data analysis, with technology- enabling tools that simplify running applications.</w:t>
      </w:r>
    </w:p>
    <w:p>
      <w:pPr>
        <w:spacing w:after="0" w:line="71" w:lineRule="exact"/>
        <w:rPr>
          <w:sz w:val="20"/>
          <w:szCs w:val="20"/>
          <w:color w:val="auto"/>
        </w:rPr>
      </w:pPr>
    </w:p>
    <w:p>
      <w:pPr>
        <w:jc w:val="both"/>
        <w:ind w:firstLine="382"/>
        <w:spacing w:after="0" w:line="237" w:lineRule="auto"/>
        <w:rPr>
          <w:sz w:val="20"/>
          <w:szCs w:val="20"/>
          <w:color w:val="auto"/>
        </w:rPr>
      </w:pPr>
      <w:r>
        <w:rPr>
          <w:rFonts w:ascii="Times New Roman" w:cs="Times New Roman" w:eastAsia="Times New Roman" w:hAnsi="Times New Roman"/>
          <w:sz w:val="14"/>
          <w:szCs w:val="14"/>
          <w:color w:val="auto"/>
        </w:rPr>
        <w:t xml:space="preserve">The Northern Lights CLC </w:t>
      </w:r>
      <w:r>
        <w:rPr>
          <w:rFonts w:ascii="Times New Roman" w:cs="Times New Roman" w:eastAsia="Times New Roman" w:hAnsi="Times New Roman"/>
          <w:sz w:val="14"/>
          <w:szCs w:val="14"/>
          <w:color w:val="231F20"/>
        </w:rPr>
        <w:t>(NL-CLC</w:t>
      </w:r>
      <w:r>
        <w:rPr>
          <w:rFonts w:ascii="Times New Roman" w:cs="Times New Roman" w:eastAsia="Times New Roman" w:hAnsi="Times New Roman"/>
          <w:sz w:val="18"/>
          <w:szCs w:val="18"/>
          <w:color w:val="231F20"/>
          <w:vertAlign w:val="superscript"/>
        </w:rPr>
        <w:t>™</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 xml:space="preserve"> system was registered in the European Union in compliance with Regulation (EU) 2017/746 on In Vitro Diagnostic Medical Devices in November 2023. This registration enables the Northern Lights CLC system to be marketed for clinical use in the European Union and in other countries around the world that accept the Certification of Free Sale issued from an EU Competent Authority. The Northern Lights CLC system is also registered as a Class II In Vitro Diagnostic Medical Device in China.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Cytek Aurora CS System</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Key to the discovery of unraveling cellular complexity is the ability to perform additional downstream genomic and proteomic studies on the specific subsets identified using high dimensional phenotyping approaches. Our Aurora CS system was commercially launched in June 2021 and is the first highly flexible, intuitive and ultra-sensitive cell sorter that leverages the detection and sensitivity capabilities of our FSP technology to isolate living cell populations from lower to higher complexity panels beyond 40 biomarkers. Our FSP technology enables the processing of a tremendous amount of</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highly complex information to provide real-time unmixing and sorting capabilities at the field-programmable gate array level. The implications are significant in terms of flexibility and user experience, including experiment workflow transportability and assay reproducibility, enabling a 40-biomarker assay to be run in both the Cytek Aurora and the Aurora CS systems, with similar results. With our technology, users can first identify cell populations and then isolate the live cells for downstream studies, such as single-cell RNA sequencing, proteomics, and cell biology. We believe this new technology will enable users to gain a deeper level of cell classification, take advantage of key trends and scientific expansion, and allow for greater clinical research applications, such as with MRD, cell analysis and disease discovery.</w:t>
      </w:r>
    </w:p>
    <w:p>
      <w:pPr>
        <w:spacing w:after="0" w:line="58"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4"/>
          <w:szCs w:val="14"/>
          <w:color w:val="auto"/>
        </w:rPr>
        <w:t>Unlike other high-capacity sorters, we believe the Aurora CS system is the only cell sorter that can accommodate the same number of parameters with the same sensitivity as the Cytek Aurora system and isolate living cell populations of interest using the same panel and without having to alter the optical configuration, while also being able to sort panels designed for conventional analyzers.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Cytek Amnis ImageStream</w:t>
      </w:r>
      <w:r>
        <w:rPr>
          <w:rFonts w:ascii="Times New Roman" w:cs="Times New Roman" w:eastAsia="Times New Roman" w:hAnsi="Times New Roman"/>
          <w:sz w:val="18"/>
          <w:szCs w:val="18"/>
          <w:b w:val="1"/>
          <w:bCs w:val="1"/>
          <w:color w:val="231F20"/>
          <w:vertAlign w:val="superscript"/>
        </w:rPr>
        <w:t>®</w:t>
      </w:r>
      <w:r>
        <w:rPr>
          <w:rFonts w:ascii="Times New Roman" w:cs="Times New Roman" w:eastAsia="Times New Roman" w:hAnsi="Times New Roman"/>
          <w:sz w:val="14"/>
          <w:szCs w:val="14"/>
          <w:b w:val="1"/>
          <w:bCs w:val="1"/>
          <w:color w:val="231F20"/>
        </w:rPr>
        <w:t xml:space="preserve"> Imaging Flow Cytometer</w:t>
      </w:r>
    </w:p>
    <w:p>
      <w:pPr>
        <w:spacing w:after="0" w:line="53"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Cytek Amnis ImageStream imaging flow cytometer includes multiple configurations to fit specific research needs and combines speed, sensitivity, and phenotyping abilities of flow cytometry with high resolution images and functional insights of microscopy. This unique combination enables a broad range of applications that would be impossible using either technique alone.</w:t>
      </w:r>
    </w:p>
    <w:p>
      <w:pPr>
        <w:spacing w:after="0" w:line="36" w:lineRule="exact"/>
        <w:rPr>
          <w:sz w:val="20"/>
          <w:szCs w:val="20"/>
          <w:color w:val="auto"/>
        </w:rPr>
      </w:pPr>
    </w:p>
    <w:p>
      <w:pPr>
        <w:jc w:val="both"/>
        <w:ind w:firstLine="382"/>
        <w:spacing w:after="0" w:line="242" w:lineRule="auto"/>
        <w:rPr>
          <w:sz w:val="20"/>
          <w:szCs w:val="20"/>
          <w:color w:val="auto"/>
        </w:rPr>
      </w:pPr>
      <w:r>
        <w:rPr>
          <w:rFonts w:ascii="Times New Roman" w:cs="Times New Roman" w:eastAsia="Times New Roman" w:hAnsi="Times New Roman"/>
          <w:sz w:val="14"/>
          <w:szCs w:val="14"/>
          <w:color w:val="231F20"/>
        </w:rPr>
        <w:t>The ImageStream</w:t>
      </w:r>
      <w:r>
        <w:rPr>
          <w:rFonts w:ascii="Times New Roman" w:cs="Times New Roman" w:eastAsia="Times New Roman" w:hAnsi="Times New Roman"/>
          <w:sz w:val="18"/>
          <w:szCs w:val="18"/>
          <w:color w:val="231F20"/>
          <w:vertAlign w:val="superscript"/>
        </w:rPr>
        <w:t>X</w:t>
      </w:r>
      <w:r>
        <w:rPr>
          <w:rFonts w:ascii="Times New Roman" w:cs="Times New Roman" w:eastAsia="Times New Roman" w:hAnsi="Times New Roman"/>
          <w:sz w:val="14"/>
          <w:szCs w:val="14"/>
          <w:color w:val="231F20"/>
        </w:rPr>
        <w:t xml:space="preserve"> Mk II system is a benchtop, multispectral, imaging flow cytometer designed for the rapid acquisition of millions of cells with up to 12 channels of cellular imagery. It collects large numbers of digital images, performs spectral compensation and provides high quality images of every cell in your sample. Combined with our advanced AI-assisted image analysis software where each object is quantified for hundreds of parameters using not only fluorescence intensity but the spatial location of that fluoresced as well, the ImageStream system provides an unprecedented level of cellular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Cytek Guava Muse</w:t>
      </w:r>
      <w:r>
        <w:rPr>
          <w:rFonts w:ascii="Times New Roman" w:cs="Times New Roman" w:eastAsia="Times New Roman" w:hAnsi="Times New Roman"/>
          <w:sz w:val="18"/>
          <w:szCs w:val="18"/>
          <w:b w:val="1"/>
          <w:bCs w:val="1"/>
          <w:color w:val="231F20"/>
          <w:vertAlign w:val="superscript"/>
        </w:rPr>
        <w:t>®</w:t>
      </w:r>
      <w:r>
        <w:rPr>
          <w:rFonts w:ascii="Times New Roman" w:cs="Times New Roman" w:eastAsia="Times New Roman" w:hAnsi="Times New Roman"/>
          <w:sz w:val="14"/>
          <w:szCs w:val="14"/>
          <w:b w:val="1"/>
          <w:bCs w:val="1"/>
          <w:color w:val="231F20"/>
        </w:rPr>
        <w:t xml:space="preserve"> Cell Analyzer</w:t>
      </w:r>
    </w:p>
    <w:p>
      <w:pPr>
        <w:spacing w:after="0" w:line="53"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The Cytek Guava Muse cell analyzer is a compact, easy-to-use benchtop device with a user-friendly touchscreen interface and intuitive cell analysis software. The Muse system delivers high-performance cell analysis using a microcapillary technology and miniaturized optics. Laser-based fluorescence detection of each cell event can evaluate up to three cellular parameters, providing more quantitative results than non-flow based imaging systems.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Cytek Guava easyCyte™ Flow Cytometer</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231F20"/>
        </w:rPr>
        <w:t>The Cytek Guava easyCyte flow cytometer is a highly dynamic benchtop system with great sensitivity and optional high-throughput capabilities powered by intuitive software. The system’s flexible configuration provides for up to three lasers and 14 parameters and its innovative microcapillary technology provides for direct absolute counting with industry-leading precision.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Cytek Orion™ Reagent Cocktail Preparation System</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The Cytek Orion reagent cocktail preparation system enables researchers to fully automate the preparation of antibody cocktails for flow cytometry. With the ability to concoct cocktails comprising of up to 60 individual antibodies, hands-on time is saved, allowing for increased efficiency and accuracy in the lab. The Cytek Orion reagent cocktail preparation system features robust, reliable cocktail preparation that eliminates potential user errors and pipetting mistakes; fast cocktail preparation that saves precious time in the lab; a robotic interface that allows for a decrease in repetitive motion from pipetting multi-color panels; and cooling and light protection to keep reagents stable.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Automated Micro-Sampling System and Automated Sample Loader System</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231F20"/>
        </w:rPr>
        <w:t>Our Automated Micro-Sampling (“AMS”) system and Automated Sample Loader (“ASL”) system were commercially launched in 2018 and 2021, respectively. The AMS and ASL systems are automated loaders designed to integrate seamlessly into the Cytek Aurora and Northern Lights systems, increasing sample throughput and adding automation capabilities to our FSP systems. The systems offer preset settings for ease of use, but also allow researchers to customize and fine-tune the systems for their unique experimental requirements. Their reliable 96-well plate acquisition solution increases productivity. The ASL adds additional compatibility with 96 deep-well plates, 38 well plates and 40-tube racks. Both systems have three throughput modes (high-throughput, default, low carryover) to meet changing customer priorities.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Reagents and Kits</w:t>
      </w:r>
    </w:p>
    <w:p>
      <w:pPr>
        <w:spacing w:after="0" w:line="93" w:lineRule="exact"/>
        <w:rPr>
          <w:sz w:val="20"/>
          <w:szCs w:val="20"/>
          <w:color w:val="auto"/>
        </w:rPr>
      </w:pPr>
    </w:p>
    <w:p>
      <w:pPr>
        <w:jc w:val="both"/>
        <w:ind w:firstLine="382"/>
        <w:spacing w:after="0" w:line="232" w:lineRule="auto"/>
        <w:rPr>
          <w:sz w:val="20"/>
          <w:szCs w:val="20"/>
          <w:color w:val="auto"/>
        </w:rPr>
      </w:pPr>
      <w:r>
        <w:rPr>
          <w:rFonts w:ascii="Times New Roman" w:cs="Times New Roman" w:eastAsia="Times New Roman" w:hAnsi="Times New Roman"/>
          <w:sz w:val="14"/>
          <w:szCs w:val="14"/>
          <w:color w:val="auto"/>
        </w:rPr>
        <w:t xml:space="preserve">We launched our </w:t>
      </w:r>
      <w:r>
        <w:rPr>
          <w:rFonts w:ascii="Times New Roman" w:cs="Times New Roman" w:eastAsia="Times New Roman" w:hAnsi="Times New Roman"/>
          <w:sz w:val="14"/>
          <w:szCs w:val="14"/>
          <w:color w:val="231F20"/>
        </w:rPr>
        <w:t>cFluor</w:t>
      </w:r>
      <w:r>
        <w:rPr>
          <w:rFonts w:ascii="Times New Roman" w:cs="Times New Roman" w:eastAsia="Times New Roman" w:hAnsi="Times New Roman"/>
          <w:sz w:val="18"/>
          <w:szCs w:val="18"/>
          <w:color w:val="231F20"/>
          <w:vertAlign w:val="superscript"/>
        </w:rPr>
        <w:t>®</w:t>
      </w:r>
      <w:r>
        <w:rPr>
          <w:rFonts w:ascii="Times New Roman" w:cs="Times New Roman" w:eastAsia="Times New Roman" w:hAnsi="Times New Roman"/>
          <w:sz w:val="14"/>
          <w:szCs w:val="14"/>
          <w:color w:val="auto"/>
        </w:rPr>
        <w:t xml:space="preserve"> reagent products to provide additional options for researchers and clinical laboratories when choosing which biomarkers to run together in a panel, particularly since our Cytek Aurora, Northern Lights and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Aurora CS systems allow for more fluorochromes to be run together than was previously commercially available. </w:t>
      </w:r>
      <w:r>
        <w:rPr>
          <w:rFonts w:ascii="Times New Roman" w:cs="Times New Roman" w:eastAsia="Times New Roman" w:hAnsi="Times New Roman"/>
          <w:sz w:val="14"/>
          <w:szCs w:val="14"/>
          <w:color w:val="231F20"/>
        </w:rPr>
        <w:t>Our cFluor reagents are fluorochrome conjugated antibodies used to identify cells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interest for analysis on our instruments. </w:t>
      </w:r>
      <w:r>
        <w:rPr>
          <w:rFonts w:ascii="Times New Roman" w:cs="Times New Roman" w:eastAsia="Times New Roman" w:hAnsi="Times New Roman"/>
          <w:sz w:val="14"/>
          <w:szCs w:val="14"/>
          <w:color w:val="000000"/>
        </w:rPr>
        <w:t>Our technology was able to inform our fluorochrome development through the identification of areas within the spectrum for which there were currently no</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available fluorochrome options.</w:t>
      </w:r>
    </w:p>
    <w:p>
      <w:pPr>
        <w:spacing w:after="0" w:line="48" w:lineRule="exact"/>
        <w:rPr>
          <w:sz w:val="20"/>
          <w:szCs w:val="20"/>
          <w:color w:val="auto"/>
        </w:rPr>
      </w:pPr>
    </w:p>
    <w:p>
      <w:pPr>
        <w:jc w:val="both"/>
        <w:ind w:firstLine="382"/>
        <w:spacing w:after="0" w:line="247" w:lineRule="auto"/>
        <w:rPr>
          <w:sz w:val="20"/>
          <w:szCs w:val="20"/>
          <w:color w:val="auto"/>
        </w:rPr>
      </w:pPr>
      <w:r>
        <w:rPr>
          <w:rFonts w:ascii="Times New Roman" w:cs="Times New Roman" w:eastAsia="Times New Roman" w:hAnsi="Times New Roman"/>
          <w:sz w:val="14"/>
          <w:szCs w:val="14"/>
          <w:color w:val="auto"/>
        </w:rPr>
        <w:t>We offer and continue to develop cFluor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immunoprofiling kits, which include the cFluor reagents and tools necessary to simplify the workflow from sample preparation to data analysis. Our 14-color immunoprofiling kit is designed to distinguish different subsets of T, B and natural killer (“TBNK”) cells, our 25-color immunoprofiling assay provides a turnkey solution for identifying major human immune subpopulations for TBNK cells, monocytes, dendritic cells, and basophils, and our 13-color human B cell monitoring kit provides a turnkey solution for identifying and enumerating B cell subsets in human whole blood and peripheral blood mononuclear cells. In 2023, we introduced the single-tube 20-color panel for identifying and characterizing normal and aberrant cells and evaluating MRD in acute myeloid leukemia samples and our pan leukocyte kit, a lyse-no-wash assay designed to help researchers fully enumerate the complete set of major leukocyte subsets in drug discovery and development. These research use only (“RUO”) products are optimized for use with our Aurora and Northern Lights systems and designed to simplify the workflow and improve operational efficiency for our customers.</w:t>
      </w:r>
    </w:p>
    <w:p>
      <w:pPr>
        <w:spacing w:after="0" w:line="6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single-color reagents are registered as Class 1 with the China National Medical Products Administration (NMPA) and in the European Union under the IVDD. We are seeking Class 3 registration with the NMPA of our 6-color reagent cocktails that identify and determine the percentages and absolute counts of TBNK cells in peripheral blood. We expect these recent and planned reagent and application solutions to be a significant driver of our future reagent revenue and pull-through as our installed base of instruments grows.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 xml:space="preserve">To help accelerate our overarching goal to become a comprehensive solutions provider to our customers, we acquired the reagents business of Tonbo Biotechnologies Corporation in November 2021 </w:t>
      </w:r>
      <w:r>
        <w:rPr>
          <w:rFonts w:ascii="Times New Roman" w:cs="Times New Roman" w:eastAsia="Times New Roman" w:hAnsi="Times New Roman"/>
          <w:sz w:val="14"/>
          <w:szCs w:val="14"/>
          <w:color w:val="231F20"/>
        </w:rPr>
        <w:t>(the “Tonbo Acquisition”) and offer reagents under the Tonbo™ brand. Additionally, we also offer Amnis and Guava-branded reagents and kits.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SpectroFlo® Software</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proprietary SpectroFlo software is integrated into our systems and is unique in that it offers intuitive workflows for handling full spectrum flow cytometry data, from quality control to data analysis. The software was developed specifically for our Cytek Aurora and Northern Lights systems to streamline instrument setup, automated quality control, data analysis and data management. With the ability to import a previously designed experiment template, either from a collaborator or from an experiment designed in Cytek Cloud, users are able to quickly set up their experiments and there is no need to re-enter the panel design, acquisition criteria, reagent information or data analysis worksheets, fluorochrome names, cell markers, reagent lots, or acquisition criteria. With our SpectroFlo software, users can conveniently and efficiently collect both raw and unmixed FCS 3.1 files, which can be used to live unmix samples and extract autofluorescence that would otherwise negative impact data resolution.</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Built on the same intuitive SpectroFlo software workflows and user interface, we provide our SpectroFlo CS software with our Aurora CS systems and our SpectroPrep software with our Cytek Orion reagent cocktail preparation system. The SpectroFlo CS software enables the acquisition and analysis of cell populations with the same high-level resolution provided by our Cytek Aurora system, with the added ability to sort live cells of interest. The SpectroPrep software is wizard-based and guides users to automate their cocktail preparation.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 Support Tools</w:t>
      </w:r>
    </w:p>
    <w:p>
      <w:pPr>
        <w:spacing w:after="0" w:line="96" w:lineRule="exact"/>
        <w:rPr>
          <w:sz w:val="20"/>
          <w:szCs w:val="20"/>
          <w:color w:val="auto"/>
        </w:rPr>
      </w:pPr>
    </w:p>
    <w:p>
      <w:pPr>
        <w:jc w:val="both"/>
        <w:ind w:firstLine="382"/>
        <w:spacing w:after="0" w:line="241" w:lineRule="auto"/>
        <w:rPr>
          <w:sz w:val="20"/>
          <w:szCs w:val="20"/>
          <w:color w:val="auto"/>
        </w:rPr>
      </w:pPr>
      <w:r>
        <w:rPr>
          <w:rFonts w:ascii="Times New Roman" w:cs="Times New Roman" w:eastAsia="Times New Roman" w:hAnsi="Times New Roman"/>
          <w:sz w:val="14"/>
          <w:szCs w:val="14"/>
          <w:color w:val="auto"/>
        </w:rPr>
        <w:t xml:space="preserve">We strive to continually innovate by developing new quantitative tools, which are integrated into our software or available to our customers on our website, to enable users to independently create high-color panels for use with our systems, to support efficient workflow solutions and to provide an intuitive user experience. </w:t>
      </w:r>
      <w:r>
        <w:rPr>
          <w:rFonts w:ascii="Times New Roman" w:cs="Times New Roman" w:eastAsia="Times New Roman" w:hAnsi="Times New Roman"/>
          <w:sz w:val="14"/>
          <w:szCs w:val="14"/>
          <w:color w:val="231F20"/>
        </w:rPr>
        <w:t>We launched Cytek</w:t>
      </w:r>
      <w:r>
        <w:rPr>
          <w:rFonts w:ascii="Times New Roman" w:cs="Times New Roman" w:eastAsia="Times New Roman" w:hAnsi="Times New Roman"/>
          <w:sz w:val="18"/>
          <w:szCs w:val="18"/>
          <w:color w:val="231F20"/>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Cloud, a digital ecosystem that supports full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spectrum flow cytometry research from panel design to data acquisition, seamlessly integrating with our SpectroFlo software. Cytek Cloud features three integrated online tools, Full Spectrum Viewer, Panel Builder and Experiment Builder, to streamline experiment workflow on our Cytek Aurora, Northern Lights and Aurora CS systems.</w:t>
      </w:r>
    </w:p>
    <w:p>
      <w:pPr>
        <w:spacing w:after="0" w:line="7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As fluorochrome (color) selection is a key component of assay development and optimization, our Full Spectrum Viewer is a unique tool capable of displaying the full emission spectrum of a fluorochrome (emission at different wavelengths post-excitation with multiple lasers). Our FSP technology provides an in-depth understanding of the fluorescence emission characteristics of nearly every color available in the market and our Full Spectrum Viewer provides users with comprehensive information regarding emission characteristics of the fluorochromes to optimize fluorochrome selection for assay development. As a complementary tool to our Full Spectrum Viewer, our Similarity</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 xml:space="preserve"> and Complexity</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auto"/>
        </w:rPr>
        <w:t xml:space="preserve"> indices provide unique metrics for assessing fluorochrome compatibility within a panel. The Similarity index compares the emission spectrum of two dyes, identifying whether the dyes have unique characteristics or if the dyes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are identical, which determines whether they can be used together to analyze a sample in a flow cytometry assay. The Complexity index is a metric that predicts how well a panel of colors will work in combination to minimize loss of resolution and sensitivity.</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Panel Builder tool combines all the features of the Full Spectrum Viewer with additional tools for panel design and collaboration in a simple and organized interface. Users can quickly visualize, compare, and optimize their fluorochrome selections with a suite of spectral panel design tools in real-time, allowing them to build their panels faster. In addition, users can jumpstart their panel design process with a built-in repository of pre-designed panels like the Cytek reagent kits and optimized multicolor immunofluorescence panels. Users can also easily manage and share their panels between colleagues to enable faster collaboration.</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Experiment Builder tool allows users to set up their experiments in advance to make efficient use of their time on the instrument. In addition, users can auto-populate fluorochromes and marker names and seamlessly transfer panels from Panel Builder to Experiment Builder with a single click, removing redundancies and simplifying the workflow.</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DxP Athena</w:t>
      </w:r>
      <w:r>
        <w:rPr>
          <w:rFonts w:ascii="Times New Roman" w:cs="Times New Roman" w:eastAsia="Times New Roman" w:hAnsi="Times New Roman"/>
          <w:sz w:val="18"/>
          <w:szCs w:val="18"/>
          <w:b w:val="1"/>
          <w:bCs w:val="1"/>
          <w:color w:val="231F20"/>
          <w:vertAlign w:val="super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color w:val="231F20"/>
        </w:rPr>
        <w:t>System</w:t>
      </w:r>
    </w:p>
    <w:p>
      <w:pPr>
        <w:spacing w:after="0" w:line="53"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DxP Athena conventional flow cytometry system commercially launched in 2016 and is currently available for sale only in China. It is certified for clinical use by China NMPA. The DxP Athena system incorporates technology with efficient photomultiplier tubes to enable high sensitivity and high resolution and our proprietary QbSure software to ensure optimal daily instrument performance. The system is available in multiple configurations with one to three lasers and up to 13 fluorescence detection channels. The automated monthly clean bleach cycle minimizes downtime, streamlines maintenance and encourages compliance.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distribute our products through our direct sales force and support organizations located in North America, Europe, China and several other countries in the Asia-Pacific region, and through distributors or sales agents in several countries in Europe, Latin America, the Middle East and the Asia-Pacific region. Our sales and marketing efforts are targeted at academic and governmental institutions, CROs, pharmaceutical and biotechnology companies and clinical laboratories focused on single-cell analysis.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sales process often involves interactions and demonstrations with multiple people within an organization. Some potential customers conduct in-depth evaluations of the system, including running experiments on our system and competing systems. In addition, in many countries outside of North America, sales to academic or governmental institutions require participation in a tender process involving preparation of extensive documentation and a lengthy review process. As a result of these factors and the budget cycles of our customers, the sales cycle on our instrument, the time from initial contact with a customer to our receipt of a purchase order, can be six months or longer.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 AND SUPPLY</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manufacturing operations are located in Fremont, California; San Diego, California; Seattle, Washington; and Wuxi, China.</w:t>
      </w:r>
    </w:p>
    <w:p>
      <w:pPr>
        <w:spacing w:after="0" w:line="9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 xml:space="preserve">We commenced manufacturing operations in Fremont, California in 2015. </w:t>
      </w:r>
      <w:r>
        <w:rPr>
          <w:rFonts w:ascii="Times New Roman" w:cs="Times New Roman" w:eastAsia="Times New Roman" w:hAnsi="Times New Roman"/>
          <w:sz w:val="14"/>
          <w:szCs w:val="14"/>
          <w:color w:val="231F20"/>
        </w:rPr>
        <w:t>We relocated our Fremont headquarters and manufacturing facility in October 2021 to provide us with capacity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expansion capability that would be sufficient to support our growth. </w:t>
      </w:r>
      <w:r>
        <w:rPr>
          <w:rFonts w:ascii="Times New Roman" w:cs="Times New Roman" w:eastAsia="Times New Roman" w:hAnsi="Times New Roman"/>
          <w:sz w:val="14"/>
          <w:szCs w:val="14"/>
          <w:color w:val="000000"/>
        </w:rPr>
        <w:t>Our Fremont facility maintains ISO 9001 and ISO 13485 certifications and manufactures our Cytek Aurora and Aurora CS</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systems, as well as spare parts. </w:t>
      </w:r>
      <w:r>
        <w:rPr>
          <w:rFonts w:ascii="Times New Roman" w:cs="Times New Roman" w:eastAsia="Times New Roman" w:hAnsi="Times New Roman"/>
          <w:sz w:val="14"/>
          <w:szCs w:val="14"/>
          <w:color w:val="231F20"/>
        </w:rPr>
        <w:t>Our San Diego facility was assumed in connection with the Tonbo Acquisition and manufactures our reagents. Our Seattle, Washington facility was assumed in</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connection with the FCI Acquisition and manufactures our Amnis instruments and spare parts.</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Wuxi manufacturing facility commenced operations in 2017. In November 2023, we purchased a new building in Wuxi, China and relocated substantially all of our Wuxi operations to the new facility in January 2024. The new Wuxi manufacturing facility maintains ISO 13485 certification and manufactures our Cytek Aurora, Northern Lights, Guava and Athena instruments, certain reagents and spare parts. Our instruments and reagents for clinical use are currently manufactured only by our Wuxi operations.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Certain instruments manufactured in our Wuxi facility are delivered to our Fremont facility for final assembly and testing. We established the manufacturing facility in Wuxi, China to take advantage of the skilled workforce, supplier and partner network, lower operating costs and available government support. We are able to hire skilled employees from China’s existing in vitro diagnostic and optical product industry. China also has a broad network of potential suppliers and partners for our manufacturing operations and we are able to locally source a large portion of the raw materials required for our manufacturing processes. We have received incentive grants from the local Wuxi government for research, development, and manufacturing.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believe that having dual sources for our core products would help mitigate the potential impact of a production disruption at any one of our facilities to ensure a reliable and stable supply chain and product availability for our customers. We expect that our existing manufacturing capacity for instrumentation and reagents will be sufficient to meet our anticipated needs for at least the next several years.</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rely on a limited number of suppliers for certain components and materials used in our systems. Key components in our products that are supplied by sole or limited source suppliers include certain lasers, semiconductors and mechanical components that are used in our optical, electrical and fluidic subassemblies. While we are in the process of qualifying additional sources of supply, qualifications can take 12 to 24 months and, in some cases, longer. If we were to lose one or more of our sole or limited source suppliers, it would take significant time and effort to qualify alternative suppliers. With respect to many of our suppliers, we are neither a major customer, nor do we have long term supply contracts. These suppliers may therefore give other customers’ needs higher priority than ours, and we may not be able to obtain adequate supply in a timely manner or on commercially reasonable terms.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face significant competition from within the cell analysis and life sciences tools market. We currently compete with established and early stage life sciences and in vitro diagnostics (“IVD”) companies developing or commercializing flow cytometry instruments and consumables, as well as other companies that design, manufacture and market instruments, accessories, consumables, reagent kits and software for, among other applications, cell analysis, immunophenotyping, cell sorting and/or provide services related to the same. Our direct competitors include Agilent Technologies, Beckman Coulter (Danaher Corporation), Becton, Dickinson and Company, Bio-Rad Laboratories, Standard BioTools, Miltenyi Biotec, Sony Biotechnology (Sony Corporation) and Thermo Fisher Scientific. Our target customers may also elect to develop their workflows on CFCs, or using traditional methods, rather than implementing our platform or existing customers may decide to stop using our platform. In addition, there are many large, established companies in the life sciences tools market that we do not currently compete with but that could develop instruments, tools or other products that will compete with us in the future. These companies have substantially greater financial and other resources than us, including larger research and development, quality and regulatory staff or more established marketing and sales forces.</w:t>
      </w:r>
    </w:p>
    <w:p>
      <w:pPr>
        <w:spacing w:after="0" w:line="6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For further discussion of the risks we face relating to competition, see the section titled “Risk factors— Risks Related to Our Business and Strategy—The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Our commercial success depends in part on our ability to obtain and maintain patent and other proprietary protection for our commercially important technology, inventions and know-how; to defend and enforce our parents; to operate without infringing, misappropriating or violating our proprietary rights. We have developed our own portfolio of issued patents and patent applications directed at our core and system level technology, including claims directed to methods and apparatus of flow cytometers and cell sorters with excitation, fluidics, emission, mechanical, magnetic, electronics, bio-safety and temperature control technology in configurations of our Aurora, Aurora CS, Northern Lights and Northern Lights CLC systems. We also own a number of issued patents related to the Amnis and Guava families of flow cytometer products from the FCI Acquisition. We generally seek patent protection in the United States, Japan, China and selected countries of the European Union, such as France, Germany and the United Kingdom. Notwithstanding these efforts, we cannot be sure that patents will be granted with respect to any patent applications we have filed or may license or file in the future, and we cannot be sure that any patents we own or license or patents that may be licensed or granted to us in the future will not be challenged, invalidated or circumvented or that such patents will be commercially useful in protecting our technology. For more information regarding the risks related to our intellectual property, please see “Risk Factors— Risks Related to Our Intellectual Property.”</w:t>
      </w:r>
    </w:p>
    <w:p>
      <w:pPr>
        <w:spacing w:after="0" w:line="61"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Including rights acquired in connection with the FCI Acquisition, as of December 31, 2023, we own 33 issued U.S. utility patents, nine issued Japan utility patents, seven issued European utility patents, three issued China utility patents, one Canada utility patent, one India utility patent, two Australian utility patents, and three Singapore utility patents. We have 58 pending utility patent applications, including 34 utility patent applications in the United States two international utility patent applications, nine utility patent applications in the European Union, seven utility patent applications in China and five utility patent applications in Japan. Assuming all maintenance fees are paid, the U.S. issued patents are expected to naturally expire between years 2025 and 2038. Patents covering intellectual property relating to design specific technologies invented by our researchers in Shanghai and Wuxi, China are filed in China and owned by our China subsidiaries, respectively. As of December 31, 2023, our Shanghai subsidiary owns 14 issued utility patents and three issued invention patents and has eight pending invention patent applications, and our Wuxi subsidiary owns 38 issued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patents and has six pending patent applications, including one pending utility patent applications and five pending invention patent applications.</w:t>
      </w:r>
    </w:p>
    <w:p>
      <w:pPr>
        <w:spacing w:after="0" w:line="94"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To our knowledge, there are no third party claims or contested proceedings with the issued patents or pending patent applications other than the ordinary course proceedings with pending patent applications before the respective patent offices. However, 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 or may be challenged in litigation, and such challenges could result in a determination that the patent is invalid. In addition, competitors may be able to design alternative methods or devices that avoid infringement of our patents. Furthermore, numerous U.S. and foreign-issued patents and patent applications owned by third parties exist in the fields in which our products compete. Because patent applications can take many years to publish, there may be applications unknown to us, which may result in issued patents that our existing or future products or technologies may be alleged to infringe.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65"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spacing w:after="0" w:line="5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and there has been substantial litigation regarding patent and other intellectual property rights in the medical device industry. In addition, our competitors and others may have patents or may in the future obtain patents and claim that use of our products infringes these patents. We could incur substantial costs and divert the attention of our management and technical personnel in defending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obtain one or more licenses from third parties, or be prohibited from selling certain products. We may not be able to obtain these licenses at a reasonable cost, if at all.</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AGREEMENTS, LICENSES AND COLLABORATIONS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Biotium, Inc. Supply and License Agreement</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On September 1, 2020, we entered into a Supply and License Agreement with Biotium, Inc. (“Biotium”) pursuant to which Biotium agreed to supply, and we obtained a worldwide, non-exclusive license to market and resell to our customers and distributors, certain Biotium products to conjugate proteins and/or antibodies and to use such conjugates as a component in our cFluor reagent products, for research and analyte specific reagents (as defined by 21 CFR 864.4020) use only (the “Field of Use”) (the “Biotium Agreement”). In consideration for such rights, we paid Biotium an upfront fee of $20,000 and will pay Biotium royalties at a mid-to-high single digit percentage rate on worldwide net sales on licensed products within the Field of Use. The Biotium Agreement terminates on the expiration of the last to expire of the valid claims of the Biotium patents subject to the Biotium Agreement. Either party may terminate the Biotium Agreement for the other party’s bankruptcy or uncured material breach or if no Biotium product is purchased for an extended period; however, if such termination is by Biotium, we will have the opportunity to make a purchase following written notice from Biotium to avoid such termination. Our license under the Biotium Agreement does not include diagnostic use, which may be added through an amendment and additional payment to Biotium.</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Becton, Dickinson and Company Settlement, License and Equity Issuance Agreement</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February 13, 2018, BD filed a lawsuit against us alleging trade secret misappropriation and copyright infringement. On October 6, 2020, we entered into a Settlement, License and Equity Issuance Agreement with BD pursuant to which we and BD agreed to a mutual release of all claims against each other as of the date thereof (the “BD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Agreement”). As part of the settlement, BD granted us a non-exclusive, irrevocable, perpetual, worldwide, and non-transferrable license to certain BD patents and covenanted that it would not enforce, or permit or encourage the enforcement of BD patents against us or our affiliates in connection with the development, manufacture, use, importation, offer for sale or sale of our then-current instruments. In exchange, we agreed that we and our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our products, (iii) a $6.0 million milestone payment upon the occurrence of a certain sales threshold, and (iv) a specified payment upon the closing of a change of control transaction, if any. We also issued 2,087,545 shares of our common stock to BD during the year ended December 31, 2020 in connection with the BD settlement.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Coherent NA, Inc. Supply Agreement</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On August 25, 2021, we and Cytek (Wuxi) Biosciences Co., Ltd, our Wuxi, China subsidiary, entered into a Supply Agreement (the “Coherent Agreement”) with Coherent NA, Inc. (“Coherent”) pursuant to which Coherent agreed to sell and supply to us, on a non-exclusive basis, laser products manufactured by Coherent. We provide Coherent with rolling forecasts of our anticipated orders, which are non-binding. We do not have a minimum purchase obligation pursuant to the Coherent Agreement. The Coherent Agreement has an initial term of three years and will automatically renew for a subsequent one-year period unless either party provides written notice of non-renewal at least four (4) months prior to the expiration of the initial term. The Coherent Agreement may be terminated prior to the end of its term upon the occurrence of certain specified events.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are focused on developing innovative products to meet unmet market needs and maintaining a diverse and inclusive work environment where employees are respected and encouraged to share their unique perspectives and ideas. As of December 31, 2023, we had 676 employees, including 164 employees in research and development, 254 employees in sales and marketing, 204 employees in manufacturing and operations, and 49 employees in general and administrative. We believe that the success of our business will depend, in part, on our ability to attract and retain qualified personnel. Our employees are neither represented by a labor union nor party to a collective bargaining agreement and we believe that we have strong employee relations.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Culture and Values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seek to maintain high ethical standards and a culture that values honesty, integrity, accountability and transparency in all that we do. We are committed to our employees and to the communities we serve worldwide. It is our philosophy to foster open communication and our employees are encouraged to provide input on ways to improve our business strategy and tactics, work environment and organization. We believe that our ability to provide employees with a dynamic environment and professional growth opportunities drives a culture embedded in our values.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Ethics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are committed to conducting our business activities with employees, consultants, vendors, customers, communities and stockholders with integrity and fairness and in accordance with the highest ethical standards. We believe that our conduct has a direct impact on our reputation, our brand and our stakeholders. We are focused on ensuring that our legal, compliance and risk mitigation protocols further enhance our ability to comport ourselves with the highest levels of ethical standards.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Talent Attraction, Retention and Engagement</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By focusing on individual performance, as well as teamwork and collaboration, we believe that we foster an environment that helps employees excel as individuals and as team members. To further engage and incentivize our workforce, we offer programs and avenues for support, motivation and professional development. For example, we utilize both instructor-led training and online learning to deliver proprietary, targeted training courses designed to position our commercial organization as the leading cell analysis solutions provider. For our talent pipeline development, we work closely with individual business functions to provide training and hands-on support for managers and leaders.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Philosophy</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strive to provide comprehensive compensation, including cash, equity, benefits and services that attract, motivate and retain exceptional employees. Compensation is driven by local market conditions, internal equity and employee performance.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Health and Wellness</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We offer a comprehensive package including: retirement savings plan, medical, dental and vision insurance, life insurance, short-and long-term disability insurance, paid holidays and paid time off for vacation and incidental time due to sickness or to handle personal affairs.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 AND PRODUCT APPROVAL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FDA Regulation of Medical Devices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FDA and other U.S. and foreign governmental agencies regulate, among other things, with respect to medical devices:</w:t>
      </w:r>
    </w:p>
    <w:p>
      <w:pPr>
        <w:spacing w:after="0" w:line="94" w:lineRule="exact"/>
        <w:rPr>
          <w:sz w:val="20"/>
          <w:szCs w:val="20"/>
          <w:color w:val="auto"/>
        </w:rPr>
      </w:pPr>
    </w:p>
    <w:p>
      <w:pPr>
        <w:ind w:left="760" w:hanging="373"/>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development and manufacturing;</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testing, labeling, content and language of instructions for use and storage;</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safety;</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sales and distribution;</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pre-market clearance and approval;</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 keeping procedures;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advertising and promotion;</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recalls and field safety corrective actions;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post-market surveillance, including reporting of deaths or serious injuries and malfunctions that, if they were to recur, could lead to death or serious injury;</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post-market approval studies; and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import and export.</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the United States, numerous laws and regulations govern all the processes by which medical devices are brought to market and marketed. These include the U.S. Federal Food, Drug and Cosmetic Act (“FDCA”) and the FDA’s implementing regulations, among others.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FDA Pre-market Clearance and Approval Requirements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Each medical device we seek to commercially distribute in the United States must first receive 510(k) clearance, de novo classification, or approval of a pre-market approval (PMA) application, from the FDA, unless specifically exempted. Both the 510(k) clearance and PMA processes can be resource intensive, expensive and lengthy, and require payment of significant user fees, unless an exemption is available.</w:t>
      </w:r>
    </w:p>
    <w:p>
      <w:pPr>
        <w:spacing w:after="0" w:line="5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The FDA classifies all medical devices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additional conditions set forth in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are placed in Class III, requiring approval of a PMA application. Some pre-amendment devices are unclassified, but are subject to the FDA’s pre-market notification and clearance process in order to be commercially distributed.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510(k) Clearance Process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To obtain 510(k) clearance, we must submit a pre-market notification to the FDA demonstrating that the proposed device is substantially equivalent to a previously-cleared 510(k) device, a device that was in commercial distribution before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May 28, 1976 for which the FDA has not yet called for the submission of PMA applications, or is a device that has been reclassified from Class III to either Class II or I. In rare cases, Class III devices may be cleared through the 510(k) process. The FDA’s 510(k) clearance process usually takes from three to 12 months from the date the application is submitted and filed with the FDA, but may take significantly longer, particularly for a novel type of product. Although many 510(k) pre-market notifications are cleared without clinical data, in some cases, the FDA requires significant clinical data to support substantial equivalence. In reviewing a pre-market notification submission, the FDA may request additional information, including clinical data, which may significantly prolong the review process.</w:t>
      </w:r>
    </w:p>
    <w:p>
      <w:pPr>
        <w:spacing w:after="0" w:line="5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classification process, which is a route to market for novel medical devices that are low to moderate risk and are not substantially equivalent to a predicate device. Once a de novo application is reviewed and approved, it results in the device having a Class II status and future devices from the company or a competitor may use the company’s de novo-classified device as a 510(k) predicate.</w:t>
      </w:r>
    </w:p>
    <w:p>
      <w:pPr>
        <w:spacing w:after="0" w:line="5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After a device receives 510(k) clearance, any subsequent modification of the device that could significantly affect its safety or effectiveness, or that would constitute a major change in its intended use, will require a new 510(k) clearance or could require a PMA. The FDA requires each manufacturer to make this determination initially, but the FDA may review any such decision and may disagree with a manufacturer’s determination. If the FDA disagrees with a manufacturer’s determination, the FDA may require the manufacturer to cease marketing and/or recall the modified device until 510(k) clearance or approval of a PMA is obtained. Under these circumstances, the FDA may also subject a manufacturer to significant regulatory fines or other penalties.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Legislative or regulatory reforms in the United States or the EU may make it more difficult and costly for us to obtain regulatory clearances or approvals for our products or to manufacture, market or distribute our products after clearance or approval is obtained.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 Novo Classification Process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Medical device types that the FDA has not previously classified as Class I, II, or III are automatically classified into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FDA is required to classify the device within 120 days following receipt of the de novo application.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Pre-Market Approval Process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 PMA application must be submitted if the medical device is in Class III (although the FDA has the discretion to continue to allow certain pre- amendment Class III devices to use the 510(k) process) or cannot be cleared through the 510(k) process. A PMA application must be supported by, among other things, extensive technical, preclinical, and clinical trials, as well as manufacturing and labeling data to demonstrate to the FDA’s satisfaction the safety and effectiveness of the device.</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Research Use Only</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products and operations may be subject to extensive and rigorous regulation by the FDA and other federal, state, or local authorities, as well as foreign regulatory authorities. An RUO product is one that is not intended for clinical diagnostic use and must be labeled “For Research Use Only. Not for use in diagnostic procedures.” RUO products cannot make any claims related to safety, effectiveness or diagnostic utility and they cannot be intended for human clinical diagnostic use. Products that are intended for research use only and are properly labeled as RUO are exempt from compliance with the FDA requirements discussed above, including the approval or clearance and most QSR requirements. A product labeled RUO but intended to be used diagnostically may be viewed by the FDA as adulterated and misbranded under the FDCA and is subject to FDA enforcement activities. The FDA may consider the totality of the circumstances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surrounding distribution and use of an RUO product, including how the product is marketed, when determining its intended use. In November 2013 the FDA issued a guidance document entitled “Distribution of In Vitro Diagnostic Products Labeled for Research Use Only or Investigational Use Only” (RUO Guidance) which highlights the FDA’s interpretation that distribution of RUO products with any labeling, advertising or promotion that suggests that clinical laboratories can validate the test through their own procedures and subsequently offer it for clinical diagnostic use as a laboratory developed test is in conflict with RUO status. The RUO Guidance further articulates the FDA’s position that any assistance offered in performing clinical validation or verification, or similar specialized technical support, to clinical laboratories, conflicts with RUO status. If the FDA were to determine, based on the totality of circumstances, that our products labeled and marketed for RUO are intended for diagnostic purposes, they would be considered medical products that will require clearance or approval prior to commercialization.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Laboratory-developed tests (LDTs)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LDTs have generally been considered to be tests that are designed, developed, validated and used within a single laboratory. The FDA takes the position that it has the authority to regulate such tests as medical devices under the FDCA. The FDA has historically exercised enforcement discretion and has not required clearance or approval of LDTs prior to marketing.</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October 3, 2023 FDA issued proposed regulations under which it would phase out its enforcement discretion approach to LDTs over a period of four years. Although the proposed regulation is subject to a period of notice and comment, if finalized as proposed, PMA approval or 510(k) clearance would be required for certain tests by October 1, 2027 and device registration and listing requirements, medical device reporting requirements and the requirements of the FDA’s Quality System Regulation would become applicable.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Pervasive and Continuing U.S. Food and Drug Administration Regulation</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After a medical device is placed on the market, numerous FDA regulatory requirements apply, including, but not limited to the following:</w:t>
      </w:r>
    </w:p>
    <w:p>
      <w:pPr>
        <w:spacing w:after="0" w:line="94" w:lineRule="exact"/>
        <w:rPr>
          <w:sz w:val="20"/>
          <w:szCs w:val="20"/>
          <w:color w:val="auto"/>
        </w:rPr>
      </w:pPr>
    </w:p>
    <w:p>
      <w:pPr>
        <w:ind w:left="760" w:hanging="373"/>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QSR, which requires manufacturers to follow design, testing, control, documentation and other quality assurance procedures during the manufacturing process;</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registration, which requires establishments involved in the production and distribution of medical devices, intended for commercial distribution in the United States, to register with the FDA;</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medical device listing, which requires manufacturers to list the devices they have in commercial distribution with the FDA;</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clearance or approval of product modifications to 510(k)-cleared devices that could significantly affect safety or effectiveness or that would constitute a major change in intended use of one of our cleared devices;</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complying with the new federal law and regulations requiring Unique Device Identifiers (UDI) on devices and also requiring the submission of certain information about each device to the FDA’s Global Unique Device Identification Database;</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FDA’s recall authority, whereby the agency can order device manufacturers to recall from the market a product that is in violation of governing laws and regulations;</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labeling regulations, which prohibit “misbranded” devices from entering the market, as well as prohibit the promotion of products for unapproved or “off-label” uses and impose other restrictions on labeling; and</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post-market surveillance including Medical Device Reporting, which requires manufacturers report to the FDA if their device may have caused or contributed to a death or serious injury, or malfunctioned in a way that would likely cause or contribute to a death or serious injury if it were to recur.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FDA enforces these requirements by inspection and market surveillance. Failure to comply with applicable regulatory requirements may result in enforcement action by the FDA, which may include one or more of the following sanctions:</w:t>
      </w:r>
    </w:p>
    <w:p>
      <w:pPr>
        <w:spacing w:after="0" w:line="39" w:lineRule="exact"/>
        <w:rPr>
          <w:sz w:val="20"/>
          <w:szCs w:val="20"/>
          <w:color w:val="auto"/>
        </w:rPr>
      </w:pPr>
    </w:p>
    <w:p>
      <w:pPr>
        <w:ind w:left="760" w:hanging="373"/>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untitled letters or warning letters;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notifications for repair, replacement or refunds;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injunctions, consent decrees and civil penalties;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mandatory recall or seizure of our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detention or banning of our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restrictions, partial suspension or total shutdown of production;</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refusing our request for 510(k) clearance or PMA of new product versions;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revocation of 510(k) clearance or PMAs previously granted; and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criminal prosecution and penalties.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Government Regulation</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regulatory review process for medical devices varies from country to country, and many countries also impose product standards, packaging requirements, environmental requirements, labeling requirements and import restrictions on devices. Each country has its own tariff regulations, duties, and tax requirements. Failure to comply with applicable foreign regulatory requirements may subject a company to fines, suspension or withdrawal of regulatory approvals, product recalls, seizure of products, operating restrictions, criminal prosecution or other consequences.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European Union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Medical Devices Regulation will among other things:</w:t>
      </w:r>
    </w:p>
    <w:p>
      <w:pPr>
        <w:spacing w:after="0" w:line="94" w:lineRule="exact"/>
        <w:rPr>
          <w:sz w:val="20"/>
          <w:szCs w:val="20"/>
          <w:color w:val="auto"/>
        </w:rPr>
      </w:pPr>
    </w:p>
    <w:p>
      <w:pPr>
        <w:ind w:left="760" w:hanging="373"/>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strengthen the rules on placing devices on the market and reinforce surveillance once they are available;</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explicit provisions on manufacturers’ responsibilities for the follow-up of the quality, performance and safety of devices placed on the market;</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 the traceability of medical devices throughout the supply chain to the end user or patient through a unique identification number;</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 up a central database to provide patients, healthcare professionals and the public with comprehensive information on products available in the EU; and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strengthen rules for the assessment of certain high-risk devices, such as implants, which may have to undergo an additional check by experts before they are placed on the market.</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To the extent that our products have already been certified under the existing regulatory framework, the MDR allows us to market them provided that the requirements of the transitional provisions are fulfilled. In particular, the certificate in question must still be valid. Under article 120(2) MDR, certificates issued by notified bodies before May 25, 2017 will remain valid until their indicated expiry dates. By contrast, certificates issued after May 25, 2017 will be void at the latest by May 27, 2024. Accordingly, before that date, we will need to obtain new CE Certificates of Conformity. Furthermore, the regulation introduces UDI, a bar code that must be placed on the label of the device or on its packaging and manufacturers will be obligated to file adverse effects reports via the Eudamed platform in case there is an increase in the frequency or severity of incidents related to the medical device.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Healthcare Laws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current and future business activities are subject to healthcare regulation and enforcement by the federal government and the states and foreign governments in which we conduct our business. These laws include, without limitation, state and federal anti-kickback, fraud and abuse, false claims and physician sunshine laws and regulations.</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federal Anti-Kickback Statute prohibits, among other things, any person from knowingly and willfully offering, soliciting, receiving or providing remuneration, directly or indirectly, overtly or covertly, in cash or in kind, to induce either the referral of an individual, for an item or service or the purchasing, leasing, ordering, or arranging for 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recommending the purchase, lease or order of any good, facility, item or service, for which payment may be made, in whole or in part, under federal healthcare programs such as the Medicare and Medicaid programs.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Anti-Kickback Statute has been violated. In addition, a person or entity does not need to have actual knowledge of this statute or specific intent to violate it to have committed a violation.</w:t>
      </w:r>
    </w:p>
    <w:p>
      <w:pPr>
        <w:spacing w:after="0" w:line="62"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Additionally, the civil False Claims Act prohibits, among other things, knowingly presenting or causing the presentation of a false or fraudulent claim for payment to, or approval by, the U.S.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The federal government is using the False Claims Act, and the accompanying threat of significant liability, in its investigation and prosecution of life sciences companies throughout the country, for example, in connection with the promotion of products for unapproved uses and other sales and marketing practices. In addition, the government may assert that a claim including items or services resulting from a violation of the federal Anti-Kickback Statute constitutes a false or fraudulent claim for purposes of the civil False Claims Act.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3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majority of states also have anti-kickback laws which establish similar prohibitions and, in some cases, may apply to items or services reimbursed by any third-party payor, including commercial insurers.</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HIPAA created new federal criminal statutes that prohibit, among other actions,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Like the Anti-Kickback Statute, a person or entity no longer needs to have actual knowledge of the statute or specific intent to violate it to have committed a violation.</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shifting commercial compliance environment and the need to build and maintain robust and expandable systems to comply with different compliance and/or reporting requirements in multiple jurisdictions increase the possibility that a healthcare company may violate one or more of the requirements. If our future operations are found to be in violation of any of such laws or any other governmental regulations that apply to us, we may be subject to significant penalties, including, without limitation, civil and criminal penalties, damages, fines, the curtailment or restructuring of our operations, exclusion from participation in federal and state healthcare programs and imprisonment.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 Foreign Corrupt Practices Act</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U.S. Foreign Corrupt Practices Act, or FCPA, prohibits U.S. corporations and their representatives from directly or indirectly offering, promising, authorizing or making corrupt payments, gifts or transfers to any foreign government official, government staff member, political party or political candidate in an attempt to obtain or retain business. The scope of the FCPA would include interactions with certain healthcare professionals in many countries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research and development and manufacturing processes involve the controlled use of hazardous materials, including flammables, toxics, corrosives and biologics. Our research operations produce hazardous biological and chemical waste products. We seek to comply with applicable laws regarding the handling and disposal of such materials. Given the small volume of such materials used or generated at our facilities, we do not expect our compliance efforts to have a material effect on our capital expenditures, earnings and competitive position. However, we cannot eliminate the risk of</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were incorporated under the laws of the state of Delaware in December 2014 under the name Cytoville, Inc. In August 2015, we changed our name to Cytek Biosciences, Inc. Our principal executive offices are located at 47215 Lakeview Blvd., Fremont, California 94538. Our telephone number is (877) 922-9835. Our website is www.cytekbio.com. Information contained on, or that can be accessed through, our website is not incorporated by reference into this Annual Report on Form 10-K, and you should not consider information on our website to be part of this Annual Report on Form 10-K.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Annual Report on Form 10-K, Quarterly Reports on Form 10-Q, Current Reports on Form 8-K, and amendments to reports filed pursuant to Sections 13(a) and 15(d) of the Securities Exchange Act of 1934, as amended, or the Exchange Act, are filed with the SEC. Such reports and other information filed by us with the SEC are available free of charge on our website at www.investors.cytekbio.com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Annual Report on Form 10-K is not incorporated by reference into this filing. Further, our references to website URLs are intended to be inactive textual references only.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4"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i w:val="1"/>
          <w:iCs w:val="1"/>
          <w:color w:val="auto"/>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Annual Report on Form 10-K.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w:t>
      </w:r>
    </w:p>
    <w:p>
      <w:pPr>
        <w:spacing w:after="0" w:line="56" w:lineRule="exact"/>
        <w:rPr>
          <w:sz w:val="20"/>
          <w:szCs w:val="20"/>
          <w:color w:val="auto"/>
        </w:rPr>
      </w:pPr>
    </w:p>
    <w:p>
      <w:pPr>
        <w:ind w:left="760" w:hanging="373"/>
        <w:spacing w:after="0" w:line="287"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39" w:lineRule="exact"/>
        <w:rPr>
          <w:rFonts w:ascii="Times New Roman" w:cs="Times New Roman" w:eastAsia="Times New Roman" w:hAnsi="Times New Roman"/>
          <w:sz w:val="14"/>
          <w:szCs w:val="14"/>
          <w:color w:val="auto"/>
        </w:rPr>
      </w:pPr>
    </w:p>
    <w:p>
      <w:pPr>
        <w:jc w:val="both"/>
        <w:ind w:left="760" w:hanging="373"/>
        <w:spacing w:after="0" w:line="270"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highly dependent on a limited number of product offerings. Our revenue has been primarily generated from sales of our core Cytek Aurora, Northern Lights and Aurora CS systems, which require a substantial sales cycle and are prone to quarterly fluctuations in revenue. Our future success depends on our ability to develop and successfully introduce new and enhanced products that meet the needs of our customers.</w:t>
      </w:r>
    </w:p>
    <w:p>
      <w:pPr>
        <w:spacing w:after="0" w:line="50" w:lineRule="exact"/>
        <w:rPr>
          <w:rFonts w:ascii="Times New Roman" w:cs="Times New Roman" w:eastAsia="Times New Roman" w:hAnsi="Times New Roman"/>
          <w:sz w:val="14"/>
          <w:szCs w:val="14"/>
          <w:color w:val="auto"/>
        </w:rPr>
      </w:pPr>
    </w:p>
    <w:p>
      <w:pPr>
        <w:jc w:val="both"/>
        <w:ind w:left="760" w:hanging="373"/>
        <w:spacing w:after="0" w:line="261"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On August 25, 2021, we and Cytek (Wuxi) Biosciences Co., Ltd, our China subsidiary (the “Subsidiary”), entered into a Supply Agreement (the “Coherent Agreement”) with Coherent NA, Inc. (“Coherent”). Pursuant to the Coherent Agreement, Coherent has agreed to sell and supply to us and the Subsidiary, on a non-exclusive basis, laser products manufactured by Coherent. Other than the Coherent Agreement, we do not currently have long-term supply contracts with our sole and single source suppliers of key components.</w:t>
      </w:r>
    </w:p>
    <w:p>
      <w:pPr>
        <w:spacing w:after="0" w:line="58"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 will be harmed if we are unable to accurately forecast customer demand for our products and manage our inventory.</w:t>
      </w:r>
    </w:p>
    <w:p>
      <w:pPr>
        <w:spacing w:after="0" w:line="93" w:lineRule="exact"/>
        <w:rPr>
          <w:rFonts w:ascii="Times New Roman" w:cs="Times New Roman" w:eastAsia="Times New Roman" w:hAnsi="Times New Roman"/>
          <w:sz w:val="14"/>
          <w:szCs w:val="14"/>
          <w:color w:val="auto"/>
        </w:rPr>
      </w:pPr>
    </w:p>
    <w:p>
      <w:pPr>
        <w:jc w:val="both"/>
        <w:ind w:left="760" w:hanging="373"/>
        <w:spacing w:after="0" w:line="270"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adopt our products, it will negatively affect our business, financial condition, prospects and results of operations.</w:t>
      </w:r>
    </w:p>
    <w:p>
      <w:pPr>
        <w:spacing w:after="0" w:line="50"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manufacture our products in high-quality commercial quantities successfully and consistently to meet demand, our growth will be limited.</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success is dependent upon our ability to increase penetration in our existing markets and expand into adjacent markets. If we are unable to successfully expand our commercial operations, including hiring additional qualified sales representatives, technical applications specialists and customer support staff, our business may be adversely affected.</w:t>
      </w:r>
    </w:p>
    <w:p>
      <w:pPr>
        <w:spacing w:after="0" w:line="39" w:lineRule="exact"/>
        <w:rPr>
          <w:rFonts w:ascii="Times New Roman" w:cs="Times New Roman" w:eastAsia="Times New Roman" w:hAnsi="Times New Roman"/>
          <w:sz w:val="14"/>
          <w:szCs w:val="14"/>
          <w:color w:val="auto"/>
        </w:rPr>
      </w:pPr>
    </w:p>
    <w:p>
      <w:pPr>
        <w:jc w:val="both"/>
        <w:ind w:left="760" w:hanging="373"/>
        <w:spacing w:after="0" w:line="270"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our suppliers are subject to ongoing regulatory obligations and continued regulatory review, which may result in significant additional expense and subject us to penalties if we fail to comply with applicable regulatory requirements. Our products may become subject to more onerous regulation by the FDA or other regulatory agencies in the future, which could increase our costs and delay or prevent sales of our products or commercialization of new products and product enhancements.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left="760" w:hanging="373"/>
        <w:spacing w:after="0" w:line="264"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Concentration of ownership of our common stock among our executive officers, directors, principal stockholders and their respective affiliates, may prevent new investors from influencing significant corporate decisions. Based on shares outstanding as of December 31, 2023, our executive officers, directors, holders of 5% or more of our common stock and their respective affiliates (based on filings with the SEC), in the aggregate, own approximately 51.0% of our common stock. These stockholders, acting together, will be able to significantly influence all matters requiring stockholder approval, including the election and removal of directors and any merger or other significant corporate transaction.</w:t>
      </w:r>
    </w:p>
    <w:p>
      <w:pPr>
        <w:spacing w:after="0" w:line="55" w:lineRule="exact"/>
        <w:rPr>
          <w:rFonts w:ascii="Times New Roman" w:cs="Times New Roman" w:eastAsia="Times New Roman" w:hAnsi="Times New Roman"/>
          <w:sz w:val="14"/>
          <w:szCs w:val="14"/>
          <w:color w:val="auto"/>
        </w:rPr>
      </w:pPr>
    </w:p>
    <w:p>
      <w:pPr>
        <w:jc w:val="both"/>
        <w:ind w:left="760" w:hanging="373"/>
        <w:spacing w:after="0" w:line="270"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50"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currently depends significantly on research and development spending by academic institutions and government-owned institutions, a reduction in which could limit demand for our solutions and adversely affect our business and operating results.</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operations and expansion of our international business exposes us to business, regulatory, political, operational, financial and economic risks associated with doing business outside of the United States.</w:t>
      </w:r>
    </w:p>
    <w:p>
      <w:pPr>
        <w:spacing w:after="0" w:line="39" w:lineRule="exact"/>
        <w:rPr>
          <w:rFonts w:ascii="Times New Roman" w:cs="Times New Roman" w:eastAsia="Times New Roman" w:hAnsi="Times New Roman"/>
          <w:sz w:val="14"/>
          <w:szCs w:val="14"/>
          <w:color w:val="auto"/>
        </w:rPr>
      </w:pPr>
    </w:p>
    <w:p>
      <w:pPr>
        <w:jc w:val="both"/>
        <w:ind w:left="760" w:hanging="373"/>
        <w:spacing w:after="0" w:line="270"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for cell analysis technologies and life sciences tools, including flow cytometry, is rapidly evolving and highly competitive. 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50"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products do not perform as expected, our operating results, reputation and business will suffer.</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39" w:lineRule="exact"/>
        <w:rPr>
          <w:rFonts w:ascii="Times New Roman" w:cs="Times New Roman" w:eastAsia="Times New Roman" w:hAnsi="Times New Roman"/>
          <w:sz w:val="14"/>
          <w:szCs w:val="14"/>
          <w:color w:val="auto"/>
        </w:rPr>
      </w:pPr>
    </w:p>
    <w:p>
      <w:pPr>
        <w:jc w:val="both"/>
        <w:ind w:left="760" w:hanging="373"/>
        <w:spacing w:after="0" w:line="270"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50"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results may fluctuate significantly, which makes our future operating results difficult to predict and could cause our operating results to fall below expectations or any guidance we may provide.</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to raise additional capital to fund our existing operations, develop our products and/or expand our operations.</w:t>
      </w:r>
    </w:p>
    <w:p>
      <w:pPr>
        <w:spacing w:after="0" w:line="93" w:lineRule="exact"/>
        <w:rPr>
          <w:rFonts w:ascii="Times New Roman" w:cs="Times New Roman" w:eastAsia="Times New Roman" w:hAnsi="Times New Roman"/>
          <w:sz w:val="14"/>
          <w:szCs w:val="14"/>
          <w:color w:val="auto"/>
        </w:rPr>
      </w:pPr>
    </w:p>
    <w:p>
      <w:pPr>
        <w:jc w:val="both"/>
        <w:ind w:left="760" w:hanging="373"/>
        <w:spacing w:after="0" w:line="270"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costs of our products and services, limit their use or adoption, and otherwise negatively affect our operating results and business.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Strategy</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have a limited operating history and may encounter unforeseen expenses, difficulties, complications, delays and other known and unknown obstacles. We launched our first core commercial product, the Cytek Aurora system, in June 2017. Our limited commercial and operating history makes it difficult to evaluate our current business and predict our future performance. Although we have experienced significant revenue growth in prior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w:t>
      </w:r>
    </w:p>
    <w:p>
      <w:pPr>
        <w:spacing w:after="0" w:line="14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highly dependent on a limited number of product offerings. Our revenue has been primarily generated from sale of our core Cytek Aurora, Northern Lights and Aurora CS systems, which require a substantial sales cycle and are prone to quarterly fluctuations in revenue.</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Our Cytek Aurora system was commercially launched in June 2017, our Northern Lights system was commercially launched in October 2018 and our Aurora CS was first commercially shipped in June 2021. Sales of the Cytek Aurora, Northern Lights and Aurora CS systems together accounted for a substantial portion of our revenue for the periods presented. We expect that, for at least the foreseeable future, sales of our Cytek Aurora, Northern Lights and Aurora CS systems will continue to account for a substantial portion of our revenue. The sales cycle for our instruments is slow and can take up to six months or longer to complete. As a result of this lengthy and unpredictable sales cycle, we will be prone to quarterly fluctuations in our revenue as sales of the Cytek Aurora, Northern Lights and Aurora CS systems are expected to continue to comprise a significant component of our revenue. Additionally, we experience seasonality in our business, with revenue in the fourth quarter typically being higher as a result of higher sales volume.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p>
    <w:p>
      <w:pPr>
        <w:spacing w:after="0" w:line="6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p>
    <w:p>
      <w:pPr>
        <w:spacing w:after="0" w:line="3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have sourced and will continue to source certain components of the Cytek Aurora, Northern Lights and Aurora CS systems from a limited number of suppliers and, in some cases, sole source suppliers. Key components in our products that are supplied by sole or single source suppliers include certain lasers, semiconductors and mechanical components that are used in our optical, electrical and fluidic subassemblies. On August 25, 2021, we and our Subsidiary entered into the Coherent Agreement with Coherent. Pursuant to the Coherent Agreement, Coherent has agreed to sell and supply to us and the Subsidiary, on a non-exclusive basis, laser products manufactured by Coherent. We and the Subsidiary provide Coherent with rolling forecasts of our and the Subsidiary’s anticipated orders, which are non-binding. Purchase orders submitted by us and the Subsidiary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qualifying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supply our products to the market and could affect the performance of our products, resulting in increased costs and negative customer perception.</w:t>
      </w:r>
    </w:p>
    <w:p>
      <w:pPr>
        <w:spacing w:after="0" w:line="9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quarantines, shelter-in-place and similar government orders related to infectious disease outbreaks, or the perception that such orders, shutdowns or other restrictions on the conduct of business operations could occur, could impact the suppliers upon which we rely, or the availability or cost of materials, which could disrupt the supply chain for our products.</w:t>
      </w:r>
    </w:p>
    <w:p>
      <w:pPr>
        <w:spacing w:after="0" w:line="6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3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Supply interruptions have in the past arisen and could arise in the future from effects of infectious disease outbreaks, shortages of raw materials, labor disputes or weather conditions affecting products or shipments, transportation disruptions, adjustments to our inventory levels or other factors within and beyond our control, and such supply interruption risk is increased by the limited number of 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will be harmed if we are unable to accurately forecast customer demand for our products and manage our inventory.</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infectious disease outbreaks, seasonal demands, regulatory matters, inflation or weakening of general economic conditions.</w:t>
      </w:r>
    </w:p>
    <w:p>
      <w:pPr>
        <w:spacing w:after="0" w:line="58"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p>
    <w:p>
      <w:pPr>
        <w:spacing w:after="0" w:line="31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limited experience manufacturing our products and if we are unable to manufacture our products in high-quality commercial quantities successfully and consistently to meet demand, our growth will be limited.</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have limited experience manufacturing our products. We currently manufacture our instruments and reagents at our manufacturing facilities in Fremont, California; Seattle, Washington; and Wuxi, China, and reagents at our facility 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is dependent upon our ability to increase penetration in our existing markets and expand into adjacent markets.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customer base includes academic and government institutions, pharmaceutical and biotechnology companies, clinical research organizations and clinical laboratories focused on cell analysis. Approximately 43%, 44% and 46% of our revenue came from sales to academic and government-owned institutions and 57%, 56% and 54%of our revenue came from sales to pharmaceutical and biotechnology companies, distributors and CROs in the year ended December 31, 2023, 2022 and 2021,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p>
    <w:p>
      <w:pPr>
        <w:spacing w:after="0" w:line="58"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 w:cs="Times New Roman" w:eastAsia="Times New Roman" w:hAnsi="Times New Roman"/>
          <w:sz w:val="14"/>
          <w:szCs w:val="14"/>
          <w:i w:val="1"/>
          <w:iCs w:val="1"/>
          <w:color w:val="auto"/>
        </w:rPr>
        <w:t>de novo</w:t>
      </w:r>
      <w:r>
        <w:rPr>
          <w:rFonts w:ascii="Times New Roman" w:cs="Times New Roman" w:eastAsia="Times New Roman" w:hAnsi="Times New Roman"/>
          <w:sz w:val="14"/>
          <w:szCs w:val="14"/>
          <w:color w:val="auto"/>
        </w:rPr>
        <w:t xml:space="preserve"> classification, or approval of a pre-market approval application from the FDA. Our failure to further expand in adjacent markets and attract new customers could adversely affect our ability to improve our operating results.</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change current practices to adopt our products, it will negatively affect our business, financial condition, prospects and results of operations.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primary strategy to grow our revenue is to take a stepwise approach to market our products across key stakeholders in flow cytometry and cell analysis, such as academic and government institutions, clinical research organizations, pharmaceutical companies and clinical laboratories. While the number of customers using our products has increased in recent years, many academic and government institutions, clinical research organizations, pharmaceutical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companies and clinical laboratories have not yet adopted our products, and such institutions and companies may choose not to adopt our products for a number of reasons, including:</w:t>
      </w:r>
    </w:p>
    <w:p>
      <w:pPr>
        <w:spacing w:after="0" w:line="94" w:lineRule="exact"/>
        <w:rPr>
          <w:sz w:val="20"/>
          <w:szCs w:val="20"/>
          <w:color w:val="auto"/>
        </w:rPr>
      </w:pPr>
    </w:p>
    <w:p>
      <w:pPr>
        <w:ind w:left="760" w:hanging="373"/>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inadequate recruiting or training of talented sales force in existing and new markets to facilitate outreach and further adoption and awareness of our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experience with our products for cell analysis;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perceived inadequacy of evidence supporting benefits or cost-effectiveness of our products over existing alternatives;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 risks generally associated with the use of new products and processes;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training required to use new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or delay in the research and development activities using our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competing products and alternatives; and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introduction of other novel alternative products for cell analysis.</w:t>
      </w:r>
    </w:p>
    <w:p>
      <w:pPr>
        <w:spacing w:after="0" w:line="9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believe that educating notable industry KOLs, representatives of academic and government institutions, clinical research organizations, pharmaceutical companies and clinical laboratories, about the merits and benefits of our products for flow cytometry and cell analysis is one of key elements of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Approximately 43%, 44% and 46% of our revenue came from sales to academic and government-owned institutions in the year ended December 31, 2023, 2022 and 2021, respectively. Much of their funding was, in turn, provided by various state, federal and foreign government agencies. In the near term, we expect that a large portion of our revenue will continue to be derived from sales to academic and government-owned institutions. As a result, the demand for our solutions may depend upon the research and development budgets of these customers, which are impacted by factors beyond our control, such as:</w:t>
      </w:r>
    </w:p>
    <w:p>
      <w:pPr>
        <w:spacing w:after="0" w:line="56" w:lineRule="exact"/>
        <w:rPr>
          <w:sz w:val="20"/>
          <w:szCs w:val="20"/>
          <w:color w:val="auto"/>
        </w:rPr>
      </w:pPr>
    </w:p>
    <w:p>
      <w:pPr>
        <w:ind w:left="760" w:hanging="373"/>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decreases in government funding of research and development;</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programs that provide funding to research laboratories, hospitals and related institutions, including changes in the amount of funds allocated to different areas of research or changes that have the effect of increasing the length of the funding process;</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macroeconomic conditions and the political climate;</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scientists’ and customers’ opinions of the utility of new products or services;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regulatory environment;</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differences in budgetary cycles;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competitor product offerings or pricing;</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market-driven pressures to consolidate operations and reduce costs; and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acceptance of relatively new technologies, such as ours.</w:t>
      </w:r>
    </w:p>
    <w:p>
      <w:pPr>
        <w:spacing w:after="0" w:line="94"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In addition, various state, federal and foreign agencies that provide grants and other funding may be subject to stringent budgetary constraints that could result in spending reductions, reduced grant making, reduced allocations or budget cutbacks, including as a result of negative or worsening conditions in the general economy, which could jeopardize the ability of these customers, or the customers to whom they provide funding, to purchase our solutions. For example, congressional appropriations to the National Institutes of Health (the “NIH”) may experience occasional year-over-year decreases in appropriations. There is no guarantee that NIH appropriations will not decrease or halt in the future. A decrease in the amount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to selling our products through our direct sales force and support organizations in North America, Europe, China, and several other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International operations and expansion of our international business exposes us to business, regulatory, political, operational, financial and economic risks associated with doing business outside of the United States.</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both the United States and China. Doing business internationally involves a number of risks, including:</w:t>
      </w:r>
    </w:p>
    <w:p>
      <w:pPr>
        <w:spacing w:after="0" w:line="51" w:lineRule="exact"/>
        <w:rPr>
          <w:sz w:val="20"/>
          <w:szCs w:val="20"/>
          <w:color w:val="auto"/>
        </w:rPr>
      </w:pPr>
    </w:p>
    <w:p>
      <w:pPr>
        <w:ind w:left="760" w:hanging="373"/>
        <w:spacing w:after="0" w:line="287" w:lineRule="auto"/>
        <w:tabs>
          <w:tab w:leader="none" w:pos="7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us or our distributors to obtain approvals to conduct our business in various countries;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intellectual property rights;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complexities and difficulties in obtaining intellectual property protection, enforcing our intellectual property and defending against third party intellectual property claims;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staffing and managing foreign operations;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logistics and regulations associated with shipping systems and parts and components for our products, as well as transportation delays;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travel restrictions that limit the ability of marketing, presales, sales, services and support teams to service customers;</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trade disputes that could result in tariffs and other protective measures;</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political and economic instability, including wars, terrorism and political unrest such as the ongoing war in Ukraine, the Israel and Palestine conflict, outbreak of disease, boycotts, curtailment of trade and other business restrictions; and</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and compliance risks that relate to maintaining accurate information and control over sales and distributors’ activities that may fall within the purview of the U.S. Foreign Corrupt Practices Act (the “FCPA”), its books and records provisions, or its anti-bribery provisions.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including, for example, the effect of the withdrawal of the United Kingdom from the European Union.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face significant competition in the cell analysis and life sciences tools markets. We currently compete with both established and early stage life sciences and in vitro diagnostics (“IVD”) companies that design, manufacture and market flow cytometry instruments, accessories,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Becton, Dickinson and Company (“BD”), Bio-Rad Laboratories, Standard BioTools Inc., Miltenyi Biotec, Sony Biotechnology (Sony Corporation), and Thermo Fisher Scientific.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 These large, established companies have substantially greater financial and other resources than us, including larger research and development, quality and regulatory staff or more established marketing and sales forces.</w:t>
      </w:r>
    </w:p>
    <w:p>
      <w:pPr>
        <w:spacing w:after="0" w:line="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competitors and potential competitors may enjoy a number of competitive advantages over us, including:</w:t>
      </w:r>
    </w:p>
    <w:p>
      <w:pPr>
        <w:spacing w:after="0" w:line="94" w:lineRule="exact"/>
        <w:rPr>
          <w:sz w:val="20"/>
          <w:szCs w:val="20"/>
          <w:color w:val="auto"/>
        </w:rPr>
      </w:pPr>
    </w:p>
    <w:p>
      <w:pPr>
        <w:ind w:left="760" w:hanging="373"/>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longer operating histories;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larger customer bases;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brand recognition and market penetration;</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financial resources and capabilities;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technological and research and development resources;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larger intellectual property portfolios;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better system reliability and robustness;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selling and marketing capabilities; and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better established, larger scale and lower cost manufacturing capabilities.</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depends on our ability to develop and successfully introduce new and enhanced products that meet the needs of our customers.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current products include instruments, accessories, consumables and services to advance high-content and high-sensitivity cell analysis.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future success depends on our ability to anticipate our customers’ needs and develop new products and enhance current products and services to address those needs. Introduction of new products and product enhancements will require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accessories,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adequately predict our customers’ needs or fail to obtain desired levels of market acceptance, our business may suffer and our operating results could be adversely affected.</w:t>
      </w:r>
    </w:p>
    <w:p>
      <w:pPr>
        <w:spacing w:after="0" w:line="62"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FSP solutions, it could slow or stop our business growth and negatively impact our business, financial condition, results of operations and prospects.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product development involves a lengthy and complex process and we may be unable to develop or commercialize products on a timely basis, or at all.</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w:t>
      </w:r>
    </w:p>
    <w:p>
      <w:pPr>
        <w:spacing w:after="0" w:line="51" w:lineRule="exact"/>
        <w:rPr>
          <w:sz w:val="20"/>
          <w:szCs w:val="20"/>
          <w:color w:val="auto"/>
        </w:rPr>
      </w:pPr>
    </w:p>
    <w:p>
      <w:pPr>
        <w:ind w:left="760" w:hanging="373"/>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substantial research and development;</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necessary regulatory approval;</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develop and scale our laboratory, engineering and manufacturing processes to accommodate different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 and enter into agreements with new suppliers; and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develop and scale our infrastructure.</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product development processes involve a high degree of risk, and these efforts may be delayed or fail for many reasons, including failure of the product to perform as expected and failure to reliably demonstrate the advantages of the product.</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p>
    <w:p>
      <w:pPr>
        <w:spacing w:after="0" w:line="1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instruments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Our success depends on our ability to provide reliable, high quality products that enable high-content and high-sensitivity cell analysis through flexible, efficient and cost-effective solutions. Our instruments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w:t>
      </w:r>
    </w:p>
    <w:p>
      <w:pPr>
        <w:spacing w:after="0" w:line="6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customers may discover defects in our products after the products have been fully installed and operated. In addition, some of our products include components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51" w:lineRule="exact"/>
        <w:rPr>
          <w:sz w:val="20"/>
          <w:szCs w:val="20"/>
          <w:color w:val="auto"/>
        </w:rPr>
      </w:pPr>
    </w:p>
    <w:p>
      <w:pPr>
        <w:ind w:left="760" w:hanging="373"/>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customers or orders;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of warranty expenses;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our brand reputation;</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attract new customers;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development, engineering and manufacturing resources;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actions by governmental authorities; and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actions by our customers.</w:t>
      </w:r>
    </w:p>
    <w:p>
      <w:pPr>
        <w:spacing w:after="0" w:line="9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December 31, 2023, we had accrued approximately $2.8 million in expenses relating to product warranty accruals. Substantial amounts of warranty claims could have an adverse effect on our business, financial condition and results of operations.</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w:t>
      </w:r>
    </w:p>
    <w:p>
      <w:pPr>
        <w:spacing w:after="0" w:line="1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From time to time, we may pursue acquisitions of businesses and assets. For example, in February 2023, we entered into an asset purchase agreement with Luminex Corporation (“Luminex”) and acquired certain assets related to the flow cytometry and imaging (“FCI”) business unit of Luminex (the “FCI Acquisition”). We may choose to further expand our business by acquiring additional businesses or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We may not be able to integrate acquisitions successfully into our existing business, and in certain cases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spacing w:after="0" w:line="31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Shipping is a critical part of our business and any changes in our shipping arrangements or damages or losses sustained during shipping could adversely affect our business, financial condition, results of operations and prospects.</w:t>
      </w:r>
    </w:p>
    <w:p>
      <w:pPr>
        <w:spacing w:after="0" w:line="3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Seattle, Washington; and Wuxi, China require global shipping services which are subject to certain factors outside of our control, such as increased costs due to fuel surcharges or otherwise, delays passing through customs and disruptions to global shipping routes. We experienced shipping delays and difficulties due to the COVID-19 pandemic and may again experience such delays or difficulties due to future pandemics,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spacing w:after="0" w:line="14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future sales will depend, in large part, on our ability to develop and substantially expand our sales infrastructure, particularly as we enter into new markets, rollout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pharmaceutical and biotechnology companies, clinical research organizations and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w:t>
      </w:r>
    </w:p>
    <w:p>
      <w:pPr>
        <w:spacing w:after="0" w:line="3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p>
    <w:p>
      <w:pPr>
        <w:spacing w:after="0" w:line="5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rely on a significant base of peer-reviewed publications to showcase and validate the importance and application of our technology in academic and clinical research settings. As of December 31, 2023, there have been more than 1,650 peer-reviewed articles published,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Competition for skilled personnel in our market is intense. This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are more appealing to high 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have significantly appreciated in value relative to the original purchase prices of the shares, or if the exercise prices of the options that they hold are significantly below the market price of our common stock.</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p>
    <w:p>
      <w:pPr>
        <w:spacing w:after="0" w:line="1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of December 31, 2023, we had 676 full-time employees. As our sales and marketing strategies develop, we expect to need additional managerial, operational, sales, marketing, financial and other personnel. Future growth would impose significant added responsibilities on members of management, including:</w:t>
      </w:r>
    </w:p>
    <w:p>
      <w:pPr>
        <w:spacing w:after="0" w:line="39" w:lineRule="exact"/>
        <w:rPr>
          <w:sz w:val="20"/>
          <w:szCs w:val="20"/>
          <w:color w:val="auto"/>
        </w:rPr>
      </w:pPr>
    </w:p>
    <w:p>
      <w:pPr>
        <w:ind w:left="760" w:hanging="373"/>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recruiting, integrating, maintaining and motivating additional employees;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our internal development efforts effectively, while complying with our contractual obligations to contractors and other third parties; and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improving our operational, financial and management controls, reporting systems and procedures.</w:t>
      </w:r>
    </w:p>
    <w:p>
      <w:pPr>
        <w:spacing w:after="0" w:line="9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information technology, finance, legal, human resources,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In connection with our financial statement close process for the year ended December 31, 2023, we identified deficiencies in the control environment and control activities components of the Committee of Sponsoring Organizations (“COSO”) framework that constitute material weaknesses, either individually or in the aggregate. Deficiencies in the control environment related to (i) the lack of a sufficient number of qualified resources within our accounting and IT functions with the appropriate level of technical accounting or other requisite knowledge to (a) timely identify and assess accounting implications of transactions; and (b) perform assigned responsibilities and have appropriate accountability for the design and operation of internal control over financial reporting. Deficiencies related to control activities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relate to substantially all financial statement accounts and disclosures Please see the section entitled “Item 9A. Controls and Procedures” for additional information.</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 These deficiencies could result in additional material misstatements to our consolidated financial statements that could not be prevented or detected on a timely basis.</w:t>
      </w:r>
    </w:p>
    <w:p>
      <w:pPr>
        <w:spacing w:after="0" w:line="5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cannot be certain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We currently do not have an internal audit group, and we will need to hire additional accounting and finance staff and consultants with appropriate public company experience and technical accounting knowledge to remediate the control deficiencies.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For example, we required additional time to complete our financial closing procedures and ensure appropriate accounting of various intercompany transactions and accruals at the end of the quarter ended September 30, 2023. In addition, we required addition time to complete our financial closing procedures as of the end of period ending December 31, 2023 due to a lack of internal accounting resources, resulting in a delay in obtaining and compiling required information. Accordingly, the Company was not able to complete the preparation, review and filing of its Quarterly Report on Form 10-Q for the quarter ended September 31, 2023, and its Annual Report on Form 10-K for the year ended December 31, 2023, within the prescribed time period without unreasonable effort or expense. Such filings were timely made on or prior to the prescribed due date pursuant to Form 12b-25, with adjustments to certain line items in the financial statements with respect to such Annual Report.</w:t>
      </w:r>
    </w:p>
    <w:p>
      <w:pPr>
        <w:spacing w:after="0" w:line="63"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need to raise additional capital to fund our existing operations, develop our products and/or expand our operations.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present and future funding requirements will depend on many factors, some of which are beyond our control, including:</w:t>
      </w:r>
    </w:p>
    <w:p>
      <w:pPr>
        <w:spacing w:after="0" w:line="94" w:lineRule="exact"/>
        <w:rPr>
          <w:sz w:val="20"/>
          <w:szCs w:val="20"/>
          <w:color w:val="auto"/>
        </w:rPr>
      </w:pPr>
    </w:p>
    <w:p>
      <w:pPr>
        <w:ind w:left="760" w:hanging="373"/>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and maintain revenue growth;</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expanding our operations, including our sales and marketing efforts;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rate of progress in launching and commercializing new products, and the cost of the sales and marketing activities associated with, establishing adoption of our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rate of progress in, and cost of research and development activities associated with, products in research and development;</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cost of and delays in product development as a result of any regulatory oversight applicable to our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any product recall that may occur;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domestic and international expansion;</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attaining, defending and enforcing our intellectual property rights; and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timing of any other collaborative, licensing and other arrangements that we may establish.</w:t>
      </w:r>
    </w:p>
    <w:p>
      <w:pPr>
        <w:spacing w:after="0" w:line="9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Additional funding may not be available on acceptable terms, or at all. Weakness and volatility in the capital markets and the economy in general could limit our access to the capital markets and increase our cost of borrowing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w:t>
      </w:r>
    </w:p>
    <w:p>
      <w:pPr>
        <w:spacing w:after="0" w:line="6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In addition, our ability to raise additional funds may be adversely impacted by potential worsening global economic conditions and the disruptions to, and volatility in, the credit and financial markets in the United States and worldwide resulting from geopolitical tensions, such as the ongoing war in Ukraine, the Israel and Palestine conflict, government actions implemented as a result of either of the foregoing, as well as tensions with and economic uncertainty in China, inflation, rising interest rates, and liquidity concerns at, and failures of, banks and other financial institutions. The global economy, including credit and financial markets, has experienced extreme volatility and disruptions, including severely diminished liquidity and credit availability, declines in economic growth, increases in inflation rates, higher interest rates and uncertainty about economic stability. If the equity and credit markets further deteriorate, or do not improve,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w:t>
      </w:r>
    </w:p>
    <w:p>
      <w:pPr>
        <w:spacing w:after="0" w:line="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39" w:lineRule="exact"/>
        <w:rPr>
          <w:sz w:val="20"/>
          <w:szCs w:val="20"/>
          <w:color w:val="auto"/>
        </w:rPr>
      </w:pPr>
    </w:p>
    <w:p>
      <w:pPr>
        <w:ind w:left="760" w:hanging="373"/>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demand for any of our products, which may vary significantly;</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cost of, and level of investment in, research, development, manufacturing, regulatory approval and commercialization activities relating to our products, which may change from time to time;</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seasonality and customer mix of the cell analysis market;</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and marketing efforts and expenses;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at which we grow our sales force and the speed at which newly-hired salespeople become effective;</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productivity of our sales force;</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distribution partners in selling our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positive or negative coverage in the media or publications of our products or competitive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our products, which may vary depending on the quantity of production and the terms of our arrangements with our suppliers;</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of competition in our industry and any change in the competitive landscape of our industry, including the introduction of new products or enhancements or technologies by us or others in the cell analysis market and competition-related pricing pressures;</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regulations or in the status of our regulatory approvals or applications;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accounting pronouncements or changes in our accounting policies;</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both domestically and internationally, as well as economic conditions specifically affecting the industry in which we do business, including those related widespread health crises;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global financial crises and economic downturns, including those caused by widespread public health crises;</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factors, including changes in inflation, interest rates, foreign currency rates, liquidity concerns at, and failures of, banks and other financial institutions and the potential effect of such factors on revenues and expenses; and</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conditions and other factors, including factors unrelated to our operating performance or the operating performance of our competitors.</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sizes of the markets for our products may be smaller than we estimate.</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 xml:space="preserve">Within the life sciences technology market, flow cytometry technologies currently provide solutions largely within cell proliferation, cell counting, cell identification, cell quality control and single-cell applications. However, we believe that the enhanced capabilities of our FSP platform has the potential to capture an increasingly greater share of the broader cell analysis market.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 w:cs="Times New Roman" w:eastAsia="Times New Roman" w:hAnsi="Times New Roman"/>
          <w:sz w:val="14"/>
          <w:szCs w:val="14"/>
          <w:i w:val="1"/>
          <w:iCs w:val="1"/>
          <w:color w:val="auto"/>
        </w:rPr>
        <w:t>de novo</w:t>
      </w:r>
      <w:r>
        <w:rPr>
          <w:rFonts w:ascii="Times New Roman" w:cs="Times New Roman" w:eastAsia="Times New Roman" w:hAnsi="Times New Roman"/>
          <w:sz w:val="14"/>
          <w:szCs w:val="14"/>
          <w:color w:val="auto"/>
        </w:rPr>
        <w:t xml:space="preserve"> 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While we believe our assumptions and the data underlying our estimates are reasonable, we have not independently verified the accuracy of the third-party data on which we have based our assumptions and estimates, and these assumptions and estimates may not be correct and significantly different than actual market sizes, and the conditions supporting our assumptions or estimates may change at any time, including as a result of factors outside our control, thereby reducing the predictive accuracy of these underlying factors.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sizes of the annual total addressable market for new markets and new products are even more difficult to predict.</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were to be sued for product liability, we could face substantial liabilities that exceed our resources, limit sales of our existing products and limit commercialization of any products that we may develop.</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p>
      <w:pPr>
        <w:spacing w:after="0" w:line="56" w:lineRule="exact"/>
        <w:rPr>
          <w:sz w:val="20"/>
          <w:szCs w:val="20"/>
          <w:color w:val="auto"/>
        </w:rPr>
      </w:pPr>
    </w:p>
    <w:p>
      <w:pPr>
        <w:ind w:left="760" w:hanging="373"/>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litigation costs;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distraction of management’s attention from our primary business;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our products or new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our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our business reputation;</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recalls or withdrawals from the market;</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sales; or</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existing agreements by our partners and potential partners failing to partner with us.</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 and other legal proceedings may harm our business.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our information technology systems or data, or those of third parties on which we rely,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the ordinary course of our business, we and the third parties upon which we rely, collect, use, store, safeguard, disclose, share, transfer, secure and otherwise process (collectively, “Process” or “Processing”) proprietary, confidential and sensitive data, including personal information (such as key-coded data, health information and other special categories of personal information), intellectual property, trade secrets and proprietary business information owned or controlled by ourselves, our customers and other parties (collectively “Sensitive Information”). We may rely upon third parties (such as service providers) for our data processing–related activities and share or receive Sensitive Information with or from third parties.</w:t>
      </w:r>
    </w:p>
    <w:p>
      <w:pPr>
        <w:spacing w:after="0" w:line="5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face a variety of evolving threats, which have in the past and could in the future cause security incidents. 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becoming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goods and services. We and the third parties upon which we rely may be subject to a variety of evolving threats, including but not limited to social-engineering attacks (including through deep fakes, which may be increasingly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artificial intelligence and other similar threats. In particular, severe ransomware attacks, including those perpetrated by organized criminal threat actors, nation-states, and nation-state-supported actors, are becoming increasingly prevalent and severe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Additionally, employees working from home, while in transit and in public locations poses increased risks to our information technology systems and data when utilizing network connections, computers, and devices outside our premises or network.</w:t>
      </w:r>
    </w:p>
    <w:p>
      <w:pPr>
        <w:spacing w:after="0" w:line="6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Our sensitive information or sensitive information of our customers could also be leaked, disclosed, or revealed as a result of or in connection with our employee’s, personnel’s, or vendor’s use of generative artificial intelligence (“AI”) technologies. Furthermore,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 We may discover security issues that were not found during due diligence of such acquired or integrated entities, and it may be difficult to integrate companies into our information technology environment and security program.</w:t>
      </w:r>
    </w:p>
    <w:p>
      <w:pPr>
        <w:spacing w:after="0" w:line="6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rely on third parties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the third parties upon which we rely experience a security incident or other interruption, we could experience adverse consequences. While we may be entitled to damages if the third parties upon which we rely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upon which we rely), but we may not be able to detect, mitigate,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Any of the previously identified or similar threats could cause (and have in the past caused)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platform. We may expend significant resources or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5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Applicable data privacy and security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data (including personal information); litigation (including class claims); indemnification obligations; negative publicity; reputational harm; monetary fund diversions; diversion of management's attention; interruptions in our operations (including availability of data); financial loss; and other similar harms. Security incidents and attendant consequences may cause customers to stop using our products and services, deter new customers from purchasing our products and services, and negatively impact our ability to grow and operate our business.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Further,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disruptions could seriously harm our future revenue and financial condition and increase our costs and expenses.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6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manufacture our products at our manufacturing facilities located in Fremont and San Diego, California; Seattle Washington; and Wuxi, China, 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insurance policies are expensive and protect us only from some business risks, which leaves us exposed to significant uninsured liabilities.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w:t>
      </w:r>
    </w:p>
    <w:p>
      <w:pPr>
        <w:spacing w:after="0" w:line="21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w:t>
      </w:r>
    </w:p>
    <w:p>
      <w:pPr>
        <w:spacing w:after="0" w:line="6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In addition, because our product contains metals and electronic components which are purchased from third-party vendors, we may be required under rules promulgated by the U.S. Securities and Exchange Commission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or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w:t>
      </w:r>
    </w:p>
    <w:p>
      <w:pPr>
        <w:spacing w:after="0" w:line="65"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foreign currency exchange risk.</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 substantial amount of our revenues is derived from international operations, and we anticipate that a significant portion of our sales will continue to come from outside the United States in the future.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 and Our Industry</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RUO products may become subject to more onerous regulation by the FDA or other regulatory agencies in the future, which could increase our costs and delay or prevent sales of our products or commercialization of new products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and product enhancements, thereby materially and adversely affecting our business, financial condition, results of operations and prospects.</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Currently, our Northern Lights CLC system is available for clinical use in only China and the European Union. Our Cytek Aurora and Northern Lights systems are otherwise available to customers as research use 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w:t>
      </w:r>
    </w:p>
    <w:p>
      <w:pPr>
        <w:spacing w:after="0" w:line="65"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As part of our growth strategy, we plan to seek approval to offer our Cytek Aurora and Northern Lights systems for clinical use in the United States and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37"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Any medical device we market will be subject to continued regulatory review, oversight, requirements, and periodic inspections by the FDA and other domestic and foreign regulatory bodies. In particular, unless exempt, we and our suppliers are required to comply with the FDA’s Quality System Regulation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61" w:lineRule="exact"/>
        <w:rPr>
          <w:sz w:val="20"/>
          <w:szCs w:val="20"/>
          <w:color w:val="auto"/>
        </w:rPr>
      </w:pPr>
    </w:p>
    <w:p>
      <w:pPr>
        <w:ind w:left="760" w:hanging="373"/>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untitled letters, warning letters, fines, injunctions, consent decrees and civil penalties;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expenditures to address or defend such actions;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notifications for repair, replacement or refunds;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recall, detention or seizure of our products;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restrictions or partial suspension or total shutdown of production;</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refusing or delaying our requests for 510(k) clearance or PMA approval of new products or modified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510(k) clearances on PMA approvals that have already been granted;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grant export approval for our products; or</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criminal prosecution.</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Later discovery of previously unknown problems with our products, including manufacturing problems, or failure to comply with regulatory requirements such as the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w:t>
      </w:r>
    </w:p>
    <w:p>
      <w:pPr>
        <w:spacing w:after="0" w:line="6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tariffs or other government trade policies may materially adversely affect our business and results of operations, including by reducing demand for our products.</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The imposition of tariffs and trade restrictions as a result of international trade disputes or changes in trade policies may adversely affect our sales and profitability.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components may in the future be subject to these tariffs, which could increase our manufacturing costs and could make our products less competitive than those of our competitors whose inputs are not subject to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In addition, certain Chinese biotechnology companies and CMOs may become subject to trade restrictions, sanctions, and other regulatory requirements by the U.S. government, which could restrict or even prohibit our ability to work with such entities, thereby potentially disrupting the</w:t>
      </w:r>
    </w:p>
    <w:p>
      <w:pPr>
        <w:spacing w:after="0" w:line="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supply of material to our Wuxi facility. Such disruption could have adverse effects on the development of our product candidates and our business operations.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governmental export controls that could impair our ability to compete in international markets due to licensing requirements and subject us to liability if we are not in compliance with applicable laws.</w:t>
      </w:r>
    </w:p>
    <w:p>
      <w:pPr>
        <w:spacing w:after="0" w:line="37"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We are subject to stringent and changing U.S. and foreign data privacy and security laws, regulations, rules, and industry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(including class claims) and mass arbitration demands, harm to our reputation, loss of revenue or profits, and other adverse effects on our business or prospects.</w:t>
      </w:r>
    </w:p>
    <w:p>
      <w:pPr>
        <w:spacing w:after="0" w:line="5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the course of our operations, we collect, receive, store, process, generate, use, transfer, disclose, make accessible, protect, secure, dispose of, transmit, and share sensitive, confidential, and proprietary information, including personal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business data, trade secrets, intellectual property, and sensitive third-party data.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spacing w:after="0" w:line="39"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In the United States, federal, state, and local governments have enacted numerous data privacy and security laws, including data breach notification laws, personal information privacy and security laws, and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Additionally,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information, such as conducting data privacy impact assessments. These state laws allow for statutory fines for noncompliance. For example, the California Consumer Privacy Act of 2018, as amended by the California Privacy Rights Act of 2020 (“CRPA”) (collectively “CCPA”), applies to personal information of consumers, business representatives, and employees, and requires businesses to provide specific disclosures in privacy notices and honor requests of California residents to exercise certain rights related to their personal information, such as those noted below. The CCPA allows for statutory fines for noncompliance (up to $7,500 per intentional violation) and allows private litigants affected by certain data breaches to recover significant statutory damages. Although the CCPA (like other U.S. comprehensive privacy laws) exempts some data processed in the context of clinical trials, the CCPA increases compliance costs and potential liability with respect to other personal information we maintain about California residents.</w:t>
      </w:r>
    </w:p>
    <w:p>
      <w:pPr>
        <w:spacing w:after="0" w:line="68"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auto"/>
        </w:rPr>
        <w:t>Similar laws are being considered in several other states, as well as at the federal and local levels, and we expect more jurisdictions to pass similar laws in the future.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increasing legal risk and compliance costs for us and the third parties upon whom we rely.</w:t>
      </w:r>
    </w:p>
    <w:p>
      <w:pPr>
        <w:spacing w:after="0" w:line="22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Outside the United States, an increasing number of laws, regulations, and industry standards apply to data privacy and security. For example, the European Union’s General Data Protection Regulation (“EU GDPR”) and the United Kingdom’s General Data Protection Regulation (“UK GDPR”), (collectively, “GDPR”) impose strict requirements for processing the personal information of individuals located, respectively within the European Economic Area (“EEA”) and the United Kingdom (“UK”). For example, violations of the GDPR can result in, temporary or definitive bans on data processing and other corrective actions; fines of up to 20 million Euros (£17.5 million for the UK GDPR) or 4% of annual global revenue, whichever is greater; or private litigation related to processing of personal information brought by classes of data subjects or consumer protection organizations authorized at law to represent their interests. Furthermore, in Europe, there is a proposed regulation related to artificial intelligence (“AI”) that, if adopted, could impose onerous obligations related to the use of AI-related systems. Other countries outside of Europe have enacted or are considering enacting similar comprehensive data privacy and security laws and regulations, which could increase the cost and complexity of delivering our services and operating our business. For example, China’s Personal Information Protection Law (“PIPL”) broadly regulates data privacy and security practices and imposes strict requirements for processing personal information. As another example, Canada has enacted the Personal Information Protection and Electronic Documents Act and Canada’s Anti-Spam Legislation, which broadly regulate the Processing of personal information and impose compliance obligations and penalties comparable to those of European data privacy and security laws. Complying with these and other similar laws and regulations (to the extent applicable) may cause us to incur substantial operational costs or require us to change our business practices, and could lead to material fines, penalties and liability.</w:t>
      </w:r>
    </w:p>
    <w:p>
      <w:pPr>
        <w:spacing w:after="0" w:line="63"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addition, many jurisdictions have enacted data localization laws and cross-border persona information transfer laws. These laws may make it more difficult for us to transfer personal information across jurisdictions, which could impede our business. For example, absent appropriate safeguards or other circumstances, the GDPR generally restrict the transfer of personal information to the United States and other countries that are viewed by some regulators as to not generally provide an adequate level of data privacy and security. Although there are currently various mechanisms that may be used to transfer personal information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self-certify compliance and participate in the Framework), these mechanisms are subject to legal challenges, and there is no assurance that we can satisfy or rely on these measures to lawfully transfer personal information to the United States or other countries. In addition to European restrictions on cross-border transfers of personal information, other jurisdictions have enacted or are considering similar cross-border personal information transfer laws and local personal information residency laws,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including by limiting our ability to collaborate with parties that are subject to European and other data privacy and security laws, requiring us to increase our personal information processing capabilities in Europe and/or elsewhere at significant expense; increased exposure to regulatory actions; and substantial fines and penalties.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6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employees and personnel use generative AI technologies to perform their work, and the disclosure and use of personal information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 We also use AI and machine learning (“ML”) to assist us in making certain decisions, which is regulated by certain privacy laws. Due to inaccuracies or flaws in the inputs, outputs, or logic of the AI/ML, the model could be biased and could lead us to make decisions that could bias certain individuals (or classes of individuals), and adversely impact their rights, employment, and ability to obtain certain pricing, products, services, or benefits.</w:t>
      </w:r>
    </w:p>
    <w:p>
      <w:pPr>
        <w:spacing w:after="0" w:line="6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In addition to data privacy and security laws, privacy advocates and industry groups have proposed, and may propose in the future, standards with which we are legally or contractually bound to comply.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 DSS can result in penalties ranging from $5,000 to $100,000 per month by credit card companies, litigation, damage to our reputation, and revenue losses. We may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data privacy and security laws, such as the EU/UK GDPR and the CCPA, require us to impose specific contractual restrictions on our service providers. We also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6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Our obligations related to data privacy and security (and consumer's data privacy and security expectations) are quickly changing in an increasingly stringent fashion and creating regulatory uncertainty.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that process personal information on our behalf.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impact our compliance posture and business operations. If we or the third parties on which we rely fail, or are perceived to have failed, to address or comply with applicable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business model or operations.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U.S. and certain foreign anti-corruption and anti-money laundering laws and regulations. We can face criminal liability and other serious consequences for violations, which can harm our business.</w:t>
      </w:r>
    </w:p>
    <w:p>
      <w:pPr>
        <w:spacing w:after="0" w:line="37"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p>
    <w:p>
      <w:pPr>
        <w:spacing w:after="0" w:line="5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U.S. federal and state fraud and abuse and other healthcare laws and regulations, including those relating to kickbacks and false claims, we could face substantial penalties and our business operations and financial condition could be harmed.</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w:t>
      </w:r>
    </w:p>
    <w:p>
      <w:pPr>
        <w:spacing w:after="0" w:line="56" w:lineRule="exact"/>
        <w:rPr>
          <w:sz w:val="20"/>
          <w:szCs w:val="20"/>
          <w:color w:val="auto"/>
        </w:rPr>
      </w:pPr>
    </w:p>
    <w:p>
      <w:pPr>
        <w:jc w:val="both"/>
        <w:ind w:left="760" w:hanging="373"/>
        <w:spacing w:after="0" w:line="256" w:lineRule="auto"/>
        <w:tabs>
          <w:tab w:leader="none" w:pos="7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w:t>
      </w:r>
    </w:p>
    <w:p>
      <w:pPr>
        <w:spacing w:after="0" w:line="6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False Claims Act, or the FCA, which prohibits, among other things, persons or entities from knowingly presenting, or causing to be presented, a false or fraudulent claim for payment of government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4"/>
          <w:szCs w:val="14"/>
          <w:color w:val="auto"/>
        </w:rPr>
        <w:t>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 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w:t>
      </w:r>
    </w:p>
    <w:p>
      <w:pPr>
        <w:spacing w:after="0" w:line="61" w:lineRule="exact"/>
        <w:rPr>
          <w:sz w:val="20"/>
          <w:szCs w:val="20"/>
          <w:color w:val="auto"/>
        </w:rPr>
      </w:pPr>
    </w:p>
    <w:p>
      <w:pPr>
        <w:jc w:val="both"/>
        <w:ind w:left="760" w:hanging="373"/>
        <w:spacing w:after="0" w:line="261" w:lineRule="auto"/>
        <w:tabs>
          <w:tab w:leader="none" w:pos="7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58" w:lineRule="exact"/>
        <w:rPr>
          <w:rFonts w:ascii="Times New Roman" w:cs="Times New Roman" w:eastAsia="Times New Roman" w:hAnsi="Times New Roman"/>
          <w:sz w:val="14"/>
          <w:szCs w:val="14"/>
          <w:color w:val="auto"/>
        </w:rPr>
      </w:pPr>
    </w:p>
    <w:p>
      <w:pPr>
        <w:jc w:val="both"/>
        <w:ind w:left="760" w:hanging="373"/>
        <w:spacing w:after="0" w:line="264" w:lineRule="auto"/>
        <w:tabs>
          <w:tab w:leader="none" w:pos="7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the Health Information Technology for Economic and Clinical Health Act, or HITECH Act,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w:t>
      </w:r>
    </w:p>
    <w:p>
      <w:pPr>
        <w:spacing w:after="0" w:line="55" w:lineRule="exact"/>
        <w:rPr>
          <w:rFonts w:ascii="Times New Roman" w:cs="Times New Roman" w:eastAsia="Times New Roman" w:hAnsi="Times New Roman"/>
          <w:sz w:val="14"/>
          <w:szCs w:val="14"/>
          <w:color w:val="auto"/>
        </w:rPr>
      </w:pPr>
    </w:p>
    <w:p>
      <w:pPr>
        <w:jc w:val="both"/>
        <w:ind w:left="760" w:hanging="373"/>
        <w:spacing w:after="0" w:line="264" w:lineRule="auto"/>
        <w:tabs>
          <w:tab w:leader="none" w:pos="7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state laws govern the privacy and security of personal information, including the California Consumer Protection Act, or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w:t>
      </w:r>
    </w:p>
    <w:p>
      <w:pPr>
        <w:spacing w:after="0" w:line="55" w:lineRule="exact"/>
        <w:rPr>
          <w:rFonts w:ascii="Times New Roman" w:cs="Times New Roman" w:eastAsia="Times New Roman" w:hAnsi="Times New Roman"/>
          <w:sz w:val="14"/>
          <w:szCs w:val="14"/>
          <w:color w:val="auto"/>
        </w:rPr>
      </w:pPr>
    </w:p>
    <w:p>
      <w:pPr>
        <w:jc w:val="both"/>
        <w:ind w:left="760" w:hanging="373"/>
        <w:spacing w:after="0" w:line="261" w:lineRule="auto"/>
        <w:tabs>
          <w:tab w:leader="none" w:pos="7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physician assistants, nurse practitioners, clinical nurse specialists, certified nurse anesthetists and certified nurse-midwives; and</w:t>
      </w:r>
    </w:p>
    <w:p>
      <w:pPr>
        <w:spacing w:after="0" w:line="58" w:lineRule="exact"/>
        <w:rPr>
          <w:rFonts w:ascii="Times New Roman" w:cs="Times New Roman" w:eastAsia="Times New Roman" w:hAnsi="Times New Roman"/>
          <w:sz w:val="14"/>
          <w:szCs w:val="14"/>
          <w:color w:val="auto"/>
        </w:rPr>
      </w:pPr>
    </w:p>
    <w:p>
      <w:pPr>
        <w:jc w:val="both"/>
        <w:ind w:left="760" w:hanging="373"/>
        <w:spacing w:after="0" w:line="263" w:lineRule="auto"/>
        <w:tabs>
          <w:tab w:leader="none" w:pos="7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spacing w:after="0" w:line="287" w:lineRule="auto"/>
        <w:rPr>
          <w:sz w:val="20"/>
          <w:szCs w:val="20"/>
          <w:color w:val="auto"/>
        </w:rPr>
      </w:pPr>
      <w:r>
        <w:rPr>
          <w:rFonts w:ascii="Times New Roman" w:cs="Times New Roman" w:eastAsia="Times New Roman" w:hAnsi="Times New Roman"/>
          <w:sz w:val="14"/>
          <w:szCs w:val="14"/>
          <w:color w:val="auto"/>
        </w:rPr>
        <w:t>marketing expenditures; and state and foreign laws governing the privacy and security of health information in certain circumstances, many of which differ from each other in significant ways and may not have the same effect, thus complicating compliance efforts.</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State and federal regulatory and enforcement agencies continue to actively investigate violations of healthcare laws and regulations, and the U.S. Congress continues to strengthen the arsenal of enforcement tools.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w:t>
      </w:r>
    </w:p>
    <w:p>
      <w:pPr>
        <w:spacing w:after="0" w:line="5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harm our business, financial condition and results of operations.</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62"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substantial costs, including legal fees and reputational harm, and divert the attention of management in defending ourselves against any of these claims or investigations, which could harm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5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As with other flow cytometry companies, our success depends in large part on our ability to obtain, maintain and solidify a proprietary position for our current and any future products, which will depend upon our success in obtaining effective patent protection and other intellectual property protection in the United States and other countries that cover such products, their manufacturing processes and their intended methods of use and enforcing those patent claims against infringers once granted as well as our other intellectual property rights. In some cases, we may not be able to obtain issued patent claims or other intellectual property rights covering our technologies which are sufficient to prevent third parties, such as our competitors, from utilizing our products and negate any competitive advantage we may have. Any failure to obtain or maintain patent claims and other intellectual property rights with respect to our current and any future products or other aspects of our business could harm our business, financial condition and results of operations.</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51"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w:t>
      </w:r>
    </w:p>
    <w:p>
      <w:pPr>
        <w:spacing w:after="0" w:line="64"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Including rights acquired in connection with the FCI Acquisition, as of December 31, 2023, we own 33 issued U.S. utility patents, nine issued Japan utility patents, seven issued European utility patents, three issued China utility patents, one Canada utility patent, one India utility patent, two Australian utility patents, and three Singapore utility patents. We have 58 pending utility patent applications, including 34 utility patent applications in the United States, two international utility patent applications, nine utility patent applications in the European Union, seven utility patent applications in China, and five utility patent applications in Japan. Assuming all maintenance fees are paid, the U.S. issued patents are expected to naturally expire between years 2025 and 2038. Patents covering intellectual property relating to design specific technologies invented by our researchers in Shanghai and Wuxi, China are filed in China and owned by our China subsidiaries, respectively. As of December 31, 2023, our Shanghai subsidiary owns 14 issued utility patents and three issued invention patents and has eight pending invention patent applications, and our Wuxi subsidiary owns 38 issued patents and has six pending patent applications, including one pending utility model patent applications and five pending invention patent applications.</w:t>
      </w:r>
    </w:p>
    <w:p>
      <w:pPr>
        <w:spacing w:after="0" w:line="6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 party challenge to our patents or trademarks could result in the unenforceability or invalidity of such patents or trademarks and increased competition to our business.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may have to challenge the patents, patent applications, trademarks, or trademark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5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w:t>
      </w:r>
    </w:p>
    <w:p>
      <w:pPr>
        <w:spacing w:after="0" w:line="61"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w:t>
      </w:r>
    </w:p>
    <w:p>
      <w:pPr>
        <w:spacing w:after="0" w:line="23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do successfully issue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w:t>
      </w:r>
    </w:p>
    <w:p>
      <w:pPr>
        <w:spacing w:after="0" w:line="63"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Some of our patents and patent applications may in the future be jointly-owned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w:t>
      </w:r>
    </w:p>
    <w:p>
      <w:pPr>
        <w:spacing w:after="0" w:line="5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w:t>
      </w:r>
    </w:p>
    <w:p>
      <w:pPr>
        <w:spacing w:after="0" w:line="14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Patents covering our current, and any future products, or our technologies could be found invalid or unenforceable if challenged in court or before administrative bodies in the United States or abroad, which could harm our business, financial condition and results of operations.</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w:t>
      </w:r>
    </w:p>
    <w:p>
      <w:pPr>
        <w:spacing w:after="0" w:line="6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substantially on our trademarks and trade names. If our trademarks and trade names are not adequately protected, then we may not be able to build name recognition in our markets of interest and our business may be harmed.</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w:t>
      </w:r>
    </w:p>
    <w:p>
      <w:pPr>
        <w:spacing w:after="0" w:line="14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With respect to patents and patent applications, the various applicable government agencies, including the USPTO and similar agencies outside of the United States, require compliance with several procedural, documentary, fee payment and other similar provisions during the application process and the maintenance or annuity process after grant.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limited foreign intellectual property rights outside the United States, selected countries in the European Union, Japan and China and may not be able to protect our intellectual property and proprietary rights throughout the world, which could harm our business, financial condition and results of operations.</w:t>
      </w:r>
    </w:p>
    <w:p>
      <w:pPr>
        <w:spacing w:after="0" w:line="37"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have limited intellectual property rights outside the United States, selected countries in the European Union,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U.S. patent law could diminish the value of patents in general, thereby impairing our ability to protect our current and any future products.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After March 15, 2013, under the Leahy-Smith America Invents Act, or the America Invents Act, enacted in September 2011, the United States transitioned to a first to file system in which, assuming that other requirements for patentability are met, the first applicant to file a patent application will be entitled to the patent on an invention regardless of whether a third-party was the first to invent the claimed invention. A third-party that files a patent application in the USPTO after March 15,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w:t>
      </w:r>
    </w:p>
    <w:p>
      <w:pPr>
        <w:spacing w:after="0" w:line="6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w:t>
      </w:r>
    </w:p>
    <w:p>
      <w:pPr>
        <w:spacing w:after="0" w:line="5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6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Third-party claims of intellectual property infringement, misappropriation or other violation against us, the joint-owners of our intellectual property, or our collaborators may prevent or delay the sale and marketing of our current and any future products.</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could become subject to significant intellectual property-related litigation and proceedings relating to our or third-party intellectual property and proprietary rights. 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w:t>
      </w:r>
    </w:p>
    <w:p>
      <w:pPr>
        <w:spacing w:after="0" w:line="62"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industry is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w:t>
      </w:r>
    </w:p>
    <w:p>
      <w:pPr>
        <w:spacing w:after="0" w:line="58"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w:t>
      </w:r>
    </w:p>
    <w:p>
      <w:pPr>
        <w:spacing w:after="0" w:line="64"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w:t>
      </w:r>
    </w:p>
    <w:p>
      <w:pPr>
        <w:spacing w:after="0" w:line="65"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the event that any third-party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w:t>
      </w:r>
    </w:p>
    <w:p>
      <w:pPr>
        <w:spacing w:after="0" w:line="62"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w:t>
      </w:r>
    </w:p>
    <w:p>
      <w:pPr>
        <w:spacing w:after="0" w:line="58"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become involved in lawsuits to protect or enforce our patents and other intellectual property rights, which could be expensive, time-consuming and unsuccessful.</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Competitors may infringe our patents, or the patents of any future licensing partners, or we may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5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w:t>
      </w:r>
    </w:p>
    <w:p>
      <w:pPr>
        <w:spacing w:after="0" w:line="6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 our competitive position may be impaired, and our business, financial condition and results of operations may be harmed.</w:t>
      </w:r>
    </w:p>
    <w:p>
      <w:pPr>
        <w:spacing w:after="0" w:line="1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62"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our business and competitive position would be harmed.</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61"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w:t>
      </w:r>
    </w:p>
    <w:p>
      <w:pPr>
        <w:spacing w:after="0" w:line="232"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of a key information technology system, process, or site could have an adverse effect on our business.</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may be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which may be protected by applicable laws. Any such access, disclosure, or other loss of information could require substantial expenditures to remedy and could result in legal claims or proceedings, liability under laws that protect the privacy of personal information and damage to our reputation.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use of open source software could compromise our ability to offer our services and subject us to possible litigation.</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use open source software in connection with the software integrated in our instruments.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may continue to be volatile, and our stockholders may not be able to resell shares of our common stock at or above the price they paid.</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market price of our common stock has been and may continue to be highly volatile and may further fluctuate or decline substantially as a result of a variety of factors, some of which are beyond our control, including limited trading volume. In addition to the factors discussed in this “Risk Factors” section and elsewhere in this Annual Report on Form 10-K, these factors include:</w:t>
      </w:r>
    </w:p>
    <w:p>
      <w:pPr>
        <w:spacing w:after="0" w:line="39" w:lineRule="exact"/>
        <w:rPr>
          <w:sz w:val="20"/>
          <w:szCs w:val="20"/>
          <w:color w:val="auto"/>
        </w:rPr>
      </w:pPr>
    </w:p>
    <w:p>
      <w:pPr>
        <w:ind w:left="760" w:hanging="373"/>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and rate of market adoption of our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variance in our financial performance from expectations of securities analysts or investors;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financial condition and results of operations, including as a result of anticipated or unanticipated demand based on seasonal factors;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projected operating and financial results;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operating results;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our intellectual property or other proprietary rights;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patent or stockholder litigation;</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publicity associated with issues related to our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senior management or key personnel;</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our common stock or other securities, by us or our stockholders, as well as the anticipation of lock-up releases;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volume of our common stock;</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approvals for our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applicable to our products;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developments concerning any of our third-party distribution partners and suppliers, including our single and sole-source suppliers;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business developments, acquisitions, or new offerings;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engage additional distribution partners and establish collaborations, if needed;</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or news releases by other companies in our industry including about adverse developments related to safety, effectiveness, accuracy and usability of their products, reputational concerns, regulatory compliance, and product recalls;</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regulatory and market conditions, including economic recessions or slowdowns, the ongoing war in Ukraine and the general inflationary environment; and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many of which are beyond our control.</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broad discretion in the use of our cash and may invest or spend the funds in ways with which you do not agree and in ways that may not yield a return.</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Substantial future sales of shares of our common stock or securities convertible into our common stock will result in additional dilution of the percentage of ownership of our stockholders and could cause the market price of our common stock to decline.</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we may offer and sell up to $150 million shares of common stock registered under our universal shelf registration statement on Form S-3 pursuant to the Sales Agreement with Piper in one or more “at the market” offerings. To date, we have not made any sales of common stock pursuant to the Sales Agreement. The extent to which we utilize the Sales Agreement with Piper as a source of funding will depend on a number of factors, including the prevailing market price of our common stock, general market conditions and other restrictions and the extent to which we are able to secure funds from other sources.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addition, certain of our stockholders have registration rights that would require us to register shares owned by them for public sale in the United States. We have also filed a registration statement to register shares reserved for future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ownership of our common stock among our executive officers, directors and principal stockholders may prevent new investors from influencing significant corporate decisions.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Based on the number of shares of common stock outstanding as of December 31, 2023, our executive officers, directors, holders of 5% or more of our common stock and their respective affiliates (based on filings with the SEC), in the aggregate, own approximately 51.0% 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For example, because many of these stockholders purchased their shares at prices substantially below the current market price or our shares and have held their shares for a longer period, they may be more interested in selling our company to an acquirer than other investors, or they may want us to pursue strategies that deviate from the interests of other stockholders.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disclosure controls and procedures may not prevent or detect all errors or acts of fraud.</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are subject to the periodic reporting requirements of the Securities Exchange Act of 1934, as amended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39" w:lineRule="exact"/>
        <w:rPr>
          <w:sz w:val="20"/>
          <w:szCs w:val="20"/>
          <w:color w:val="auto"/>
        </w:rPr>
      </w:pPr>
    </w:p>
    <w:p>
      <w:pPr>
        <w:ind w:left="760" w:hanging="373"/>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board of directors divided into three classes serving staggered three-year terms, such that not all members of the board will be elected at one time;</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through written consent, which requires that all stockholder actions be taken at a meeting of our stockholders;</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special meetings of stockholders be called only by the chairman of the board of directors, the chief executive officer, the president, or by a majority of the total number of authorized directors;</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requirements for stockholder proposals and nominations for election to our board of directors;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line="287" w:lineRule="auto"/>
        <w:tabs>
          <w:tab w:leader="none" w:pos="7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of approval of not less than two-thirds of all outstanding shares of our voting stock to amend any bylaws by stockholder action or to amend specific provisions of our certificate of incorporation; and</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w:t>
      </w:r>
    </w:p>
    <w:p>
      <w:pPr>
        <w:spacing w:after="0" w:line="3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6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These provisions would not apply to suits brought to enforce a duty or liability created by the Exchange Act. Furthermore, Section 22 of the Securities Act of 1933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6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new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subject to securities class action litigation.</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37"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As a public company, we have incurred and will continue to incur significant legal, accounting, and other expenses that we did not incur as a private company. We expect such expenses to further increase as we are no longer an emerging growth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will have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timing of such costs, which could negatively affect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meet Nasdaq’s continued listing requirements could result in a delisting of our common stock.</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unfavorable or inaccurate research about our business, our common stock price and trading volume could decline.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trading market for our common stock will depend, in part, on the research and reports that securities or industry analysts publish about us or our business. We do not have any control over these analysts. If the number of analysts that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losses (“NOLs”) to offset future taxable income may be subject to certain limitations.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Under Section 382 of the Internal Revenue Code of 1986, as amended (“Code”)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Similar rules may apply under state tax laws. We determined that an ownership change occurred on September 7, 2018, October 23, 2020, and in connection with our IPO on July 23, 2021. As of December 31, 2023, we had not experienced an ownership change subsequent to the ownership change on July 23, 2021. In addition, we may in the future experience ownership changes, as a result of changes in our stock ownership (some of which are not in our control). If an ownership change occurs, our ability to utilize our NOL carryforwards and other tax attributes to reduce future tax liabilities may be limited. Many states have provisions similar to Code Section 382. Annual limitations may result in the expiration of the state net operating loss carryforwards before utilization.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our effective tax rate or tax liability may have an adverse effect on our results of operations.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effective tax rate could increase due to several factors, including:</w:t>
      </w:r>
    </w:p>
    <w:p>
      <w:pPr>
        <w:spacing w:after="0" w:line="94" w:lineRule="exact"/>
        <w:rPr>
          <w:sz w:val="20"/>
          <w:szCs w:val="20"/>
          <w:color w:val="auto"/>
        </w:rPr>
      </w:pPr>
    </w:p>
    <w:p>
      <w:pPr>
        <w:ind w:left="760" w:hanging="373"/>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relative amounts of income before taxes in the various jurisdictions in which we operate that have differing statutory tax rates;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tax treaties, and regulations or the interpretation of them;</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current and future tax audits, examinations, or administrative appeals; and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or adverse findings regarding our ability to do business in some jurisdictions.</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 and regulations may have a material adverse effect on our business, financial condition and results of operations.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We urge investors to consult with their legal and tax advisers regarding the implication of potential changes in tax laws on an investment in our common stock.</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and strategy</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the data of our partners (“Information Systems and Data”).</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Chief Operating Officer (“COO”) and our information technology (“IT”) department help identify, assess, and manage our cybersecurity threats and risks. Our information technology department identifies and assesses risks from cybersecurity threats by monitoring and evaluating our threat environment using various methods including, for example, evaluating threats reported to us, conducting threat and vulnerability assessments, and performing audits.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Depending on the environment, system, and data, we implement and maintain various technical, physical, and organizational measures, processes, standards, and/or policies designed to manage and mitigate material risks from cybersecurity threats to our Information Systems and Data, including, for example: a security incident response plan, disaster recovery and business continuity plans, encryption of data, access controls, asset management, and penetration testing.</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assessment and management of material risks from cybersecurity threats are integrated into our overall risk management processes. For example, our IT department works with senior management to prioritize our risk management processes and mitigate cybersecurity threats that are more likely to lead to a material impact to our business, and our senior management evaluates material risks from cybersecurity threats against our overall business objectives and reports to our board of directors, which evaluates our overall enterprise risk.</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use third-party service providers to assist us from time to time to identify, assess, and manage material risks from cybersecurity threats, including for example, professional services firms such as legal counsel, cybersecurity software providers and penetration testing firms.</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use third-party service providers to perform a variety of functions throughout our business, such as cloud-based infrastructure hosting, data hosting, and encryption and authentication services. We have a vendor management program to manage cybersecurity risks associated with our use of these providers, which may include regular security assessments, audits, and compliance checks.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For a description of the risks from cybersecurity threats that may materially affect our business and how they may do so, see the section titled “Risk factors” in this Annual Report on Form 10-K, including “If our information technology systems or data, or those of third parties upon which we rely, are compromised now, or in the future, we could experience adverse consequences resulting from such a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board of directors addresses our cybersecurity risk management as part of its general oversight function and is responsible for overseeing our cybersecurity risk management processes, including oversight of mitigation of risks from cybersecurity threats.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cybersecurity risk assessment and management processes are implemented and maintained by certain members of our management team, including our COO, Mr. Chris Williams. Mr.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Williams has experience in the security of both corporate and technical systems as well as business continuity planning in previous security operations roles at public pharmaceutical companies.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Management is responsible for hiring appropriate personnel, helping to integrate cybersecurity risk considerations into our overall risk management strategy, and communicating key priorities to relevant personnel. Management is also responsible for approving budgets, helping prepare for cybersecurity incidents, approving cybersecurity processes, and reviewing security assessments and other security-related reports.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security incident response plan is designed to escalate certain cybersecurity incidents to members of management depending on the circumstances, including our COO and senior director of global information technology. Our COO works with our IT department to help us mitigate and remediate cybersecurity incidents of which they are notified. In addition, our incident response process includes reporting to our board of directors for certain cybersecurity incidents.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board of directors receives periodic reports from management concerning our significant cybersecurity threats and risk and the processes we have implemented to address them. Our board of directors also receives various reports, summaries or presentations related to cybersecurity threats, risk and mitigation.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currently lease approximately 99,000 square feet of office and laboratory space at our headquarter in Fremont, California. The lease expires in February 2029.</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Wuxi, China, we lease approximately 9,800 square feet of manufacturing and office space. The lease expires in January 2026. In November 2023, we purchased a building in Wuxi, China and relocated our Wuxi operations to the new facility in January 2024. The Wuxi building has approximately 56,000 square feet of manufacturing and office space.</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 Shanghai, China, we lease approximately 14,000 square feet of office and laboratory space, under multiple leases expiring between October 2024 and November 2026.</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also lease office space in Seattle, Washington; Bethesda, Maryland; San Diego, California; Beijing, China; Tokyo, Japan; and Amsterdam, Netherlands. We believe that our existing office, laboratory and manufacturing space, together with additional space and facilities available on commercially reasonable terms, will be sufficient to meet our current and future needs.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are not currently engaged in any material pending legal proceedings. From time to time, we may be subject to legal proceedings and claims arising in the ordinary course of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common stock began trading on the Nasdaq Global Select Market on July 23, 2021 and trades under the symbol “CTKB”. Prior to July 23, 2021, there was no public trading market for our common stock.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 of Record</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of February 16, 2024, there were approximately 21 stockholders of record. Because brokers and other institutions hold many of our shares on behalf of stockholders, we are unable to estimate the total number of stockholders represented by these record holders.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we do not currently intend to pay any cash dividends on our capital stock for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Equity Securities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July 2021, we issued and sold an aggregate of 13,949,401 shares of common stock in connection with our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May 17, 2023, the Board approved a program for the repurchase of up to an aggregate of $50 million of our outstanding common stock. The repurchase program expired on December 31, 2023 with a remaining unused balance of $6.0 million.</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provides information with respect to the repurchase of shares of our common stock from the commencement of the repurchase program until its expiration on December 31, 2023.</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(Except for the share amount and average price per share, dollar value in thousands)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300" w:type="dxa"/>
            <w:vAlign w:val="bottom"/>
            <w:tcBorders>
              <w:top w:val="single" w:sz="8" w:color="auto"/>
              <w:left w:val="single" w:sz="8" w:color="auto"/>
              <w:right w:val="single" w:sz="8" w:color="auto"/>
            </w:tcBorders>
          </w:tcPr>
          <w:p>
            <w:pPr>
              <w:spacing w:after="0"/>
              <w:rPr>
                <w:sz w:val="14"/>
                <w:szCs w:val="14"/>
                <w:color w:val="auto"/>
              </w:rPr>
            </w:pPr>
          </w:p>
        </w:tc>
        <w:tc>
          <w:tcPr>
            <w:tcW w:w="2260" w:type="dxa"/>
            <w:vAlign w:val="bottom"/>
            <w:tcBorders>
              <w:top w:val="single" w:sz="8" w:color="auto"/>
              <w:right w:val="single" w:sz="8" w:color="auto"/>
            </w:tcBorders>
          </w:tcPr>
          <w:p>
            <w:pPr>
              <w:spacing w:after="0"/>
              <w:rPr>
                <w:sz w:val="14"/>
                <w:szCs w:val="14"/>
                <w:color w:val="auto"/>
              </w:rPr>
            </w:pPr>
          </w:p>
        </w:tc>
        <w:tc>
          <w:tcPr>
            <w:tcW w:w="1920" w:type="dxa"/>
            <w:vAlign w:val="bottom"/>
            <w:tcBorders>
              <w:top w:val="single" w:sz="8" w:color="auto"/>
            </w:tcBorders>
          </w:tcPr>
          <w:p>
            <w:pPr>
              <w:spacing w:after="0"/>
              <w:rPr>
                <w:sz w:val="14"/>
                <w:szCs w:val="14"/>
                <w:color w:val="auto"/>
              </w:rPr>
            </w:pPr>
          </w:p>
        </w:tc>
        <w:tc>
          <w:tcPr>
            <w:tcW w:w="320" w:type="dxa"/>
            <w:vAlign w:val="bottom"/>
            <w:tcBorders>
              <w:top w:val="single" w:sz="8" w:color="auto"/>
              <w:right w:val="single" w:sz="8" w:color="auto"/>
            </w:tcBorders>
          </w:tcPr>
          <w:p>
            <w:pPr>
              <w:spacing w:after="0"/>
              <w:rPr>
                <w:sz w:val="14"/>
                <w:szCs w:val="14"/>
                <w:color w:val="auto"/>
              </w:rPr>
            </w:pP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Total number of shares purchased as</w:t>
            </w:r>
          </w:p>
        </w:tc>
        <w:tc>
          <w:tcPr>
            <w:tcW w:w="140" w:type="dxa"/>
            <w:vAlign w:val="bottom"/>
            <w:tcBorders>
              <w:top w:val="single" w:sz="8" w:color="auto"/>
            </w:tcBorders>
          </w:tcPr>
          <w:p>
            <w:pPr>
              <w:spacing w:after="0"/>
              <w:rPr>
                <w:sz w:val="14"/>
                <w:szCs w:val="14"/>
                <w:color w:val="auto"/>
              </w:rPr>
            </w:pPr>
          </w:p>
        </w:tc>
        <w:tc>
          <w:tcPr>
            <w:tcW w:w="2100" w:type="dxa"/>
            <w:vAlign w:val="bottom"/>
            <w:tcBorders>
              <w:top w:val="single" w:sz="8" w:color="auto"/>
              <w:right w:val="single" w:sz="8" w:color="auto"/>
            </w:tcBorders>
          </w:tcPr>
          <w:p>
            <w:pPr>
              <w:spacing w:after="0"/>
              <w:rPr>
                <w:sz w:val="14"/>
                <w:szCs w:val="14"/>
                <w:color w:val="auto"/>
              </w:rPr>
            </w:pPr>
          </w:p>
        </w:tc>
      </w:tr>
      <w:tr>
        <w:trPr>
          <w:trHeight w:val="149"/>
        </w:trPr>
        <w:tc>
          <w:tcPr>
            <w:tcW w:w="2300" w:type="dxa"/>
            <w:vAlign w:val="bottom"/>
            <w:tcBorders>
              <w:left w:val="single" w:sz="8" w:color="auto"/>
              <w:right w:val="single" w:sz="8" w:color="auto"/>
            </w:tcBorders>
          </w:tcPr>
          <w:p>
            <w:pPr>
              <w:spacing w:after="0"/>
              <w:rPr>
                <w:sz w:val="12"/>
                <w:szCs w:val="12"/>
                <w:color w:val="auto"/>
              </w:rPr>
            </w:pPr>
          </w:p>
        </w:tc>
        <w:tc>
          <w:tcPr>
            <w:tcW w:w="2260" w:type="dxa"/>
            <w:vAlign w:val="bottom"/>
            <w:tcBorders>
              <w:right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part of publicly announced plans or</w:t>
            </w:r>
          </w:p>
        </w:tc>
        <w:tc>
          <w:tcPr>
            <w:tcW w:w="140" w:type="dxa"/>
            <w:vAlign w:val="bottom"/>
          </w:tcPr>
          <w:p>
            <w:pPr>
              <w:spacing w:after="0"/>
              <w:rPr>
                <w:sz w:val="12"/>
                <w:szCs w:val="12"/>
                <w:color w:val="auto"/>
              </w:rPr>
            </w:pPr>
          </w:p>
        </w:tc>
        <w:tc>
          <w:tcPr>
            <w:tcW w:w="2100" w:type="dxa"/>
            <w:vAlign w:val="bottom"/>
            <w:tcBorders>
              <w:right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Maximum dollar that may yet be</w:t>
            </w:r>
          </w:p>
        </w:tc>
      </w:tr>
      <w:tr>
        <w:trPr>
          <w:trHeight w:val="186"/>
        </w:trPr>
        <w:tc>
          <w:tcPr>
            <w:tcW w:w="2300" w:type="dxa"/>
            <w:vAlign w:val="bottom"/>
            <w:tcBorders>
              <w:left w:val="single" w:sz="8" w:color="auto"/>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Total number of shares repurchased</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Average price paid for share</w:t>
            </w:r>
          </w:p>
        </w:tc>
        <w:tc>
          <w:tcPr>
            <w:tcW w:w="320" w:type="dxa"/>
            <w:vAlign w:val="bottom"/>
            <w:tcBorders>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programs</w:t>
            </w:r>
          </w:p>
        </w:tc>
        <w:tc>
          <w:tcPr>
            <w:tcW w:w="22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purchased under the plans or programs</w:t>
            </w:r>
          </w:p>
        </w:tc>
      </w:tr>
      <w:tr>
        <w:trPr>
          <w:trHeight w:val="182"/>
        </w:trPr>
        <w:tc>
          <w:tcPr>
            <w:tcW w:w="23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May 19 - May 31, 2023</w:t>
            </w:r>
          </w:p>
        </w:tc>
        <w:tc>
          <w:tcPr>
            <w:tcW w:w="226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100,623</w:t>
            </w:r>
          </w:p>
        </w:tc>
        <w:tc>
          <w:tcPr>
            <w:tcW w:w="1920" w:type="dxa"/>
            <w:vAlign w:val="bottom"/>
            <w:tcBorders>
              <w:bottom w:val="single" w:sz="8" w:color="auto"/>
            </w:tcBorders>
            <w:shd w:val="clear" w:color="auto" w:fill="CCEEFF"/>
          </w:tcPr>
          <w:p>
            <w:pPr>
              <w:jc w:val="right"/>
              <w:ind w:right="180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226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100,623</w:t>
            </w: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2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49,220</w:t>
            </w:r>
          </w:p>
        </w:tc>
      </w:tr>
      <w:tr>
        <w:trPr>
          <w:trHeight w:val="182"/>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June 1 - June 30, 2023</w:t>
            </w:r>
          </w:p>
        </w:tc>
        <w:tc>
          <w:tcPr>
            <w:tcW w:w="226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25,159</w:t>
            </w:r>
          </w:p>
        </w:tc>
        <w:tc>
          <w:tcPr>
            <w:tcW w:w="192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226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125,782</w:t>
            </w: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49,021</w:t>
            </w:r>
          </w:p>
        </w:tc>
      </w:tr>
      <w:tr>
        <w:trPr>
          <w:trHeight w:val="182"/>
        </w:trPr>
        <w:tc>
          <w:tcPr>
            <w:tcW w:w="23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July 1 - July 31, 2023</w:t>
            </w:r>
          </w:p>
        </w:tc>
        <w:tc>
          <w:tcPr>
            <w:tcW w:w="226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6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125,782</w:t>
            </w:r>
          </w:p>
        </w:tc>
        <w:tc>
          <w:tcPr>
            <w:tcW w:w="140" w:type="dxa"/>
            <w:vAlign w:val="bottom"/>
            <w:tcBorders>
              <w:bottom w:val="single" w:sz="8" w:color="auto"/>
            </w:tcBorders>
            <w:shd w:val="clear" w:color="auto" w:fill="CCEEFF"/>
          </w:tcPr>
          <w:p>
            <w:pPr>
              <w:spacing w:after="0"/>
              <w:rPr>
                <w:sz w:val="15"/>
                <w:szCs w:val="15"/>
                <w:color w:val="auto"/>
              </w:rPr>
            </w:pPr>
          </w:p>
        </w:tc>
        <w:tc>
          <w:tcPr>
            <w:tcW w:w="2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49,021</w:t>
            </w:r>
          </w:p>
        </w:tc>
      </w:tr>
      <w:tr>
        <w:trPr>
          <w:trHeight w:val="182"/>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August 1- August 31,2023</w:t>
            </w:r>
          </w:p>
        </w:tc>
        <w:tc>
          <w:tcPr>
            <w:tcW w:w="226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295,574</w:t>
            </w:r>
          </w:p>
        </w:tc>
        <w:tc>
          <w:tcPr>
            <w:tcW w:w="192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226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421,356</w:t>
            </w: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46,758</w:t>
            </w:r>
          </w:p>
        </w:tc>
      </w:tr>
      <w:tr>
        <w:trPr>
          <w:trHeight w:val="182"/>
        </w:trPr>
        <w:tc>
          <w:tcPr>
            <w:tcW w:w="23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September 1- September 31, 2023</w:t>
            </w:r>
          </w:p>
        </w:tc>
        <w:tc>
          <w:tcPr>
            <w:tcW w:w="226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859,655</w:t>
            </w:r>
          </w:p>
        </w:tc>
        <w:tc>
          <w:tcPr>
            <w:tcW w:w="19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226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1,281,011</w:t>
            </w:r>
          </w:p>
        </w:tc>
        <w:tc>
          <w:tcPr>
            <w:tcW w:w="140" w:type="dxa"/>
            <w:vAlign w:val="bottom"/>
            <w:tcBorders>
              <w:bottom w:val="single" w:sz="8" w:color="auto"/>
            </w:tcBorders>
            <w:shd w:val="clear" w:color="auto" w:fill="CCEEFF"/>
          </w:tcPr>
          <w:p>
            <w:pPr>
              <w:spacing w:after="0"/>
              <w:rPr>
                <w:sz w:val="15"/>
                <w:szCs w:val="15"/>
                <w:color w:val="auto"/>
              </w:rPr>
            </w:pPr>
          </w:p>
        </w:tc>
        <w:tc>
          <w:tcPr>
            <w:tcW w:w="2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40,616</w:t>
            </w:r>
          </w:p>
        </w:tc>
      </w:tr>
      <w:tr>
        <w:trPr>
          <w:trHeight w:val="182"/>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October 1 - October 31, 2023</w:t>
            </w:r>
          </w:p>
        </w:tc>
        <w:tc>
          <w:tcPr>
            <w:tcW w:w="226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92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6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1,281,011</w:t>
            </w: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40,616</w:t>
            </w:r>
          </w:p>
        </w:tc>
      </w:tr>
      <w:tr>
        <w:trPr>
          <w:trHeight w:val="182"/>
        </w:trPr>
        <w:tc>
          <w:tcPr>
            <w:tcW w:w="23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November 1 - November 30, 2023</w:t>
            </w:r>
          </w:p>
        </w:tc>
        <w:tc>
          <w:tcPr>
            <w:tcW w:w="226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3,964,765</w:t>
            </w:r>
          </w:p>
        </w:tc>
        <w:tc>
          <w:tcPr>
            <w:tcW w:w="19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226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5,245,776</w:t>
            </w:r>
          </w:p>
        </w:tc>
        <w:tc>
          <w:tcPr>
            <w:tcW w:w="140" w:type="dxa"/>
            <w:vAlign w:val="bottom"/>
            <w:tcBorders>
              <w:bottom w:val="single" w:sz="8" w:color="auto"/>
            </w:tcBorders>
            <w:shd w:val="clear" w:color="auto" w:fill="CCEEFF"/>
          </w:tcPr>
          <w:p>
            <w:pPr>
              <w:spacing w:after="0"/>
              <w:rPr>
                <w:sz w:val="15"/>
                <w:szCs w:val="15"/>
                <w:color w:val="auto"/>
              </w:rPr>
            </w:pPr>
          </w:p>
        </w:tc>
        <w:tc>
          <w:tcPr>
            <w:tcW w:w="2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16,094</w:t>
            </w:r>
          </w:p>
        </w:tc>
      </w:tr>
      <w:tr>
        <w:trPr>
          <w:trHeight w:val="182"/>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December 1 - December 31, 2023</w:t>
            </w:r>
          </w:p>
        </w:tc>
        <w:tc>
          <w:tcPr>
            <w:tcW w:w="226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1,368,004</w:t>
            </w:r>
          </w:p>
        </w:tc>
        <w:tc>
          <w:tcPr>
            <w:tcW w:w="192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226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6,613,780</w:t>
            </w: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5,981</w:t>
            </w:r>
          </w:p>
        </w:tc>
      </w:tr>
      <w:tr>
        <w:trPr>
          <w:trHeight w:val="182"/>
        </w:trPr>
        <w:tc>
          <w:tcPr>
            <w:tcW w:w="23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Year to Date Total</w:t>
            </w:r>
          </w:p>
        </w:tc>
        <w:tc>
          <w:tcPr>
            <w:tcW w:w="226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6,613,780</w:t>
            </w:r>
          </w:p>
        </w:tc>
        <w:tc>
          <w:tcPr>
            <w:tcW w:w="1920" w:type="dxa"/>
            <w:vAlign w:val="bottom"/>
            <w:tcBorders>
              <w:bottom w:val="single" w:sz="8" w:color="auto"/>
            </w:tcBorders>
            <w:shd w:val="clear" w:color="auto" w:fill="CCEEFF"/>
          </w:tcPr>
          <w:p>
            <w:pPr>
              <w:jc w:val="right"/>
              <w:ind w:right="18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6.66</w:t>
            </w:r>
          </w:p>
        </w:tc>
        <w:tc>
          <w:tcPr>
            <w:tcW w:w="226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6,613,780</w:t>
            </w: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5,981</w:t>
            </w:r>
          </w:p>
        </w:tc>
      </w:tr>
    </w:tbl>
    <w:p>
      <w:pPr>
        <w:spacing w:after="0" w:line="144" w:lineRule="exact"/>
        <w:rPr>
          <w:sz w:val="20"/>
          <w:szCs w:val="20"/>
          <w:color w:val="auto"/>
        </w:rPr>
      </w:pPr>
    </w:p>
    <w:p>
      <w:pPr>
        <w:jc w:val="both"/>
        <w:ind w:right="20" w:firstLine="382"/>
        <w:spacing w:after="0" w:line="287" w:lineRule="auto"/>
        <w:rPr>
          <w:sz w:val="20"/>
          <w:szCs w:val="20"/>
          <w:color w:val="auto"/>
        </w:rPr>
      </w:pPr>
      <w:r>
        <w:rPr>
          <w:rFonts w:ascii="Times New Roman" w:cs="Times New Roman" w:eastAsia="Times New Roman" w:hAnsi="Times New Roman"/>
          <w:sz w:val="14"/>
          <w:szCs w:val="14"/>
          <w:color w:val="auto"/>
        </w:rPr>
        <w:t>The repurchase program was used to return capital to shareholders and to minimize the dilutive impact of stock options and other share-based awards. The repurchased shares of common stock were retired. The commissions costs related with the repurchases were $0.1 million for both the three months and twelve months ended December 31, 2023.</w:t>
      </w:r>
    </w:p>
    <w:p>
      <w:pPr>
        <w:spacing w:after="0" w:line="39" w:lineRule="exact"/>
        <w:rPr>
          <w:sz w:val="20"/>
          <w:szCs w:val="20"/>
          <w:color w:val="auto"/>
        </w:rPr>
      </w:pPr>
    </w:p>
    <w:p>
      <w:pPr>
        <w:jc w:val="both"/>
        <w:ind w:right="20" w:firstLine="382"/>
        <w:spacing w:after="0" w:line="270" w:lineRule="auto"/>
        <w:rPr>
          <w:sz w:val="20"/>
          <w:szCs w:val="20"/>
          <w:color w:val="auto"/>
        </w:rPr>
      </w:pPr>
      <w:r>
        <w:rPr>
          <w:rFonts w:ascii="Times New Roman" w:cs="Times New Roman" w:eastAsia="Times New Roman" w:hAnsi="Times New Roman"/>
          <w:sz w:val="14"/>
          <w:szCs w:val="14"/>
          <w:color w:val="auto"/>
        </w:rPr>
        <w:t>On August 16, 2022, the Inflation Reduction Act of 2022 (the “IRA”), was signed into law. Among other things, the IRA imposes a 15% corporate alternative minimum tax for tax years beginning after December 31, 2022, levies a 1% excise tax on net stock repurchases after December 31, 2022, and provides tax incentives to promote clean energy. Beginning in 2023, net stock repurchases are subject to the excise tax. As of December 31, 2023, we have accrued $0.3 million excise taxes related with our shares repurchases.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96" w:lineRule="exact"/>
        <w:rPr>
          <w:sz w:val="20"/>
          <w:szCs w:val="20"/>
          <w:color w:val="auto"/>
        </w:rPr>
      </w:pPr>
    </w:p>
    <w:p>
      <w:pPr>
        <w:jc w:val="both"/>
        <w:ind w:right="20" w:firstLine="382"/>
        <w:spacing w:after="0" w:line="270" w:lineRule="auto"/>
        <w:rPr>
          <w:sz w:val="20"/>
          <w:szCs w:val="20"/>
          <w:color w:val="auto"/>
        </w:rPr>
      </w:pPr>
      <w:r>
        <w:rPr>
          <w:rFonts w:ascii="Times New Roman" w:cs="Times New Roman" w:eastAsia="Times New Roman" w:hAnsi="Times New Roman"/>
          <w:sz w:val="14"/>
          <w:szCs w:val="14"/>
          <w:color w:val="auto"/>
        </w:rPr>
        <w:t>This Section is not “soliciting material,” is not deemed “filed” with the SEC and is not to be incorporated by reference in any filing of Cytek Biosciences under the Securities Act of 1933, as amended (the “Securities Act”), or the Securities Exchange Act of 1934, as amended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210" w:right="2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following graph compares the cumulative total return on an investment of $100 in cash on July 23, 2021 through December 31, 2023, in our common stock, the Nasdaq Composite Index and the Nasdaq Biotechnology Components Index and assuming that all dividends were reinvested. The stockholder return shown on the graph below is based on historical data and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4446270" cy="23850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446270" cy="238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94"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The following discussion and analysis of our financial condition and results of operations should be read in conjunction with our consolidated financial statements and related notes included in this Annual Report on Form 10-K. This discussion contains forward-looking statements that involve risks and uncertainties. See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Special Note Regarding Forward-Looking Statements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at the beginning of this Annual Report on Form 10-K. Our actual results could differ materially from those contained in these forward-looking statements due to a number of factors, including those discussed in Part I, Item 1A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and elsewhere in this Annual Report on Form 10-K. Unless the context requires otherwise, references in this Annual Report on Form 10-K to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us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our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refer to Cytek Biosciences, Inc.</w:t>
      </w:r>
    </w:p>
    <w:p>
      <w:pPr>
        <w:spacing w:after="0" w:line="55"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The following is a discussion and year-to-year comparisons of our financial condition and results of operations for the years ended December 31, 2023 and 2022. For a discussion of the results of operations and financial condition for the years ended December 31, 2022 and year-to-year comparisons between 2022 and 2021, please refer to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section of our Annual Report on Form 10-K filed with the SEC on March 1, 2023.</w:t>
      </w:r>
    </w:p>
    <w:p>
      <w:pPr>
        <w:spacing w:after="0" w:line="49"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Subsequent to the filing of the Company’s Notification of Late Filing on Form 12b-25, as part of our year-end financial reporting close process, we made adjustments to certain line items in our financial statements as of and for the year ended December 31, 2023, which are reflected in the discussion below and in our consolidated financial statements included elsewhere in this Annual Report on Form 10-K.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are a leading cell analysis solutions company advancing the next generation of cell analysis tools with our novel technical approach of leveraging the full spectrum of fluorescence signatures from multiple lasers to distinguish fluorescent tags on single cells (“Full Spectrum Profiling” or “FSP” technology). Our goal is to become the premier cell analysis company through continued innovation that facilitates scientific advances in biomedical research and clinical applications. Our FSP platform includes instruments, accessories, reagents, software and services to provide a comprehensive and integrated suite of solutions for our customers.</w:t>
      </w:r>
    </w:p>
    <w:p>
      <w:pPr>
        <w:spacing w:after="0" w:line="5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core FSP systems, the Cytek Aurora and Northern Lights flow cytometers, deliver high-resolution, high-content and high-sensitivity cell analysis and addresses the inherent limitations of other technologies by providing a higher level of multiplexing with exquisite sensitivity, more flexibility and increased efficiency, all at a lower cost for performance. Additionally, our Cytek Aurora cell sorter (“Aurora CS”) leverages our FSP technology to further broaden our potential applications across cell analysis. Each system is supported by our highly intuitive, proprietary embedded SpectroFlo software, our reagents, and our service offerings to provide a comprehensive, end-to-end platform of solutions for our customers. Since our first U.S. commercial launch in mid-2017 through December 31, 2023, we have sold and deployed our instruments to customers around the world, including pharmaceutical companies, biopharma companies, academic research centers, and clinical research organizations (“CROs”).</w:t>
      </w:r>
    </w:p>
    <w:p>
      <w:pPr>
        <w:spacing w:after="0" w:line="6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On February 28, 2023, we completed the acquisition of certain assets (the “FCI Acquisition”) relating to the flow cytometry and imaging business of Luminex Corporation (“Luminex”), including relating to the business of manufacturing, marketing, selling, servicing and maintaining Amnis- and Guava-branded instruments, and flow cytometry reagent products and services (the “FCI Business”). The acquired FCI Business includes conventional flow and image-based flow cytometry instrumentation and related products and services (the “FCI Products”), which provide insights into all facets of cellular phenotypes and morphology. The acquisition supports our plan to develop new products and capabilities with flow cytometry and imaging technology, expand our reach and offerings into customer segments previously underserved, and increase the efficiency of our operations.</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manufacture our instruments in our facilities in Fremont, California; Wuxi, China; and Seattle, Washington. We have designed our operating model to be capital efficient and to scale efficiently as our product volumes grow.</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Total revenue for the year ended December 31, 2023 was $193.0 million, representing a 18% increase compared to revenue for the year ended December 31, 2022 of $164.0 million. Total revenue for the year ended December 31, 2023 included $28.7 million of revenue from the FCI Business. Excluding revenue from the FCI business unit for the year ended December 31, 2023, organic revenue was $164.3 million, a 0.2% increase compared to the same period of the prior year. The 0.2% increase in organic revenue was primarily related to sales to pharmaceutical and biotech customers in the United States, and revenue growth in Europe, the Middle East and Africa (“EMEA”).</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To date, we have adopted a direct sales model in North America, Europe, China, and several other countries in the Asia-Pacific region, and sell our products through third-party distributors in certain countries in Europe, Latin America, the Middle East, Africa and the Asia-Pacific region. Revenue from direct sales represented 76%, 79% and 86% of total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revenue for the year ended December 31, 2023, 2022 and 2021, respectively, and revenue from distributors represented 24%, 21% and 14% of total revenue for the year ended December 31, 2023, 2022 and 2021, respectively.</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$44.2 million, $34.9 million and 24.4 million for the year ended December 31, 2023, 2022 and 2021, respectively. We intend to continue to make significant investments in research and development in the future.</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expect to continue to invest in our commercial infrastructure through hiring additional employees with strong scientific and technical backgrounds to support growth in our instrument sales as well as our planned expansion of reagents offerings and panel design capabilities. We also plan to continue to invest in sales, marketing and business development across the globe to drive commercialization of our products. We incurred sales and marketing expenses of $49.1 million, $33.2 million and $24.7 million for the year ended December 31, 2023, 2022 and 2021, respectively.</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Since our inception in 2014, we have financed our operations primarily through sales of our securities and revenue from the sale of our products and services.</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net loss was $12.1 million for the year ended December 31, 2023, our net income was $2.5 million and $3.0 million, for the year ended December 31, 2022 and 2021, respectively. The change for the year ended December 31, 2023 compared to the year ended December 31, 2022 resulted primarily from expenses driven by an increase in headcount and salaries and efforts in research and development and marketing initiatives.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expect our expenses will increase substantially in connection with our ongoing activities, as we:</w:t>
      </w:r>
    </w:p>
    <w:p>
      <w:pPr>
        <w:spacing w:after="0" w:line="94" w:lineRule="exact"/>
        <w:rPr>
          <w:sz w:val="20"/>
          <w:szCs w:val="20"/>
          <w:color w:val="auto"/>
        </w:rPr>
      </w:pPr>
    </w:p>
    <w:p>
      <w:pPr>
        <w:ind w:left="760" w:hanging="373"/>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hire and retain qualified personnel;</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 in processes, commercial infrastructure and supporting functions to scale our business and introduce new products and services;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support our research and development efforts;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expand geographically;</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protect and defend our intellectual property; and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strategic investments in complementary businesses, services, products or technologies.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factors affecting our results of operations and future performance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Annual Report on Form 10-K.</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Global customer adoption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As part of this effort, we increased our direct sales force by approximately 78% in the year ended December 31, 2023 compared to the year ended December 31, 2022. We intend to continue increasing our workforce in line with our growth.</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Recurring revenues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Revenue mix and gross margin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revenue is primarily derived from sales of our instruments and services with our instruments recognizing higher gross margins than our services. Although we expect sales of our instruments to continue to represent the largest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percentage of our revenue in the future, we expect reagent sales to increase as a percentage of our total revenue and our gross margins to experience a corresponding improvement as we grow our installed base and increase our focus on commercializing reagents. We also expect a higher gross margin on our instruments as we increase manufacturing efficiency, instrument reliability and training for personnel using our instruments, which we expect to lead to a reduction in warranty claims. Our sales in certain regions, particularly outside of the United States, are realized through third-party distribution partners that typically receive discounted prices, thus resulting in lower gross margins than those recognized by our direct sales organization. Furthermore, our gross margins and instrument selling prices may fluctuate in the future as we continue to grow our volume of third-party distribution partners in geographies outside of the United States, introduce new products and reduce our production costs as a result of variability in the timing of new product introductions.</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the near term, we expect the continued optimization of our manufacturing processes related to our instruments and the expansion of product manufacturing distribution facilities to have the greatest impact on our gross margin. In addition to the impact of competing products entering the market, the future gross margin profiles of our instruments, services and reagents will depend on the outcome of any royalties we are required to pay and the royalty rates and products to which such royalties apply.</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Expansion into new markets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focus our research and development efforts on the greatest value-additive products to meet the growing and unmet needs of the research and clinical markets. We work closely with researchers, clinicians and scientists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 partners. We plan to continue to invest in new product development and enhancements to support our expansion into new markets.</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Northern Lights CLC system received CE Marking under the European Union In Vitro Diagnostic Medical Devices Directive in September 2020 and was registered in the European Union in compliance with Regulation (EU) 2017/746 on In Vitro Diagnostic Medical Devices in November 2023. The Northern Lights CLC system was also registered as a Class II In Vitro Diagnostic Medical Device in China. These registrations enable the Northern Lights CLC system to be marketed for clinical use in China, the European Union and in other countries around the world that accept the Certification of Free Sale issued from an EU Competent Authority.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business metrics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2023 vs. 2022</w:t>
            </w:r>
          </w:p>
        </w:tc>
        <w:tc>
          <w:tcPr>
            <w:tcW w:w="160" w:type="dxa"/>
            <w:vAlign w:val="bottom"/>
          </w:tcPr>
          <w:p>
            <w:pPr>
              <w:spacing w:after="0"/>
              <w:rPr>
                <w:sz w:val="12"/>
                <w:szCs w:val="12"/>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1"/>
                <w:szCs w:val="11"/>
                <w:b w:val="1"/>
                <w:bCs w:val="1"/>
                <w:color w:val="auto"/>
              </w:rPr>
              <w:t>2022 vs. 2021</w:t>
            </w:r>
          </w:p>
        </w:tc>
        <w:tc>
          <w:tcPr>
            <w:tcW w:w="0" w:type="dxa"/>
            <w:vAlign w:val="bottom"/>
          </w:tcPr>
          <w:p>
            <w:pPr>
              <w:spacing w:after="0"/>
              <w:rPr>
                <w:sz w:val="1"/>
                <w:szCs w:val="1"/>
                <w:color w:val="auto"/>
              </w:rPr>
            </w:pPr>
          </w:p>
        </w:tc>
      </w:tr>
      <w:tr>
        <w:trPr>
          <w:trHeight w:val="30"/>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Dollar Change</w:t>
            </w:r>
          </w:p>
        </w:tc>
        <w:tc>
          <w:tcPr>
            <w:tcW w:w="160" w:type="dxa"/>
            <w:vAlign w:val="bottom"/>
          </w:tcPr>
          <w:p>
            <w:pPr>
              <w:spacing w:after="0"/>
              <w:rPr>
                <w:sz w:val="12"/>
                <w:szCs w:val="12"/>
                <w:color w:val="auto"/>
              </w:rPr>
            </w:pPr>
          </w:p>
        </w:tc>
        <w:tc>
          <w:tcPr>
            <w:tcW w:w="104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Dollar Change</w:t>
            </w:r>
          </w:p>
        </w:tc>
        <w:tc>
          <w:tcPr>
            <w:tcW w:w="0" w:type="dxa"/>
            <w:vAlign w:val="bottom"/>
          </w:tcPr>
          <w:p>
            <w:pPr>
              <w:spacing w:after="0"/>
              <w:rPr>
                <w:sz w:val="1"/>
                <w:szCs w:val="1"/>
                <w:color w:val="auto"/>
              </w:rPr>
            </w:pPr>
          </w:p>
        </w:tc>
      </w:tr>
      <w:tr>
        <w:trPr>
          <w:trHeight w:val="30"/>
        </w:trPr>
        <w:tc>
          <w:tcPr>
            <w:tcW w:w="4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Sales channel mix</w:t>
            </w:r>
          </w:p>
        </w:tc>
        <w:tc>
          <w:tcPr>
            <w:tcW w:w="3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Direct sales channel</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147,169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129,098</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110,520</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18,071</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18,578</w:t>
            </w:r>
          </w:p>
        </w:tc>
        <w:tc>
          <w:tcPr>
            <w:tcW w:w="0" w:type="dxa"/>
            <w:vAlign w:val="bottom"/>
          </w:tcPr>
          <w:p>
            <w:pPr>
              <w:spacing w:after="0"/>
              <w:rPr>
                <w:sz w:val="1"/>
                <w:szCs w:val="1"/>
                <w:color w:val="auto"/>
              </w:rPr>
            </w:pPr>
          </w:p>
        </w:tc>
      </w:tr>
      <w:tr>
        <w:trPr>
          <w:trHeight w:val="22"/>
        </w:trPr>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Distributor channel</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45,846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17,508</w:t>
            </w:r>
          </w:p>
        </w:tc>
        <w:tc>
          <w:tcPr>
            <w:tcW w:w="0" w:type="dxa"/>
            <w:vAlign w:val="bottom"/>
          </w:tcPr>
          <w:p>
            <w:pPr>
              <w:spacing w:after="0"/>
              <w:rPr>
                <w:sz w:val="1"/>
                <w:szCs w:val="1"/>
                <w:color w:val="auto"/>
              </w:rPr>
            </w:pPr>
          </w:p>
        </w:tc>
      </w:tr>
      <w:tr>
        <w:trPr>
          <w:trHeight w:val="20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 net</w:t>
            </w: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193,015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164,036</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127,950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28,979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36,086</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Customer mix</w:t>
            </w:r>
          </w:p>
        </w:tc>
        <w:tc>
          <w:tcPr>
            <w:tcW w:w="3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Academia and government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82,145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73,706</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59,415</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8,439</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14,291</w:t>
            </w:r>
          </w:p>
        </w:tc>
        <w:tc>
          <w:tcPr>
            <w:tcW w:w="0" w:type="dxa"/>
            <w:vAlign w:val="bottom"/>
          </w:tcPr>
          <w:p>
            <w:pPr>
              <w:spacing w:after="0"/>
              <w:rPr>
                <w:sz w:val="1"/>
                <w:szCs w:val="1"/>
                <w:color w:val="auto"/>
              </w:rPr>
            </w:pPr>
          </w:p>
        </w:tc>
      </w:tr>
      <w:tr>
        <w:trPr>
          <w:trHeight w:val="22"/>
        </w:trPr>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Biotechnology, pharmaceutical, distributor and CRO</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110,870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90,330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68,535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21,795</w:t>
            </w:r>
          </w:p>
        </w:tc>
        <w:tc>
          <w:tcPr>
            <w:tcW w:w="0" w:type="dxa"/>
            <w:vAlign w:val="bottom"/>
          </w:tcPr>
          <w:p>
            <w:pPr>
              <w:spacing w:after="0"/>
              <w:rPr>
                <w:sz w:val="1"/>
                <w:szCs w:val="1"/>
                <w:color w:val="auto"/>
              </w:rPr>
            </w:pPr>
          </w:p>
        </w:tc>
      </w:tr>
      <w:tr>
        <w:trPr>
          <w:trHeight w:val="20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 net</w:t>
            </w: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193,015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164,036</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127,950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28,979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36,086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Distributors typically sell to end customers identified in other customer categories.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Known Trends, Events and Uncertainties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recent trends towards rising inflation may adversely affect our business and corresponding financial position and cash flows. Inflationary factors, such as increases in the cost of materials and supplies, interest rates and overhead costs may adversely affect our operating results. The general consensus among economists suggests that we should expect a higher recession risk to continue over the next year, which could result in further economic uncertainty and volatility in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capital markets in the near term, and could negatively affect our operations. Although we do not believe that inflation has had a material impact on our financial position or results of operations to date, we may experience increases in the near future (especially if inflation rates continue to rise) on our operating costs, including our labor costs and research and development costs, due to supply chain constraints, consequences associated with COVID-19 or future public health crises, the ongoing conflict between Russia and Ukraine, the Israel and Palestine conflict or liquidity concerns at, and failure of, banks and other financial institutions.</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Many of our pharmaceutical and biotech customers based in the United States have been impacted by macro-economic uncertainties related to the weakening economy, liquidity concerns in the broader financial services industry, such as those caused by recent banking failures, disruptions to and volatility in the credit and equity markets, and rising interest rates. We believe these factors contributed to longer sales cycles, which adversely impacted our operating results for the three months and full year ended December 31, 2023, and may adversely affect our operating results in the future.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our results of operations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Total revenue, net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currently generate our total revenue, net from product revenue and service revenue.</w:t>
      </w:r>
    </w:p>
    <w:p>
      <w:pPr>
        <w:spacing w:after="0" w:line="92"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Pr</w:t>
      </w:r>
      <w:r>
        <w:rPr>
          <w:rFonts w:ascii="Times New Roman" w:cs="Times New Roman" w:eastAsia="Times New Roman" w:hAnsi="Times New Roman"/>
          <w:sz w:val="14"/>
          <w:szCs w:val="14"/>
          <w:color w:val="auto"/>
        </w:rPr>
        <w:t>oduct. Our product revenue primarily consists of sales of our instruments, including the Cytek Aurora, Northern Lights, Aurora CS, Amnis and Guava systems, instrument accessories,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loaders, and consumables, such as reagents. We offer multiple versions of our instruments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49"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Service</w:t>
      </w:r>
      <w:r>
        <w:rPr>
          <w:rFonts w:ascii="Times New Roman" w:cs="Times New Roman" w:eastAsia="Times New Roman" w:hAnsi="Times New Roman"/>
          <w:sz w:val="14"/>
          <w:szCs w:val="14"/>
          <w:color w:val="auto"/>
        </w:rPr>
        <w:t>. Our service revenue primarily consists of post-warranty service contracts, installations and repairs which are recognized over time. Post-warranty service contracts are recognized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ratably over the term of the contract and installations and repair services are recognized as they are delivered to the customer.</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expect our total revenue to increase in absolute dollars as we expand our sales organization and sales territories, broaden our customer base, and expand awareness of our products with new and existing customers. Our revenue was $193.0 million, $164.0 million and $128.0 million for the year ended December 31, 2023, 2022 and 2021, respectively. A portion of our revenue for the three and twelve months ended December 31, 2023 is attributable to the acquired FCI Business.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Total cost of sales, gross profit and gross margin</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total cost of sales is comprised of product cost of sales and service cost of sales.</w:t>
      </w:r>
    </w:p>
    <w:p>
      <w:pPr>
        <w:spacing w:after="0" w:line="92"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Product. </w:t>
      </w:r>
      <w:r>
        <w:rPr>
          <w:rFonts w:ascii="Times New Roman" w:cs="Times New Roman" w:eastAsia="Times New Roman" w:hAnsi="Times New Roman"/>
          <w:sz w:val="14"/>
          <w:szCs w:val="14"/>
          <w:color w:val="auto"/>
        </w:rPr>
        <w:t>Cost of sales associated with our products primarily consist of manufacturing-related costs incurred in the production process, inventory write-downs, warranty costs, third party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royalty costs, personnel and related costs, costs of component materials, overhead, packaging and delivery and depreciation expense.</w:t>
      </w:r>
    </w:p>
    <w:p>
      <w:pPr>
        <w:spacing w:after="0" w:line="35"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Service</w:t>
      </w:r>
      <w:r>
        <w:rPr>
          <w:rFonts w:ascii="Times New Roman" w:cs="Times New Roman" w:eastAsia="Times New Roman" w:hAnsi="Times New Roman"/>
          <w:sz w:val="14"/>
          <w:szCs w:val="14"/>
          <w:color w:val="auto"/>
        </w:rPr>
        <w:t>. Cost of sales associated with our services primarily consists of personnel and related costs, expenses related to product replacements, product updates and qualification validation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products and depreciation expense.</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expect our total cost of sales to increase in absolute dollars in future periods, corresponding to our anticipated growth in revenue and employee headcount to support our manufacturing, operations, field service team and support organizations.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96"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Our operating expenses are primarily comprised of research and development, sales and marketing, and general and administrative expenses, depreciation and amortization, and related overhead.</w:t>
      </w:r>
    </w:p>
    <w:p>
      <w:pPr>
        <w:spacing w:after="0" w:line="246"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Research and development</w:t>
      </w:r>
      <w:r>
        <w:rPr>
          <w:rFonts w:ascii="Times New Roman" w:cs="Times New Roman" w:eastAsia="Times New Roman" w:hAnsi="Times New Roman"/>
          <w:sz w:val="14"/>
          <w:szCs w:val="14"/>
          <w:color w:val="auto"/>
        </w:rPr>
        <w:t>. Our research and development expenses primarily consist of salaries, benefits, stock-based compensation costs for employees in our research and development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department, independent contractor costs, laboratory supplies, equipment maintenance and materials expenses.</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plan to continue to invest in our research and development efforts, including hiring additional employees to enhance existing products and develop new products. We expect research and development expense will increase 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absolute dollars in future periods and vary from period to period as a percentage of revenue due to our continuing investment in product development.</w:t>
      </w:r>
    </w:p>
    <w:p>
      <w:pPr>
        <w:spacing w:after="0" w:line="92"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Sales and marketing</w:t>
      </w:r>
      <w:r>
        <w:rPr>
          <w:rFonts w:ascii="Times New Roman" w:cs="Times New Roman" w:eastAsia="Times New Roman" w:hAnsi="Times New Roman"/>
          <w:sz w:val="14"/>
          <w:szCs w:val="14"/>
          <w:color w:val="auto"/>
        </w:rPr>
        <w:t>. Our sales and marketing expenses consist primarily of salaries, benefits, and stock-based compensation costs for employees in our sales and marketing department, sales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commissions, marketing material costs, travel expenses and costs related to trade shows, trainings and various workshops. We expect our sales and marketing expense to increase in absolute dollars as we expand our commercial sales, marketing, and business development teams, increase our presence globally and increase marketing activities to drive awareness and adoption of our platform.</w:t>
      </w:r>
    </w:p>
    <w:p>
      <w:pPr>
        <w:spacing w:after="0" w:line="49"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i w:val="1"/>
          <w:iCs w:val="1"/>
          <w:color w:val="auto"/>
        </w:rPr>
        <w:t>General and administrative</w:t>
      </w:r>
      <w:r>
        <w:rPr>
          <w:rFonts w:ascii="Times New Roman" w:cs="Times New Roman" w:eastAsia="Times New Roman" w:hAnsi="Times New Roman"/>
          <w:sz w:val="14"/>
          <w:szCs w:val="14"/>
          <w:color w:val="auto"/>
        </w:rPr>
        <w:t>. Our general and administrative expenses primarily consist of salaries, benefits, and stock-based compensation costs for employees in our executive, accounting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finance, legal and human resource functions, as well as professional services fees, such as consulting, audit, tax, legal, general corporate costs, allocated overhead expenses and acquisition costs. We expect our operating expenses to increase as a public company. In particular, we expect our accounting, legal, personnel-related expenses and directors’ and officers’ insurance costs reported within general and administrative expense to increase as we establish more comprehensive compliance and governance functions, maintain IT costs, review internal controls over financial reporting in accordance with the Sarbanes-Oxley Act and prepare and distribute periodic reports as required by the rules and regulations of the SEC. As a result, our historical results of operations may not be indicative of our results of operations in future periods.</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expect these expenses to vary from period to period as a percentage of revenue.</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9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Interest expense. </w:t>
      </w:r>
      <w:r>
        <w:rPr>
          <w:rFonts w:ascii="Times New Roman" w:cs="Times New Roman" w:eastAsia="Times New Roman" w:hAnsi="Times New Roman"/>
          <w:sz w:val="14"/>
          <w:szCs w:val="14"/>
          <w:color w:val="auto"/>
        </w:rPr>
        <w:t>Interest expense consists primarily of accretion of the present value of the litigation settlement liability. See our consolidated financial statements included elsewhere in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Annual Report on Form 10-K for further details regarding the settlement.</w:t>
      </w:r>
    </w:p>
    <w:p>
      <w:pPr>
        <w:spacing w:after="0" w:line="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Interest income. </w:t>
      </w:r>
      <w:r>
        <w:rPr>
          <w:rFonts w:ascii="Times New Roman" w:cs="Times New Roman" w:eastAsia="Times New Roman" w:hAnsi="Times New Roman"/>
          <w:sz w:val="14"/>
          <w:szCs w:val="14"/>
          <w:color w:val="auto"/>
        </w:rPr>
        <w:t>Our interest income consists primarily of interest earned on our cash and cash equivalents which are invested in cash deposits and in money market funds.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Other income, net. </w:t>
      </w:r>
      <w:r>
        <w:rPr>
          <w:rFonts w:ascii="Times New Roman" w:cs="Times New Roman" w:eastAsia="Times New Roman" w:hAnsi="Times New Roman"/>
          <w:sz w:val="14"/>
          <w:szCs w:val="14"/>
          <w:color w:val="auto"/>
        </w:rPr>
        <w:t>Our income (expense), net consists primarily of foreign exchange gains and losses.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provision for (benefit from) income taxes 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year ended December 31, 2023 and 2022</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results of operations presented below should be reviewed in conjunction with the consolidated financial statements and related notes included elsewhere in this Annual Report on Form 10-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our consolidated results of operations and comprehensive (loss) income data for the periods presented: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504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net:</w:t>
            </w:r>
          </w:p>
        </w:tc>
        <w:tc>
          <w:tcPr>
            <w:tcW w:w="8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Product</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156,717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148,600</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w:t>
            </w:r>
          </w:p>
        </w:tc>
        <w:tc>
          <w:tcPr>
            <w:tcW w:w="8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36,298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15,436</w:t>
            </w:r>
          </w:p>
        </w:tc>
        <w:tc>
          <w:tcPr>
            <w:tcW w:w="0" w:type="dxa"/>
            <w:vAlign w:val="bottom"/>
          </w:tcPr>
          <w:p>
            <w:pPr>
              <w:spacing w:after="0"/>
              <w:rPr>
                <w:sz w:val="1"/>
                <w:szCs w:val="1"/>
                <w:color w:val="auto"/>
              </w:rPr>
            </w:pPr>
          </w:p>
        </w:tc>
      </w:tr>
      <w:tr>
        <w:trPr>
          <w:trHeight w:val="181"/>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 net</w:t>
            </w: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193,015</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164,036</w:t>
            </w:r>
          </w:p>
        </w:tc>
        <w:tc>
          <w:tcPr>
            <w:tcW w:w="0" w:type="dxa"/>
            <w:vAlign w:val="bottom"/>
          </w:tcPr>
          <w:p>
            <w:pPr>
              <w:spacing w:after="0"/>
              <w:rPr>
                <w:sz w:val="1"/>
                <w:szCs w:val="1"/>
                <w:color w:val="auto"/>
              </w:rPr>
            </w:pPr>
          </w:p>
        </w:tc>
      </w:tr>
      <w:tr>
        <w:trPr>
          <w:trHeight w:val="22"/>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8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Product</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65,327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49,955</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w:t>
            </w:r>
          </w:p>
        </w:tc>
        <w:tc>
          <w:tcPr>
            <w:tcW w:w="8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18,262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13,107</w:t>
            </w:r>
          </w:p>
        </w:tc>
        <w:tc>
          <w:tcPr>
            <w:tcW w:w="0" w:type="dxa"/>
            <w:vAlign w:val="bottom"/>
          </w:tcPr>
          <w:p>
            <w:pPr>
              <w:spacing w:after="0"/>
              <w:rPr>
                <w:sz w:val="1"/>
                <w:szCs w:val="1"/>
                <w:color w:val="auto"/>
              </w:rPr>
            </w:pPr>
          </w:p>
        </w:tc>
      </w:tr>
      <w:tr>
        <w:trPr>
          <w:trHeight w:val="181"/>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cost of sales</w:t>
            </w: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83,589</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63,062</w:t>
            </w:r>
          </w:p>
        </w:tc>
        <w:tc>
          <w:tcPr>
            <w:tcW w:w="0" w:type="dxa"/>
            <w:vAlign w:val="bottom"/>
          </w:tcPr>
          <w:p>
            <w:pPr>
              <w:spacing w:after="0"/>
              <w:rPr>
                <w:sz w:val="1"/>
                <w:szCs w:val="1"/>
                <w:color w:val="auto"/>
              </w:rPr>
            </w:pPr>
          </w:p>
        </w:tc>
      </w:tr>
      <w:tr>
        <w:trPr>
          <w:trHeight w:val="22"/>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0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8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109,426</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100,974</w:t>
            </w:r>
          </w:p>
        </w:tc>
        <w:tc>
          <w:tcPr>
            <w:tcW w:w="0" w:type="dxa"/>
            <w:vAlign w:val="bottom"/>
          </w:tcPr>
          <w:p>
            <w:pPr>
              <w:spacing w:after="0"/>
              <w:rPr>
                <w:sz w:val="1"/>
                <w:szCs w:val="1"/>
                <w:color w:val="auto"/>
              </w:rPr>
            </w:pPr>
          </w:p>
        </w:tc>
      </w:tr>
      <w:tr>
        <w:trPr>
          <w:trHeight w:val="191"/>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44,151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34,858</w:t>
            </w:r>
          </w:p>
        </w:tc>
        <w:tc>
          <w:tcPr>
            <w:tcW w:w="0" w:type="dxa"/>
            <w:vAlign w:val="bottom"/>
          </w:tcPr>
          <w:p>
            <w:pPr>
              <w:spacing w:after="0"/>
              <w:rPr>
                <w:sz w:val="1"/>
                <w:szCs w:val="1"/>
                <w:color w:val="auto"/>
              </w:rPr>
            </w:pPr>
          </w:p>
        </w:tc>
      </w:tr>
      <w:tr>
        <w:trPr>
          <w:trHeight w:val="191"/>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Sales and marketing</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49,148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33,230</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43,972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34,690</w:t>
            </w:r>
          </w:p>
        </w:tc>
        <w:tc>
          <w:tcPr>
            <w:tcW w:w="0" w:type="dxa"/>
            <w:vAlign w:val="bottom"/>
          </w:tcPr>
          <w:p>
            <w:pPr>
              <w:spacing w:after="0"/>
              <w:rPr>
                <w:sz w:val="1"/>
                <w:szCs w:val="1"/>
                <w:color w:val="auto"/>
              </w:rPr>
            </w:pPr>
          </w:p>
        </w:tc>
      </w:tr>
      <w:tr>
        <w:trPr>
          <w:trHeight w:val="181"/>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137,271</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102,778</w:t>
            </w:r>
          </w:p>
        </w:tc>
        <w:tc>
          <w:tcPr>
            <w:tcW w:w="0" w:type="dxa"/>
            <w:vAlign w:val="bottom"/>
          </w:tcPr>
          <w:p>
            <w:pPr>
              <w:spacing w:after="0"/>
              <w:rPr>
                <w:sz w:val="1"/>
                <w:szCs w:val="1"/>
                <w:color w:val="auto"/>
              </w:rPr>
            </w:pPr>
          </w:p>
        </w:tc>
      </w:tr>
      <w:tr>
        <w:trPr>
          <w:trHeight w:val="22"/>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from operations</w:t>
            </w:r>
          </w:p>
        </w:tc>
        <w:tc>
          <w:tcPr>
            <w:tcW w:w="8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(27,845)</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0" w:type="dxa"/>
            <w:vAlign w:val="bottom"/>
          </w:tcPr>
          <w:p>
            <w:pPr>
              <w:spacing w:after="0"/>
              <w:rPr>
                <w:sz w:val="1"/>
                <w:szCs w:val="1"/>
                <w:color w:val="auto"/>
              </w:rPr>
            </w:pPr>
          </w:p>
        </w:tc>
      </w:tr>
      <w:tr>
        <w:trPr>
          <w:trHeight w:val="191"/>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0" w:type="dxa"/>
            <w:vAlign w:val="bottom"/>
          </w:tcPr>
          <w:p>
            <w:pPr>
              <w:spacing w:after="0"/>
              <w:rPr>
                <w:sz w:val="1"/>
                <w:szCs w:val="1"/>
                <w:color w:val="auto"/>
              </w:rPr>
            </w:pPr>
          </w:p>
        </w:tc>
      </w:tr>
      <w:tr>
        <w:trPr>
          <w:trHeight w:val="191"/>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6,413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4,619</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8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7,794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0" w:type="dxa"/>
            <w:vAlign w:val="bottom"/>
          </w:tcPr>
          <w:p>
            <w:pPr>
              <w:spacing w:after="0"/>
              <w:rPr>
                <w:sz w:val="1"/>
                <w:szCs w:val="1"/>
                <w:color w:val="auto"/>
              </w:rPr>
            </w:pPr>
          </w:p>
        </w:tc>
      </w:tr>
      <w:tr>
        <w:trPr>
          <w:trHeight w:val="181"/>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other income, net</w:t>
            </w: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12,136</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0" w:type="dxa"/>
            <w:vAlign w:val="bottom"/>
          </w:tcPr>
          <w:p>
            <w:pPr>
              <w:spacing w:after="0"/>
              <w:rPr>
                <w:sz w:val="1"/>
                <w:szCs w:val="1"/>
                <w:color w:val="auto"/>
              </w:rPr>
            </w:pPr>
          </w:p>
        </w:tc>
      </w:tr>
      <w:tr>
        <w:trPr>
          <w:trHeight w:val="22"/>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8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(15,709)</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0" w:type="dxa"/>
            <w:vAlign w:val="bottom"/>
          </w:tcPr>
          <w:p>
            <w:pPr>
              <w:spacing w:after="0"/>
              <w:rPr>
                <w:sz w:val="1"/>
                <w:szCs w:val="1"/>
                <w:color w:val="auto"/>
              </w:rPr>
            </w:pPr>
          </w:p>
        </w:tc>
      </w:tr>
      <w:tr>
        <w:trPr>
          <w:trHeight w:val="191"/>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Benefit from income taxes</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(3,561)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22"/>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 income</w:t>
            </w:r>
          </w:p>
        </w:tc>
        <w:tc>
          <w:tcPr>
            <w:tcW w:w="8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(12,148)</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0" w:type="dxa"/>
            <w:vAlign w:val="bottom"/>
          </w:tcPr>
          <w:p>
            <w:pPr>
              <w:spacing w:after="0"/>
              <w:rPr>
                <w:sz w:val="1"/>
                <w:szCs w:val="1"/>
                <w:color w:val="auto"/>
              </w:rPr>
            </w:pPr>
          </w:p>
        </w:tc>
      </w:tr>
      <w:tr>
        <w:trPr>
          <w:trHeight w:val="191"/>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 net of tax</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gain on marketable securities</w:t>
            </w:r>
          </w:p>
        </w:tc>
        <w:tc>
          <w:tcPr>
            <w:tcW w:w="8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2"/>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comprehensive (loss) income</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Total revenue, net</w:t>
            </w: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gridSpan w:val="3"/>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gridSpan w:val="5"/>
          </w:tcPr>
          <w:p>
            <w:pPr>
              <w:jc w:val="right"/>
              <w:ind w:right="429"/>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5040" w:type="dxa"/>
            <w:vAlign w:val="bottom"/>
            <w:gridSpan w:val="2"/>
            <w:vMerge w:val="continue"/>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4"/>
          </w:tcPr>
          <w:p>
            <w:pPr>
              <w:jc w:val="right"/>
              <w:ind w:right="7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tcPr>
          <w:p>
            <w:pPr>
              <w:spacing w:after="0"/>
              <w:rPr>
                <w:sz w:val="12"/>
                <w:szCs w:val="12"/>
                <w:color w:val="auto"/>
              </w:rPr>
            </w:pP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0"/>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net</w:t>
            </w:r>
          </w:p>
        </w:tc>
        <w:tc>
          <w:tcPr>
            <w:tcW w:w="8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Product</w:t>
            </w:r>
          </w:p>
        </w:tc>
        <w:tc>
          <w:tcPr>
            <w:tcW w:w="86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156,717</w:t>
            </w:r>
          </w:p>
        </w:tc>
        <w:tc>
          <w:tcPr>
            <w:tcW w:w="80" w:type="dxa"/>
            <w:vAlign w:val="bottom"/>
          </w:tcPr>
          <w:p>
            <w:pPr>
              <w:spacing w:after="0"/>
              <w:rPr>
                <w:sz w:val="16"/>
                <w:szCs w:val="16"/>
                <w:color w:val="auto"/>
              </w:rPr>
            </w:pPr>
          </w:p>
        </w:tc>
        <w:tc>
          <w:tcPr>
            <w:tcW w:w="900" w:type="dxa"/>
            <w:vAlign w:val="bottom"/>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148,600</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w:t>
            </w:r>
          </w:p>
        </w:tc>
        <w:tc>
          <w:tcPr>
            <w:tcW w:w="8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36,298</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20,862</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0" w:type="dxa"/>
            <w:vAlign w:val="bottom"/>
          </w:tcPr>
          <w:p>
            <w:pPr>
              <w:spacing w:after="0"/>
              <w:rPr>
                <w:sz w:val="1"/>
                <w:szCs w:val="1"/>
                <w:color w:val="auto"/>
              </w:rPr>
            </w:pPr>
          </w:p>
        </w:tc>
      </w:tr>
      <w:tr>
        <w:trPr>
          <w:trHeight w:val="203"/>
        </w:trPr>
        <w:tc>
          <w:tcPr>
            <w:tcW w:w="4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revenue, net</w:t>
            </w: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193,015</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164,036</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28,979</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4"/>
          <w:szCs w:val="14"/>
          <w:color w:val="auto"/>
        </w:rPr>
        <w:t>Total revenue, net increased by $29.0 million, or 18%, for the year ended December 31, 2023 as compared to the year ended December 31, 2022. Revenue growth reflects steady revenue from sales of the Cytek Aurora and Cytek Northern Lights systems, an increase in revenue from sales of the Aurora CS system and revenue from the acquired FCI Business. Revenue from the acquired FCI Business was $28.7 million for the year ended December 31, 2023.</w:t>
      </w:r>
    </w:p>
    <w:p>
      <w:pPr>
        <w:spacing w:after="0" w:line="6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Product revenue increased by $8.1 million, or 5%, to $156.7 million, for the year ended December 31, 2023 as compared to the year ended December 31, 2022. The increase was driven by revenue contribution from the FCI Products, along with steady demand for the Cytek Aurora and Northern Lights systems and an increase in sales of the Aurora CS system.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Service revenue increased by $20.9 million, or 135%, to $36.3 million, for the year ended December 31, 2023 as compared to the year ended December 31, 2022. The increase in service revenue was mainly driven by continued growth in the instruments installed base with more instruments coming off warranty and the addition of the FCI Business.</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Total cost of sales, gross profit and gross margin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3"/>
          </w:tcPr>
          <w:p>
            <w:pPr>
              <w:ind w:left="10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9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80" w:type="dxa"/>
            <w:vAlign w:val="bottom"/>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0"/>
        </w:trPr>
        <w:tc>
          <w:tcPr>
            <w:tcW w:w="4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3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Product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65,327</w:t>
            </w:r>
          </w:p>
        </w:tc>
        <w:tc>
          <w:tcPr>
            <w:tcW w:w="80" w:type="dxa"/>
            <w:vAlign w:val="bottom"/>
          </w:tcPr>
          <w:p>
            <w:pPr>
              <w:spacing w:after="0"/>
              <w:rPr>
                <w:sz w:val="16"/>
                <w:szCs w:val="16"/>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49,955</w:t>
            </w:r>
          </w:p>
        </w:tc>
        <w:tc>
          <w:tcPr>
            <w:tcW w:w="8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9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18,262</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13,107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0" w:type="dxa"/>
            <w:vAlign w:val="bottom"/>
          </w:tcPr>
          <w:p>
            <w:pPr>
              <w:spacing w:after="0"/>
              <w:rPr>
                <w:sz w:val="1"/>
                <w:szCs w:val="1"/>
                <w:color w:val="auto"/>
              </w:rPr>
            </w:pPr>
          </w:p>
        </w:tc>
      </w:tr>
      <w:tr>
        <w:trPr>
          <w:trHeight w:val="181"/>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cost of sales</w:t>
            </w:r>
          </w:p>
        </w:tc>
        <w:tc>
          <w:tcPr>
            <w:tcW w:w="38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83,589</w:t>
            </w:r>
          </w:p>
        </w:tc>
        <w:tc>
          <w:tcPr>
            <w:tcW w:w="80" w:type="dxa"/>
            <w:vAlign w:val="bottom"/>
          </w:tcPr>
          <w:p>
            <w:pPr>
              <w:spacing w:after="0"/>
              <w:rPr>
                <w:sz w:val="15"/>
                <w:szCs w:val="15"/>
                <w:color w:val="auto"/>
              </w:rPr>
            </w:pPr>
          </w:p>
        </w:tc>
        <w:tc>
          <w:tcPr>
            <w:tcW w:w="620" w:type="dxa"/>
            <w:vAlign w:val="bottom"/>
            <w:tcBorders>
              <w:top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63,062</w:t>
            </w: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20,527</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109,426</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100,974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8,452</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1"/>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Total cost of sales increased by $20.5 million, or 33%, for the year ended December 31, 2023 as compared to the year ended December 31, 2022. The increase in cost of sales was driven by increases in product and service revenue, primarily due to more instruments shipped, increased material costs, and increased service and manufacturing headcount and associated personnel cost.</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Total gross profit margin was 57% and 62% as a percent of total revenue for the year ended December 31, 2023 and 2022, respectively. Gross profit margin depends on many factors, including market conditions that might affect our pricing; services; product mix changes between instrument configurations; excess and obsolete inventories; our cost structure for manufacturing operations relative to volume, freight costs and product support.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3"/>
          </w:tcPr>
          <w:p>
            <w:pPr>
              <w:ind w:left="10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9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80" w:type="dxa"/>
            <w:vAlign w:val="bottom"/>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0"/>
        </w:trPr>
        <w:tc>
          <w:tcPr>
            <w:tcW w:w="4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3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Revenue</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156,717</w:t>
            </w:r>
          </w:p>
        </w:tc>
        <w:tc>
          <w:tcPr>
            <w:tcW w:w="80" w:type="dxa"/>
            <w:vAlign w:val="bottom"/>
          </w:tcPr>
          <w:p>
            <w:pPr>
              <w:spacing w:after="0"/>
              <w:rPr>
                <w:sz w:val="16"/>
                <w:szCs w:val="16"/>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148,600</w:t>
            </w:r>
          </w:p>
        </w:tc>
        <w:tc>
          <w:tcPr>
            <w:tcW w:w="8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9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sales</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65,327</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49,955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15,372</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181"/>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Product gross profit</w:t>
            </w:r>
          </w:p>
        </w:tc>
        <w:tc>
          <w:tcPr>
            <w:tcW w:w="38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91,390</w:t>
            </w:r>
          </w:p>
        </w:tc>
        <w:tc>
          <w:tcPr>
            <w:tcW w:w="80" w:type="dxa"/>
            <w:vAlign w:val="bottom"/>
          </w:tcPr>
          <w:p>
            <w:pPr>
              <w:spacing w:after="0"/>
              <w:rPr>
                <w:sz w:val="15"/>
                <w:szCs w:val="15"/>
                <w:color w:val="auto"/>
              </w:rPr>
            </w:pPr>
          </w:p>
        </w:tc>
        <w:tc>
          <w:tcPr>
            <w:tcW w:w="620" w:type="dxa"/>
            <w:vAlign w:val="bottom"/>
            <w:tcBorders>
              <w:top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98,645</w:t>
            </w: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(7,255)</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3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3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Revenue</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36,298</w:t>
            </w:r>
          </w:p>
        </w:tc>
        <w:tc>
          <w:tcPr>
            <w:tcW w:w="80" w:type="dxa"/>
            <w:vAlign w:val="bottom"/>
          </w:tcPr>
          <w:p>
            <w:pPr>
              <w:spacing w:after="0"/>
              <w:rPr>
                <w:sz w:val="16"/>
                <w:szCs w:val="16"/>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15,436</w:t>
            </w:r>
          </w:p>
        </w:tc>
        <w:tc>
          <w:tcPr>
            <w:tcW w:w="8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9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sales</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18,262</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13,107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0" w:type="dxa"/>
            <w:vAlign w:val="bottom"/>
          </w:tcPr>
          <w:p>
            <w:pPr>
              <w:spacing w:after="0"/>
              <w:rPr>
                <w:sz w:val="1"/>
                <w:szCs w:val="1"/>
                <w:color w:val="auto"/>
              </w:rPr>
            </w:pPr>
          </w:p>
        </w:tc>
      </w:tr>
      <w:tr>
        <w:trPr>
          <w:trHeight w:val="181"/>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Service gross profit</w:t>
            </w:r>
          </w:p>
        </w:tc>
        <w:tc>
          <w:tcPr>
            <w:tcW w:w="38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18,036</w:t>
            </w:r>
          </w:p>
        </w:tc>
        <w:tc>
          <w:tcPr>
            <w:tcW w:w="80" w:type="dxa"/>
            <w:vAlign w:val="bottom"/>
          </w:tcPr>
          <w:p>
            <w:pPr>
              <w:spacing w:after="0"/>
              <w:rPr>
                <w:sz w:val="15"/>
                <w:szCs w:val="15"/>
                <w:color w:val="auto"/>
              </w:rPr>
            </w:pPr>
          </w:p>
        </w:tc>
        <w:tc>
          <w:tcPr>
            <w:tcW w:w="620" w:type="dxa"/>
            <w:vAlign w:val="bottom"/>
            <w:tcBorders>
              <w:top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2,329</w:t>
            </w: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15,707</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674 %</w:t>
            </w: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3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Product revenue for the year ended December 31, 2023 increased by 5%, as compared to the year ended December 31, 2022. Product gross profit for the year ended December 31, 2023 decreased by 7%, as compared to the year ended December 31, 2022. Product cost of sales for the year ended December 31, 2023 increased by 31% as compared to the same period in 2022. The lower product gross margins in the year ended December 31, 2023 compared to the year ended December 31, 2022 were driven primarily by higher material costs and by less favorable instrument product mix following the FCI Acquisition.</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Service revenue and service gross profit for the year ended December 31, 2023 increased by 135% and 674%, respectively, as compared to the year ended December 31, 2022. Service cost of sales for the year ended December 31, 2023 increased by 39% as compared to the same period in 2022. The higher service gross margins in the year ended December 31, 2023 compared to the year ended December 31, 2022 were mainly driven by continued growth in the instruments installed base with more instrument coming off warranty and the addition of the FCI Business.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gridSpan w:val="3"/>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5040" w:type="dxa"/>
            <w:vAlign w:val="bottom"/>
            <w:gridSpan w:val="2"/>
            <w:vMerge w:val="continue"/>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67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0"/>
        </w:trPr>
        <w:tc>
          <w:tcPr>
            <w:tcW w:w="4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34,858</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22"/>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Research and development expenses were $44.2 million for the year ended December 31, 2023 as compared to $34.9 million for the year ended December 31, 2022. The increase of $9.3 million in research and development expenses was primarily due to an increase of $8.8 million in headcount and personnel-related expenses, including stock-based compensation increase of $1.6 million. This was primarily due to increased headcount from the FCI Acquisition.</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increase in research and development expenses for the year ended December 31, 2023 was primarily driven by costs relating to the FCI Business. We expect our research and development expense to increase in absolute dollars as we continue to develop new products and enhance existing instruments and technologies.</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gridSpan w:val="3"/>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gridSpan w:val="3"/>
          </w:tcPr>
          <w:p>
            <w:pPr>
              <w:ind w:left="4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5040" w:type="dxa"/>
            <w:vAlign w:val="bottom"/>
            <w:gridSpan w:val="2"/>
            <w:vMerge w:val="continue"/>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67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0"/>
        </w:trPr>
        <w:tc>
          <w:tcPr>
            <w:tcW w:w="4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49,148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0" w:type="dxa"/>
            <w:vAlign w:val="bottom"/>
          </w:tcPr>
          <w:p>
            <w:pPr>
              <w:spacing w:after="0"/>
              <w:rPr>
                <w:sz w:val="1"/>
                <w:szCs w:val="1"/>
                <w:color w:val="auto"/>
              </w:rPr>
            </w:pPr>
          </w:p>
        </w:tc>
      </w:tr>
      <w:tr>
        <w:trPr>
          <w:trHeight w:val="22"/>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Sales and marketing expenses were $49.1 million for the year ended December 31, 2023 as compared to $33.2 million for the year ended December 31, 2022. The increase of $15.9 million in sales and marketing expenses was primarily due to an increase in headcount, commissions, and personnel-related expenses of $11.6 million, including $0.9 million stock-based compensation, an increase of $3.0 million in trade shows and other sales and marketing costs, and an increase of $1.5 million in fixed assets and intangible asset amortization costs. This was primarily due to increased headcount from the FCI Acquisition.</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expect our sales and marketing expenses to increase in absolute dollars as we hire additional sales and marketing personnel, expand our sales support infrastructure and invest in our brand and product awareness to further penetrate the United States and the international markets.</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gridSpan w:val="3"/>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5040" w:type="dxa"/>
            <w:vAlign w:val="bottom"/>
            <w:gridSpan w:val="2"/>
            <w:vMerge w:val="continue"/>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67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0"/>
        </w:trPr>
        <w:tc>
          <w:tcPr>
            <w:tcW w:w="4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22"/>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General and administrative expenses were $44.0 million for the year ended December 31, 2023 as compared to $34.7 million for the year ended December 31, 2022. The increase of $9.3 million in general and administrative expenses was primarily due to an increase of $5.7 million in general corporate personnel-related costs, including an increase of $2.6 million in stock-based compensation and other payroll costs, and $3.0 million of other outside service increase and related acquisition expense.</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expect to continue to incur additional general and administrative expenses as a result of operating as a public company, including expenses related to compliance with the rules and regulations of the SEC and the Nasdaq Stock Market, additional insurance costs, investor relations activities and other administrative and professional services. As a result, we expect general and administrative expenses to increase in absolute dollars in future periods.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gridSpan w:val="3"/>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5040" w:type="dxa"/>
            <w:vAlign w:val="bottom"/>
            <w:gridSpan w:val="2"/>
            <w:vMerge w:val="continue"/>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67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0"/>
        </w:trPr>
        <w:tc>
          <w:tcPr>
            <w:tcW w:w="4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2"/>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Interest expense was $2.1 million for the year ended December 31, 2023 as compared to $2.6 million for the year ended December 31, 2022. The decrease was mainly due to the accretion of the present value discount related to the settlement agreement with Becton, Dickinson and Company (“BD”). See Note 11 to our consolidated financial statements included elsewhere in this Annual Report on Form 10-K for further details.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gridSpan w:val="3"/>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gridSpan w:val="3"/>
          </w:tcPr>
          <w:p>
            <w:pPr>
              <w:ind w:left="3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5040" w:type="dxa"/>
            <w:vAlign w:val="bottom"/>
            <w:gridSpan w:val="2"/>
            <w:vMerge w:val="continue"/>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67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0"/>
        </w:trPr>
        <w:tc>
          <w:tcPr>
            <w:tcW w:w="4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0" w:type="dxa"/>
            <w:vAlign w:val="bottom"/>
          </w:tcPr>
          <w:p>
            <w:pPr>
              <w:spacing w:after="0"/>
              <w:rPr>
                <w:sz w:val="1"/>
                <w:szCs w:val="1"/>
                <w:color w:val="auto"/>
              </w:rPr>
            </w:pPr>
          </w:p>
        </w:tc>
      </w:tr>
      <w:tr>
        <w:trPr>
          <w:trHeight w:val="22"/>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Interest income was $6.4 million and $4.6 million for the year ended December 31, 2023 and 2022, respectively. The increase of $1.8 million in interest income was the result of higher interest earned on our cash and cash equivalents and short term investment due to an increase in interest rates, as compared to the year ended December 31, 2022.</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gridSpan w:val="3"/>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gridSpan w:val="3"/>
          </w:tcPr>
          <w:p>
            <w:pPr>
              <w:ind w:left="3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5040" w:type="dxa"/>
            <w:vAlign w:val="bottom"/>
            <w:gridSpan w:val="2"/>
            <w:vMerge w:val="continue"/>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67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0"/>
        </w:trPr>
        <w:tc>
          <w:tcPr>
            <w:tcW w:w="4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666 %</w:t>
            </w:r>
          </w:p>
        </w:tc>
        <w:tc>
          <w:tcPr>
            <w:tcW w:w="0" w:type="dxa"/>
            <w:vAlign w:val="bottom"/>
          </w:tcPr>
          <w:p>
            <w:pPr>
              <w:spacing w:after="0"/>
              <w:rPr>
                <w:sz w:val="1"/>
                <w:szCs w:val="1"/>
                <w:color w:val="auto"/>
              </w:rPr>
            </w:pPr>
          </w:p>
        </w:tc>
      </w:tr>
      <w:tr>
        <w:trPr>
          <w:trHeight w:val="22"/>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Other income, net was $7.8 million for the year ended December 31, 2023 as compared to other income, net of $1.0 million for the year ended December 31, 2022, respectively. The increase of $6.8 million was primarily from short-term investment income increase during the year ended December 31, 2023.</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gridSpan w:val="3"/>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5040" w:type="dxa"/>
            <w:vAlign w:val="bottom"/>
            <w:gridSpan w:val="2"/>
            <w:vMerge w:val="continue"/>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67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0"/>
        </w:trPr>
        <w:tc>
          <w:tcPr>
            <w:tcW w:w="4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from income taxes</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191 %</w:t>
            </w:r>
          </w:p>
        </w:tc>
        <w:tc>
          <w:tcPr>
            <w:tcW w:w="0" w:type="dxa"/>
            <w:vAlign w:val="bottom"/>
          </w:tcPr>
          <w:p>
            <w:pPr>
              <w:spacing w:after="0"/>
              <w:rPr>
                <w:sz w:val="1"/>
                <w:szCs w:val="1"/>
                <w:color w:val="auto"/>
              </w:rPr>
            </w:pPr>
          </w:p>
        </w:tc>
      </w:tr>
      <w:tr>
        <w:trPr>
          <w:trHeight w:val="22"/>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Benefit from income tax was $3.6 million for the year ended December 31, 2023. The benefit for income tax was $1.2 million for the year ended December 31, 2022. The net change of $2.3 million for the year ended December 31, 2023 was the result of a loss in 2023 compared to profit in 2022.</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To supplement our consolidated financial statements presented in accordance with generally accepted accounting principles, we use constant currency revenue, which is a non-GAAP financial measure. We believe the presentation of revenue on a constant currency basis, in addition to results reported in accordance with accounting principles generally accepted in the United States of America (“GAAP”), provides useful information about our operating performance because the constant currency presentation excludes the effects of foreign currency volatility and highlights our core operating results. The presentation of revenue on a constant currency basis should be considered in addition to, but not as a substitute for, measures of financial performance reported in accordance with GAAP. Revenue on a constant currency basis, as we present it, may not be comparable to similarly titled measures used by other companies.</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FX Impact is calculated as the difference between the current year amounts and the current year amounts translated at prior period average exchange rates. The FX Impact % represents the percentage change on a period-over-period basis adjusted for foreign currency impacts.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a reconciliation of constant currency revenue to our reported net revenue for the periods indicated (in thousands, except percentages):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40" w:type="dxa"/>
            <w:vAlign w:val="bottom"/>
          </w:tcPr>
          <w:p>
            <w:pPr>
              <w:spacing w:after="0"/>
              <w:rPr>
                <w:sz w:val="11"/>
                <w:szCs w:val="11"/>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Year ended</w:t>
            </w:r>
          </w:p>
        </w:tc>
        <w:tc>
          <w:tcPr>
            <w:tcW w:w="1580" w:type="dxa"/>
            <w:vAlign w:val="bottom"/>
          </w:tcPr>
          <w:p>
            <w:pPr>
              <w:jc w:val="right"/>
              <w:ind w:right="454"/>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49"/>
        </w:trPr>
        <w:tc>
          <w:tcPr>
            <w:tcW w:w="8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580" w:type="dxa"/>
            <w:vAlign w:val="bottom"/>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30"/>
        </w:trPr>
        <w:tc>
          <w:tcPr>
            <w:tcW w:w="80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393"/>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reported</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193,015</w:t>
            </w:r>
          </w:p>
        </w:tc>
        <w:tc>
          <w:tcPr>
            <w:tcW w:w="80" w:type="dxa"/>
            <w:vAlign w:val="bottom"/>
          </w:tcPr>
          <w:p>
            <w:pPr>
              <w:spacing w:after="0"/>
              <w:rPr>
                <w:sz w:val="24"/>
                <w:szCs w:val="24"/>
                <w:color w:val="auto"/>
              </w:rPr>
            </w:pPr>
          </w:p>
        </w:tc>
        <w:tc>
          <w:tcPr>
            <w:tcW w:w="158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164,036</w:t>
            </w:r>
          </w:p>
        </w:tc>
      </w:tr>
      <w:tr>
        <w:trPr>
          <w:trHeight w:val="22"/>
        </w:trPr>
        <w:tc>
          <w:tcPr>
            <w:tcW w:w="8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2"/>
        </w:trPr>
        <w:tc>
          <w:tcPr>
            <w:tcW w:w="8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Non-GAAP constant currency</w:t>
            </w:r>
          </w:p>
        </w:tc>
        <w:tc>
          <w:tcPr>
            <w:tcW w:w="1580" w:type="dxa"/>
            <w:vAlign w:val="bottom"/>
            <w:tcBorders>
              <w:bottom w:val="single" w:sz="8" w:color="CFF0FC"/>
            </w:tcBorders>
            <w:shd w:val="clear" w:color="auto" w:fill="CFF0FC"/>
          </w:tcPr>
          <w:p>
            <w:pPr>
              <w:jc w:val="right"/>
              <w:ind w:right="114"/>
              <w:spacing w:after="0"/>
              <w:rPr>
                <w:sz w:val="20"/>
                <w:szCs w:val="20"/>
                <w:color w:val="auto"/>
              </w:rPr>
            </w:pPr>
            <w:r>
              <w:rPr>
                <w:rFonts w:ascii="Times New Roman" w:cs="Times New Roman" w:eastAsia="Times New Roman" w:hAnsi="Times New Roman"/>
                <w:sz w:val="14"/>
                <w:szCs w:val="14"/>
                <w:color w:val="auto"/>
              </w:rPr>
              <w:t>193,697</w:t>
            </w:r>
          </w:p>
        </w:tc>
        <w:tc>
          <w:tcPr>
            <w:tcW w:w="8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CFF0FC"/>
            </w:tcBorders>
            <w:shd w:val="clear" w:color="auto" w:fill="CFF0FC"/>
          </w:tcPr>
          <w:p>
            <w:pPr>
              <w:jc w:val="right"/>
              <w:ind w:right="94"/>
              <w:spacing w:after="0"/>
              <w:rPr>
                <w:sz w:val="20"/>
                <w:szCs w:val="20"/>
                <w:color w:val="auto"/>
              </w:rPr>
            </w:pPr>
            <w:r>
              <w:rPr>
                <w:rFonts w:ascii="Times New Roman" w:cs="Times New Roman" w:eastAsia="Times New Roman" w:hAnsi="Times New Roman"/>
                <w:sz w:val="14"/>
                <w:szCs w:val="14"/>
                <w:color w:val="auto"/>
              </w:rPr>
              <w:t>171,793</w:t>
            </w:r>
          </w:p>
        </w:tc>
      </w:tr>
      <w:tr>
        <w:trPr>
          <w:trHeight w:val="181"/>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FX Impact [$]</w:t>
            </w:r>
          </w:p>
        </w:tc>
        <w:tc>
          <w:tcPr>
            <w:tcW w:w="15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5"/>
                <w:szCs w:val="15"/>
                <w:color w:val="auto"/>
              </w:rPr>
            </w:pPr>
          </w:p>
        </w:tc>
        <w:tc>
          <w:tcPr>
            <w:tcW w:w="15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color w:val="auto"/>
              </w:rPr>
              <w:t>7,757</w:t>
            </w:r>
          </w:p>
        </w:tc>
      </w:tr>
      <w:tr>
        <w:trPr>
          <w:trHeight w:val="22"/>
        </w:trPr>
        <w:tc>
          <w:tcPr>
            <w:tcW w:w="8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1"/>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FX Impact [%]</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80" w:type="dxa"/>
            <w:vAlign w:val="bottom"/>
            <w:shd w:val="clear" w:color="auto" w:fill="CFF0FC"/>
          </w:tcPr>
          <w:p>
            <w:pPr>
              <w:spacing w:after="0"/>
              <w:rPr>
                <w:sz w:val="16"/>
                <w:szCs w:val="16"/>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4.7 %</w:t>
            </w:r>
          </w:p>
        </w:tc>
      </w:tr>
      <w:tr>
        <w:trPr>
          <w:trHeight w:val="22"/>
        </w:trPr>
        <w:tc>
          <w:tcPr>
            <w:tcW w:w="804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To date, our primary sources of capital have been through sales of our securities and revenue from the sale of our products and services. As of December 31, 2023 and December 31, 2022, we had approximately $262.7 million and $344.0</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million, respectively, in cash and cash equivalents and short term investments, which were primarily held in U.S. short-term bank deposit accounts, money market funds, U.S. Treasury notes, Federal agency security notes, and short term commercial paper.</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Funding and material cash requirements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currently anticipate making additional capital expenditures during the next 12 months, which is expected to primarily include equipment to be used for manufacturing and investment in research and development.</w:t>
      </w:r>
    </w:p>
    <w:p>
      <w:pPr>
        <w:spacing w:after="0" w:line="39"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4"/>
          <w:szCs w:val="14"/>
          <w:color w:val="auto"/>
        </w:rPr>
        <w:t>In addition, we lease certain office facilities under operating lease arrangements that expire on various dates through fiscal year 2029. Under the terms of the leases, we are responsible for certain expenses related to operations, maintenance, repairs and management fees. Future minimum lease payments under non-cancelable operating leases totaled $12.7 million as of December 31, 2023.</w:t>
      </w:r>
    </w:p>
    <w:p>
      <w:pPr>
        <w:spacing w:after="0" w:line="21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Based on our current business plan, we believe our existing cash and cash equivalents and anticipated cash flows from operations will be sufficient to meet our working capital and capital expenditure needs for at least the next 12 months from the date of this Annual Report on Form 10-K.</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have financed our operations primarily through sales of our securities. In July 2021, we completed our IPO, which resulted in net proceeds to us of approximately $215.7 million. We have also benefited from operating cash flows from the sale of our products and services.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August 26, 2022, we entered into a sales agreement (the “Sales Agreement”) with Piper Sandler &amp; Co. (“Piper”) as sales agent to sell from time to time up to $150 million of our common stock through an “at the market” offering program. To date, we have not made any sales of common stock pursuant to the Sales Agreement. The securities in this transaction were offered pursuant to an automatic shelf registration statement on Form S-3ASR (File No. 333-267118) that was filed with the SEC on August 26, 2022.</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On May 17, 2023, the Board approved a program for our repurchase of up to an aggregate of $50 million of our outstanding common stock. During the three months ended December 31, 2023, we repurchased 5,332,769 shares of our outstanding common stock for a total cost of approximately $34.6 million at an average price per share of $6.49. During the twelve months ended December 31, 2023, we repurchased 6,613,780 shares of our outstanding common stock for a total cost of approximately $44.0 million at an average price per share of $6.66. The repurchase program was used to return capital to shareholders and to minimize the dilutive impact of stock options and other share-based awards. The repurchased shares of common stock were retired. The repurchase program expired on December 31, 2023. The commissions costs related with the share repurchases were $0.1 million for both the three months and twelve months ended December 31, 2023.</w:t>
      </w:r>
    </w:p>
    <w:p>
      <w:pPr>
        <w:spacing w:after="0" w:line="48"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4"/>
          <w:szCs w:val="14"/>
          <w:color w:val="auto"/>
        </w:rPr>
        <w:t>On August 16, 2022, the Inflation Reduction Act of 2022 (the “IRA”) was signed into law. Among other things, the IRA imposes a 15% corporate alternative minimum tax for tax years beginning after December 31, 2022, levies a 1% excise tax on net stock repurchases after December 31, 2022, and provides tax incentives to promote clean energy. Beginning in 2023, net stock repurchases are subject to the excise tax. As of December 31, 2023, we have accrued $0.3 million excise taxes related with our stock repurchases.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2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8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w:t>
            </w: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5,281</w:t>
            </w:r>
          </w:p>
        </w:tc>
        <w:tc>
          <w:tcPr>
            <w:tcW w:w="80" w:type="dxa"/>
            <w:vAlign w:val="bottom"/>
          </w:tcPr>
          <w:p>
            <w:pPr>
              <w:spacing w:after="0"/>
              <w:rPr>
                <w:sz w:val="16"/>
                <w:szCs w:val="16"/>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(12,231)</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(93,894)</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(55,909)</w:t>
            </w:r>
          </w:p>
        </w:tc>
        <w:tc>
          <w:tcPr>
            <w:tcW w:w="0" w:type="dxa"/>
            <w:vAlign w:val="bottom"/>
          </w:tcPr>
          <w:p>
            <w:pPr>
              <w:spacing w:after="0"/>
              <w:rPr>
                <w:sz w:val="1"/>
                <w:szCs w:val="1"/>
                <w:color w:val="auto"/>
              </w:rPr>
            </w:pPr>
          </w:p>
        </w:tc>
      </w:tr>
      <w:tr>
        <w:trPr>
          <w:trHeight w:val="191"/>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(41,812)</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5,513</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w:t>
            </w:r>
          </w:p>
        </w:tc>
        <w:tc>
          <w:tcPr>
            <w:tcW w:w="0" w:type="dxa"/>
            <w:vAlign w:val="bottom"/>
          </w:tcPr>
          <w:p>
            <w:pPr>
              <w:spacing w:after="0"/>
              <w:rPr>
                <w:sz w:val="1"/>
                <w:szCs w:val="1"/>
                <w:color w:val="auto"/>
              </w:rPr>
            </w:pPr>
          </w:p>
        </w:tc>
      </w:tr>
      <w:tr>
        <w:trPr>
          <w:trHeight w:val="203"/>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(131,870)</w:t>
            </w:r>
          </w:p>
        </w:tc>
        <w:tc>
          <w:tcPr>
            <w:tcW w:w="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(65,118)</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Net cash provided by operating activities for the year ended December 31, 2023 was $5.3 million including net loss of $12.1 million. We also incurred non-cash stock-based compensation expense, depreciation and amortization, amortization of right-of-use assets, interest expenses for accretion of the legal settlement liabilities and provision for excess and obsolete inventory of $22.0 million, $6.0 million, $3.2 million, $1.6 million, and $1.5 million, respectively. We had gain on investment accretion and amortization of $6.7 million. Cash provided included an increase in deferred revenue of $6.5 million, a decrease of inventories of $4.3 million and an increase in accrued expenses and other liabilities of $0.7 million. This was partially offset by an increase of trade accounts receivable of $7.3 million, an increase in prepaid expenses and other assets of $9.5 million, a decrease in the legal settlement liability of $0.3 million, and a decrease of operating lease liabilities of $3.1 million, and a decrease of trade accounts payables of $1.8 million.</w:t>
      </w:r>
    </w:p>
    <w:p>
      <w:pPr>
        <w:spacing w:after="0" w:line="6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Net cash used in operating activities for the year ended December 31, 2022 was $12.2 million including net income of $2.5 million. We also incurred non-cash stock-based compensation expense, depreciation and amortization, amortization of right-of-use assets, and interest expenses for accretion of the legal settlement liabilities of $16.6 million, $2.5 million, $3.2 million, and $2.2 million, respectively. Usage of cash included an increase of inventories of $17.7 million, an increase of trade accounts receivable of $19.7 million due to an increase in sales, and an increase in prepaid expenses and other assets of $19.4 million. This was partially offset by an increase of trade accounts payables of $1.9 million, an increase in deferred revenue of $9.4 million, an increase in accrued expenses and other liabilities of $7.5 million and an increase in the legal settlement liability of $0.4 million.</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Net cash used in investing activities during the year ended December 31, 2023 was $93.9 million driven by purchases of marketable securities of $175.9 million, the purchase of the FCI Business of $44.9 million, purchases of property and equipment of $4.6 million, purchase of intangible assets of $0.2 million, and payment of investments in Japan of $0.2 million, partially offset by proceeds from maturities of marketable securities of $132.0 million.</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during the year ended December 31, 2022 was $55.9 million driven by purchases of marketable securities of $44.5 million, purchases of property and equipment of $9.9 million, and payment of investments of $1.6 million.</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Net cash used in financing activities during the year ended December 31, 2023 was $41.8 million driven by $44.2 million of costs related to our share repurchase program, $0.6 million in loan repayment costs and payments for taxes related to net share settlement of equity awards of $0.4 million, partially offset by the issuance of our common stock under our equity incentive plans of $1.5 million and the issuance of our common stock under our Employee Stock Purchase Plan of $1.9 million.</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Net cash provided by financing activities during the year ended December 31, 2022 was $5.5 million driven by proceeds from a loan of $2.9 million and issuance of our common stock under our equity incentive plans.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2023, there were no material changes to our contractual obligations and commitments from those described under “Management’s Discussion and Analysis of Financial Condition” which is contained in our Form 10-K and filed with the SEC on March 1, 2023.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significant judgments and use of estimates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have prepared our consolidated financial statements in accordance with GAAP. Our preparation of these consolidated financial statements requires us to make estimates, assumptions and judgments that affect the reported amounts of assets, liabilities, revenue, expenses, and related disclosures. We evaluate our estimates and judgments on an ongoing basis. We based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Actual results could therefore differ materially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While our significant accounting policies are described in Note 2 to our consolidated financial statements included elsewhere in this Annual Report on Form 10-K, we believe that the following accounting policies are the most critical to understanding and evaluating our reported consolidated financial results.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product revenue primarily consists of sale of our instruments, instrument accessories, such as loaders and, to a lesser extent, consumables such as reagents. We offer multiple versions of our instruments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service revenue consists of post-warranty service contracts, preventative maintenance plans, repairs, installation and quality check, customer training and other specialized product support services. We recognize service contract revenue ratably over the term of the contract and other service obligations as they are performed. 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5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 performance obligation is a promise in a contract to transfer a distinct good or service to the customer and is defined as the unit of account for revenue recognition under the contract with customers guidance. Performance obligations are considered distinct if they are both capable of being distinct, and distinct within the context of the contract. The Company identified the following performance obligations in the contracts: product sales of instrument systems, installation on instrument systems, delivery of instrument accessories such as loaders, consumables, reagents, extended service contracts and professional services revenue for post-warranty service contracts, preventative maintenance plans, repairs, installations, training, time and material services and other specialized support services. A good or service is distinct when the customer can benefit from the good or service either on its own or together with other resources that are readily available from third parties or from the Company, and is distinct in the context of the contract, where the transfer of the good or service is separately identifiable from other promises in the contract.</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Payments from customers are in arrears. For arrangements where the anticipated period between timing of transfer of services and the timing of payment is one year or less, we have elected to not assess whether a significant financing component exists. For arrangements with terms greater than one year, payments are received up-front and are for reasons other than financing. Revenue is recognized only to the extent that it is probable that a significant reversal of the cumulative amount recognized will not occur in future periods.</w:t>
      </w:r>
    </w:p>
    <w:p>
      <w:pPr>
        <w:spacing w:after="0" w:line="51"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auto"/>
        </w:rPr>
        <w:t>Certain of our sales contracts involve the delivery or performance of multiple products and services within contractually binding arrangements. Significant judgment is sometimes required to determine the appropriate accounting for such arrangements, including whether the deliverables specified in a contract with multiple promises should be treated as separate performance obligations for revenue recognition purposes and, if so, how the related sales price should be allocated among the performance obligations, when to recognize revenue for each performance obligation, and the period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over which revenue should be recognized. For most of our performance obligations, we have established the stand-alone selling prices (“SSP”) as a range rather than a single value, based on standalone sales of products. We allocate revenue to the performance obligations based on their relative standalone selling prices SSP.</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Taxes, such as sales, value-add and other taxes, collected from customers concurrent with revenue generating activities and remitted to governmental authorities are not included in revenue.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Shipping and handling costs associated with outbound freight are accounted for as a fulfillment cost and are included in cost of sales.</w:t>
      </w:r>
    </w:p>
    <w:p>
      <w:pPr>
        <w:spacing w:after="0" w:line="7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describes the nature of our primary types of revenue and the revenue recognition policies and significant payment terms as they pertain to the types of transactions we enter into with our customers.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revenue</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standard arrangement for sales to end users is generally a purchase order or an executed contract. Product revenue is recognized upon transfer of control of the product to the customer, which, for us, generally occurs at a point in time depending on the shipping terms. Payment terms are generally 30 to 45 days from the date of invoicing.</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distributor arrangements with our customers include a purchase order. The purchase order is governed by terms and conditions of the distributor agreements. Revenue is recognized upon transfer of control of the products to the distributor, which for us, occurs at a point in time depending on the shipping terms.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Service revenue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services are primarily a mix of service contracts, installation services, and time and material-based repair and support. We recognize revenue from the sale of service contracts over the respective period, while revenue on product support is recognized as the services are performed. Service contracts are typically between one and three years. Payment terms are generally 30 days from the date of invoicing. Installation revenue is recognized upon completion of the installation, which, for us, occurs at a point in time.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Inventories are stated at the lower of cost and net realizable value. Cost is computed using standard cost, which approximates actual cost on a first-in, first-out basis. We regularly monitor inventory quantities on hand and record write-downs for excess and obsolete inventories based on our estimate of demand for our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Our estimates of forecasted demand are based upon our analysis and assumptions including, but not limited to, expected product lifecycles, product development plans and historical usage by product. If inventory is written down, a new cost basis is established that cannot be increased in future periods.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assets and contract liabilities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Contract assets are recorded when the amount of revenue recognized exceeds the amount invoiced to the customer and the right to payment is not solely subject to the passage of time. As of December 31, 2023 and 2022, we had immaterial amounts of contract assets included within prepaid expenses and other current assets on the consolidated balance sheets.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Contract liabilities consist of fees invoiced or paid by our customers for which the associated services have not been performed and revenue has not been recognized based on our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9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color w:val="auto"/>
        </w:rPr>
        <w:t xml:space="preserve">The Company uses the acquisition method of accounting under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Each acquired company’s operating results are included in the Company's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spacing w:after="0" w:line="55"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Amounts allocated to assets and liabilities are based upon their fair values. Such valuations require management to make significant estimates and assumptions, especially with respect to the identifiable intangible assets. Management makes estimates of fair value based upon assumptions believed to be reasonable and that of a market participant. These estimates are based on historical experience and information obtained from the management of the acquired companies 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000"/>
        <w:spacing w:after="0" w:line="379" w:lineRule="auto"/>
        <w:rPr>
          <w:sz w:val="20"/>
          <w:szCs w:val="20"/>
          <w:color w:val="auto"/>
        </w:rPr>
      </w:pPr>
      <w:r>
        <w:rPr>
          <w:rFonts w:ascii="Times New Roman" w:cs="Times New Roman" w:eastAsia="Times New Roman" w:hAnsi="Times New Roman"/>
          <w:sz w:val="14"/>
          <w:szCs w:val="14"/>
          <w:color w:val="auto"/>
        </w:rPr>
        <w:t xml:space="preserve">the estimates are inherently uncertain. The separately identifiable intangible assets generally include developed technology, customer relationships, trade names, and reagent licenses. </w:t>
      </w:r>
      <w:r>
        <w:rPr>
          <w:rFonts w:ascii="Times New Roman" w:cs="Times New Roman" w:eastAsia="Times New Roman" w:hAnsi="Times New Roman"/>
          <w:sz w:val="14"/>
          <w:szCs w:val="14"/>
          <w:b w:val="1"/>
          <w:bCs w:val="1"/>
          <w:i w:val="1"/>
          <w:iCs w:val="1"/>
          <w:color w:val="auto"/>
        </w:rPr>
        <w:t>Goodwill and intangible assets</w:t>
      </w:r>
    </w:p>
    <w:p>
      <w:pPr>
        <w:spacing w:after="0" w:line="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recognize goodwill in accounting for business combinations based on the amount by which the total consideration transferred, exceeds the fair value of identifiable assets acquired and liabilities assumed. Identifiable intangible assets other than goodwill are primarily comprised of patents and trademarks which amortize on a straight-line basis over an assigned useful life based on management’s estimate of the period the asset is expected to contribute to future cash flows.</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assess our goodwill and indefinite-lived intangible assets for impairment at least annually in the fourth quarter, or more frequently if factors indicate impairment may exist. Our qualitative goodwill impairment analysis consists of assessing whether any events or circumstances listed in ASC 350-20-35-3A (“triggering events”) existed or occurred in the year under review to the date of the financial statements. The qualitative analysis assesses macroeconomic conditions, market, and industry considerations, change in cost factors, overall company financial performance, and any events affecting the reporting unit. Based on the qualitative analysis results, we determined that it is more likely than not that the fair values of the reporting unit exceed the carrying value and that no triggering events were noted that would require a quantitative impairment assessment in the fiscal year.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maintain an equity incentive compensation plan under which incentive stock options and nonqualified stock options to purchase common stock, and restricted stock units for common stock, are granted primarily to employees and non-employee consultants.</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Stock-based compensation cost is measured at the grant date based on the fair value of the award and is recognized as expense over the vesting period. The fair value of stock options is estimated using the Black-Scholes option pricing model. We record forfeitures as they occur.</w:t>
      </w:r>
    </w:p>
    <w:p>
      <w:pPr>
        <w:spacing w:after="0" w:line="3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Black-Scholes model considers several variables and assumptions in estimating the fair value of stock- based awards. These variables include the per share fair value of the underlying common stock, exercise price, expected term, risk-free interest rate, expected annual dividend yield and expected stock price volatility over the expected term. For all stock options granted, we calculated the expected term using the simplified method for standard stock option awards. After our IPO, the fair value of our common stock is determined by the closing price of our common stock on the date of grant as reported on the Nasdaq Global Select Market. The risk-free interest rate is based on the yield available on U.S. Treasury zero-coupon issues similar in duration to the expected term of the equity-settled award.</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weighted-average assumptions used in estimating the fair value of stock options granted during each of the periods presented:</w:t>
      </w:r>
    </w:p>
    <w:p>
      <w:pPr>
        <w:spacing w:after="0" w:line="13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0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4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2022</w:t>
            </w: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30"/>
        </w:trPr>
        <w:tc>
          <w:tcPr>
            <w:tcW w:w="64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5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5.96</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6.05</w:t>
            </w:r>
          </w:p>
        </w:tc>
      </w:tr>
      <w:tr>
        <w:trPr>
          <w:trHeight w:val="19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90 %</w:t>
            </w:r>
          </w:p>
        </w:tc>
      </w:tr>
      <w:tr>
        <w:trPr>
          <w:trHeight w:val="22"/>
        </w:trPr>
        <w:tc>
          <w:tcPr>
            <w:tcW w:w="6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2"/>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9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640" w:type="dxa"/>
            <w:vAlign w:val="bottom"/>
            <w:gridSpan w:val="3"/>
          </w:tcPr>
          <w:p>
            <w:pPr>
              <w:jc w:val="right"/>
              <w:ind w:right="12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r>
    </w:tbl>
    <w:p>
      <w:pPr>
        <w:spacing w:after="0" w:line="16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Expected volatility—Expected volatility is estimated by studying the volatility of selected industry peers deemed to be comparable to our business corresponding to the expected term of the awards.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Expected term—Expected term represents the period that our stock-based awards are expected to be outstanding and is determined using the simplified method.</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Risk-free interest rate—The risk-free interest rate is based on the U.S. Treasury zero-coupon issued in effect at the time of grant for periods corresponding with the expected term of the option.</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Dividend yield— The expected dividend yield is zero as we have never declared or paid cash dividends and have no current plans to do so in the foreseeable future.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See Note 2 to our consolidated financial statements included elsewhere in this Annual Report on Form 10-K for a description of recent accounting pronouncements applicable to our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market risk inherent in our financial instruments and in our financial condition represents the potential loss arising from adverse changes in interest rates or exchange rates. As of December 31, 2023, we had cash and cash equivalents of $167.6 million, which consisted primarily of money market funds and bank deposits. The primary objective of our investment is to preserve principal and provide liquidity. These money market funds and bank deposits generate interest income at variable rates.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therefore do not believe we are exposed to, nor do we anticipate being in the near future exposed to, material risk due to changes in interest rates because of the short-term nature of our cash and cash equivalents.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risk</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do not believe that either inflation or foreign currency risk had a material effect on our business, financial condition, or results of operations during the periods presented. Please see the section entitled “Management's Discussion and Analysis of Financial Condition and Results of Operations— Non-GAAP Financial Measure” for a presentation of revenue on a constant currency basis, which provides information regarding our operating performance excluding the effects of foreign currency volatility.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Cytek Biosciences,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Cytek Biosciences, Inc. and subsidiaries (the "Company") as of December 31, 2023 and 2022, the related consolidated statements of operations and comprehensive (loss) income, stockholders’ equity (deficit),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2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March 13, 2024, expressed an adverse opinion on the Company's internal control over financial reporting because of material weaknesses.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 in Accounting Principle</w:t>
      </w:r>
    </w:p>
    <w:p>
      <w:pPr>
        <w:spacing w:after="0" w:line="96"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As discussed in Note 2 to the financial statements, the Company has changed its method of accounting for leases effective January 1, 2022, due to adoption of Accounting Standards Codification Topic 842, Leases.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9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54" w:lineRule="exact"/>
        <w:rPr>
          <w:sz w:val="20"/>
          <w:szCs w:val="20"/>
          <w:color w:val="auto"/>
        </w:rPr>
      </w:pPr>
    </w:p>
    <w:p>
      <w:pPr>
        <w:ind w:right="5340"/>
        <w:spacing w:after="0" w:line="381" w:lineRule="auto"/>
        <w:rPr>
          <w:sz w:val="20"/>
          <w:szCs w:val="20"/>
          <w:color w:val="auto"/>
        </w:rPr>
      </w:pPr>
      <w:r>
        <w:rPr>
          <w:rFonts w:ascii="Times New Roman" w:cs="Times New Roman" w:eastAsia="Times New Roman" w:hAnsi="Times New Roman"/>
          <w:sz w:val="14"/>
          <w:szCs w:val="14"/>
          <w:b w:val="1"/>
          <w:bCs w:val="1"/>
          <w:color w:val="auto"/>
        </w:rPr>
        <w:t xml:space="preserve">Inventories – Excess and Obsolete Inventories — Refer to Notes 2 and 5 to the financial statements </w:t>
      </w:r>
      <w:r>
        <w:rPr>
          <w:rFonts w:ascii="Times New Roman" w:cs="Times New Roman" w:eastAsia="Times New Roman" w:hAnsi="Times New Roman"/>
          <w:sz w:val="14"/>
          <w:szCs w:val="14"/>
          <w:i w:val="1"/>
          <w:iCs w:val="1"/>
          <w:color w:val="auto"/>
        </w:rPr>
        <w:t>Critical Audit Matter Description</w:t>
      </w:r>
    </w:p>
    <w:p>
      <w:pPr>
        <w:ind w:right="140"/>
        <w:spacing w:after="0" w:line="264" w:lineRule="auto"/>
        <w:rPr>
          <w:sz w:val="20"/>
          <w:szCs w:val="20"/>
          <w:color w:val="auto"/>
        </w:rPr>
      </w:pPr>
      <w:r>
        <w:rPr>
          <w:rFonts w:ascii="Times New Roman" w:cs="Times New Roman" w:eastAsia="Times New Roman" w:hAnsi="Times New Roman"/>
          <w:sz w:val="14"/>
          <w:szCs w:val="14"/>
          <w:color w:val="auto"/>
        </w:rPr>
        <w:t>The Company records write-downs for excess and obsolete inventories based on the Company’s estimate of demand for its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The Company’s inventories balance is $60.9 million as of December 31, 2023.</w:t>
      </w:r>
    </w:p>
    <w:p>
      <w:pPr>
        <w:spacing w:after="0" w:line="56"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identified excess and obsolete inventories as a critical audit matter because of the estimates and assumptions made by management to evaluate inventories for excess and obsolescence, especially considering the uncertainty present in these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estimates and assumptions. This required a high degree of auditor judgment when performing audit procedures to evaluate the reasonableness of management’s estimates and assumptions related to excess and obsolete inventories.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excess and obsolete inventories included the following, among others:</w:t>
      </w:r>
    </w:p>
    <w:p>
      <w:pPr>
        <w:spacing w:after="0" w:line="94" w:lineRule="exact"/>
        <w:rPr>
          <w:sz w:val="20"/>
          <w:szCs w:val="20"/>
          <w:color w:val="auto"/>
        </w:rPr>
      </w:pPr>
    </w:p>
    <w:p>
      <w:pPr>
        <w:ind w:left="760" w:hanging="373"/>
        <w:spacing w:after="0" w:line="287" w:lineRule="auto"/>
        <w:tabs>
          <w:tab w:leader="none" w:pos="7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effectiveness of internal controls over management’s estimates and assumptions used to evaluate excess and obsolete inventories, including internal controls over the estimates of demand for products.</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reasonableness of management’s method, assumptions, and judgments used in developing their estimate of excess and obsolete inventories, which included estimates of demand for its products, potential obsolescence of technology, product life cycles, pricing trends and forecasts, and selling prices.</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underlying data used and considered by management in making their estimates and assumptions related to excess and obsolete inventories, including the amount of inventory on hand, estimates of demand for products, and historical usage by product.</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compared actual inventory usage and write-down activity in the current year to the excess and obsolete estimates made by management in the prior year to evaluate management’s ability to make accurate estimates.</w:t>
      </w:r>
    </w:p>
    <w:p>
      <w:pPr>
        <w:spacing w:after="0" w:line="39" w:lineRule="exact"/>
        <w:rPr>
          <w:rFonts w:ascii="Times New Roman" w:cs="Times New Roman" w:eastAsia="Times New Roman" w:hAnsi="Times New Roman"/>
          <w:sz w:val="14"/>
          <w:szCs w:val="14"/>
          <w:color w:val="auto"/>
        </w:rPr>
      </w:pPr>
    </w:p>
    <w:p>
      <w:pPr>
        <w:ind w:left="760" w:hanging="373"/>
        <w:spacing w:after="0" w:line="263" w:lineRule="auto"/>
        <w:tabs>
          <w:tab w:leader="none" w:pos="7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selected a sample of inventory items from a) those management determined to be excess and obsolete and b) those management did not determine to be excess and obsolete, and performed the following:</w:t>
      </w:r>
    </w:p>
    <w:p>
      <w:pPr>
        <w:ind w:left="1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We evaluated the reasonableness of management’s estimates and assumptions by obtaining product-specific information.</w:t>
      </w:r>
    </w:p>
    <w:p>
      <w:pPr>
        <w:spacing w:after="0" w:line="8" w:lineRule="exact"/>
        <w:rPr>
          <w:rFonts w:ascii="Times New Roman" w:cs="Times New Roman" w:eastAsia="Times New Roman" w:hAnsi="Times New Roman"/>
          <w:sz w:val="14"/>
          <w:szCs w:val="14"/>
          <w:color w:val="auto"/>
        </w:rPr>
      </w:pPr>
    </w:p>
    <w:p>
      <w:pPr>
        <w:ind w:left="1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We inquired of management, including personnel with operational roles, regarding the estimates and assumptions specific to the selected inventory items.</w:t>
      </w:r>
    </w:p>
    <w:p>
      <w:pPr>
        <w:spacing w:after="0" w:line="7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considered inventory write-downs made subsequent to December 31, 2023 in evaluating the reasonableness of management’s estimates and assumptions related to excess and obsolete inventories.</w:t>
      </w:r>
    </w:p>
    <w:p>
      <w:pPr>
        <w:spacing w:after="0" w:line="313" w:lineRule="exact"/>
        <w:rPr>
          <w:sz w:val="20"/>
          <w:szCs w:val="20"/>
          <w:color w:val="auto"/>
        </w:rPr>
      </w:pPr>
    </w:p>
    <w:p>
      <w:pPr>
        <w:ind w:right="4000"/>
        <w:spacing w:after="0" w:line="381" w:lineRule="auto"/>
        <w:rPr>
          <w:sz w:val="20"/>
          <w:szCs w:val="20"/>
          <w:color w:val="auto"/>
        </w:rPr>
      </w:pPr>
      <w:r>
        <w:rPr>
          <w:rFonts w:ascii="Times New Roman" w:cs="Times New Roman" w:eastAsia="Times New Roman" w:hAnsi="Times New Roman"/>
          <w:sz w:val="14"/>
          <w:szCs w:val="14"/>
          <w:b w:val="1"/>
          <w:bCs w:val="1"/>
          <w:color w:val="auto"/>
        </w:rPr>
        <w:t xml:space="preserve">Acquisition — Acquired Customer Relationship Intangible Assets — Refer to Notes 1, 2 and 9 to the financial statements </w:t>
      </w:r>
      <w:r>
        <w:rPr>
          <w:rFonts w:ascii="Times New Roman" w:cs="Times New Roman" w:eastAsia="Times New Roman" w:hAnsi="Times New Roman"/>
          <w:sz w:val="14"/>
          <w:szCs w:val="14"/>
          <w:i w:val="1"/>
          <w:iCs w:val="1"/>
          <w:color w:val="auto"/>
        </w:rPr>
        <w:t>Critical Audit Matter Description</w:t>
      </w:r>
    </w:p>
    <w:p>
      <w:pPr>
        <w:ind w:right="20"/>
        <w:spacing w:after="0" w:line="259" w:lineRule="auto"/>
        <w:rPr>
          <w:sz w:val="20"/>
          <w:szCs w:val="20"/>
          <w:color w:val="auto"/>
        </w:rPr>
      </w:pPr>
      <w:r>
        <w:rPr>
          <w:rFonts w:ascii="Times New Roman" w:cs="Times New Roman" w:eastAsia="Times New Roman" w:hAnsi="Times New Roman"/>
          <w:sz w:val="14"/>
          <w:szCs w:val="14"/>
          <w:color w:val="auto"/>
        </w:rPr>
        <w:t>The Company completed the acquisition of certain of the assets of the flow cytometry and imaging business unit of Luminex Corporation on February 28, 2023. The Company accounted for the acquisition as a business combination in accordance with ASC 805, Business Combinations. The purchase price is equivalent to the fair value of consideration transferred, and tangible and identifiable intangible assets acquired and liabilities assumed as of the date of acquisition are recorded at the acquisition date fair value. Amounts allocated to assets and liabilities are based upon their estimated fair values. This requires management to make significant estimates and assumptions, especially with respect to the identifiable intangible assets. Management makes estimates of fair value based upon assumptions believed to be reasonable and those of a market participant. These estimates are based on historical experience and information obtained from the management of the acquired companies and the estimates are inherently uncertain. The Company estimated the fair value of the acquired customer relationship intangible assets to be $8.6 million.</w:t>
      </w:r>
    </w:p>
    <w:p>
      <w:pPr>
        <w:spacing w:after="0" w:line="6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There was a high degree of auditor judgment and subjectivity in applying audit procedures relating to the fair value measurement of the acquired customer relationship. The audit effort involved the use of professionals with specialized skill and knowledge to assist in evaluating the audit evidence obtained from these procedures.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acquired customer relationship intangible assets included the following, among others:</w:t>
      </w:r>
    </w:p>
    <w:p>
      <w:pPr>
        <w:spacing w:after="0" w:line="94" w:lineRule="exact"/>
        <w:rPr>
          <w:sz w:val="20"/>
          <w:szCs w:val="20"/>
          <w:color w:val="auto"/>
        </w:rPr>
      </w:pPr>
    </w:p>
    <w:p>
      <w:pPr>
        <w:ind w:left="760" w:hanging="373"/>
        <w:spacing w:after="0" w:line="287" w:lineRule="auto"/>
        <w:tabs>
          <w:tab w:leader="none" w:pos="75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effectiveness of internal controls over acquisitions including (i) the controls over the valuation of the acquired intangible assets and (ii) controls over the forecasted financial information including assumptions of revenue growth rates and forecasted financial information, discount rates, and customer attrition rates selected by management.</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fair value specialists, we evaluated the reasonableness of the (1) valuation methodologies used, and (2) discount rates, including testing the underlying source information, testing the mathematical accuracy of the calculations, and developing a range of independent estimates and comparing those to the discount rates selected by management.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hanging="373"/>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reasonableness of management’s customer attrition rates by comparing these assumptions to historical results.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reasonableness of management’s forecasted financial information by comparing to:</w:t>
      </w:r>
    </w:p>
    <w:p>
      <w:pPr>
        <w:spacing w:after="0" w:line="23" w:lineRule="exact"/>
        <w:rPr>
          <w:rFonts w:ascii="Times New Roman" w:cs="Times New Roman" w:eastAsia="Times New Roman" w:hAnsi="Times New Roman"/>
          <w:sz w:val="14"/>
          <w:szCs w:val="14"/>
          <w:color w:val="auto"/>
        </w:rPr>
      </w:pPr>
    </w:p>
    <w:p>
      <w:pPr>
        <w:ind w:left="1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Historical forecasting accuracy for prior acquisitions.</w:t>
      </w:r>
    </w:p>
    <w:p>
      <w:pPr>
        <w:spacing w:after="0" w:line="8" w:lineRule="exact"/>
        <w:rPr>
          <w:rFonts w:ascii="Times New Roman" w:cs="Times New Roman" w:eastAsia="Times New Roman" w:hAnsi="Times New Roman"/>
          <w:sz w:val="14"/>
          <w:szCs w:val="14"/>
          <w:color w:val="auto"/>
        </w:rPr>
      </w:pPr>
    </w:p>
    <w:p>
      <w:pPr>
        <w:ind w:left="1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Analyst reports for the Company as well as industry reports.</w:t>
      </w:r>
    </w:p>
    <w:p>
      <w:pPr>
        <w:spacing w:after="0" w:line="8" w:lineRule="exact"/>
        <w:rPr>
          <w:rFonts w:ascii="Times New Roman" w:cs="Times New Roman" w:eastAsia="Times New Roman" w:hAnsi="Times New Roman"/>
          <w:sz w:val="14"/>
          <w:szCs w:val="14"/>
          <w:color w:val="auto"/>
        </w:rPr>
      </w:pPr>
    </w:p>
    <w:p>
      <w:pPr>
        <w:ind w:left="12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Historical rates of certain peer companies.</w:t>
      </w:r>
    </w:p>
    <w:p>
      <w:pPr>
        <w:ind w:left="1540" w:hanging="255"/>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Inquiries with individuals within the Company and acquired business unit’s operations, engineering, and finance departments regarding the forecasted financial information.</w:t>
      </w:r>
    </w:p>
    <w:p>
      <w:pPr>
        <w:spacing w:after="0" w:line="66"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whether the audit evidence obtained through these procedures was consistent with evidence obtained in other areas of the audit.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13,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2019.</w:t>
      </w: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40"/>
          </w:cols>
          <w:pgMar w:left="300" w:top="210" w:right="10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Cytek Biosciences,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c>
          <w:tcPr>
            <w:tcW w:w="260" w:type="dxa"/>
            <w:vAlign w:val="bottom"/>
          </w:tcPr>
          <w:p>
            <w:pPr>
              <w:spacing w:after="0"/>
              <w:rPr>
                <w:sz w:val="12"/>
                <w:szCs w:val="12"/>
                <w:color w:val="auto"/>
              </w:rPr>
            </w:pP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8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167,299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296,601</w:t>
            </w:r>
          </w:p>
        </w:tc>
      </w:tr>
      <w:tr>
        <w:trPr>
          <w:trHeight w:val="191"/>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2,899</w:t>
            </w:r>
          </w:p>
        </w:tc>
      </w:tr>
      <w:tr>
        <w:trPr>
          <w:trHeight w:val="22"/>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95,111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44,548</w:t>
            </w:r>
          </w:p>
        </w:tc>
      </w:tr>
      <w:tr>
        <w:trPr>
          <w:trHeight w:val="191"/>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Trade accounts receivable, net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55,928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48,864</w:t>
            </w:r>
          </w:p>
        </w:tc>
      </w:tr>
      <w:tr>
        <w:trPr>
          <w:trHeight w:val="22"/>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60,877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48,154</w:t>
            </w:r>
          </w:p>
        </w:tc>
      </w:tr>
      <w:tr>
        <w:trPr>
          <w:trHeight w:val="191"/>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12,954</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392,060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454,020</w:t>
            </w: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income tax assets, noncurrent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20,459</w:t>
            </w:r>
          </w:p>
        </w:tc>
      </w:tr>
      <w:tr>
        <w:trPr>
          <w:trHeight w:val="22"/>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13,682</w:t>
            </w: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13,883</w:t>
            </w:r>
          </w:p>
        </w:tc>
      </w:tr>
      <w:tr>
        <w:trPr>
          <w:trHeight w:val="22"/>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10,144</w:t>
            </w: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4,331</w:t>
            </w:r>
          </w:p>
        </w:tc>
      </w:tr>
      <w:tr>
        <w:trPr>
          <w:trHeight w:val="22"/>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2,957</w:t>
            </w:r>
          </w:p>
        </w:tc>
      </w:tr>
      <w:tr>
        <w:trPr>
          <w:trHeight w:val="203"/>
        </w:trPr>
        <w:tc>
          <w:tcPr>
            <w:tcW w:w="8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494,457</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519,476</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54"/>
        </w:trPr>
        <w:tc>
          <w:tcPr>
            <w:tcW w:w="8220" w:type="dxa"/>
            <w:vAlign w:val="bottom"/>
            <w:tcBorders>
              <w:bottom w:val="single" w:sz="8" w:color="CCEEFF"/>
            </w:tcBorders>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r>
      <w:tr>
        <w:trPr>
          <w:trHeight w:val="191"/>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Trade accounts payable</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4,805</w:t>
            </w:r>
          </w:p>
        </w:tc>
      </w:tr>
      <w:tr>
        <w:trPr>
          <w:trHeight w:val="191"/>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Legal settlement liability, current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w:t>
            </w:r>
          </w:p>
        </w:tc>
      </w:tr>
      <w:tr>
        <w:trPr>
          <w:trHeight w:val="22"/>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21,126</w:t>
            </w:r>
          </w:p>
        </w:tc>
      </w:tr>
      <w:tr>
        <w:trPr>
          <w:trHeight w:val="191"/>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7,960</w:t>
            </w:r>
          </w:p>
        </w:tc>
      </w:tr>
      <w:tr>
        <w:trPr>
          <w:trHeight w:val="22"/>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 current</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12,986</w:t>
            </w:r>
          </w:p>
        </w:tc>
      </w:tr>
      <w:tr>
        <w:trPr>
          <w:trHeight w:val="18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56,226</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49,040</w:t>
            </w:r>
          </w:p>
        </w:tc>
      </w:tr>
      <w:tr>
        <w:trPr>
          <w:trHeight w:val="22"/>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settlement liability, noncurrent</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15,596</w:t>
            </w: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13,124</w:t>
            </w:r>
          </w:p>
        </w:tc>
      </w:tr>
      <w:tr>
        <w:trPr>
          <w:trHeight w:val="22"/>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liability, noncurrent</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12,312</w:t>
            </w: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 term debt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w:t>
            </w:r>
          </w:p>
        </w:tc>
      </w:tr>
      <w:tr>
        <w:trPr>
          <w:trHeight w:val="22"/>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r>
      <w:tr>
        <w:trPr>
          <w:trHeight w:val="18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101,393</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93,930</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2"/>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18)</w:t>
            </w:r>
          </w:p>
        </w:tc>
        <w:tc>
          <w:tcPr>
            <w:tcW w:w="26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76"/>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$0.001 par value; 1,000,000,000 authorized shares as of December 31, 2023 and December 31, 2022, respectively;</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6"/>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130,714,906 and 135,365,381 issued and outstanding shares as of December 31, 2023 and December 31, 2022, respectively.</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423,386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442,887</w:t>
            </w:r>
          </w:p>
        </w:tc>
      </w:tr>
      <w:tr>
        <w:trPr>
          <w:trHeight w:val="22"/>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(17,030)</w:t>
            </w: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r>
      <w:tr>
        <w:trPr>
          <w:trHeight w:val="22"/>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 in consolidated subsidiary</w:t>
            </w: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181"/>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393,064</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425,546</w:t>
            </w:r>
          </w:p>
        </w:tc>
      </w:tr>
      <w:tr>
        <w:trPr>
          <w:trHeight w:val="22"/>
        </w:trPr>
        <w:tc>
          <w:tcPr>
            <w:tcW w:w="8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8"/>
        </w:trPr>
        <w:tc>
          <w:tcPr>
            <w:tcW w:w="82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494,457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519,476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Cytek Biosciences,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 Income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2"/>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9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net: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Product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156,717</w:t>
            </w:r>
          </w:p>
        </w:tc>
        <w:tc>
          <w:tcPr>
            <w:tcW w:w="80" w:type="dxa"/>
            <w:vAlign w:val="bottom"/>
          </w:tcPr>
          <w:p>
            <w:pPr>
              <w:spacing w:after="0"/>
              <w:rPr>
                <w:sz w:val="16"/>
                <w:szCs w:val="16"/>
                <w:color w:val="auto"/>
              </w:rPr>
            </w:pP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148,600</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119,519</w:t>
            </w:r>
          </w:p>
        </w:tc>
      </w:tr>
      <w:tr>
        <w:trPr>
          <w:trHeight w:val="22"/>
        </w:trPr>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8,431</w:t>
            </w:r>
          </w:p>
        </w:tc>
      </w:tr>
      <w:tr>
        <w:trPr>
          <w:trHeight w:val="18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 net</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193,015</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164,036</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127,950</w:t>
            </w:r>
          </w:p>
        </w:tc>
      </w:tr>
      <w:tr>
        <w:trPr>
          <w:trHeight w:val="22"/>
        </w:trPr>
        <w:tc>
          <w:tcPr>
            <w:tcW w:w="6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9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Product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65,327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49,955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37,377</w:t>
            </w:r>
          </w:p>
        </w:tc>
      </w:tr>
      <w:tr>
        <w:trPr>
          <w:trHeight w:val="22"/>
        </w:trPr>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11,429</w:t>
            </w:r>
          </w:p>
        </w:tc>
      </w:tr>
      <w:tr>
        <w:trPr>
          <w:trHeight w:val="18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cost of sales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83,589</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63,062</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48,806</w:t>
            </w:r>
          </w:p>
        </w:tc>
      </w:tr>
      <w:tr>
        <w:trPr>
          <w:trHeight w:val="22"/>
        </w:trPr>
        <w:tc>
          <w:tcPr>
            <w:tcW w:w="6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109,426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100,974</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79,144</w:t>
            </w:r>
          </w:p>
        </w:tc>
      </w:tr>
      <w:tr>
        <w:trPr>
          <w:trHeight w:val="19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
        </w:trPr>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34,858</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24,442</w:t>
            </w:r>
          </w:p>
        </w:tc>
      </w:tr>
      <w:tr>
        <w:trPr>
          <w:trHeight w:val="19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Sales and marketing</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49,148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24,710</w:t>
            </w:r>
          </w:p>
        </w:tc>
      </w:tr>
      <w:tr>
        <w:trPr>
          <w:trHeight w:val="22"/>
        </w:trPr>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20,835</w:t>
            </w:r>
          </w:p>
        </w:tc>
      </w:tr>
      <w:tr>
        <w:trPr>
          <w:trHeight w:val="18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137,271</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102,778</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69,987</w:t>
            </w:r>
          </w:p>
        </w:tc>
      </w:tr>
      <w:tr>
        <w:trPr>
          <w:trHeight w:val="22"/>
        </w:trPr>
        <w:tc>
          <w:tcPr>
            <w:tcW w:w="6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9,157</w:t>
            </w:r>
          </w:p>
        </w:tc>
      </w:tr>
      <w:tr>
        <w:trPr>
          <w:trHeight w:val="19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
        </w:trPr>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w:t>
            </w:r>
          </w:p>
        </w:tc>
      </w:tr>
      <w:tr>
        <w:trPr>
          <w:trHeight w:val="19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2"/>
        </w:trPr>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w:t>
            </w:r>
          </w:p>
        </w:tc>
      </w:tr>
      <w:tr>
        <w:trPr>
          <w:trHeight w:val="18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12,136</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(3,219)</w:t>
            </w:r>
          </w:p>
        </w:tc>
      </w:tr>
      <w:tr>
        <w:trPr>
          <w:trHeight w:val="22"/>
        </w:trPr>
        <w:tc>
          <w:tcPr>
            <w:tcW w:w="6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5,938</w:t>
            </w:r>
          </w:p>
        </w:tc>
      </w:tr>
      <w:tr>
        <w:trPr>
          <w:trHeight w:val="19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2,911</w:t>
            </w:r>
          </w:p>
        </w:tc>
      </w:tr>
      <w:tr>
        <w:trPr>
          <w:trHeight w:val="22"/>
        </w:trPr>
        <w:tc>
          <w:tcPr>
            <w:tcW w:w="6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 income</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6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Less: net loss (income) allocated to noncontrolling interests</w:t>
            </w:r>
          </w:p>
        </w:tc>
        <w:tc>
          <w:tcPr>
            <w:tcW w:w="340" w:type="dxa"/>
            <w:vAlign w:val="bottom"/>
          </w:tcPr>
          <w:p>
            <w:pPr>
              <w:spacing w:after="0"/>
              <w:rPr>
                <w:sz w:val="13"/>
                <w:szCs w:val="13"/>
                <w:color w:val="auto"/>
              </w:rPr>
            </w:pPr>
          </w:p>
        </w:tc>
        <w:tc>
          <w:tcPr>
            <w:tcW w:w="122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(26)</w:t>
            </w:r>
          </w:p>
        </w:tc>
      </w:tr>
      <w:tr>
        <w:trPr>
          <w:trHeight w:val="22"/>
        </w:trPr>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allocated to participating securities</w:t>
            </w:r>
          </w:p>
        </w:tc>
        <w:tc>
          <w:tcPr>
            <w:tcW w:w="3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w:t>
            </w:r>
          </w:p>
        </w:tc>
      </w:tr>
      <w:tr>
        <w:trPr>
          <w:trHeight w:val="203"/>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stockholders, basic and diluted</w:t>
            </w: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(12,148)</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stockholders per share, basic</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stockholders per share, diluted</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tcPr>
          <w:p>
            <w:pPr>
              <w:spacing w:after="0"/>
              <w:rPr>
                <w:sz w:val="15"/>
                <w:szCs w:val="15"/>
                <w:color w:val="auto"/>
              </w:rPr>
            </w:pPr>
          </w:p>
        </w:tc>
        <w:tc>
          <w:tcPr>
            <w:tcW w:w="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calculating net income per share, basic</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135,283,044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134,510,831</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76,741,858</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calculating net income per share, diluted</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135,283,044</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138,562,111</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81,542,729</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4"/>
        </w:trPr>
        <w:tc>
          <w:tcPr>
            <w:tcW w:w="6660" w:type="dxa"/>
            <w:vAlign w:val="bottom"/>
            <w:tcBorders>
              <w:bottom w:val="single" w:sz="8" w:color="CCEEFF"/>
            </w:tcBorders>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color w:val="auto"/>
              </w:rPr>
              <w:t>Comprehensive (loss) income:</w:t>
            </w: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r>
      <w:tr>
        <w:trPr>
          <w:trHeight w:val="19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(12,148)</w:t>
            </w:r>
          </w:p>
        </w:tc>
        <w:tc>
          <w:tcPr>
            <w:tcW w:w="80" w:type="dxa"/>
            <w:vAlign w:val="bottom"/>
          </w:tcPr>
          <w:p>
            <w:pPr>
              <w:spacing w:after="0"/>
              <w:rPr>
                <w:sz w:val="16"/>
                <w:szCs w:val="16"/>
                <w:color w:val="auto"/>
              </w:rPr>
            </w:pP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w:t>
            </w:r>
          </w:p>
        </w:tc>
      </w:tr>
      <w:tr>
        <w:trPr>
          <w:trHeight w:val="22"/>
        </w:trPr>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 net of tax</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r>
      <w:tr>
        <w:trPr>
          <w:trHeight w:val="19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Unrealized (loss) gain on marketable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comprehensive (loss) income</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3,859</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Cytek Biosciences,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Consolidated Statements of Redeemable Convertible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 and Stockholders’ Equity (Deficit)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600" w:type="dxa"/>
            <w:vAlign w:val="bottom"/>
          </w:tcPr>
          <w:p>
            <w:pPr>
              <w:spacing w:after="0"/>
              <w:rPr>
                <w:sz w:val="11"/>
                <w:szCs w:val="11"/>
                <w:color w:val="auto"/>
              </w:rPr>
            </w:pPr>
          </w:p>
        </w:tc>
        <w:tc>
          <w:tcPr>
            <w:tcW w:w="1760" w:type="dxa"/>
            <w:vAlign w:val="bottom"/>
            <w:tcBorders>
              <w:right w:val="single" w:sz="8" w:color="auto"/>
            </w:tcBorders>
            <w:gridSpan w:val="2"/>
            <w:vMerge w:val="restart"/>
          </w:tcPr>
          <w:p>
            <w:pPr>
              <w:jc w:val="right"/>
              <w:ind w:right="371"/>
              <w:spacing w:after="0"/>
              <w:rPr>
                <w:sz w:val="20"/>
                <w:szCs w:val="20"/>
                <w:color w:val="auto"/>
              </w:rPr>
            </w:pPr>
            <w:r>
              <w:rPr>
                <w:rFonts w:ascii="Times New Roman" w:cs="Times New Roman" w:eastAsia="Times New Roman" w:hAnsi="Times New Roman"/>
                <w:sz w:val="10"/>
                <w:szCs w:val="10"/>
                <w:b w:val="1"/>
                <w:bCs w:val="1"/>
                <w:color w:val="auto"/>
              </w:rPr>
              <w:t>Redeemable convertible</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 w:type="dxa"/>
            <w:vAlign w:val="bottom"/>
          </w:tcPr>
          <w:p>
            <w:pPr>
              <w:spacing w:after="0"/>
              <w:rPr>
                <w:sz w:val="11"/>
                <w:szCs w:val="11"/>
                <w:color w:val="auto"/>
              </w:rPr>
            </w:pPr>
          </w:p>
        </w:tc>
        <w:tc>
          <w:tcPr>
            <w:tcW w:w="820" w:type="dxa"/>
            <w:vAlign w:val="bottom"/>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w w:val="99"/>
              </w:rPr>
              <w:t>Noncontrolling</w:t>
            </w:r>
          </w:p>
        </w:tc>
        <w:tc>
          <w:tcPr>
            <w:tcW w:w="100" w:type="dxa"/>
            <w:vAlign w:val="bottom"/>
          </w:tcPr>
          <w:p>
            <w:pPr>
              <w:spacing w:after="0"/>
              <w:rPr>
                <w:sz w:val="11"/>
                <w:szCs w:val="11"/>
                <w:color w:val="auto"/>
              </w:rPr>
            </w:pPr>
          </w:p>
        </w:tc>
        <w:tc>
          <w:tcPr>
            <w:tcW w:w="740" w:type="dxa"/>
            <w:vAlign w:val="bottom"/>
            <w:vMerge w:val="restart"/>
          </w:tcPr>
          <w:p>
            <w:pPr>
              <w:jc w:val="center"/>
              <w:ind w:right="71"/>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64"/>
        </w:trPr>
        <w:tc>
          <w:tcPr>
            <w:tcW w:w="3600" w:type="dxa"/>
            <w:vAlign w:val="bottom"/>
          </w:tcPr>
          <w:p>
            <w:pPr>
              <w:spacing w:after="0"/>
              <w:rPr>
                <w:sz w:val="5"/>
                <w:szCs w:val="5"/>
                <w:color w:val="auto"/>
              </w:rPr>
            </w:pPr>
          </w:p>
        </w:tc>
        <w:tc>
          <w:tcPr>
            <w:tcW w:w="1760" w:type="dxa"/>
            <w:vAlign w:val="bottom"/>
            <w:tcBorders>
              <w:right w:val="single" w:sz="8" w:color="auto"/>
            </w:tcBorders>
            <w:gridSpan w:val="2"/>
            <w:vMerge w:val="continue"/>
          </w:tcPr>
          <w:p>
            <w:pPr>
              <w:spacing w:after="0"/>
              <w:rPr>
                <w:sz w:val="5"/>
                <w:szCs w:val="5"/>
                <w:color w:val="auto"/>
              </w:rPr>
            </w:pPr>
          </w:p>
        </w:tc>
        <w:tc>
          <w:tcPr>
            <w:tcW w:w="1660" w:type="dxa"/>
            <w:vAlign w:val="bottom"/>
            <w:gridSpan w:val="3"/>
            <w:vMerge w:val="restart"/>
          </w:tcPr>
          <w:p>
            <w:pPr>
              <w:jc w:val="right"/>
              <w:ind w:right="471"/>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vMerge w:val="restart"/>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100" w:type="dxa"/>
            <w:vAlign w:val="bottom"/>
          </w:tcPr>
          <w:p>
            <w:pPr>
              <w:spacing w:after="0"/>
              <w:rPr>
                <w:sz w:val="5"/>
                <w:szCs w:val="5"/>
                <w:color w:val="auto"/>
              </w:rPr>
            </w:pPr>
          </w:p>
        </w:tc>
        <w:tc>
          <w:tcPr>
            <w:tcW w:w="820" w:type="dxa"/>
            <w:vAlign w:val="bottom"/>
            <w:vMerge w:val="restart"/>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7"/>
              </w:rPr>
              <w:t>interest in</w:t>
            </w:r>
          </w:p>
        </w:tc>
        <w:tc>
          <w:tcPr>
            <w:tcW w:w="1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3600" w:type="dxa"/>
            <w:vAlign w:val="bottom"/>
          </w:tcPr>
          <w:p>
            <w:pPr>
              <w:spacing w:after="0"/>
              <w:rPr>
                <w:sz w:val="4"/>
                <w:szCs w:val="4"/>
                <w:color w:val="auto"/>
              </w:rPr>
            </w:pPr>
          </w:p>
        </w:tc>
        <w:tc>
          <w:tcPr>
            <w:tcW w:w="1760" w:type="dxa"/>
            <w:vAlign w:val="bottom"/>
            <w:tcBorders>
              <w:right w:val="single" w:sz="8" w:color="auto"/>
            </w:tcBorders>
            <w:gridSpan w:val="2"/>
            <w:vMerge w:val="restart"/>
          </w:tcPr>
          <w:p>
            <w:pPr>
              <w:jc w:val="right"/>
              <w:ind w:right="551"/>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16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1760" w:type="dxa"/>
            <w:vAlign w:val="bottom"/>
            <w:tcBorders>
              <w:bottom w:val="single" w:sz="8" w:color="auto"/>
              <w:right w:val="single" w:sz="8" w:color="auto"/>
            </w:tcBorders>
            <w:gridSpan w:val="2"/>
            <w:vMerge w:val="continue"/>
          </w:tcPr>
          <w:p>
            <w:pPr>
              <w:spacing w:after="0"/>
              <w:rPr>
                <w:sz w:val="7"/>
                <w:szCs w:val="7"/>
                <w:color w:val="auto"/>
              </w:rPr>
            </w:pPr>
          </w:p>
        </w:tc>
        <w:tc>
          <w:tcPr>
            <w:tcW w:w="1660" w:type="dxa"/>
            <w:vAlign w:val="bottom"/>
            <w:tcBorders>
              <w:bottom w:val="single" w:sz="8" w:color="auto"/>
            </w:tcBorders>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ind w:right="231"/>
              <w:spacing w:after="0" w:line="80" w:lineRule="exact"/>
              <w:rPr>
                <w:sz w:val="20"/>
                <w:szCs w:val="20"/>
                <w:color w:val="auto"/>
              </w:rPr>
            </w:pPr>
            <w:r>
              <w:rPr>
                <w:rFonts w:ascii="Times New Roman" w:cs="Times New Roman" w:eastAsia="Times New Roman" w:hAnsi="Times New Roman"/>
                <w:sz w:val="9"/>
                <w:szCs w:val="9"/>
                <w:b w:val="1"/>
                <w:bCs w:val="1"/>
                <w:color w:val="auto"/>
              </w:rPr>
              <w:t>paid-in</w:t>
            </w:r>
          </w:p>
        </w:tc>
        <w:tc>
          <w:tcPr>
            <w:tcW w:w="100" w:type="dxa"/>
            <w:vAlign w:val="bottom"/>
          </w:tcPr>
          <w:p>
            <w:pPr>
              <w:spacing w:after="0"/>
              <w:rPr>
                <w:sz w:val="7"/>
                <w:szCs w:val="7"/>
                <w:color w:val="auto"/>
              </w:rPr>
            </w:pPr>
          </w:p>
        </w:tc>
        <w:tc>
          <w:tcPr>
            <w:tcW w:w="740" w:type="dxa"/>
            <w:vAlign w:val="bottom"/>
          </w:tcPr>
          <w:p>
            <w:pPr>
              <w:jc w:val="right"/>
              <w:ind w:right="111"/>
              <w:spacing w:after="0" w:line="80"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80" w:type="dxa"/>
            <w:vAlign w:val="bottom"/>
          </w:tcPr>
          <w:p>
            <w:pPr>
              <w:spacing w:after="0"/>
              <w:rPr>
                <w:sz w:val="7"/>
                <w:szCs w:val="7"/>
                <w:color w:val="auto"/>
              </w:rPr>
            </w:pPr>
          </w:p>
        </w:tc>
        <w:tc>
          <w:tcPr>
            <w:tcW w:w="740" w:type="dxa"/>
            <w:vAlign w:val="bottom"/>
          </w:tcPr>
          <w:p>
            <w:pPr>
              <w:jc w:val="center"/>
              <w:ind w:right="31"/>
              <w:spacing w:after="0" w:line="80"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100" w:type="dxa"/>
            <w:vAlign w:val="bottom"/>
          </w:tcPr>
          <w:p>
            <w:pPr>
              <w:spacing w:after="0"/>
              <w:rPr>
                <w:sz w:val="7"/>
                <w:szCs w:val="7"/>
                <w:color w:val="auto"/>
              </w:rPr>
            </w:pPr>
          </w:p>
        </w:tc>
        <w:tc>
          <w:tcPr>
            <w:tcW w:w="820" w:type="dxa"/>
            <w:vAlign w:val="bottom"/>
          </w:tcPr>
          <w:p>
            <w:pPr>
              <w:jc w:val="center"/>
              <w:ind w:right="51"/>
              <w:spacing w:after="0" w:line="80" w:lineRule="exact"/>
              <w:rPr>
                <w:sz w:val="20"/>
                <w:szCs w:val="20"/>
                <w:color w:val="auto"/>
              </w:rPr>
            </w:pPr>
            <w:r>
              <w:rPr>
                <w:rFonts w:ascii="Times New Roman" w:cs="Times New Roman" w:eastAsia="Times New Roman" w:hAnsi="Times New Roman"/>
                <w:sz w:val="9"/>
                <w:szCs w:val="9"/>
                <w:b w:val="1"/>
                <w:bCs w:val="1"/>
                <w:color w:val="auto"/>
              </w:rPr>
              <w:t>consolidated</w:t>
            </w:r>
          </w:p>
        </w:tc>
        <w:tc>
          <w:tcPr>
            <w:tcW w:w="100" w:type="dxa"/>
            <w:vAlign w:val="bottom"/>
          </w:tcPr>
          <w:p>
            <w:pPr>
              <w:spacing w:after="0"/>
              <w:rPr>
                <w:sz w:val="7"/>
                <w:szCs w:val="7"/>
                <w:color w:val="auto"/>
              </w:rPr>
            </w:pPr>
          </w:p>
        </w:tc>
        <w:tc>
          <w:tcPr>
            <w:tcW w:w="740" w:type="dxa"/>
            <w:vAlign w:val="bottom"/>
          </w:tcPr>
          <w:p>
            <w:pPr>
              <w:jc w:val="center"/>
              <w:ind w:right="71"/>
              <w:spacing w:after="0" w:line="80" w:lineRule="exact"/>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160"/>
        </w:trPr>
        <w:tc>
          <w:tcPr>
            <w:tcW w:w="36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0"/>
                <w:szCs w:val="10"/>
                <w:b w:val="1"/>
                <w:bCs w:val="1"/>
                <w:color w:val="auto"/>
              </w:rPr>
              <w:t>(In thousands, except share data)</w:t>
            </w: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60" w:type="dxa"/>
            <w:vAlign w:val="bottom"/>
            <w:tcBorders>
              <w:bottom w:val="single" w:sz="8" w:color="auto"/>
              <w:right w:val="single" w:sz="8" w:color="auto"/>
            </w:tcBorders>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7"/>
              </w:rPr>
              <w:t>(loss) income</w:t>
            </w: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subsidiary</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9"/>
              </w:rPr>
              <w:t>equity (deficit)</w:t>
            </w:r>
          </w:p>
        </w:tc>
        <w:tc>
          <w:tcPr>
            <w:tcW w:w="0" w:type="dxa"/>
            <w:vAlign w:val="bottom"/>
          </w:tcPr>
          <w:p>
            <w:pPr>
              <w:spacing w:after="0"/>
              <w:rPr>
                <w:sz w:val="1"/>
                <w:szCs w:val="1"/>
                <w:color w:val="auto"/>
              </w:rPr>
            </w:pPr>
          </w:p>
        </w:tc>
      </w:tr>
      <w:tr>
        <w:trPr>
          <w:trHeight w:val="136"/>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Balances at December 31, 2020</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87,268,694 $</w:t>
            </w:r>
          </w:p>
        </w:tc>
        <w:tc>
          <w:tcPr>
            <w:tcW w:w="760" w:type="dxa"/>
            <w:vAlign w:val="bottom"/>
            <w:tcBorders>
              <w:bottom w:val="single" w:sz="8" w:color="CCEEFF"/>
              <w:right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194,319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31,241,916</w:t>
            </w: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6,491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(22,607)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(16,028)</w:t>
            </w:r>
          </w:p>
        </w:tc>
        <w:tc>
          <w:tcPr>
            <w:tcW w:w="0" w:type="dxa"/>
            <w:vAlign w:val="bottom"/>
          </w:tcPr>
          <w:p>
            <w:pPr>
              <w:spacing w:after="0"/>
              <w:rPr>
                <w:sz w:val="1"/>
                <w:szCs w:val="1"/>
                <w:color w:val="auto"/>
              </w:rPr>
            </w:pPr>
          </w:p>
        </w:tc>
      </w:tr>
      <w:tr>
        <w:trPr>
          <w:trHeight w:val="136"/>
        </w:trPr>
        <w:tc>
          <w:tcPr>
            <w:tcW w:w="3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10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1,289,652</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642</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644</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10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6,586</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6,586</w:t>
            </w:r>
          </w:p>
        </w:tc>
        <w:tc>
          <w:tcPr>
            <w:tcW w:w="0" w:type="dxa"/>
            <w:vAlign w:val="bottom"/>
          </w:tcPr>
          <w:p>
            <w:pPr>
              <w:spacing w:after="0"/>
              <w:rPr>
                <w:sz w:val="1"/>
                <w:szCs w:val="1"/>
                <w:color w:val="auto"/>
              </w:rPr>
            </w:pPr>
          </w:p>
        </w:tc>
      </w:tr>
      <w:tr>
        <w:trPr>
          <w:trHeight w:val="135"/>
        </w:trPr>
        <w:tc>
          <w:tcPr>
            <w:tcW w:w="360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9"/>
              </w:rPr>
              <w:t>Issuance of common stock upon initial public offering, net of underwriting discounts and</w:t>
            </w:r>
          </w:p>
        </w:tc>
        <w:tc>
          <w:tcPr>
            <w:tcW w:w="10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13,949,401</w:t>
            </w:r>
          </w:p>
        </w:tc>
        <w:tc>
          <w:tcPr>
            <w:tcW w:w="1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215,675</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215,689</w:t>
            </w:r>
          </w:p>
        </w:tc>
        <w:tc>
          <w:tcPr>
            <w:tcW w:w="0" w:type="dxa"/>
            <w:vAlign w:val="bottom"/>
          </w:tcPr>
          <w:p>
            <w:pPr>
              <w:spacing w:after="0"/>
              <w:rPr>
                <w:sz w:val="1"/>
                <w:szCs w:val="1"/>
                <w:color w:val="auto"/>
              </w:rPr>
            </w:pPr>
          </w:p>
        </w:tc>
      </w:tr>
      <w:tr>
        <w:trPr>
          <w:trHeight w:val="134"/>
        </w:trPr>
        <w:tc>
          <w:tcPr>
            <w:tcW w:w="3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commissions and other offering costs</w:t>
            </w:r>
          </w:p>
        </w:tc>
        <w:tc>
          <w:tcPr>
            <w:tcW w:w="10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Conversion of redeemable convertible preferred stock to common stock upon initial</w:t>
            </w:r>
          </w:p>
        </w:tc>
        <w:tc>
          <w:tcPr>
            <w:tcW w:w="100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(87,268,694)</w:t>
            </w:r>
          </w:p>
        </w:tc>
        <w:tc>
          <w:tcPr>
            <w:tcW w:w="760" w:type="dxa"/>
            <w:vAlign w:val="bottom"/>
            <w:tcBorders>
              <w:right w:val="single" w:sz="8" w:color="auto"/>
            </w:tcBorders>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(194,319)</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87,268,694</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194,231</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194,318</w:t>
            </w:r>
          </w:p>
        </w:tc>
        <w:tc>
          <w:tcPr>
            <w:tcW w:w="0" w:type="dxa"/>
            <w:vAlign w:val="bottom"/>
          </w:tcPr>
          <w:p>
            <w:pPr>
              <w:spacing w:after="0"/>
              <w:rPr>
                <w:sz w:val="1"/>
                <w:szCs w:val="1"/>
                <w:color w:val="auto"/>
              </w:rPr>
            </w:pPr>
          </w:p>
        </w:tc>
      </w:tr>
      <w:tr>
        <w:trPr>
          <w:trHeight w:val="14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public offering</w:t>
            </w:r>
          </w:p>
        </w:tc>
        <w:tc>
          <w:tcPr>
            <w:tcW w:w="1000" w:type="dxa"/>
            <w:vAlign w:val="bottom"/>
            <w:vMerge w:val="continue"/>
            <w:shd w:val="clear" w:color="auto" w:fill="CCEEFF"/>
          </w:tcPr>
          <w:p>
            <w:pPr>
              <w:spacing w:after="0"/>
              <w:rPr>
                <w:sz w:val="12"/>
                <w:szCs w:val="12"/>
                <w:color w:val="auto"/>
              </w:rPr>
            </w:pPr>
          </w:p>
        </w:tc>
        <w:tc>
          <w:tcPr>
            <w:tcW w:w="760" w:type="dxa"/>
            <w:vAlign w:val="bottom"/>
            <w:tcBorders>
              <w:right w:val="single" w:sz="8" w:color="auto"/>
            </w:tcBorders>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Foreign currency translation adjustment, net of tax</w:t>
            </w:r>
          </w:p>
        </w:tc>
        <w:tc>
          <w:tcPr>
            <w:tcW w:w="10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832</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832</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Noncontrolling interest</w:t>
            </w:r>
          </w:p>
        </w:tc>
        <w:tc>
          <w:tcPr>
            <w:tcW w:w="10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317</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317</w:t>
            </w:r>
          </w:p>
        </w:tc>
        <w:tc>
          <w:tcPr>
            <w:tcW w:w="0" w:type="dxa"/>
            <w:vAlign w:val="bottom"/>
          </w:tcPr>
          <w:p>
            <w:pPr>
              <w:spacing w:after="0"/>
              <w:rPr>
                <w:sz w:val="1"/>
                <w:szCs w:val="1"/>
                <w:color w:val="auto"/>
              </w:rPr>
            </w:pPr>
          </w:p>
        </w:tc>
      </w:tr>
      <w:tr>
        <w:trPr>
          <w:trHeight w:val="136"/>
        </w:trPr>
        <w:tc>
          <w:tcPr>
            <w:tcW w:w="3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income</w:t>
            </w:r>
          </w:p>
        </w:tc>
        <w:tc>
          <w:tcPr>
            <w:tcW w:w="10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3,001</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3,027</w:t>
            </w:r>
          </w:p>
        </w:tc>
        <w:tc>
          <w:tcPr>
            <w:tcW w:w="0" w:type="dxa"/>
            <w:vAlign w:val="bottom"/>
          </w:tcPr>
          <w:p>
            <w:pPr>
              <w:spacing w:after="0"/>
              <w:rPr>
                <w:sz w:val="1"/>
                <w:szCs w:val="1"/>
                <w:color w:val="auto"/>
              </w:rPr>
            </w:pPr>
          </w:p>
        </w:tc>
      </w:tr>
      <w:tr>
        <w:trPr>
          <w:trHeight w:val="23"/>
        </w:trPr>
        <w:tc>
          <w:tcPr>
            <w:tcW w:w="3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Balances at December 31, 2021</w:t>
            </w: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auto"/>
              <w:right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133,749,663</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423,625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(19,606)</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405,385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600" w:type="dxa"/>
            <w:vAlign w:val="bottom"/>
          </w:tcPr>
          <w:p>
            <w:pPr>
              <w:ind w:left="20"/>
              <w:spacing w:after="0" w:line="100" w:lineRule="exact"/>
              <w:rPr>
                <w:sz w:val="20"/>
                <w:szCs w:val="20"/>
                <w:color w:val="auto"/>
              </w:rPr>
            </w:pPr>
            <w:r>
              <w:rPr>
                <w:rFonts w:ascii="Times New Roman" w:cs="Times New Roman" w:eastAsia="Times New Roman" w:hAnsi="Times New Roman"/>
                <w:sz w:val="10"/>
                <w:szCs w:val="10"/>
                <w:color w:val="auto"/>
              </w:rPr>
              <w:t>Shares issued in connection with employee stock plans</w:t>
            </w:r>
          </w:p>
        </w:tc>
        <w:tc>
          <w:tcPr>
            <w:tcW w:w="10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2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1,632,467</w:t>
            </w:r>
          </w:p>
        </w:tc>
        <w:tc>
          <w:tcPr>
            <w:tcW w:w="160" w:type="dxa"/>
            <w:vAlign w:val="bottom"/>
          </w:tcPr>
          <w:p>
            <w:pPr>
              <w:spacing w:after="0"/>
              <w:rPr>
                <w:sz w:val="10"/>
                <w:szCs w:val="10"/>
                <w:color w:val="auto"/>
              </w:rPr>
            </w:pPr>
          </w:p>
        </w:tc>
        <w:tc>
          <w:tcPr>
            <w:tcW w:w="68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9</w:t>
            </w:r>
          </w:p>
        </w:tc>
        <w:tc>
          <w:tcPr>
            <w:tcW w:w="120" w:type="dxa"/>
            <w:vAlign w:val="bottom"/>
          </w:tcPr>
          <w:p>
            <w:pPr>
              <w:spacing w:after="0"/>
              <w:rPr>
                <w:sz w:val="10"/>
                <w:szCs w:val="10"/>
                <w:color w:val="auto"/>
              </w:rPr>
            </w:pPr>
          </w:p>
        </w:tc>
        <w:tc>
          <w:tcPr>
            <w:tcW w:w="72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2,876</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2,885</w:t>
            </w:r>
          </w:p>
        </w:tc>
        <w:tc>
          <w:tcPr>
            <w:tcW w:w="0" w:type="dxa"/>
            <w:vAlign w:val="bottom"/>
          </w:tcPr>
          <w:p>
            <w:pPr>
              <w:spacing w:after="0"/>
              <w:rPr>
                <w:sz w:val="1"/>
                <w:szCs w:val="1"/>
                <w:color w:val="auto"/>
              </w:rPr>
            </w:pPr>
          </w:p>
        </w:tc>
      </w:tr>
      <w:tr>
        <w:trPr>
          <w:trHeight w:val="13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Shares of Common Stock withheld related to net share settlement</w:t>
            </w:r>
          </w:p>
        </w:tc>
        <w:tc>
          <w:tcPr>
            <w:tcW w:w="10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(16,749)</w:t>
            </w:r>
          </w:p>
        </w:tc>
        <w:tc>
          <w:tcPr>
            <w:tcW w:w="1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w:t>
            </w:r>
          </w:p>
        </w:tc>
        <w:tc>
          <w:tcPr>
            <w:tcW w:w="0" w:type="dxa"/>
            <w:vAlign w:val="bottom"/>
          </w:tcPr>
          <w:p>
            <w:pPr>
              <w:spacing w:after="0"/>
              <w:rPr>
                <w:sz w:val="1"/>
                <w:szCs w:val="1"/>
                <w:color w:val="auto"/>
              </w:rPr>
            </w:pPr>
          </w:p>
        </w:tc>
      </w:tr>
      <w:tr>
        <w:trPr>
          <w:trHeight w:val="136"/>
        </w:trPr>
        <w:tc>
          <w:tcPr>
            <w:tcW w:w="3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10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16,595</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16,595</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Unrealized gain on marketable securities</w:t>
            </w:r>
          </w:p>
        </w:tc>
        <w:tc>
          <w:tcPr>
            <w:tcW w:w="10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0" w:type="dxa"/>
            <w:vAlign w:val="bottom"/>
          </w:tcPr>
          <w:p>
            <w:pPr>
              <w:spacing w:after="0"/>
              <w:rPr>
                <w:sz w:val="1"/>
                <w:szCs w:val="1"/>
                <w:color w:val="auto"/>
              </w:rPr>
            </w:pPr>
          </w:p>
        </w:tc>
      </w:tr>
      <w:tr>
        <w:trPr>
          <w:trHeight w:val="136"/>
        </w:trPr>
        <w:tc>
          <w:tcPr>
            <w:tcW w:w="3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Foreign currency translation adjustment, net of tax</w:t>
            </w:r>
          </w:p>
        </w:tc>
        <w:tc>
          <w:tcPr>
            <w:tcW w:w="10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(1,611)</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(1,611)</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w:t>
            </w:r>
          </w:p>
        </w:tc>
        <w:tc>
          <w:tcPr>
            <w:tcW w:w="10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2,576</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2,576</w:t>
            </w:r>
          </w:p>
        </w:tc>
        <w:tc>
          <w:tcPr>
            <w:tcW w:w="0" w:type="dxa"/>
            <w:vAlign w:val="bottom"/>
          </w:tcPr>
          <w:p>
            <w:pPr>
              <w:spacing w:after="0"/>
              <w:rPr>
                <w:sz w:val="1"/>
                <w:szCs w:val="1"/>
                <w:color w:val="auto"/>
              </w:rPr>
            </w:pPr>
          </w:p>
        </w:tc>
      </w:tr>
      <w:tr>
        <w:trPr>
          <w:trHeight w:val="136"/>
        </w:trPr>
        <w:tc>
          <w:tcPr>
            <w:tcW w:w="3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Noncontrolling interest</w:t>
            </w:r>
          </w:p>
        </w:tc>
        <w:tc>
          <w:tcPr>
            <w:tcW w:w="10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w:t>
            </w:r>
          </w:p>
        </w:tc>
        <w:tc>
          <w:tcPr>
            <w:tcW w:w="0" w:type="dxa"/>
            <w:vAlign w:val="bottom"/>
          </w:tcPr>
          <w:p>
            <w:pPr>
              <w:spacing w:after="0"/>
              <w:rPr>
                <w:sz w:val="1"/>
                <w:szCs w:val="1"/>
                <w:color w:val="auto"/>
              </w:rPr>
            </w:pPr>
          </w:p>
        </w:tc>
      </w:tr>
      <w:tr>
        <w:trPr>
          <w:trHeight w:val="23"/>
        </w:trPr>
        <w:tc>
          <w:tcPr>
            <w:tcW w:w="3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Balances at December 31, 2022</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Borders>
              <w:bottom w:val="single" w:sz="8" w:color="auto"/>
              <w:right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135,365,381</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442,887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(17,030)</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425,546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3600" w:type="dxa"/>
            <w:vAlign w:val="bottom"/>
          </w:tcPr>
          <w:p>
            <w:pPr>
              <w:ind w:left="20"/>
              <w:spacing w:after="0" w:line="100" w:lineRule="exact"/>
              <w:rPr>
                <w:sz w:val="20"/>
                <w:szCs w:val="20"/>
                <w:color w:val="auto"/>
              </w:rPr>
            </w:pPr>
            <w:r>
              <w:rPr>
                <w:rFonts w:ascii="Times New Roman" w:cs="Times New Roman" w:eastAsia="Times New Roman" w:hAnsi="Times New Roman"/>
                <w:sz w:val="10"/>
                <w:szCs w:val="10"/>
                <w:color w:val="auto"/>
              </w:rPr>
              <w:t>Shares issued in connection with employee stock plans</w:t>
            </w:r>
          </w:p>
        </w:tc>
        <w:tc>
          <w:tcPr>
            <w:tcW w:w="100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2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1,723,511</w:t>
            </w:r>
          </w:p>
        </w:tc>
        <w:tc>
          <w:tcPr>
            <w:tcW w:w="160" w:type="dxa"/>
            <w:vAlign w:val="bottom"/>
          </w:tcPr>
          <w:p>
            <w:pPr>
              <w:spacing w:after="0"/>
              <w:rPr>
                <w:sz w:val="8"/>
                <w:szCs w:val="8"/>
                <w:color w:val="auto"/>
              </w:rPr>
            </w:pPr>
          </w:p>
        </w:tc>
        <w:tc>
          <w:tcPr>
            <w:tcW w:w="68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2</w:t>
            </w:r>
          </w:p>
        </w:tc>
        <w:tc>
          <w:tcPr>
            <w:tcW w:w="120" w:type="dxa"/>
            <w:vAlign w:val="bottom"/>
          </w:tcPr>
          <w:p>
            <w:pPr>
              <w:spacing w:after="0"/>
              <w:rPr>
                <w:sz w:val="8"/>
                <w:szCs w:val="8"/>
                <w:color w:val="auto"/>
              </w:rPr>
            </w:pPr>
          </w:p>
        </w:tc>
        <w:tc>
          <w:tcPr>
            <w:tcW w:w="72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1,465</w:t>
            </w: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auto"/>
              </w:rPr>
              <w:t>1,467</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Employee Stock Purchase Plan</w:t>
            </w:r>
          </w:p>
        </w:tc>
        <w:tc>
          <w:tcPr>
            <w:tcW w:w="10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296,236</w:t>
            </w:r>
          </w:p>
        </w:tc>
        <w:tc>
          <w:tcPr>
            <w:tcW w:w="1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1,855</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1,855</w:t>
            </w:r>
          </w:p>
        </w:tc>
        <w:tc>
          <w:tcPr>
            <w:tcW w:w="0" w:type="dxa"/>
            <w:vAlign w:val="bottom"/>
          </w:tcPr>
          <w:p>
            <w:pPr>
              <w:spacing w:after="0"/>
              <w:rPr>
                <w:sz w:val="1"/>
                <w:szCs w:val="1"/>
                <w:color w:val="auto"/>
              </w:rPr>
            </w:pPr>
          </w:p>
        </w:tc>
      </w:tr>
      <w:tr>
        <w:trPr>
          <w:trHeight w:val="136"/>
        </w:trPr>
        <w:tc>
          <w:tcPr>
            <w:tcW w:w="3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Shares of Common Stock withheld related to net share settlement</w:t>
            </w:r>
          </w:p>
        </w:tc>
        <w:tc>
          <w:tcPr>
            <w:tcW w:w="10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(56,442)</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(419)</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(419)</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Repurchase of shares</w:t>
            </w:r>
          </w:p>
        </w:tc>
        <w:tc>
          <w:tcPr>
            <w:tcW w:w="10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(6,613,780)</w:t>
            </w:r>
          </w:p>
        </w:tc>
        <w:tc>
          <w:tcPr>
            <w:tcW w:w="1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(44,465)</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(44,471)</w:t>
            </w:r>
          </w:p>
        </w:tc>
        <w:tc>
          <w:tcPr>
            <w:tcW w:w="0" w:type="dxa"/>
            <w:vAlign w:val="bottom"/>
          </w:tcPr>
          <w:p>
            <w:pPr>
              <w:spacing w:after="0"/>
              <w:rPr>
                <w:sz w:val="1"/>
                <w:szCs w:val="1"/>
                <w:color w:val="auto"/>
              </w:rPr>
            </w:pPr>
          </w:p>
        </w:tc>
      </w:tr>
      <w:tr>
        <w:trPr>
          <w:trHeight w:val="136"/>
        </w:trPr>
        <w:tc>
          <w:tcPr>
            <w:tcW w:w="3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10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22,048</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22,048</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Noncontrolling interest</w:t>
            </w:r>
          </w:p>
        </w:tc>
        <w:tc>
          <w:tcPr>
            <w:tcW w:w="10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(251)</w:t>
            </w: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(236)</w:t>
            </w:r>
          </w:p>
        </w:tc>
        <w:tc>
          <w:tcPr>
            <w:tcW w:w="0" w:type="dxa"/>
            <w:vAlign w:val="bottom"/>
          </w:tcPr>
          <w:p>
            <w:pPr>
              <w:spacing w:after="0"/>
              <w:rPr>
                <w:sz w:val="1"/>
                <w:szCs w:val="1"/>
                <w:color w:val="auto"/>
              </w:rPr>
            </w:pPr>
          </w:p>
        </w:tc>
      </w:tr>
      <w:tr>
        <w:trPr>
          <w:trHeight w:val="136"/>
        </w:trPr>
        <w:tc>
          <w:tcPr>
            <w:tcW w:w="3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Unrealized loss on marketable securities</w:t>
            </w:r>
          </w:p>
        </w:tc>
        <w:tc>
          <w:tcPr>
            <w:tcW w:w="10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Foreign currency translation adjustment, net of tax</w:t>
            </w:r>
          </w:p>
        </w:tc>
        <w:tc>
          <w:tcPr>
            <w:tcW w:w="10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(549)</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(549)</w:t>
            </w:r>
          </w:p>
        </w:tc>
        <w:tc>
          <w:tcPr>
            <w:tcW w:w="0" w:type="dxa"/>
            <w:vAlign w:val="bottom"/>
          </w:tcPr>
          <w:p>
            <w:pPr>
              <w:spacing w:after="0"/>
              <w:rPr>
                <w:sz w:val="1"/>
                <w:szCs w:val="1"/>
                <w:color w:val="auto"/>
              </w:rPr>
            </w:pPr>
          </w:p>
        </w:tc>
      </w:tr>
      <w:tr>
        <w:trPr>
          <w:trHeight w:val="136"/>
        </w:trPr>
        <w:tc>
          <w:tcPr>
            <w:tcW w:w="3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10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(12,148)</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(12,148)</w:t>
            </w:r>
          </w:p>
        </w:tc>
        <w:tc>
          <w:tcPr>
            <w:tcW w:w="0" w:type="dxa"/>
            <w:vAlign w:val="bottom"/>
          </w:tcPr>
          <w:p>
            <w:pPr>
              <w:spacing w:after="0"/>
              <w:rPr>
                <w:sz w:val="1"/>
                <w:szCs w:val="1"/>
                <w:color w:val="auto"/>
              </w:rPr>
            </w:pPr>
          </w:p>
        </w:tc>
      </w:tr>
      <w:tr>
        <w:trPr>
          <w:trHeight w:val="23"/>
        </w:trPr>
        <w:tc>
          <w:tcPr>
            <w:tcW w:w="3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Balances at December 31, 2023</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 $</w:t>
            </w:r>
          </w:p>
        </w:tc>
        <w:tc>
          <w:tcPr>
            <w:tcW w:w="760" w:type="dxa"/>
            <w:vAlign w:val="bottom"/>
            <w:tcBorders>
              <w:bottom w:val="single" w:sz="8" w:color="auto"/>
              <w:right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130,714,906</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131</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423,386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(29,178)</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393,064</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Cytek Biosciences,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6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666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60" w:type="dxa"/>
            <w:vAlign w:val="bottom"/>
          </w:tcPr>
          <w:p>
            <w:pPr>
              <w:spacing w:after="0"/>
              <w:rPr>
                <w:sz w:val="11"/>
                <w:szCs w:val="11"/>
                <w:color w:val="auto"/>
              </w:rPr>
            </w:pPr>
          </w:p>
        </w:tc>
        <w:tc>
          <w:tcPr>
            <w:tcW w:w="1120" w:type="dxa"/>
            <w:vAlign w:val="bottom"/>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23"/>
        </w:trPr>
        <w:tc>
          <w:tcPr>
            <w:tcW w:w="6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Net (loss) income</w:t>
            </w: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(12,148)</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2,484</w:t>
            </w:r>
          </w:p>
        </w:tc>
        <w:tc>
          <w:tcPr>
            <w:tcW w:w="80" w:type="dxa"/>
            <w:vAlign w:val="bottom"/>
          </w:tcPr>
          <w:p>
            <w:pPr>
              <w:spacing w:after="0"/>
              <w:rPr>
                <w:sz w:val="13"/>
                <w:szCs w:val="13"/>
                <w:color w:val="auto"/>
              </w:rPr>
            </w:pP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3,027</w:t>
            </w: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(loss) income to net cash provided by (used in) operating activities:</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2,492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1,242</w:t>
            </w: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Amortization of operating lease-right-of use assets</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3,182</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3,167</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102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compensation</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22,048</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16,595</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6,586</w:t>
            </w:r>
          </w:p>
        </w:tc>
        <w:tc>
          <w:tcPr>
            <w:tcW w:w="0" w:type="dxa"/>
            <w:vAlign w:val="bottom"/>
          </w:tcPr>
          <w:p>
            <w:pPr>
              <w:spacing w:after="0"/>
              <w:rPr>
                <w:sz w:val="1"/>
                <w:szCs w:val="1"/>
                <w:color w:val="auto"/>
              </w:rPr>
            </w:pPr>
          </w:p>
        </w:tc>
      </w:tr>
      <w:tr>
        <w:trPr>
          <w:trHeight w:val="15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Gain on equity method investment</w:t>
            </w:r>
          </w:p>
        </w:tc>
        <w:tc>
          <w:tcPr>
            <w:tcW w:w="36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Loss on disposal of property and equipment</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Loss on lease exit cost</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w:t>
            </w: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Provision for excess and obsolete inventory</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1,468</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756</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0" w:type="dxa"/>
            <w:vAlign w:val="bottom"/>
          </w:tcPr>
          <w:p>
            <w:pPr>
              <w:spacing w:after="0"/>
              <w:rPr>
                <w:sz w:val="1"/>
                <w:szCs w:val="1"/>
                <w:color w:val="auto"/>
              </w:rPr>
            </w:pPr>
          </w:p>
        </w:tc>
      </w:tr>
      <w:tr>
        <w:trPr>
          <w:trHeight w:val="15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Gain on investments, accretion, and amortization, net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(6,661)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 expenses for accretion of the legal settlement liabilities</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1,577</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2,178</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1,690</w:t>
            </w:r>
          </w:p>
        </w:tc>
        <w:tc>
          <w:tcPr>
            <w:tcW w:w="0" w:type="dxa"/>
            <w:vAlign w:val="bottom"/>
          </w:tcPr>
          <w:p>
            <w:pPr>
              <w:spacing w:after="0"/>
              <w:rPr>
                <w:sz w:val="1"/>
                <w:szCs w:val="1"/>
                <w:color w:val="auto"/>
              </w:rPr>
            </w:pPr>
          </w:p>
        </w:tc>
      </w:tr>
      <w:tr>
        <w:trPr>
          <w:trHeight w:val="15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Change in operating assets and liabilities: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Trade accounts receivable</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(7,332)</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(19,744)</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(12,367)</w:t>
            </w:r>
          </w:p>
        </w:tc>
        <w:tc>
          <w:tcPr>
            <w:tcW w:w="0" w:type="dxa"/>
            <w:vAlign w:val="bottom"/>
          </w:tcPr>
          <w:p>
            <w:pPr>
              <w:spacing w:after="0"/>
              <w:rPr>
                <w:sz w:val="1"/>
                <w:szCs w:val="1"/>
                <w:color w:val="auto"/>
              </w:rPr>
            </w:pPr>
          </w:p>
        </w:tc>
      </w:tr>
      <w:tr>
        <w:trPr>
          <w:trHeight w:val="151"/>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Inventories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(17,653)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(7,068)</w:t>
            </w: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(9,515)</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(19,362)</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(6,252)</w:t>
            </w:r>
          </w:p>
        </w:tc>
        <w:tc>
          <w:tcPr>
            <w:tcW w:w="0" w:type="dxa"/>
            <w:vAlign w:val="bottom"/>
          </w:tcPr>
          <w:p>
            <w:pPr>
              <w:spacing w:after="0"/>
              <w:rPr>
                <w:sz w:val="1"/>
                <w:szCs w:val="1"/>
                <w:color w:val="auto"/>
              </w:rPr>
            </w:pPr>
          </w:p>
        </w:tc>
      </w:tr>
      <w:tr>
        <w:trPr>
          <w:trHeight w:val="151"/>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Trade accounts payable</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1,862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729</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7,470</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10,978</w:t>
            </w:r>
          </w:p>
        </w:tc>
        <w:tc>
          <w:tcPr>
            <w:tcW w:w="0" w:type="dxa"/>
            <w:vAlign w:val="bottom"/>
          </w:tcPr>
          <w:p>
            <w:pPr>
              <w:spacing w:after="0"/>
              <w:rPr>
                <w:sz w:val="1"/>
                <w:szCs w:val="1"/>
                <w:color w:val="auto"/>
              </w:rPr>
            </w:pPr>
          </w:p>
        </w:tc>
      </w:tr>
      <w:tr>
        <w:trPr>
          <w:trHeight w:val="151"/>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Legal settlement liabilities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373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(3,693)</w:t>
            </w: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Deferred revenue</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6,520</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9,411</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10,012</w:t>
            </w:r>
          </w:p>
        </w:tc>
        <w:tc>
          <w:tcPr>
            <w:tcW w:w="0" w:type="dxa"/>
            <w:vAlign w:val="bottom"/>
          </w:tcPr>
          <w:p>
            <w:pPr>
              <w:spacing w:after="0"/>
              <w:rPr>
                <w:sz w:val="1"/>
                <w:szCs w:val="1"/>
                <w:color w:val="auto"/>
              </w:rPr>
            </w:pPr>
          </w:p>
        </w:tc>
      </w:tr>
      <w:tr>
        <w:trPr>
          <w:trHeight w:val="151"/>
        </w:trPr>
        <w:tc>
          <w:tcPr>
            <w:tcW w:w="6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Lease liabilities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6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Net cash provided by (used in) operating activities</w:t>
            </w: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5,281</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(12,231)</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4,630</w:t>
            </w:r>
          </w:p>
        </w:tc>
        <w:tc>
          <w:tcPr>
            <w:tcW w:w="0" w:type="dxa"/>
            <w:vAlign w:val="bottom"/>
          </w:tcPr>
          <w:p>
            <w:pPr>
              <w:spacing w:after="0"/>
              <w:rPr>
                <w:sz w:val="1"/>
                <w:szCs w:val="1"/>
                <w:color w:val="auto"/>
              </w:rPr>
            </w:pPr>
          </w:p>
        </w:tc>
      </w:tr>
      <w:tr>
        <w:trPr>
          <w:trHeight w:val="13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Purchases of marketable securities</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(175,935)</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(44,454)</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Maturities of marketable securities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Purchase of property and equipment</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(4,648)</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(9,748)</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(4,364)</w:t>
            </w:r>
          </w:p>
        </w:tc>
        <w:tc>
          <w:tcPr>
            <w:tcW w:w="0" w:type="dxa"/>
            <w:vAlign w:val="bottom"/>
          </w:tcPr>
          <w:p>
            <w:pPr>
              <w:spacing w:after="0"/>
              <w:rPr>
                <w:sz w:val="1"/>
                <w:szCs w:val="1"/>
                <w:color w:val="auto"/>
              </w:rPr>
            </w:pPr>
          </w:p>
        </w:tc>
      </w:tr>
      <w:tr>
        <w:trPr>
          <w:trHeight w:val="15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Acquisition of business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(44,896)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(17,000)</w:t>
            </w: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Purchase of intangible assets (patents)</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Payment for investment</w:t>
            </w:r>
          </w:p>
        </w:tc>
        <w:tc>
          <w:tcPr>
            <w:tcW w:w="36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Payment for additional investment in Cytek Japan, net of cash acquired</w:t>
            </w: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0" w:type="dxa"/>
            <w:vAlign w:val="bottom"/>
          </w:tcPr>
          <w:p>
            <w:pPr>
              <w:spacing w:after="0"/>
              <w:rPr>
                <w:sz w:val="1"/>
                <w:szCs w:val="1"/>
                <w:color w:val="auto"/>
              </w:rPr>
            </w:pPr>
          </w:p>
        </w:tc>
      </w:tr>
      <w:tr>
        <w:trPr>
          <w:trHeight w:val="141"/>
        </w:trPr>
        <w:tc>
          <w:tcPr>
            <w:tcW w:w="666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(93,894)</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(55,909)</w:t>
            </w: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(20,993)</w:t>
            </w:r>
          </w:p>
        </w:tc>
        <w:tc>
          <w:tcPr>
            <w:tcW w:w="0" w:type="dxa"/>
            <w:vAlign w:val="bottom"/>
          </w:tcPr>
          <w:p>
            <w:pPr>
              <w:spacing w:after="0"/>
              <w:rPr>
                <w:sz w:val="1"/>
                <w:szCs w:val="1"/>
                <w:color w:val="auto"/>
              </w:rPr>
            </w:pPr>
          </w:p>
        </w:tc>
      </w:tr>
      <w:tr>
        <w:trPr>
          <w:trHeight w:val="30"/>
        </w:trPr>
        <w:tc>
          <w:tcPr>
            <w:tcW w:w="6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Repayment of Paycheck Protection Program loan</w:t>
            </w:r>
          </w:p>
        </w:tc>
        <w:tc>
          <w:tcPr>
            <w:tcW w:w="36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(2,772)</w:t>
            </w: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Proceeds from initial public offering, net of underwriting discounts and commissions and other offering costs</w:t>
            </w:r>
          </w:p>
        </w:tc>
        <w:tc>
          <w:tcPr>
            <w:tcW w:w="36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215,689</w:t>
            </w:r>
          </w:p>
        </w:tc>
        <w:tc>
          <w:tcPr>
            <w:tcW w:w="0" w:type="dxa"/>
            <w:vAlign w:val="bottom"/>
          </w:tcPr>
          <w:p>
            <w:pPr>
              <w:spacing w:after="0"/>
              <w:rPr>
                <w:sz w:val="1"/>
                <w:szCs w:val="1"/>
                <w:color w:val="auto"/>
              </w:rPr>
            </w:pPr>
          </w:p>
        </w:tc>
      </w:tr>
      <w:tr>
        <w:trPr>
          <w:trHeight w:val="15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Payment for repurchase of shares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(44,151)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Proceeds from loan</w:t>
            </w:r>
          </w:p>
        </w:tc>
        <w:tc>
          <w:tcPr>
            <w:tcW w:w="36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2,983</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Repayment of loan</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Proceeds from Employee Stock Purchase Plan</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1,855</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1,585</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Payments for taxes related to net share settlement of equity awards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Proceeds from issuance of common stock under employee stock plans</w:t>
            </w: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1,204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0" w:type="dxa"/>
            <w:vAlign w:val="bottom"/>
          </w:tcPr>
          <w:p>
            <w:pPr>
              <w:spacing w:after="0"/>
              <w:rPr>
                <w:sz w:val="1"/>
                <w:szCs w:val="1"/>
                <w:color w:val="auto"/>
              </w:rPr>
            </w:pPr>
          </w:p>
        </w:tc>
      </w:tr>
      <w:tr>
        <w:trPr>
          <w:trHeight w:val="141"/>
        </w:trPr>
        <w:tc>
          <w:tcPr>
            <w:tcW w:w="666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Net cash (used in) provided by financing activities</w:t>
            </w: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(41,812)</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5,513</w:t>
            </w: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213,559</w:t>
            </w:r>
          </w:p>
        </w:tc>
        <w:tc>
          <w:tcPr>
            <w:tcW w:w="0" w:type="dxa"/>
            <w:vAlign w:val="bottom"/>
          </w:tcPr>
          <w:p>
            <w:pPr>
              <w:spacing w:after="0"/>
              <w:rPr>
                <w:sz w:val="1"/>
                <w:szCs w:val="1"/>
                <w:color w:val="auto"/>
              </w:rPr>
            </w:pPr>
          </w:p>
        </w:tc>
      </w:tr>
      <w:tr>
        <w:trPr>
          <w:trHeight w:val="30"/>
        </w:trPr>
        <w:tc>
          <w:tcPr>
            <w:tcW w:w="6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Effect of exchange rate changes on cash, cash equivalents and restricted cash</w:t>
            </w: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(1,445)</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(2,491)</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1,303</w:t>
            </w:r>
          </w:p>
        </w:tc>
        <w:tc>
          <w:tcPr>
            <w:tcW w:w="0" w:type="dxa"/>
            <w:vAlign w:val="bottom"/>
          </w:tcPr>
          <w:p>
            <w:pPr>
              <w:spacing w:after="0"/>
              <w:rPr>
                <w:sz w:val="1"/>
                <w:szCs w:val="1"/>
                <w:color w:val="auto"/>
              </w:rPr>
            </w:pPr>
          </w:p>
        </w:tc>
      </w:tr>
      <w:tr>
        <w:trPr>
          <w:trHeight w:val="15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(decrease) increase in cash, cash equivalents and restricted cash</w:t>
            </w: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(131,870)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(65,118)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198,499</w:t>
            </w:r>
          </w:p>
        </w:tc>
        <w:tc>
          <w:tcPr>
            <w:tcW w:w="0" w:type="dxa"/>
            <w:vAlign w:val="bottom"/>
          </w:tcPr>
          <w:p>
            <w:pPr>
              <w:spacing w:after="0"/>
              <w:rPr>
                <w:sz w:val="1"/>
                <w:szCs w:val="1"/>
                <w:color w:val="auto"/>
              </w:rPr>
            </w:pPr>
          </w:p>
        </w:tc>
      </w:tr>
      <w:tr>
        <w:trPr>
          <w:trHeight w:val="141"/>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beginning of period</w:t>
            </w: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299,500</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364,618</w:t>
            </w: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166,119</w:t>
            </w:r>
          </w:p>
        </w:tc>
        <w:tc>
          <w:tcPr>
            <w:tcW w:w="0" w:type="dxa"/>
            <w:vAlign w:val="bottom"/>
          </w:tcPr>
          <w:p>
            <w:pPr>
              <w:spacing w:after="0"/>
              <w:rPr>
                <w:sz w:val="1"/>
                <w:szCs w:val="1"/>
                <w:color w:val="auto"/>
              </w:rPr>
            </w:pPr>
          </w:p>
        </w:tc>
      </w:tr>
      <w:tr>
        <w:trPr>
          <w:trHeight w:val="30"/>
        </w:trPr>
        <w:tc>
          <w:tcPr>
            <w:tcW w:w="6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end of period</w:t>
            </w:r>
          </w:p>
        </w:tc>
        <w:tc>
          <w:tcPr>
            <w:tcW w:w="36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167,630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299,500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364,618</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6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Cash paid for taxes</w:t>
            </w:r>
          </w:p>
        </w:tc>
        <w:tc>
          <w:tcPr>
            <w:tcW w:w="36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5,305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10,390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2,863</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378460</wp:posOffset>
            </wp:positionV>
            <wp:extent cx="293751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37510" cy="698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6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r>
      <w:tr>
        <w:trPr>
          <w:trHeight w:val="20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Fixed asset purchases in accounts payable at period end</w:t>
            </w:r>
          </w:p>
        </w:tc>
        <w:tc>
          <w:tcPr>
            <w:tcW w:w="66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Intangible asset in accrued expenses at period end</w:t>
            </w:r>
          </w:p>
        </w:tc>
        <w:tc>
          <w:tcPr>
            <w:tcW w:w="6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Accrued excise taxes for share repurchase</w:t>
            </w:r>
          </w:p>
        </w:tc>
        <w:tc>
          <w:tcPr>
            <w:tcW w:w="66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6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3"/>
        </w:trPr>
        <w:tc>
          <w:tcPr>
            <w:tcW w:w="6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 option exercise in other receivables at period end</w:t>
            </w:r>
          </w:p>
        </w:tc>
        <w:tc>
          <w:tcPr>
            <w:tcW w:w="660" w:type="dxa"/>
            <w:vAlign w:val="bottom"/>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56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96</w:t>
            </w:r>
          </w:p>
        </w:tc>
        <w:tc>
          <w:tcPr>
            <w:tcW w:w="80" w:type="dxa"/>
            <w:vAlign w:val="bottom"/>
          </w:tcPr>
          <w:p>
            <w:pPr>
              <w:spacing w:after="0"/>
              <w:rPr>
                <w:sz w:val="12"/>
                <w:szCs w:val="12"/>
                <w:color w:val="auto"/>
              </w:rPr>
            </w:pPr>
          </w:p>
        </w:tc>
        <w:tc>
          <w:tcPr>
            <w:tcW w:w="660" w:type="dxa"/>
            <w:vAlign w:val="bottom"/>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6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Cytek Biosciences,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7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tab/>
        <w:t>Description of business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Cytek Biosciences, Inc. (“Cytek” or the “Company”) is a leading cell analysis solutions company advancing the next generation of cell analysis tools with its novel technical approach of leveraging the full spectrum of fluorescence signatures from multiple lasers to distinguish fluorescent tags on single cells (“Full Spectrum Profiling” or “FSP” technology). The Company has focused on becoming the premier cell analysis company through continued innovation that facilitates scientific advances in biomedical research and clinical applications.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has successfully developed and manufactured its full spectrum flow cytometry platform (“instrument(s)” or “product(s)”). The Company's core FSP instruments, the Cytek Aurora and Northern Lights systems, deliver high-resolution, high-content and high-sensitivity cell analysis. The Company also launched its Cytek Aurora cell sorter (“Aurora CS”), which leverages FSP technology to further broaden potential applications across cell analysis. The Company’s FSP platform includes instruments, accessories, reagents, software, and services to provide a comprehensive and integrated suite of solutions for its customers.</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February 28, 2023, the Company completed the acquisition of certain assets (the “FCI Acquisition”) relating to the flow cytometry and imaging business of Luminex Corporation (“Luminex”), including relating to the business of manufacturing, marketing, selling, servicing and maintaining Amnis- and Guava-branded instruments, and flow cytometry reagent products and services (the “FCI Business”). The acquired FCI Business includes conventional flow and image-based flow cytometry instrumentation and related products and services (the “FCI Products”).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was incorporated in the state of Delaware in December 2014 and is headquartered in Fremont, California with offices, manufacturing facilities and distribution channels across the globe.</w:t>
      </w:r>
    </w:p>
    <w:p>
      <w:pPr>
        <w:spacing w:after="0" w:line="3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Basis of presentation and summary of significant accounting policies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has prepared the accompanying consolidated financial statements in accordance with accounting principles generally accepted in the United States of America (“GAAP”). Any reference in these notes to applicable guidance is meant to refer to the authoritative GAAP as found in the Accounting Standards Codification (“ASC”) and Accounting Standards Updates (“ASUs”) of the Financial Accounting Standards Board (“FASB”).</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Cytek Biosciences, Inc., its wholly-owned subsidiaries, Cytek Limited (HK), Cytek Biosciences B.V. (Europe), Cytek (Shanghai) Biosciences Co., Ltd., Cytek Biosciences (Wuxi) Co., Ltd., Cytek Japan Kabushiki Kaisha (“Cytek Japan”), Cytek Biosciences Ltd (UK), Cytek Biosciences GmbH (Germany) Cytoville Biosciences Shanghai Co., Ltd. and Cytek (Shanghai) Software Development Technology Co., Ltd. Cytoville Biosciences Shanghai Co., Ltd. and Cytek (Shanghai) Software Development Technology Co., Ltd. were closed in the fourth quarter of 2023. All intercompany accounts and transactions have been eliminated in consolidation.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Variable interest entities and voting interest entities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Company determines whether it has a controlling financial interest in an entity by first evaluating whether the entity is a variable interest entity (“VIE”) and therefore subject to the consolidation requirements under the VIE model. Only if the entity does not meet the definition of a VIE, the Company will apply the voting interest model (“VOE”) or other applicable GAAP. VOEs are entities in which the total equity investment at risk is sufficient to enable the entity to finance itself independently and provides the equity holders with the obligation to absorb losses, the right to receive residual returns and the right to make decisions about the entity’s activities. The Company consolidates VOEs in which it has greater than 50% of the voting shares and that other equity holders do not have substantive voting, participating or liquidation rights. As defined in applicable accounting standards, VIEs are entities that lack one or more of the characteristics of a voting interest entity. A controlling financial interest in a VIE is present when an enterprise has both the power to direct the activities of the VIE that most significantly impact the VIE’s economic performance and an obligation to absorb losses or the right to receive benefits that could potentially be significant to the VIE. The Company consolidates a VIE where it has been determined that the Company is the primary beneficiary of the entity’s operations. The Company does not currently hold an interest in a VIE.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preparation of the consolidated financial statements in conformity with GAAP requires management to make estimates and assumptions that affect the reported amounts of assets, liabilities, revenue and expenses and the disclosure of contingent assets and liabilities in the Company’s consolidated financial statements and accompanying notes as of the date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of the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segments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 and transactions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consolidated statements of operations and comprehensive (loss) income have been translated at the average exchange rate for the year or the reporting period. Translation gains and losses are recorded in accumulated other comprehensive (loss) income as a component of stockholders’ equity. Gains or losses arising from currency exchange rate fluctuations on transactions denominated in a currency other than the local functional currency are included in the consolidated statements of operations and comprehensive (loss) income.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considers all highly liquid investments with a maturity of three months or less when purchased to be cash equivalents. Cash equivalents are carried at cost, which approximates fair value.</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Company’s cash and cash equivalents consist of money held in demand depository accounts and money market funds. The carrying amount of cash and cash equivalents was $167.6 million and $299.5 million as of December 31, 2023 and 2022, respectively, which approximates fair value and was determined based upon Level 1 inputs. The money market account is valued using quoted market prices with no valuation adjustments applied and is categorized as Level 1. The Company limits its credit risk associated with cash and cash equivalents by maintaining its bank accounts at major and reputable financial institutions. The Company’s cash and cash equivalents balance exceeded the federally insured limit of $250,000 as of December 31, 2023 and 2022.</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classifies restricted cash as current on the accompanying consolidated balance sheets based upon the term of the remaining restrictions.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is a summary of cash, cash equivalents and restricted cash on the consolidated balance sheets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8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123,371</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w:t>
            </w:r>
          </w:p>
        </w:tc>
        <w:tc>
          <w:tcPr>
            <w:tcW w:w="26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29,930</w:t>
            </w:r>
          </w:p>
        </w:tc>
      </w:tr>
      <w:tr>
        <w:trPr>
          <w:trHeight w:val="22"/>
        </w:trPr>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agency securities</w:t>
            </w: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19,908</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5,955</w:t>
            </w:r>
          </w:p>
        </w:tc>
      </w:tr>
      <w:tr>
        <w:trPr>
          <w:trHeight w:val="22"/>
        </w:trPr>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144,892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117,437</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2,899</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as presented on the consolidated statements of cash flows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167,630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299,500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Short-term restricted cash</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December 31, 2023, a customer made an advance payment of $331,000 (EUR 299,579.5) to Cytek Biosciences B.V., provided that the Customer receives a bank guarantee for the same amount as security for refund of said amount in the event that Cytek Biosciences B.V. fails to fulfill its delivery commitment. After the delivery, the restricted cash will be released into the Company's normal cash account.</w:t>
      </w:r>
    </w:p>
    <w:p>
      <w:pPr>
        <w:spacing w:after="0" w:line="5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November 7, 2022, Cytek (Wuxi) Biosciences Co., Ltd, the Company’s China subsidiary (“Cytek Wuxi”), entered a fixed asset loan agreement with Bank of Communications, China. The loan is denominated in Chinese renminbi</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and collateralized by Cytek Wuxi's cash deposit to the bank. The deposit was in a separate account with Cytek Wuxi's name, but the use of such account is restricted. The Company presented the deposit as restricted cash on the audited consolidated balance sheets as of December 31, 2022. In April 2023, the restricted cash account was released.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94"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Available-for-sale investments. </w:t>
      </w:r>
      <w:r>
        <w:rPr>
          <w:rFonts w:ascii="Times New Roman" w:cs="Times New Roman" w:eastAsia="Times New Roman" w:hAnsi="Times New Roman"/>
          <w:sz w:val="14"/>
          <w:szCs w:val="14"/>
          <w:color w:val="auto"/>
        </w:rPr>
        <w:t>The Company's investments may consist of U.S. treasury and U.S. government agency securities, corporate notes and bonds, commercial paper, and money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 funds. The Company has designated all investments as available-for-sale and, therefore, such investments are reported at fair value, with unrealized gains and losses recorded in accumulated other comprehensive (loss) income. The Company generally holds securities until maturity; however, they may be sold under certain circumstances including, but not limited to, when necessary for the funding of acquisitions and other strategic investments. Realized gains and losses on the sale of investments are recorded in interest and other income, net in the consolidated statements of operations. Investments with remaining maturities at date of purchase greater than 90 days and remaining maturities as of the reporting period less than one year are classified as short-term investments. Investments with remaining maturities greater than one year are classified as long-term investments.</w:t>
      </w:r>
    </w:p>
    <w:p>
      <w:pPr>
        <w:spacing w:after="0" w:line="57"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Equity Investment. </w:t>
      </w:r>
      <w:r>
        <w:rPr>
          <w:rFonts w:ascii="Times New Roman" w:cs="Times New Roman" w:eastAsia="Times New Roman" w:hAnsi="Times New Roman"/>
          <w:sz w:val="14"/>
          <w:szCs w:val="14"/>
          <w:color w:val="auto"/>
        </w:rPr>
        <w:t>The Company's investment consists of non-marketable equity investments in a privately held company. The Company’s non-marketable equity investments do not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readily determinable fair values. Therefore, the Company elects to apply the measurement alternative and record these investments at cost, less any impairment, plus or minus observable price changes in orderly transactions for identical or similar investments of the same issuer. Investment is included within other noncurrent assets on our consolidated balance sheets and adjustments to their carrying amounts are recorded in other income (expense), net in the consolidated statements of operations. There were no material events or circumstances impacting the carrying amount of our strategic investments during the year ended December 31,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 accounts receivable, net</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Company’s accounts receivable consists principally of amounts due related to product sales of instrument systems and accessories, as well as installation and repair services. These receivables are generally due within 30 to 45 days of the period in which the corresponding sales occur and do not bear interest are classified as trade accounts receivable, net on the consolidated balance sheets. Trade accounts receivable are reported at their estimated net realizable value.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adopted ASU 2016-13, Financial Instruments—Credit Losses (Topic 326): Measurement of Credit Losses on Financial Instruments (“ASU 2016-13, Financial Instruments - Credit Losses”) on December 31, 2022, which was retroactively applied as of the first day of fiscal year 2022, as further described within the section below titled Recently Adopted Accounting Pronouncements.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 based on current and historical information.</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is not party to any off-balance sheet arrangements that would require an allowance for credit losses in accordance with this accounting standard.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changes in the allowance for uncollectible receivables for the year ended December 31, 2023 were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Allowance for credit losses</w:t>
            </w: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20"/>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2"/>
        </w:trPr>
        <w:tc>
          <w:tcPr>
            <w:tcW w:w="9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2"/>
        </w:trPr>
        <w:tc>
          <w:tcPr>
            <w:tcW w:w="9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Cumulative effect adjustment upon adoption of ASU 2016-13</w:t>
            </w:r>
          </w:p>
        </w:tc>
        <w:tc>
          <w:tcPr>
            <w:tcW w:w="6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January 1, 2022</w:t>
            </w:r>
          </w:p>
        </w:tc>
        <w:tc>
          <w:tcPr>
            <w:tcW w:w="6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2"/>
        </w:trPr>
        <w:tc>
          <w:tcPr>
            <w:tcW w:w="9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2"/>
        </w:trPr>
        <w:tc>
          <w:tcPr>
            <w:tcW w:w="9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Utilization of allowance for credit losses</w:t>
            </w:r>
          </w:p>
        </w:tc>
        <w:tc>
          <w:tcPr>
            <w:tcW w:w="6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1"/>
        </w:trPr>
        <w:tc>
          <w:tcPr>
            <w:tcW w:w="9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22"/>
        </w:trPr>
        <w:tc>
          <w:tcPr>
            <w:tcW w:w="9800" w:type="dxa"/>
            <w:vAlign w:val="bottom"/>
            <w:tcBorders>
              <w:bottom w:val="single" w:sz="8" w:color="CFF0FC"/>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9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640" w:type="dxa"/>
            <w:vAlign w:val="bottom"/>
            <w:tcBorders>
              <w:bottom w:val="single" w:sz="8" w:color="CFF0FC"/>
            </w:tcBorders>
            <w:shd w:val="clear" w:color="auto" w:fill="CFF0FC"/>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91"/>
        </w:trPr>
        <w:tc>
          <w:tcPr>
            <w:tcW w:w="9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Utilization of allowance for credit losses</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9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2"/>
        </w:trPr>
        <w:tc>
          <w:tcPr>
            <w:tcW w:w="9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6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203"/>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64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r>
      <w:tr>
        <w:trPr>
          <w:trHeight w:val="20"/>
        </w:trPr>
        <w:tc>
          <w:tcPr>
            <w:tcW w:w="9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Inventories are stated at the lower of cost and net realizable value. Cost is computed using standard cost, which approximates actual cost on a first-in, first-out basis. The Company regularly monitors inventory quantities on hand and records write-downs for excess and obsolete inventories based on an estimate of demand for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If inventory is written down, a new cost basis is established that cannot be increased in future periods.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Property and equipment are recorded at cost, net of accumulated depreciation. Depreciation is recorded using the straight-line method based on the estimated useful lives of the depreciable property or, for leasehold improvements, the remaining term of the lease, whichever is shorter. Assets not yet placed in use are not depreciated. The Company’s estimated useful lives of its property and equipment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1860" w:type="dxa"/>
            <w:vAlign w:val="bottom"/>
          </w:tcPr>
          <w:p>
            <w:pPr>
              <w:spacing w:after="0"/>
              <w:rPr>
                <w:sz w:val="13"/>
                <w:szCs w:val="13"/>
                <w:color w:val="auto"/>
              </w:rPr>
            </w:pP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w:t>
            </w:r>
          </w:p>
        </w:tc>
        <w:tc>
          <w:tcPr>
            <w:tcW w:w="3520" w:type="dxa"/>
            <w:vAlign w:val="bottom"/>
          </w:tcPr>
          <w:p>
            <w:pPr>
              <w:spacing w:after="0"/>
              <w:rPr>
                <w:sz w:val="19"/>
                <w:szCs w:val="19"/>
                <w:color w:val="auto"/>
              </w:rPr>
            </w:pPr>
          </w:p>
        </w:tc>
        <w:tc>
          <w:tcPr>
            <w:tcW w:w="3260" w:type="dxa"/>
            <w:vAlign w:val="bottom"/>
            <w:gridSpan w:val="2"/>
          </w:tcPr>
          <w:p>
            <w:pPr>
              <w:jc w:val="center"/>
              <w:ind w:right="1860"/>
              <w:spacing w:after="0"/>
              <w:rPr>
                <w:sz w:val="20"/>
                <w:szCs w:val="20"/>
                <w:color w:val="auto"/>
              </w:rPr>
            </w:pPr>
            <w:r>
              <w:rPr>
                <w:rFonts w:ascii="Times New Roman" w:cs="Times New Roman" w:eastAsia="Times New Roman" w:hAnsi="Times New Roman"/>
                <w:sz w:val="14"/>
                <w:szCs w:val="14"/>
                <w:color w:val="auto"/>
              </w:rPr>
              <w:t>20 years</w:t>
            </w:r>
          </w:p>
        </w:tc>
      </w:tr>
      <w:tr>
        <w:trPr>
          <w:trHeight w:val="22"/>
        </w:trPr>
        <w:tc>
          <w:tcPr>
            <w:tcW w:w="45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3520" w:type="dxa"/>
            <w:vAlign w:val="bottom"/>
            <w:tcBorders>
              <w:bottom w:val="single" w:sz="8" w:color="CFF0FC"/>
            </w:tcBorders>
            <w:shd w:val="clear" w:color="auto" w:fill="CFF0FC"/>
          </w:tcPr>
          <w:p>
            <w:pPr>
              <w:spacing w:after="0"/>
              <w:rPr>
                <w:sz w:val="16"/>
                <w:szCs w:val="16"/>
                <w:color w:val="auto"/>
              </w:rPr>
            </w:pPr>
          </w:p>
        </w:tc>
        <w:tc>
          <w:tcPr>
            <w:tcW w:w="3260" w:type="dxa"/>
            <w:vAlign w:val="bottom"/>
            <w:tcBorders>
              <w:bottom w:val="single" w:sz="8" w:color="CFF0FC"/>
            </w:tcBorders>
            <w:gridSpan w:val="2"/>
            <w:shd w:val="clear" w:color="auto" w:fill="CFF0FC"/>
          </w:tcPr>
          <w:p>
            <w:pPr>
              <w:jc w:val="center"/>
              <w:ind w:right="1860"/>
              <w:spacing w:after="0"/>
              <w:rPr>
                <w:sz w:val="20"/>
                <w:szCs w:val="20"/>
                <w:color w:val="auto"/>
              </w:rPr>
            </w:pPr>
            <w:r>
              <w:rPr>
                <w:rFonts w:ascii="Times New Roman" w:cs="Times New Roman" w:eastAsia="Times New Roman" w:hAnsi="Times New Roman"/>
                <w:sz w:val="14"/>
                <w:szCs w:val="14"/>
                <w:color w:val="auto"/>
                <w:w w:val="99"/>
              </w:rPr>
              <w:t>7 years</w:t>
            </w:r>
          </w:p>
        </w:tc>
      </w:tr>
      <w:tr>
        <w:trPr>
          <w:trHeight w:val="19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3520" w:type="dxa"/>
            <w:vAlign w:val="bottom"/>
          </w:tcPr>
          <w:p>
            <w:pPr>
              <w:spacing w:after="0"/>
              <w:rPr>
                <w:sz w:val="16"/>
                <w:szCs w:val="16"/>
                <w:color w:val="auto"/>
              </w:rPr>
            </w:pPr>
          </w:p>
        </w:tc>
        <w:tc>
          <w:tcPr>
            <w:tcW w:w="3260" w:type="dxa"/>
            <w:vAlign w:val="bottom"/>
            <w:gridSpan w:val="2"/>
          </w:tcPr>
          <w:p>
            <w:pPr>
              <w:jc w:val="center"/>
              <w:ind w:right="1860"/>
              <w:spacing w:after="0"/>
              <w:rPr>
                <w:sz w:val="20"/>
                <w:szCs w:val="20"/>
                <w:color w:val="auto"/>
              </w:rPr>
            </w:pPr>
            <w:r>
              <w:rPr>
                <w:rFonts w:ascii="Times New Roman" w:cs="Times New Roman" w:eastAsia="Times New Roman" w:hAnsi="Times New Roman"/>
                <w:sz w:val="14"/>
                <w:szCs w:val="14"/>
                <w:color w:val="auto"/>
                <w:w w:val="99"/>
              </w:rPr>
              <w:t>5 years</w:t>
            </w:r>
          </w:p>
        </w:tc>
      </w:tr>
      <w:tr>
        <w:trPr>
          <w:trHeight w:val="22"/>
        </w:trPr>
        <w:tc>
          <w:tcPr>
            <w:tcW w:w="45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Office and computer equipment</w:t>
            </w:r>
          </w:p>
        </w:tc>
        <w:tc>
          <w:tcPr>
            <w:tcW w:w="3520" w:type="dxa"/>
            <w:vAlign w:val="bottom"/>
            <w:tcBorders>
              <w:bottom w:val="single" w:sz="8" w:color="CFF0FC"/>
            </w:tcBorders>
            <w:shd w:val="clear" w:color="auto" w:fill="CFF0FC"/>
          </w:tcPr>
          <w:p>
            <w:pPr>
              <w:spacing w:after="0"/>
              <w:rPr>
                <w:sz w:val="16"/>
                <w:szCs w:val="16"/>
                <w:color w:val="auto"/>
              </w:rPr>
            </w:pPr>
          </w:p>
        </w:tc>
        <w:tc>
          <w:tcPr>
            <w:tcW w:w="3260" w:type="dxa"/>
            <w:vAlign w:val="bottom"/>
            <w:tcBorders>
              <w:bottom w:val="single" w:sz="8" w:color="CFF0FC"/>
            </w:tcBorders>
            <w:gridSpan w:val="2"/>
            <w:shd w:val="clear" w:color="auto" w:fill="CFF0FC"/>
          </w:tcPr>
          <w:p>
            <w:pPr>
              <w:jc w:val="center"/>
              <w:ind w:right="1860"/>
              <w:spacing w:after="0"/>
              <w:rPr>
                <w:sz w:val="20"/>
                <w:szCs w:val="20"/>
                <w:color w:val="auto"/>
              </w:rPr>
            </w:pPr>
            <w:r>
              <w:rPr>
                <w:rFonts w:ascii="Times New Roman" w:cs="Times New Roman" w:eastAsia="Times New Roman" w:hAnsi="Times New Roman"/>
                <w:sz w:val="14"/>
                <w:szCs w:val="14"/>
                <w:color w:val="auto"/>
                <w:w w:val="99"/>
              </w:rPr>
              <w:t>3 years</w:t>
            </w:r>
          </w:p>
        </w:tc>
      </w:tr>
      <w:tr>
        <w:trPr>
          <w:trHeight w:val="19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6780" w:type="dxa"/>
            <w:vAlign w:val="bottom"/>
            <w:gridSpan w:val="3"/>
          </w:tcPr>
          <w:p>
            <w:pPr>
              <w:jc w:val="center"/>
              <w:ind w:left="1589"/>
              <w:spacing w:after="0"/>
              <w:rPr>
                <w:sz w:val="20"/>
                <w:szCs w:val="20"/>
                <w:color w:val="auto"/>
              </w:rPr>
            </w:pPr>
            <w:r>
              <w:rPr>
                <w:rFonts w:ascii="Times New Roman" w:cs="Times New Roman" w:eastAsia="Times New Roman" w:hAnsi="Times New Roman"/>
                <w:sz w:val="14"/>
                <w:szCs w:val="14"/>
                <w:color w:val="auto"/>
              </w:rPr>
              <w:t>Shorter of expected lease term or estimated useful life</w:t>
            </w:r>
          </w:p>
        </w:tc>
      </w:tr>
    </w:tbl>
    <w:p>
      <w:pPr>
        <w:spacing w:after="0" w:line="1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Upon sale or retirement of the assets, the cost and related accumulated depreciation are removed from the accounts and the resulting gain or loss is recognized in the consolidated statement of operations and comprehensive (loss) income. Expenditures for general maintenance and repairs are expensed as incurred.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 net</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Goodwill represents the excess of the purchase price over the fair value of the net tangible and identifiable intangible assets acquired in a business combination. Intangible assets resulting from the acquisition of entities are estimated by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management based on the fair value of assets received. Intangible assets are amortized on a straight-line basis over the estimated useful lives. The Company’s estimated useful lives of its intangible assets are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260" w:type="dxa"/>
            <w:vAlign w:val="bottom"/>
            <w:gridSpan w:val="2"/>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r>
      <w:tr>
        <w:trPr>
          <w:trHeight w:val="33"/>
        </w:trPr>
        <w:tc>
          <w:tcPr>
            <w:tcW w:w="80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860" w:type="dxa"/>
            <w:vAlign w:val="bottom"/>
          </w:tcPr>
          <w:p>
            <w:pPr>
              <w:spacing w:after="0"/>
              <w:rPr>
                <w:sz w:val="2"/>
                <w:szCs w:val="2"/>
                <w:color w:val="auto"/>
              </w:rPr>
            </w:pPr>
          </w:p>
        </w:tc>
      </w:tr>
      <w:tr>
        <w:trPr>
          <w:trHeight w:val="19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w:t>
            </w:r>
          </w:p>
        </w:tc>
        <w:tc>
          <w:tcPr>
            <w:tcW w:w="3260" w:type="dxa"/>
            <w:vAlign w:val="bottom"/>
            <w:tcBorders>
              <w:bottom w:val="single" w:sz="8" w:color="CCEEFF"/>
            </w:tcBorders>
            <w:gridSpan w:val="2"/>
            <w:shd w:val="clear" w:color="auto" w:fill="CCEEFF"/>
          </w:tcPr>
          <w:p>
            <w:pPr>
              <w:jc w:val="center"/>
              <w:ind w:right="1860"/>
              <w:spacing w:after="0"/>
              <w:rPr>
                <w:sz w:val="20"/>
                <w:szCs w:val="20"/>
                <w:color w:val="auto"/>
              </w:rPr>
            </w:pPr>
            <w:r>
              <w:rPr>
                <w:rFonts w:ascii="Times New Roman" w:cs="Times New Roman" w:eastAsia="Times New Roman" w:hAnsi="Times New Roman"/>
                <w:sz w:val="14"/>
                <w:szCs w:val="14"/>
                <w:color w:val="auto"/>
              </w:rPr>
              <w:t>20 years</w:t>
            </w:r>
          </w:p>
        </w:tc>
      </w:tr>
      <w:tr>
        <w:trPr>
          <w:trHeight w:val="19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3260" w:type="dxa"/>
            <w:vAlign w:val="bottom"/>
            <w:gridSpan w:val="2"/>
          </w:tcPr>
          <w:p>
            <w:pPr>
              <w:jc w:val="center"/>
              <w:ind w:right="1860"/>
              <w:spacing w:after="0"/>
              <w:rPr>
                <w:sz w:val="20"/>
                <w:szCs w:val="20"/>
                <w:color w:val="auto"/>
              </w:rPr>
            </w:pPr>
            <w:r>
              <w:rPr>
                <w:rFonts w:ascii="Times New Roman" w:cs="Times New Roman" w:eastAsia="Times New Roman" w:hAnsi="Times New Roman"/>
                <w:sz w:val="14"/>
                <w:szCs w:val="14"/>
                <w:color w:val="auto"/>
              </w:rPr>
              <w:t>10 years</w:t>
            </w:r>
          </w:p>
        </w:tc>
      </w:tr>
      <w:tr>
        <w:trPr>
          <w:trHeight w:val="22"/>
        </w:trPr>
        <w:tc>
          <w:tcPr>
            <w:tcW w:w="8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3260" w:type="dxa"/>
            <w:vAlign w:val="bottom"/>
            <w:tcBorders>
              <w:bottom w:val="single" w:sz="8" w:color="CCEEFF"/>
            </w:tcBorders>
            <w:gridSpan w:val="2"/>
            <w:shd w:val="clear" w:color="auto" w:fill="CCEEFF"/>
          </w:tcPr>
          <w:p>
            <w:pPr>
              <w:jc w:val="center"/>
              <w:ind w:right="1860"/>
              <w:spacing w:after="0"/>
              <w:rPr>
                <w:sz w:val="20"/>
                <w:szCs w:val="20"/>
                <w:color w:val="auto"/>
              </w:rPr>
            </w:pPr>
            <w:r>
              <w:rPr>
                <w:rFonts w:ascii="Times New Roman" w:cs="Times New Roman" w:eastAsia="Times New Roman" w:hAnsi="Times New Roman"/>
                <w:sz w:val="14"/>
                <w:szCs w:val="14"/>
                <w:color w:val="auto"/>
              </w:rPr>
              <w:t>3 - 15 years</w:t>
            </w:r>
          </w:p>
        </w:tc>
      </w:tr>
      <w:tr>
        <w:trPr>
          <w:trHeight w:val="19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FCI developed technology</w:t>
            </w:r>
          </w:p>
        </w:tc>
        <w:tc>
          <w:tcPr>
            <w:tcW w:w="3260" w:type="dxa"/>
            <w:vAlign w:val="bottom"/>
            <w:gridSpan w:val="2"/>
          </w:tcPr>
          <w:p>
            <w:pPr>
              <w:jc w:val="center"/>
              <w:ind w:right="1860"/>
              <w:spacing w:after="0"/>
              <w:rPr>
                <w:sz w:val="20"/>
                <w:szCs w:val="20"/>
                <w:color w:val="auto"/>
              </w:rPr>
            </w:pPr>
            <w:r>
              <w:rPr>
                <w:rFonts w:ascii="Times New Roman" w:cs="Times New Roman" w:eastAsia="Times New Roman" w:hAnsi="Times New Roman"/>
                <w:sz w:val="14"/>
                <w:szCs w:val="14"/>
                <w:color w:val="auto"/>
              </w:rPr>
              <w:t>1 - 6 years</w:t>
            </w:r>
          </w:p>
        </w:tc>
      </w:tr>
      <w:tr>
        <w:trPr>
          <w:trHeight w:val="22"/>
        </w:trPr>
        <w:tc>
          <w:tcPr>
            <w:tcW w:w="8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w:t>
            </w:r>
          </w:p>
        </w:tc>
        <w:tc>
          <w:tcPr>
            <w:tcW w:w="3260" w:type="dxa"/>
            <w:vAlign w:val="bottom"/>
            <w:tcBorders>
              <w:bottom w:val="single" w:sz="8" w:color="CCEEFF"/>
            </w:tcBorders>
            <w:gridSpan w:val="2"/>
            <w:shd w:val="clear" w:color="auto" w:fill="CCEEFF"/>
          </w:tcPr>
          <w:p>
            <w:pPr>
              <w:jc w:val="center"/>
              <w:ind w:right="1860"/>
              <w:spacing w:after="0"/>
              <w:rPr>
                <w:sz w:val="20"/>
                <w:szCs w:val="20"/>
                <w:color w:val="auto"/>
              </w:rPr>
            </w:pPr>
            <w:r>
              <w:rPr>
                <w:rFonts w:ascii="Times New Roman" w:cs="Times New Roman" w:eastAsia="Times New Roman" w:hAnsi="Times New Roman"/>
                <w:sz w:val="14"/>
                <w:szCs w:val="14"/>
                <w:color w:val="auto"/>
              </w:rPr>
              <w:t>7 - 9 years</w:t>
            </w:r>
          </w:p>
        </w:tc>
      </w:tr>
      <w:tr>
        <w:trPr>
          <w:trHeight w:val="19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Reagent licenses</w:t>
            </w:r>
          </w:p>
        </w:tc>
        <w:tc>
          <w:tcPr>
            <w:tcW w:w="3260" w:type="dxa"/>
            <w:vAlign w:val="bottom"/>
            <w:gridSpan w:val="2"/>
          </w:tcPr>
          <w:p>
            <w:pPr>
              <w:jc w:val="center"/>
              <w:ind w:right="1860"/>
              <w:spacing w:after="0"/>
              <w:rPr>
                <w:sz w:val="20"/>
                <w:szCs w:val="20"/>
                <w:color w:val="auto"/>
              </w:rPr>
            </w:pPr>
            <w:r>
              <w:rPr>
                <w:rFonts w:ascii="Times New Roman" w:cs="Times New Roman" w:eastAsia="Times New Roman" w:hAnsi="Times New Roman"/>
                <w:sz w:val="14"/>
                <w:szCs w:val="14"/>
                <w:color w:val="auto"/>
                <w:w w:val="99"/>
              </w:rPr>
              <w:t>7 years</w:t>
            </w:r>
          </w:p>
        </w:tc>
      </w:tr>
      <w:tr>
        <w:trPr>
          <w:trHeight w:val="22"/>
        </w:trPr>
        <w:tc>
          <w:tcPr>
            <w:tcW w:w="8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IP license</w:t>
            </w:r>
          </w:p>
        </w:tc>
        <w:tc>
          <w:tcPr>
            <w:tcW w:w="3260" w:type="dxa"/>
            <w:vAlign w:val="bottom"/>
            <w:gridSpan w:val="2"/>
            <w:shd w:val="clear" w:color="auto" w:fill="CCEEFF"/>
          </w:tcPr>
          <w:p>
            <w:pPr>
              <w:jc w:val="center"/>
              <w:ind w:right="1860"/>
              <w:spacing w:after="0"/>
              <w:rPr>
                <w:sz w:val="20"/>
                <w:szCs w:val="20"/>
                <w:color w:val="auto"/>
              </w:rPr>
            </w:pPr>
            <w:r>
              <w:rPr>
                <w:rFonts w:ascii="Times New Roman" w:cs="Times New Roman" w:eastAsia="Times New Roman" w:hAnsi="Times New Roman"/>
                <w:sz w:val="14"/>
                <w:szCs w:val="14"/>
                <w:color w:val="auto"/>
                <w:w w:val="99"/>
              </w:rPr>
              <w:t>5 years</w:t>
            </w:r>
          </w:p>
        </w:tc>
      </w:tr>
      <w:tr>
        <w:trPr>
          <w:trHeight w:val="22"/>
        </w:trPr>
        <w:tc>
          <w:tcPr>
            <w:tcW w:w="80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for Impairment of Long-Lived Assets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Long-lived assets with finite lives include property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The Company did not recognize any impairment of goodwill for all periods presented.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Level 1—Quoted prices in active markets for identical assets or liabilities.</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carrying amounts reflected in the consolidated balance sheets for cash and cash equivalents, trade accounts receivable, net, trade accounts payable and accrued expenses approximate their fair values.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Company’s product revenue consists of sales of its instrument systems and accessories. The Company recognizes product revenue at the point in time when control of the product is transferred to the customer.</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Invoicing for products occurs upon delivery and payment terms are 30 to 90 days. Service contracts are invoiced upfront and payment terms are generally 30 days. For those arrangements that have terms greater than one year, any payments received upfront are for reasons other than financing. Revenue is recognized only to the extent that it is probable that a significant reversal of the cumulative amount recognized will not occur in future periods. Variable consideration is not material.</w:t>
      </w:r>
    </w:p>
    <w:p>
      <w:pPr>
        <w:spacing w:after="0" w:line="51"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w:t>
      </w:r>
    </w:p>
    <w:p>
      <w:pPr>
        <w:spacing w:after="0" w:line="6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During the twelve months ended December 31, 2023 and December 31, 2022, the Company recorded $14.9 million and $12.1 million of revenue under bill-and-hold arrangements, respectively. As of December 31, 2023 and December 31, 2022, $5.4 million and $5.9 million was included in revenue for products that had not yet shipped, respectively. As of December 31, 2021, revenue recorded under bill-and-hold arrangements was immaterial.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revenue</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Company’s standard arrangement for sales to end users is a purchase order or an executed contract. Revenue is recognized upon transfer of control of the product to the customer, which occurs at a point in time depending on the shipping terms.</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Service revenue</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liabilities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20"/>
        <w:spacing w:after="0" w:line="379" w:lineRule="auto"/>
        <w:rPr>
          <w:sz w:val="20"/>
          <w:szCs w:val="20"/>
          <w:color w:val="auto"/>
        </w:rPr>
      </w:pPr>
      <w:r>
        <w:rPr>
          <w:rFonts w:ascii="Times New Roman" w:cs="Times New Roman" w:eastAsia="Times New Roman" w:hAnsi="Times New Roman"/>
          <w:sz w:val="14"/>
          <w:szCs w:val="14"/>
          <w:color w:val="auto"/>
        </w:rPr>
        <w:t xml:space="preserve">consolidated balance sheets. Deferred revenue that is expected to be recognized during the following 12 months is recorded as a current liability and the remaining portion is recorded as noncurrent. </w:t>
      </w:r>
      <w:r>
        <w:rPr>
          <w:rFonts w:ascii="Times New Roman" w:cs="Times New Roman" w:eastAsia="Times New Roman" w:hAnsi="Times New Roman"/>
          <w:sz w:val="14"/>
          <w:szCs w:val="14"/>
          <w:b w:val="1"/>
          <w:bCs w:val="1"/>
          <w:i w:val="1"/>
          <w:iCs w:val="1"/>
          <w:color w:val="auto"/>
        </w:rPr>
        <w:t>Assurance-type product warranties</w:t>
      </w:r>
    </w:p>
    <w:p>
      <w:pPr>
        <w:spacing w:after="0" w:line="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Deferred offering costs, which consist of direct incremental legal, consulting, banking and accounting fees relating to the Company’s planned initial public offering, are capitalized, and are offset against proceeds from an offering upon the effectiveness of the offering. In the event an anticipated offering is terminated, deferred offering costs will be expensed. On July 27, 2021, the Company completed the IPO; accordingly, the Company recognized the initial public offering costs of approximately $5.3 million as a reduction from gross proceeds associated with the IPO through additional paid-in capital in the accompanying consolidated balance sheet. Accordingly, there were no deferred offering costs related to the IPO as of December 31, 2023 and December 31, 2022.</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August 26, 2022, the Company filed with the SEC an automatic shelf registration statement on Form S-3ASR (File No. 333-267118) (the “Registration Statement”). In connection with the filing of the Registration Statement, the Company also entered into a sales agreement (the “2022 Sales Agreement”) with Piper Sandler &amp; Co. (“Piper”) as sales agent to sell from time to time up to $150 million of the Company’s common stock through an “at-the-market” offering program as defined in Rule 415 promulgated under the Securities Act of 1933, as amended (the “Securities Act”).</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December 31, 2023, the Company has not made any sales of common stock pursuant to the 2022 Sales Agreement. Accordingly, $0.7 million in transaction expenses recorded as prepaid offering costs have not yet been expensed in transaction expenses recorded.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costs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Advertising costs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cost of advertising, marketing and media is expensed as incurred. For the year ended December 31, 2023, 2022 and 2021 advertising, marketing and media expenses were $3.4 million, $2.5 million and $1.8 million,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Expected Volatility—Expected volatility is estimated by studying the volatility of selected industry peers deemed to be comparable to the Company's business corresponding to the expected term of the awards.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Expected Term—Expected term represents the period that the Company's stock-based awards are expected to be outstanding and is determined using the simplified method.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Dividend Yield— The expected dividend yield is zero as the Company has never declared or paid cash dividends and has no current plans to do so in the foreseeable future.</w:t>
      </w:r>
    </w:p>
    <w:p>
      <w:pPr>
        <w:spacing w:after="0" w:line="94"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Risk-Free Interest Rate—The risk-free interest rate is based on the U.S. Treasury zero-coupon issued in effect at the time of grant for periods corresponding with the expected term of the option.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5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 of operations. Accrued interest and penalties, if any, are included in accrued expenses in the consolidated balance sheet.</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intends to reinvest its undistributed earnings of its foreign operations. Following enactment of the 2017 Tax Cuts and Jobs Act (the “Tax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 (loss) attributable to common stockholders per share</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Basic net income (loss) attributable to common stockholders per share and diluted net income (loss) attributable to common stockholders per share are computed using the weighted-average number of shares of common stock outstanding for the period. Net income (loss) per share attributable to common stockholders is calculated using the two-class method, which is an earnings allocation formula that determines net income (loss) per share for the holders of shares of the Company’s common stock and 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income (loss) per share in the periods in which net income (loss) is recorded.</w:t>
      </w:r>
    </w:p>
    <w:p>
      <w:pPr>
        <w:spacing w:after="0" w:line="5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Diluted net income (loss) attributable to common stockholders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income attributable to common stockholders per share gives effect to all potentially dilutive common stock equivalents, including outstanding options and redeemable convertible preferred stock.</w:t>
      </w:r>
    </w:p>
    <w:p>
      <w:pPr>
        <w:spacing w:after="0" w:line="56" w:lineRule="exact"/>
        <w:rPr>
          <w:sz w:val="20"/>
          <w:szCs w:val="20"/>
          <w:color w:val="auto"/>
        </w:rPr>
      </w:pPr>
    </w:p>
    <w:p>
      <w:pPr>
        <w:ind w:right="1480" w:firstLine="382"/>
        <w:spacing w:after="0" w:line="378" w:lineRule="auto"/>
        <w:rPr>
          <w:sz w:val="20"/>
          <w:szCs w:val="20"/>
          <w:color w:val="auto"/>
        </w:rPr>
      </w:pPr>
      <w:r>
        <w:rPr>
          <w:rFonts w:ascii="Times New Roman" w:cs="Times New Roman" w:eastAsia="Times New Roman" w:hAnsi="Times New Roman"/>
          <w:sz w:val="14"/>
          <w:szCs w:val="14"/>
          <w:color w:val="auto"/>
        </w:rPr>
        <w:t xml:space="preserve">Common stock equivalents are excluded from the computation of diluted net income (loss) attributable to common stockholders per share if their effect is antidilutive. </w:t>
      </w:r>
      <w:r>
        <w:rPr>
          <w:rFonts w:ascii="Times New Roman" w:cs="Times New Roman" w:eastAsia="Times New Roman" w:hAnsi="Times New Roman"/>
          <w:sz w:val="14"/>
          <w:szCs w:val="14"/>
          <w:b w:val="1"/>
          <w:bCs w:val="1"/>
          <w:i w:val="1"/>
          <w:iCs w:val="1"/>
          <w:color w:val="auto"/>
        </w:rPr>
        <w:t>Business Combinations</w:t>
      </w:r>
    </w:p>
    <w:p>
      <w:pPr>
        <w:jc w:val="both"/>
        <w:ind w:firstLine="382"/>
        <w:spacing w:after="0" w:line="290" w:lineRule="auto"/>
        <w:rPr>
          <w:sz w:val="20"/>
          <w:szCs w:val="20"/>
          <w:color w:val="auto"/>
        </w:rPr>
      </w:pPr>
      <w:r>
        <w:rPr>
          <w:rFonts w:ascii="Times New Roman" w:cs="Times New Roman" w:eastAsia="Times New Roman" w:hAnsi="Times New Roman"/>
          <w:sz w:val="14"/>
          <w:szCs w:val="14"/>
          <w:color w:val="auto"/>
        </w:rPr>
        <w:t xml:space="preserve">The Company uses the acquisition method of accounting under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Each acquired company’s operating results are included in the Company's consolidated financial statements starting on the date of acquisition. The purchase price is equivalent to the fair value of consideration transferred. Tangible and identifiable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intangible assets acquired and liabilities assumed as of the date of acquisition are recorded at the acquisition date fair value. Goodwill is recognized for the excess of purchase price over the net fair value of assets acquired and liabilities assumed.</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Amounts allocated to assets and liabilities are based upon their estimated fair values. Such valuations require management to make significant estimates and assumptions, especially with respect to the identifiable intangible assets.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developed technology, customer relationships, trade names, and reagent licenses.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94"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 xml:space="preserve">In February 2016, the FASB issued ASU 2016-02, </w:t>
      </w:r>
      <w:r>
        <w:rPr>
          <w:rFonts w:ascii="Times New Roman" w:cs="Times New Roman" w:eastAsia="Times New Roman" w:hAnsi="Times New Roman"/>
          <w:sz w:val="14"/>
          <w:szCs w:val="14"/>
          <w:i w:val="1"/>
          <w:iCs w:val="1"/>
          <w:color w:val="auto"/>
        </w:rPr>
        <w:t>Leases (Topic 842)</w:t>
      </w:r>
      <w:r>
        <w:rPr>
          <w:rFonts w:ascii="Times New Roman" w:cs="Times New Roman" w:eastAsia="Times New Roman" w:hAnsi="Times New Roman"/>
          <w:sz w:val="14"/>
          <w:szCs w:val="14"/>
          <w:color w:val="auto"/>
        </w:rPr>
        <w:t xml:space="preserve">, to improve financial reporting and disclosures about leasing transactions. This ASU requires companies that lease assets to recognize on the balance sheet the assets and liabilities for the rights and obligations created by those leases, for substantially all leases. The recognition, measurement and presentation of expense and cash flows arising from a lease by a lessee will depend primarily on its classification as a finance or operating lease; both types of leases will be recognized on the balance sheet. This ASU also requires disclosures to help financial statement users to better understand the amount, timing and uncertainty of cash flows arising from leases. The new lease standard was adopted by the Company on its effective date of January 1, 2022. The Company used the optional transition method to the modified retrospective approach in which results for reporting periods beginning on January 1, 2022 are presented under Topic 842, while prior period amounts continue to be reported and disclosed in accordance with the Company’s historical accounting treatment under ASC Topic 840,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 number of practical expedients and policy elections are available under the new guidance to reduce the burden of adoption and ongoing compliance with Topic 842. The Company elected the “package of practical expedients” permitted under the transition guidance, which did not require reassessment of whether contracts entered into prior to January 1, 2022 are or contain leases, and allowed carryforward of the historical lease classification for existing leases. The Company has not elected to adopt the “hindsight” practical expedient, and therefore will measure the right-of-use (ROU) asset and lease liability using the remaining portion of the lease term at adoption on January 1, 2022.</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made an accounting policy election under Topic 842 not to recognize ROU assets and lease liabilities for leases with a term of twelve months or less. For all other leases, the Company recognizes ROU assets and lease liabilities based on the present value of lease payments over the lease term at the commencement date of the lease (or January 1, 2022 for existing leases upon the adoption of Topic 842). The ROU assets also include any initial direct costs incurred and lease payments made at or before the commencement date and are reduced by any lease incentives.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Future lease payments may include fixed rent escalation clauses or payments that depend on an index (such as the consumer price index). Subsequent changes an index and other periodic market-rate adjustments to base rent are recorded in variable lease expense in the period incurred. Residual value guarantees and payments for terminating a lease are included in the lease payments only when it is probable they will be incurred.</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Company’s leases may include a non-lease component representing additional services transferred to the Company, such as common area maintenance for real estate. The Company made an accounting policy election to account for each separate lease component and the non-lease components associated with that lease component as a single lease component. The non-lease components are generally variable in nature and recorded in variable lease expense in the period incurred.</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uses its incremental borrowing rate to determine the present value of lease payments, as the Company’s leases do not have a readily determinable implicit discount rate. The incremental borrowing rate is the rate of interest the Company would have to pay to borrow on a collateralized basis over a similar term and amount in a similar economic environment. Judgement is applied in assessing factors such as Company-specific credit risk, lease term, nature and quality of the underlying collateral, currency, and economic environment in determining the incremental borrowing rate to apply to each lease.</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Adoption of Topic 842 resulted in the recording of ROU assets and lease liabilities related to the Company’s operating leases of approximately $14.6 million and $15.2 million, respectively, on January 1, 2022. The adoption of the new lease standard did not materially impact the Company's consolidated net income or consolidated cash flows and did not result in a cumulative-effect adjustment to the opening balance of retained earnings. Refer to Note 17 for additional disclosures.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94"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 (“ASU 2023-09”)</w:t>
      </w:r>
      <w:r>
        <w:rPr>
          <w:rFonts w:ascii="Times New Roman" w:cs="Times New Roman" w:eastAsia="Times New Roman" w:hAnsi="Times New Roman"/>
          <w:sz w:val="14"/>
          <w:szCs w:val="14"/>
          <w:color w:val="auto"/>
        </w:rPr>
        <w:t>, which requires enhanced income tax disclosures, including specific categories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with early adoption permitted. The Company is currently evaluating the impact of this pronouncement.</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continues to monitor new accounting pronouncements issued by the FASB and does not believe any accounting pronouncements issued through the date of this report will have a material impact on its financial statements.</w:t>
      </w:r>
    </w:p>
    <w:p>
      <w:pPr>
        <w:spacing w:after="0" w:line="3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3.</w:t>
        <w:tab/>
        <w:t>Concentrations of credit risk and other risks and uncertainties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primarily of cash, cash equivalents and marketable securities.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 The Company holds marketable securities with high credit ratings.</w:t>
      </w:r>
    </w:p>
    <w:p>
      <w:pPr>
        <w:spacing w:after="0" w:line="4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4.</w:t>
        <w:tab/>
        <w:t>Revenue from contracts with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Disaggregation of revenue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depicts the disaggregation of revenue by sales channel mix and customer mix as defined by the nature of workflows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30"/>
        </w:trPr>
        <w:tc>
          <w:tcPr>
            <w:tcW w:w="6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Sales channel mix</w:t>
            </w:r>
          </w:p>
        </w:tc>
        <w:tc>
          <w:tcPr>
            <w:tcW w:w="9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Direct sales channel</w:t>
            </w:r>
          </w:p>
        </w:tc>
        <w:tc>
          <w:tcPr>
            <w:tcW w:w="90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147,169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129,098</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110,520</w:t>
            </w:r>
          </w:p>
        </w:tc>
      </w:tr>
      <w:tr>
        <w:trPr>
          <w:trHeight w:val="22"/>
        </w:trPr>
        <w:tc>
          <w:tcPr>
            <w:tcW w:w="6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Distributor channel</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45,846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17,430</w:t>
            </w:r>
          </w:p>
        </w:tc>
      </w:tr>
      <w:tr>
        <w:trPr>
          <w:trHeight w:val="203"/>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 net</w:t>
            </w:r>
          </w:p>
        </w:tc>
        <w:tc>
          <w:tcPr>
            <w:tcW w:w="90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193,015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164,036</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127,950</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5"/>
        </w:trPr>
        <w:tc>
          <w:tcPr>
            <w:tcW w:w="6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Customer mix</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
        </w:trPr>
        <w:tc>
          <w:tcPr>
            <w:tcW w:w="6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Academia and government</w:t>
            </w:r>
          </w:p>
        </w:tc>
        <w:tc>
          <w:tcPr>
            <w:tcW w:w="90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82,145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73,706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59,415</w:t>
            </w: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Biotechnology, pharmaceutical, distributor and contract research organizations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90,330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68,535</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 net</w:t>
            </w:r>
          </w:p>
        </w:tc>
        <w:tc>
          <w:tcPr>
            <w:tcW w:w="90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193,015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164,036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127,950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xml:space="preserve">Revenue by geographical markets is presented in Note 22, </w:t>
      </w:r>
      <w:r>
        <w:rPr>
          <w:rFonts w:ascii="Times New Roman" w:cs="Times New Roman" w:eastAsia="Times New Roman" w:hAnsi="Times New Roman"/>
          <w:sz w:val="14"/>
          <w:szCs w:val="14"/>
          <w:i w:val="1"/>
          <w:iCs w:val="1"/>
          <w:color w:val="auto"/>
        </w:rPr>
        <w:t>Geographic areas</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Remaining performance obligations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includes estimated revenues expected to be recognized in the future related to performance obligations that are unsatisfied (or partially satisfied) as of December 31, 2023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Less than 1 year</w:t>
            </w:r>
          </w:p>
        </w:tc>
        <w:tc>
          <w:tcPr>
            <w:tcW w:w="180" w:type="dxa"/>
            <w:vAlign w:val="bottom"/>
          </w:tcPr>
          <w:p>
            <w:pPr>
              <w:spacing w:after="0"/>
              <w:rPr>
                <w:sz w:val="12"/>
                <w:szCs w:val="12"/>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Greater than 1 year</w:t>
            </w:r>
          </w:p>
        </w:tc>
        <w:tc>
          <w:tcPr>
            <w:tcW w:w="340" w:type="dxa"/>
            <w:vAlign w:val="bottom"/>
          </w:tcPr>
          <w:p>
            <w:pPr>
              <w:spacing w:after="0"/>
              <w:rPr>
                <w:sz w:val="12"/>
                <w:szCs w:val="12"/>
                <w:color w:val="auto"/>
              </w:rPr>
            </w:pPr>
          </w:p>
        </w:tc>
        <w:tc>
          <w:tcPr>
            <w:tcW w:w="114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30"/>
        </w:trPr>
        <w:tc>
          <w:tcPr>
            <w:tcW w:w="32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revenue</w:t>
            </w:r>
          </w:p>
        </w:tc>
        <w:tc>
          <w:tcPr>
            <w:tcW w:w="3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0" w:type="dxa"/>
            <w:vAlign w:val="bottom"/>
          </w:tcPr>
          <w:p>
            <w:pPr>
              <w:spacing w:after="0"/>
              <w:rPr>
                <w:sz w:val="1"/>
                <w:szCs w:val="1"/>
                <w:color w:val="auto"/>
              </w:rPr>
            </w:pPr>
          </w:p>
        </w:tc>
      </w:tr>
      <w:tr>
        <w:trPr>
          <w:trHeight w:val="191"/>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revenue</w:t>
            </w:r>
          </w:p>
        </w:tc>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36,491</w:t>
            </w:r>
          </w:p>
        </w:tc>
        <w:tc>
          <w:tcPr>
            <w:tcW w:w="0" w:type="dxa"/>
            <w:vAlign w:val="bottom"/>
          </w:tcPr>
          <w:p>
            <w:pPr>
              <w:spacing w:after="0"/>
              <w:rPr>
                <w:sz w:val="1"/>
                <w:szCs w:val="1"/>
                <w:color w:val="auto"/>
              </w:rPr>
            </w:pPr>
          </w:p>
        </w:tc>
      </w:tr>
      <w:tr>
        <w:trPr>
          <w:trHeight w:val="22"/>
        </w:trPr>
        <w:tc>
          <w:tcPr>
            <w:tcW w:w="326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jc w:val="right"/>
              <w:ind w:right="869"/>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260" w:type="dxa"/>
            <w:vAlign w:val="bottom"/>
            <w:tcBorders>
              <w:bottom w:val="single" w:sz="8" w:color="9A9A9A"/>
            </w:tcBorders>
          </w:tcPr>
          <w:p>
            <w:pPr>
              <w:spacing w:after="0"/>
              <w:rPr>
                <w:sz w:val="7"/>
                <w:szCs w:val="7"/>
                <w:color w:val="auto"/>
              </w:rPr>
            </w:pPr>
          </w:p>
        </w:tc>
        <w:tc>
          <w:tcPr>
            <w:tcW w:w="34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balances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provides information about receivables, deferred revenue from contracts with customers, and customer deposits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240" w:type="dxa"/>
            <w:vAlign w:val="bottom"/>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19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518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3300" w:type="dxa"/>
            <w:vAlign w:val="bottom"/>
            <w:tcBorders>
              <w:bottom w:val="single" w:sz="8" w:color="CCEEFF"/>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55,928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48,864</w:t>
            </w:r>
          </w:p>
        </w:tc>
        <w:tc>
          <w:tcPr>
            <w:tcW w:w="0" w:type="dxa"/>
            <w:vAlign w:val="bottom"/>
          </w:tcPr>
          <w:p>
            <w:pPr>
              <w:spacing w:after="0"/>
              <w:rPr>
                <w:sz w:val="1"/>
                <w:szCs w:val="1"/>
                <w:color w:val="auto"/>
              </w:rPr>
            </w:pPr>
          </w:p>
        </w:tc>
      </w:tr>
      <w:tr>
        <w:trPr>
          <w:trHeight w:val="19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3300" w:type="dxa"/>
            <w:vAlign w:val="bottom"/>
            <w:tcBorders>
              <w:bottom w:val="single" w:sz="8" w:color="CCEEFF"/>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26,110</w:t>
            </w:r>
          </w:p>
        </w:tc>
        <w:tc>
          <w:tcPr>
            <w:tcW w:w="0" w:type="dxa"/>
            <w:vAlign w:val="bottom"/>
          </w:tcPr>
          <w:p>
            <w:pPr>
              <w:spacing w:after="0"/>
              <w:rPr>
                <w:sz w:val="1"/>
                <w:szCs w:val="1"/>
                <w:color w:val="auto"/>
              </w:rPr>
            </w:pPr>
          </w:p>
        </w:tc>
      </w:tr>
      <w:tr>
        <w:trPr>
          <w:trHeight w:val="191"/>
        </w:trPr>
        <w:tc>
          <w:tcPr>
            <w:tcW w:w="5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Customer deposits, which are included in 'Other current liabilities'</w:t>
            </w:r>
          </w:p>
        </w:tc>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0" w:type="dxa"/>
            <w:vAlign w:val="bottom"/>
          </w:tcPr>
          <w:p>
            <w:pPr>
              <w:spacing w:after="0"/>
              <w:rPr>
                <w:sz w:val="1"/>
                <w:szCs w:val="1"/>
                <w:color w:val="auto"/>
              </w:rPr>
            </w:pPr>
          </w:p>
        </w:tc>
      </w:tr>
      <w:tr>
        <w:trPr>
          <w:trHeight w:val="22"/>
        </w:trPr>
        <w:tc>
          <w:tcPr>
            <w:tcW w:w="518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contract liabilities</w:t>
            </w:r>
          </w:p>
        </w:tc>
        <w:tc>
          <w:tcPr>
            <w:tcW w:w="330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4"/>
                <w:szCs w:val="14"/>
                <w:color w:val="auto"/>
              </w:rPr>
              <w:t>The following provides a roll-forward of the contract liabilities (in thousands):</w:t>
            </w:r>
          </w:p>
        </w:tc>
        <w:tc>
          <w:tcPr>
            <w:tcW w:w="3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8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Contract liabilities</w:t>
            </w:r>
          </w:p>
        </w:tc>
        <w:tc>
          <w:tcPr>
            <w:tcW w:w="3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51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30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7,745</w:t>
            </w:r>
          </w:p>
        </w:tc>
        <w:tc>
          <w:tcPr>
            <w:tcW w:w="0" w:type="dxa"/>
            <w:vAlign w:val="bottom"/>
          </w:tcPr>
          <w:p>
            <w:pPr>
              <w:spacing w:after="0"/>
              <w:rPr>
                <w:sz w:val="1"/>
                <w:szCs w:val="1"/>
                <w:color w:val="auto"/>
              </w:rPr>
            </w:pPr>
          </w:p>
        </w:tc>
      </w:tr>
      <w:tr>
        <w:trPr>
          <w:trHeight w:val="191"/>
        </w:trPr>
        <w:tc>
          <w:tcPr>
            <w:tcW w:w="5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 recognized</w:t>
            </w:r>
          </w:p>
        </w:tc>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(15,008)</w:t>
            </w:r>
          </w:p>
        </w:tc>
        <w:tc>
          <w:tcPr>
            <w:tcW w:w="0" w:type="dxa"/>
            <w:vAlign w:val="bottom"/>
          </w:tcPr>
          <w:p>
            <w:pPr>
              <w:spacing w:after="0"/>
              <w:rPr>
                <w:sz w:val="1"/>
                <w:szCs w:val="1"/>
                <w:color w:val="auto"/>
              </w:rPr>
            </w:pPr>
          </w:p>
        </w:tc>
      </w:tr>
      <w:tr>
        <w:trPr>
          <w:trHeight w:val="22"/>
        </w:trPr>
        <w:tc>
          <w:tcPr>
            <w:tcW w:w="5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Revenue deferred</w:t>
            </w:r>
          </w:p>
        </w:tc>
        <w:tc>
          <w:tcPr>
            <w:tcW w:w="30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25,152</w:t>
            </w:r>
          </w:p>
        </w:tc>
        <w:tc>
          <w:tcPr>
            <w:tcW w:w="0" w:type="dxa"/>
            <w:vAlign w:val="bottom"/>
          </w:tcPr>
          <w:p>
            <w:pPr>
              <w:spacing w:after="0"/>
              <w:rPr>
                <w:sz w:val="1"/>
                <w:szCs w:val="1"/>
                <w:color w:val="auto"/>
              </w:rPr>
            </w:pPr>
          </w:p>
        </w:tc>
      </w:tr>
      <w:tr>
        <w:trPr>
          <w:trHeight w:val="18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3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17,889</w:t>
            </w:r>
          </w:p>
        </w:tc>
        <w:tc>
          <w:tcPr>
            <w:tcW w:w="0" w:type="dxa"/>
            <w:vAlign w:val="bottom"/>
          </w:tcPr>
          <w:p>
            <w:pPr>
              <w:spacing w:after="0"/>
              <w:rPr>
                <w:sz w:val="1"/>
                <w:szCs w:val="1"/>
                <w:color w:val="auto"/>
              </w:rPr>
            </w:pPr>
          </w:p>
        </w:tc>
      </w:tr>
      <w:tr>
        <w:trPr>
          <w:trHeight w:val="22"/>
        </w:trPr>
        <w:tc>
          <w:tcPr>
            <w:tcW w:w="5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Revenue recognized</w:t>
            </w:r>
          </w:p>
        </w:tc>
        <w:tc>
          <w:tcPr>
            <w:tcW w:w="30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(24,686)</w:t>
            </w:r>
          </w:p>
        </w:tc>
        <w:tc>
          <w:tcPr>
            <w:tcW w:w="0" w:type="dxa"/>
            <w:vAlign w:val="bottom"/>
          </w:tcPr>
          <w:p>
            <w:pPr>
              <w:spacing w:after="0"/>
              <w:rPr>
                <w:sz w:val="1"/>
                <w:szCs w:val="1"/>
                <w:color w:val="auto"/>
              </w:rPr>
            </w:pPr>
          </w:p>
        </w:tc>
      </w:tr>
      <w:tr>
        <w:trPr>
          <w:trHeight w:val="191"/>
        </w:trPr>
        <w:tc>
          <w:tcPr>
            <w:tcW w:w="5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 deferred</w:t>
            </w:r>
          </w:p>
        </w:tc>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34,462</w:t>
            </w:r>
          </w:p>
        </w:tc>
        <w:tc>
          <w:tcPr>
            <w:tcW w:w="0" w:type="dxa"/>
            <w:vAlign w:val="bottom"/>
          </w:tcPr>
          <w:p>
            <w:pPr>
              <w:spacing w:after="0"/>
              <w:rPr>
                <w:sz w:val="1"/>
                <w:szCs w:val="1"/>
                <w:color w:val="auto"/>
              </w:rPr>
            </w:pPr>
          </w:p>
        </w:tc>
      </w:tr>
      <w:tr>
        <w:trPr>
          <w:trHeight w:val="22"/>
        </w:trPr>
        <w:tc>
          <w:tcPr>
            <w:tcW w:w="518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30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27,665</w:t>
            </w:r>
          </w:p>
        </w:tc>
        <w:tc>
          <w:tcPr>
            <w:tcW w:w="0" w:type="dxa"/>
            <w:vAlign w:val="bottom"/>
          </w:tcPr>
          <w:p>
            <w:pPr>
              <w:spacing w:after="0"/>
              <w:rPr>
                <w:sz w:val="1"/>
                <w:szCs w:val="1"/>
                <w:color w:val="auto"/>
              </w:rPr>
            </w:pPr>
          </w:p>
        </w:tc>
      </w:tr>
      <w:tr>
        <w:trPr>
          <w:trHeight w:val="191"/>
        </w:trPr>
        <w:tc>
          <w:tcPr>
            <w:tcW w:w="5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 recognized</w:t>
            </w:r>
          </w:p>
        </w:tc>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(36,298)</w:t>
            </w:r>
          </w:p>
        </w:tc>
        <w:tc>
          <w:tcPr>
            <w:tcW w:w="0" w:type="dxa"/>
            <w:vAlign w:val="bottom"/>
          </w:tcPr>
          <w:p>
            <w:pPr>
              <w:spacing w:after="0"/>
              <w:rPr>
                <w:sz w:val="1"/>
                <w:szCs w:val="1"/>
                <w:color w:val="auto"/>
              </w:rPr>
            </w:pPr>
          </w:p>
        </w:tc>
      </w:tr>
      <w:tr>
        <w:trPr>
          <w:trHeight w:val="22"/>
        </w:trPr>
        <w:tc>
          <w:tcPr>
            <w:tcW w:w="5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Revenue deferred</w:t>
            </w:r>
          </w:p>
        </w:tc>
        <w:tc>
          <w:tcPr>
            <w:tcW w:w="30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47,898</w:t>
            </w:r>
          </w:p>
        </w:tc>
        <w:tc>
          <w:tcPr>
            <w:tcW w:w="0" w:type="dxa"/>
            <w:vAlign w:val="bottom"/>
          </w:tcPr>
          <w:p>
            <w:pPr>
              <w:spacing w:after="0"/>
              <w:rPr>
                <w:sz w:val="1"/>
                <w:szCs w:val="1"/>
                <w:color w:val="auto"/>
              </w:rPr>
            </w:pPr>
          </w:p>
        </w:tc>
      </w:tr>
      <w:tr>
        <w:trPr>
          <w:trHeight w:val="202"/>
        </w:trPr>
        <w:tc>
          <w:tcPr>
            <w:tcW w:w="5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3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39,265</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5.  Balance sheet details</w:t>
            </w:r>
          </w:p>
        </w:tc>
        <w:tc>
          <w:tcPr>
            <w:tcW w:w="3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18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tc>
        <w:tc>
          <w:tcPr>
            <w:tcW w:w="3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1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following table shows the components of inventory (in thousands):</w:t>
            </w:r>
          </w:p>
        </w:tc>
        <w:tc>
          <w:tcPr>
            <w:tcW w:w="3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51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21"/>
                <w:szCs w:val="21"/>
                <w:color w:val="auto"/>
              </w:rPr>
            </w:pPr>
          </w:p>
        </w:tc>
        <w:tc>
          <w:tcPr>
            <w:tcW w:w="1240" w:type="dxa"/>
            <w:vAlign w:val="bottom"/>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19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518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3300" w:type="dxa"/>
            <w:vAlign w:val="bottom"/>
            <w:tcBorders>
              <w:bottom w:val="single" w:sz="8" w:color="CCEEFF"/>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26,925</w:t>
            </w:r>
          </w:p>
        </w:tc>
        <w:tc>
          <w:tcPr>
            <w:tcW w:w="0" w:type="dxa"/>
            <w:vAlign w:val="bottom"/>
          </w:tcPr>
          <w:p>
            <w:pPr>
              <w:spacing w:after="0"/>
              <w:rPr>
                <w:sz w:val="1"/>
                <w:szCs w:val="1"/>
                <w:color w:val="auto"/>
              </w:rPr>
            </w:pPr>
          </w:p>
        </w:tc>
      </w:tr>
      <w:tr>
        <w:trPr>
          <w:trHeight w:val="19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progress</w:t>
            </w:r>
          </w:p>
        </w:tc>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4,897</w:t>
            </w:r>
          </w:p>
        </w:tc>
        <w:tc>
          <w:tcPr>
            <w:tcW w:w="0" w:type="dxa"/>
            <w:vAlign w:val="bottom"/>
          </w:tcPr>
          <w:p>
            <w:pPr>
              <w:spacing w:after="0"/>
              <w:rPr>
                <w:sz w:val="1"/>
                <w:szCs w:val="1"/>
                <w:color w:val="auto"/>
              </w:rPr>
            </w:pPr>
          </w:p>
        </w:tc>
      </w:tr>
      <w:tr>
        <w:trPr>
          <w:trHeight w:val="22"/>
        </w:trPr>
        <w:tc>
          <w:tcPr>
            <w:tcW w:w="5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30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16,332</w:t>
            </w:r>
          </w:p>
        </w:tc>
        <w:tc>
          <w:tcPr>
            <w:tcW w:w="0" w:type="dxa"/>
            <w:vAlign w:val="bottom"/>
          </w:tcPr>
          <w:p>
            <w:pPr>
              <w:spacing w:after="0"/>
              <w:rPr>
                <w:sz w:val="1"/>
                <w:szCs w:val="1"/>
                <w:color w:val="auto"/>
              </w:rPr>
            </w:pPr>
          </w:p>
        </w:tc>
      </w:tr>
      <w:tr>
        <w:trPr>
          <w:trHeight w:val="202"/>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inventories</w:t>
            </w:r>
          </w:p>
        </w:tc>
        <w:tc>
          <w:tcPr>
            <w:tcW w:w="30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60,877</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48,154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040" w:type="dxa"/>
            <w:vAlign w:val="bottom"/>
            <w:vMerge w:val="restart"/>
          </w:tcPr>
          <w:p>
            <w:pPr>
              <w:jc w:val="right"/>
              <w:ind w:right="2389"/>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518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180" w:type="dxa"/>
            <w:vAlign w:val="bottom"/>
            <w:tcBorders>
              <w:bottom w:val="single" w:sz="8" w:color="9A9A9A"/>
            </w:tcBorders>
          </w:tcPr>
          <w:p>
            <w:pPr>
              <w:spacing w:after="0"/>
              <w:rPr>
                <w:sz w:val="7"/>
                <w:szCs w:val="7"/>
                <w:color w:val="auto"/>
              </w:rPr>
            </w:pPr>
          </w:p>
        </w:tc>
        <w:tc>
          <w:tcPr>
            <w:tcW w:w="30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Prepaid expenses and other current assets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the components of prepaid expenses and other current assets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240" w:type="dxa"/>
            <w:vAlign w:val="bottom"/>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19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26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inventory</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rent</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insurance</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income tax</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2,687</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 refund receivable</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0" w:type="dxa"/>
            <w:vAlign w:val="bottom"/>
          </w:tcPr>
          <w:p>
            <w:pPr>
              <w:spacing w:after="0"/>
              <w:rPr>
                <w:sz w:val="1"/>
                <w:szCs w:val="1"/>
                <w:color w:val="auto"/>
              </w:rPr>
            </w:pPr>
          </w:p>
        </w:tc>
      </w:tr>
      <w:tr>
        <w:trPr>
          <w:trHeight w:val="202"/>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prepaid expenses and other current assets</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12,514</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12,954</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2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following table shows the components of accrued expenses (in thousands):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8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20"/>
                <w:szCs w:val="20"/>
                <w:color w:val="auto"/>
              </w:rPr>
            </w:pPr>
          </w:p>
        </w:tc>
        <w:tc>
          <w:tcPr>
            <w:tcW w:w="1240" w:type="dxa"/>
            <w:vAlign w:val="bottom"/>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19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40"/>
        </w:trPr>
        <w:tc>
          <w:tcPr>
            <w:tcW w:w="82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compensation and related benefits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13,748</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13,911</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service fees</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 warranty</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accrued expenses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4"/>
                <w:szCs w:val="14"/>
                <w:color w:val="auto"/>
              </w:rPr>
              <w:t>For the product warranty analysis refer to Note 20.</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8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2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Other current liabilities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82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following table shows the components of other current liabilities (in thousands):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8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21"/>
                <w:szCs w:val="21"/>
                <w:color w:val="auto"/>
              </w:rPr>
            </w:pPr>
          </w:p>
        </w:tc>
        <w:tc>
          <w:tcPr>
            <w:tcW w:w="1240" w:type="dxa"/>
            <w:vAlign w:val="bottom"/>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19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Customer deposits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payable</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 and use tax payable</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liability, current</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2,931</w:t>
            </w: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loan</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0" w:type="dxa"/>
            <w:vAlign w:val="bottom"/>
          </w:tcPr>
          <w:p>
            <w:pPr>
              <w:spacing w:after="0"/>
              <w:rPr>
                <w:sz w:val="1"/>
                <w:szCs w:val="1"/>
                <w:color w:val="auto"/>
              </w:rPr>
            </w:pPr>
          </w:p>
        </w:tc>
      </w:tr>
      <w:tr>
        <w:trPr>
          <w:trHeight w:val="203"/>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current liabilities</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7,903</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7,960</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6.</w:t>
        <w:tab/>
        <w:t>Fair value of financial instruments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sets forth the fair value of the Company’s financial assets and liabilities by level within the fair value hierarchy (in thousands):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Quoted prices</w:t>
            </w: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8"/>
        </w:trPr>
        <w:tc>
          <w:tcPr>
            <w:tcW w:w="5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active</w:t>
            </w:r>
          </w:p>
        </w:tc>
        <w:tc>
          <w:tcPr>
            <w:tcW w:w="30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7"/>
        </w:trPr>
        <w:tc>
          <w:tcPr>
            <w:tcW w:w="5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markets for</w:t>
            </w:r>
          </w:p>
        </w:tc>
        <w:tc>
          <w:tcPr>
            <w:tcW w:w="30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40" w:type="dxa"/>
            <w:vAlign w:val="bottom"/>
          </w:tcPr>
          <w:p>
            <w:pPr>
              <w:spacing w:after="0"/>
              <w:rPr>
                <w:sz w:val="11"/>
                <w:szCs w:val="11"/>
                <w:color w:val="auto"/>
              </w:rPr>
            </w:pPr>
          </w:p>
        </w:tc>
        <w:tc>
          <w:tcPr>
            <w:tcW w:w="124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Significant</w:t>
            </w:r>
          </w:p>
        </w:tc>
      </w:tr>
      <w:tr>
        <w:trPr>
          <w:trHeight w:val="138"/>
        </w:trPr>
        <w:tc>
          <w:tcPr>
            <w:tcW w:w="5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identical</w:t>
            </w:r>
          </w:p>
        </w:tc>
        <w:tc>
          <w:tcPr>
            <w:tcW w:w="30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observable</w:t>
            </w:r>
          </w:p>
        </w:tc>
        <w:tc>
          <w:tcPr>
            <w:tcW w:w="240" w:type="dxa"/>
            <w:vAlign w:val="bottom"/>
          </w:tcPr>
          <w:p>
            <w:pPr>
              <w:spacing w:after="0"/>
              <w:rPr>
                <w:sz w:val="11"/>
                <w:szCs w:val="11"/>
                <w:color w:val="auto"/>
              </w:rPr>
            </w:pPr>
          </w:p>
        </w:tc>
        <w:tc>
          <w:tcPr>
            <w:tcW w:w="124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unobservable</w:t>
            </w:r>
          </w:p>
        </w:tc>
      </w:tr>
      <w:tr>
        <w:trPr>
          <w:trHeight w:val="138"/>
        </w:trPr>
        <w:tc>
          <w:tcPr>
            <w:tcW w:w="5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30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inputs</w:t>
            </w:r>
          </w:p>
        </w:tc>
        <w:tc>
          <w:tcPr>
            <w:tcW w:w="240" w:type="dxa"/>
            <w:vAlign w:val="bottom"/>
          </w:tcPr>
          <w:p>
            <w:pPr>
              <w:spacing w:after="0"/>
              <w:rPr>
                <w:sz w:val="11"/>
                <w:szCs w:val="11"/>
                <w:color w:val="auto"/>
              </w:rPr>
            </w:pPr>
          </w:p>
        </w:tc>
        <w:tc>
          <w:tcPr>
            <w:tcW w:w="124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inputs</w:t>
            </w:r>
          </w:p>
        </w:tc>
      </w:tr>
      <w:tr>
        <w:trPr>
          <w:trHeight w:val="149"/>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240" w:type="dxa"/>
            <w:vAlign w:val="bottom"/>
          </w:tcPr>
          <w:p>
            <w:pPr>
              <w:spacing w:after="0"/>
              <w:rPr>
                <w:sz w:val="12"/>
                <w:szCs w:val="12"/>
                <w:color w:val="auto"/>
              </w:rPr>
            </w:pPr>
          </w:p>
        </w:tc>
        <w:tc>
          <w:tcPr>
            <w:tcW w:w="1240" w:type="dxa"/>
            <w:vAlign w:val="bottom"/>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(level 1)</w:t>
            </w:r>
          </w:p>
        </w:tc>
        <w:tc>
          <w:tcPr>
            <w:tcW w:w="300" w:type="dxa"/>
            <w:vAlign w:val="bottom"/>
          </w:tcPr>
          <w:p>
            <w:pPr>
              <w:spacing w:after="0"/>
              <w:rPr>
                <w:sz w:val="12"/>
                <w:szCs w:val="12"/>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40" w:type="dxa"/>
            <w:vAlign w:val="bottom"/>
          </w:tcPr>
          <w:p>
            <w:pPr>
              <w:spacing w:after="0"/>
              <w:rPr>
                <w:sz w:val="12"/>
                <w:szCs w:val="12"/>
                <w:color w:val="auto"/>
              </w:rPr>
            </w:pPr>
          </w:p>
        </w:tc>
        <w:tc>
          <w:tcPr>
            <w:tcW w:w="1240" w:type="dxa"/>
            <w:vAlign w:val="bottom"/>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30"/>
        </w:trPr>
        <w:tc>
          <w:tcPr>
            <w:tcW w:w="5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3"/>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191"/>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144,892</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144,892</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91"/>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Treasury</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5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 agency securities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35,818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35,818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8"/>
        </w:trPr>
        <w:tc>
          <w:tcPr>
            <w:tcW w:w="51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240,003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192,258</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47,745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72"/>
        </w:trPr>
        <w:tc>
          <w:tcPr>
            <w:tcW w:w="5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Quoted prices</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38"/>
        </w:trPr>
        <w:tc>
          <w:tcPr>
            <w:tcW w:w="5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active</w:t>
            </w:r>
          </w:p>
        </w:tc>
        <w:tc>
          <w:tcPr>
            <w:tcW w:w="30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8"/>
        </w:trPr>
        <w:tc>
          <w:tcPr>
            <w:tcW w:w="5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markets for</w:t>
            </w:r>
          </w:p>
        </w:tc>
        <w:tc>
          <w:tcPr>
            <w:tcW w:w="30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40" w:type="dxa"/>
            <w:vAlign w:val="bottom"/>
          </w:tcPr>
          <w:p>
            <w:pPr>
              <w:spacing w:after="0"/>
              <w:rPr>
                <w:sz w:val="11"/>
                <w:szCs w:val="11"/>
                <w:color w:val="auto"/>
              </w:rPr>
            </w:pPr>
          </w:p>
        </w:tc>
        <w:tc>
          <w:tcPr>
            <w:tcW w:w="124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Significant</w:t>
            </w:r>
          </w:p>
        </w:tc>
      </w:tr>
      <w:tr>
        <w:trPr>
          <w:trHeight w:val="138"/>
        </w:trPr>
        <w:tc>
          <w:tcPr>
            <w:tcW w:w="5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identical</w:t>
            </w:r>
          </w:p>
        </w:tc>
        <w:tc>
          <w:tcPr>
            <w:tcW w:w="30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observable</w:t>
            </w:r>
          </w:p>
        </w:tc>
        <w:tc>
          <w:tcPr>
            <w:tcW w:w="240" w:type="dxa"/>
            <w:vAlign w:val="bottom"/>
          </w:tcPr>
          <w:p>
            <w:pPr>
              <w:spacing w:after="0"/>
              <w:rPr>
                <w:sz w:val="11"/>
                <w:szCs w:val="11"/>
                <w:color w:val="auto"/>
              </w:rPr>
            </w:pPr>
          </w:p>
        </w:tc>
        <w:tc>
          <w:tcPr>
            <w:tcW w:w="124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unobservable</w:t>
            </w:r>
          </w:p>
        </w:tc>
      </w:tr>
      <w:tr>
        <w:trPr>
          <w:trHeight w:val="127"/>
        </w:trPr>
        <w:tc>
          <w:tcPr>
            <w:tcW w:w="5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30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inputs</w:t>
            </w:r>
          </w:p>
        </w:tc>
        <w:tc>
          <w:tcPr>
            <w:tcW w:w="240" w:type="dxa"/>
            <w:vAlign w:val="bottom"/>
          </w:tcPr>
          <w:p>
            <w:pPr>
              <w:spacing w:after="0"/>
              <w:rPr>
                <w:sz w:val="11"/>
                <w:szCs w:val="11"/>
                <w:color w:val="auto"/>
              </w:rPr>
            </w:pPr>
          </w:p>
        </w:tc>
        <w:tc>
          <w:tcPr>
            <w:tcW w:w="124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inputs</w:t>
            </w:r>
          </w:p>
        </w:tc>
      </w:tr>
      <w:tr>
        <w:trPr>
          <w:trHeight w:val="159"/>
        </w:trPr>
        <w:tc>
          <w:tcPr>
            <w:tcW w:w="5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93"/>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(level 1)</w:t>
            </w:r>
          </w:p>
        </w:tc>
        <w:tc>
          <w:tcPr>
            <w:tcW w:w="300" w:type="dxa"/>
            <w:vAlign w:val="bottom"/>
          </w:tcPr>
          <w:p>
            <w:pPr>
              <w:spacing w:after="0"/>
              <w:rPr>
                <w:sz w:val="13"/>
                <w:szCs w:val="13"/>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40" w:type="dxa"/>
            <w:vAlign w:val="bottom"/>
          </w:tcPr>
          <w:p>
            <w:pPr>
              <w:spacing w:after="0"/>
              <w:rPr>
                <w:sz w:val="13"/>
                <w:szCs w:val="13"/>
                <w:color w:val="auto"/>
              </w:rPr>
            </w:pPr>
          </w:p>
        </w:tc>
        <w:tc>
          <w:tcPr>
            <w:tcW w:w="1240" w:type="dxa"/>
            <w:vAlign w:val="bottom"/>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30"/>
        </w:trPr>
        <w:tc>
          <w:tcPr>
            <w:tcW w:w="5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3"/>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191"/>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Treasury</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29,930</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29,930</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5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 agency securities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5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5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117,437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117,437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5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5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Treasury</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9,786</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Federal agency securities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2"/>
        </w:trPr>
        <w:tc>
          <w:tcPr>
            <w:tcW w:w="5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217,778</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157,153</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60,625</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did not have any transfers of financial assets measured at fair value on a recurring basis to or from Level 1, Level 2 or Level 3 for any of the periods presented.</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table above does not include the Company's investments in privately held equity securities. Non-marketable equity investments of $1.6 million are included within Other noncurrent assets on the consolidated balance sheet as of December 31, 2023.</w:t>
      </w:r>
    </w:p>
    <w:p>
      <w:pPr>
        <w:spacing w:after="0" w:line="3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3"/>
          <w:szCs w:val="13"/>
          <w:b w:val="1"/>
          <w:bCs w:val="1"/>
          <w:color w:val="auto"/>
        </w:rPr>
        <w:t>Investments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tables summarize the Company's investments in available-for-sale securities by significant investment category reported as short-term as of December 31, 2023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gridSpan w:val="5"/>
          </w:tcPr>
          <w:p>
            <w:pPr>
              <w:ind w:left="9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30"/>
        </w:trPr>
        <w:tc>
          <w:tcPr>
            <w:tcW w:w="5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41"/>
        </w:trPr>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20" w:type="dxa"/>
            <w:vAlign w:val="bottom"/>
          </w:tcPr>
          <w:p>
            <w:pPr>
              <w:spacing w:after="0"/>
              <w:rPr>
                <w:sz w:val="12"/>
                <w:szCs w:val="12"/>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Gross Unrealized Gains</w:t>
            </w:r>
          </w:p>
        </w:tc>
        <w:tc>
          <w:tcPr>
            <w:tcW w:w="160" w:type="dxa"/>
            <w:vAlign w:val="bottom"/>
          </w:tcPr>
          <w:p>
            <w:pPr>
              <w:spacing w:after="0"/>
              <w:rPr>
                <w:sz w:val="12"/>
                <w:szCs w:val="12"/>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Gross Unrealized Loss</w:t>
            </w:r>
          </w:p>
        </w:tc>
        <w:tc>
          <w:tcPr>
            <w:tcW w:w="160" w:type="dxa"/>
            <w:vAlign w:val="bottom"/>
          </w:tcPr>
          <w:p>
            <w:pPr>
              <w:spacing w:after="0"/>
              <w:rPr>
                <w:sz w:val="12"/>
                <w:szCs w:val="12"/>
                <w:color w:val="auto"/>
              </w:rPr>
            </w:pP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Estimated Fair Value</w:t>
            </w:r>
          </w:p>
        </w:tc>
      </w:tr>
      <w:tr>
        <w:trPr>
          <w:trHeight w:val="30"/>
        </w:trPr>
        <w:tc>
          <w:tcPr>
            <w:tcW w:w="5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47,347</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center"/>
              <w:ind w:left="932"/>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47,366</w:t>
            </w:r>
          </w:p>
        </w:tc>
      </w:tr>
      <w:tr>
        <w:trPr>
          <w:trHeight w:val="22"/>
        </w:trPr>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agency securities</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center"/>
              <w:ind w:left="992"/>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35,818</w:t>
            </w: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40" w:type="dxa"/>
            <w:vAlign w:val="bottom"/>
          </w:tcPr>
          <w:p>
            <w:pPr>
              <w:jc w:val="center"/>
              <w:ind w:left="992"/>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11,927</w:t>
            </w: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available-for-sale investments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95,124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center"/>
              <w:ind w:left="992"/>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95,111</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673"/>
        </w:trPr>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87"/>
        </w:trPr>
        <w:tc>
          <w:tcPr>
            <w:tcW w:w="50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contractual maturities of the Company's available-for-sale securities at December 31, 2023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40" w:type="dxa"/>
            <w:vAlign w:val="bottom"/>
          </w:tcPr>
          <w:p>
            <w:pPr>
              <w:spacing w:after="0"/>
              <w:rPr>
                <w:sz w:val="12"/>
                <w:szCs w:val="12"/>
                <w:color w:val="auto"/>
              </w:rPr>
            </w:pPr>
          </w:p>
        </w:tc>
      </w:tr>
      <w:tr>
        <w:trPr>
          <w:trHeight w:val="30"/>
        </w:trPr>
        <w:tc>
          <w:tcPr>
            <w:tcW w:w="8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41"/>
        </w:trPr>
        <w:tc>
          <w:tcPr>
            <w:tcW w:w="8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440" w:type="dxa"/>
            <w:vAlign w:val="bottom"/>
          </w:tcPr>
          <w:p>
            <w:pPr>
              <w:spacing w:after="0"/>
              <w:rPr>
                <w:sz w:val="12"/>
                <w:szCs w:val="12"/>
                <w:color w:val="auto"/>
              </w:rPr>
            </w:pPr>
          </w:p>
        </w:tc>
        <w:tc>
          <w:tcPr>
            <w:tcW w:w="1040" w:type="dxa"/>
            <w:vAlign w:val="bottom"/>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30"/>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Mature in less than one year</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95,124</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95,111</w:t>
            </w:r>
          </w:p>
        </w:tc>
      </w:tr>
      <w:tr>
        <w:trPr>
          <w:trHeight w:val="203"/>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95,124</w:t>
            </w:r>
          </w:p>
        </w:tc>
        <w:tc>
          <w:tcPr>
            <w:tcW w:w="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95,111</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tables summarize the Company's investments in available-for-sale securities by significant investment category reported as short-term as of December 31, 2022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gridSpan w:val="3"/>
          </w:tcPr>
          <w:p>
            <w:pPr>
              <w:jc w:val="right"/>
              <w:ind w:right="816"/>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30"/>
        </w:trPr>
        <w:tc>
          <w:tcPr>
            <w:tcW w:w="5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41"/>
        </w:trPr>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20" w:type="dxa"/>
            <w:vAlign w:val="bottom"/>
          </w:tcPr>
          <w:p>
            <w:pPr>
              <w:spacing w:after="0"/>
              <w:rPr>
                <w:sz w:val="12"/>
                <w:szCs w:val="12"/>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Gross Unrealized Gains</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Gross Unrealized Loss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Estimated Fair Value</w:t>
            </w:r>
          </w:p>
        </w:tc>
      </w:tr>
      <w:tr>
        <w:trPr>
          <w:trHeight w:val="30"/>
        </w:trPr>
        <w:tc>
          <w:tcPr>
            <w:tcW w:w="5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9,786</w:t>
            </w:r>
          </w:p>
        </w:tc>
      </w:tr>
      <w:tr>
        <w:trPr>
          <w:trHeight w:val="22"/>
        </w:trPr>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agency securities</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11,627</w:t>
            </w:r>
          </w:p>
        </w:tc>
      </w:tr>
      <w:tr>
        <w:trPr>
          <w:trHeight w:val="19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spacing w:after="0"/>
              <w:rPr>
                <w:sz w:val="16"/>
                <w:szCs w:val="16"/>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23,136</w:t>
            </w: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available-for-sale investments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contractual maturities of the Company's available-for-sale securities at December 31, 2022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420" w:type="dxa"/>
            <w:vAlign w:val="bottom"/>
          </w:tcPr>
          <w:p>
            <w:pPr>
              <w:spacing w:after="0"/>
              <w:rPr>
                <w:sz w:val="12"/>
                <w:szCs w:val="12"/>
                <w:color w:val="auto"/>
              </w:rPr>
            </w:pPr>
          </w:p>
        </w:tc>
        <w:tc>
          <w:tcPr>
            <w:tcW w:w="1060" w:type="dxa"/>
            <w:vAlign w:val="bottom"/>
          </w:tcPr>
          <w:p>
            <w:pPr>
              <w:jc w:val="center"/>
              <w:ind w:right="352"/>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30"/>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Mature in less than one year</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44,532</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44,549</w:t>
            </w:r>
          </w:p>
        </w:tc>
        <w:tc>
          <w:tcPr>
            <w:tcW w:w="0" w:type="dxa"/>
            <w:vAlign w:val="bottom"/>
          </w:tcPr>
          <w:p>
            <w:pPr>
              <w:spacing w:after="0"/>
              <w:rPr>
                <w:sz w:val="1"/>
                <w:szCs w:val="1"/>
                <w:color w:val="auto"/>
              </w:rPr>
            </w:pPr>
          </w:p>
        </w:tc>
      </w:tr>
      <w:tr>
        <w:trPr>
          <w:trHeight w:val="202"/>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44,532</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44,549</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8.  Property and equipment, net</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2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following table shows the components of property and equipment, net (in thousands):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8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20" w:type="dxa"/>
            <w:vAlign w:val="bottom"/>
          </w:tcPr>
          <w:p>
            <w:pPr>
              <w:spacing w:after="0"/>
              <w:rPr>
                <w:sz w:val="21"/>
                <w:szCs w:val="21"/>
                <w:color w:val="auto"/>
              </w:rPr>
            </w:pPr>
          </w:p>
        </w:tc>
        <w:tc>
          <w:tcPr>
            <w:tcW w:w="1060" w:type="dxa"/>
            <w:vAlign w:val="bottom"/>
          </w:tcPr>
          <w:p>
            <w:pPr>
              <w:jc w:val="center"/>
              <w:ind w:right="33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jc w:val="center"/>
              <w:ind w:right="3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9,472</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4,777</w:t>
            </w: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Building and land</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7,653</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5,553</w:t>
            </w: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and computer equipment</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24,325</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16,841</w:t>
            </w:r>
          </w:p>
        </w:tc>
        <w:tc>
          <w:tcPr>
            <w:tcW w:w="0" w:type="dxa"/>
            <w:vAlign w:val="bottom"/>
          </w:tcPr>
          <w:p>
            <w:pPr>
              <w:spacing w:after="0"/>
              <w:rPr>
                <w:sz w:val="1"/>
                <w:szCs w:val="1"/>
                <w:color w:val="auto"/>
              </w:rPr>
            </w:pPr>
          </w:p>
        </w:tc>
      </w:tr>
      <w:tr>
        <w:trPr>
          <w:trHeight w:val="18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(5,920)</w:t>
            </w:r>
          </w:p>
        </w:tc>
        <w:tc>
          <w:tcPr>
            <w:tcW w:w="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(3,159)</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18,405</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Total depreciation expense for the year ended December 31, 2023, 2022, and 2021 were $2.8 million, $1.7 million and $0.9 million, respectively.</w:t>
      </w:r>
    </w:p>
    <w:p>
      <w:pPr>
        <w:spacing w:after="0" w:line="9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9.</w:t>
        <w:tab/>
        <w:t>Acquisition</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On February 28, 2023, the Company completed the FCI Acquisition for an aggregate cash consideration of $44.9 million.</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FCI Acquisition expands Cytek’s product portfolio to include high-resolution cell images with the speed, sensitivity and phenotyping abilities of flow cytometry. The addition of Guava flow cytometers expand Cytek’s core instrument offerings, adding cost-effective, entry-level and personal instrument options to broaden the market and research areas it services.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 xml:space="preserve">The acquisition was accounted for as a business combination in accordance with ASC 805. The purchase price has been allocated to the tangible assets and identifiable intangible assets acquired and liabilities assumed based upon their estimated fair values, with the exception of contract liabilities assumed which are recognized and measured in accordance with ASC 606, </w:t>
      </w:r>
      <w:r>
        <w:rPr>
          <w:rFonts w:ascii="Times New Roman" w:cs="Times New Roman" w:eastAsia="Times New Roman" w:hAnsi="Times New Roman"/>
          <w:sz w:val="14"/>
          <w:szCs w:val="14"/>
          <w:i w:val="1"/>
          <w:iCs w:val="1"/>
          <w:color w:val="auto"/>
        </w:rPr>
        <w:t>Revenue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from Contracts with Customers</w:t>
      </w:r>
      <w:r>
        <w:rPr>
          <w:rFonts w:ascii="Times New Roman" w:cs="Times New Roman" w:eastAsia="Times New Roman" w:hAnsi="Times New Roman"/>
          <w:sz w:val="14"/>
          <w:szCs w:val="14"/>
          <w:color w:val="auto"/>
        </w:rPr>
        <w:t>. The Company has finalized its accounting for the FCI Acquisition during the fourth quarter of 2023.</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the year ended December 31, 2023, the Company recorded the following changes as a result of measurement period adjustments to the fair value of the initial assets as follows:</w:t>
      </w:r>
    </w:p>
    <w:p>
      <w:pPr>
        <w:spacing w:after="0" w:line="94"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Property and equipment increased by $1.4 million</w:t>
      </w:r>
    </w:p>
    <w:p>
      <w:pPr>
        <w:spacing w:after="0" w:line="94"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Deferred tax assets increased by $0.6 million</w:t>
      </w:r>
    </w:p>
    <w:p>
      <w:pPr>
        <w:spacing w:after="0" w:line="94"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Customer relationships increased by $0.1 million</w:t>
      </w:r>
    </w:p>
    <w:p>
      <w:pPr>
        <w:spacing w:after="0" w:line="94"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Developed technologies increased by $0.7 million</w:t>
      </w:r>
    </w:p>
    <w:p>
      <w:pPr>
        <w:spacing w:after="0" w:line="94"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Trade names increased by 0.2 million</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measurement period adjustments noted above decreased goodwill by $3.0 million.</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estimated fair value of assets acquired and liabilities assumed at the date of the FCI Acquisition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8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(in thousands)</w:t>
            </w:r>
          </w:p>
        </w:tc>
      </w:tr>
      <w:tr>
        <w:trPr>
          <w:trHeight w:val="26"/>
        </w:trPr>
        <w:tc>
          <w:tcPr>
            <w:tcW w:w="9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assets acquired and liabilities assumed:</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6"/>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18,695</w:t>
            </w:r>
          </w:p>
        </w:tc>
      </w:tr>
      <w:tr>
        <w:trPr>
          <w:trHeight w:val="207"/>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w:t>
            </w:r>
          </w:p>
        </w:tc>
      </w:tr>
      <w:tr>
        <w:trPr>
          <w:trHeight w:val="196"/>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07"/>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r>
      <w:tr>
        <w:trPr>
          <w:trHeight w:val="196"/>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7"/>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Customer relationships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8,600</w:t>
            </w:r>
          </w:p>
        </w:tc>
      </w:tr>
      <w:tr>
        <w:trPr>
          <w:trHeight w:val="196"/>
        </w:trPr>
        <w:tc>
          <w:tcPr>
            <w:tcW w:w="9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Amnis ImageStream developed technology</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207"/>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Guava easyCyte and Muse developed technology</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196"/>
        </w:trPr>
        <w:tc>
          <w:tcPr>
            <w:tcW w:w="9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Amnis FlowSight and CellStream developed technology</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7"/>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Amnis trade name</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r>
      <w:tr>
        <w:trPr>
          <w:trHeight w:val="196"/>
        </w:trPr>
        <w:tc>
          <w:tcPr>
            <w:tcW w:w="9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Guava trade name</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07"/>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6,039</w:t>
            </w:r>
          </w:p>
        </w:tc>
      </w:tr>
      <w:tr>
        <w:trPr>
          <w:trHeight w:val="196"/>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(4,952)</w:t>
            </w:r>
          </w:p>
        </w:tc>
      </w:tr>
      <w:tr>
        <w:trPr>
          <w:trHeight w:val="20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warranty costs</w:t>
            </w:r>
          </w:p>
        </w:tc>
        <w:tc>
          <w:tcPr>
            <w:tcW w:w="4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r>
      <w:tr>
        <w:trPr>
          <w:trHeight w:val="198"/>
        </w:trPr>
        <w:tc>
          <w:tcPr>
            <w:tcW w:w="9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Fair value of net assets acquired</w:t>
            </w: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44,896</w:t>
            </w:r>
          </w:p>
        </w:tc>
      </w:tr>
      <w:tr>
        <w:trPr>
          <w:trHeight w:val="20"/>
        </w:trPr>
        <w:tc>
          <w:tcPr>
            <w:tcW w:w="9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$6.0 million of goodwill arising from the acquisition is primarily attributed to significant time-to-market advantages, as the Company gained immediate access to the FCI Products, existing relationships and business infrastructure and knowledgeable and experienced workforce. The goodwill is deductible for tax purposes. The Company has integrated the FCI Business into its existing business structure, which is comprised of a single reportable segment and a single reporting unit.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Intangible assets identified for recognition separate from goodwill were those that satisfied either the contractual or legal criterion or the separability criterion in the accounting guidance. The identifiable intangible assets acquired and their estimated useful lives for amortization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Borders>
              <w:top w:val="single" w:sz="8" w:color="CCEEFF"/>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Useful life (years)</w:t>
            </w:r>
          </w:p>
        </w:tc>
      </w:tr>
      <w:tr>
        <w:trPr>
          <w:trHeight w:val="162"/>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(In thousands, except for years)</w:t>
            </w:r>
          </w:p>
        </w:tc>
      </w:tr>
      <w:tr>
        <w:trPr>
          <w:trHeight w:val="26"/>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8,600</w:t>
            </w:r>
          </w:p>
        </w:tc>
        <w:tc>
          <w:tcPr>
            <w:tcW w:w="15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9</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Amnis ImageStream developed technology</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5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6</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Guava easyCyte and Muse developed technology</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5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2</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Amnis FlowSight and CellStream developed technology</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5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1</w:t>
            </w: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Amnis trade name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15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15</w:t>
            </w:r>
          </w:p>
        </w:tc>
      </w:tr>
      <w:tr>
        <w:trPr>
          <w:trHeight w:val="196"/>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Guava trade name</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560" w:type="dxa"/>
            <w:vAlign w:val="bottom"/>
            <w:tcBorders>
              <w:bottom w:val="single" w:sz="8" w:color="CCEEFF"/>
            </w:tcBorders>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3</w:t>
            </w:r>
          </w:p>
        </w:tc>
      </w:tr>
      <w:tr>
        <w:trPr>
          <w:trHeight w:val="223"/>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21,750</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customer relationships intangible asset represents the fair value of the underlying relationships with existing customers of the FCI Business. The trade name intangible asset represents the fair value of brand and name recognition associated with the marketing of the FCI Products. The FCI developed technology intangible asset represents the fair value of access to certain imaging and microcapillary technologies.</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fair value of the intangible assets acquired were estimated using variations of the income approach. The fair value of the customer relationships intangible asset was determined based on the multi-period excess earnings method and the relief-from-royalty method was utilized to estimate the fair values of the trade name and FCI developed technology intangible assets. The key assumptions used in estimating the fair values of intangible assets included forecasted financial information; customer retention rates; factors for technological obsolescence; royalty rates and discount rates. The cash flow projections were discounted using rates ranging from 29.0% to 39.0% The cash flows were based on estimates used to price the transaction, including market participant considerations, and the discount rates applied were benchmarked with reference to the implied rate of return from the transaction model and the weighted average cost of capital.</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All acquired intangibles are being amortized over their estimated useful lives using the straight-line method of amortization.</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fair value assigned to the assets acquired are based on reasonable assumptions and estimates that market participants would use. Actual results may differ from these estimates and assumptions.</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results of operations for the FCI Business are included in the consolidated financial statements of the Company from the date of the acquisition. For the three and twelve months ended December 31, 2023, $9.8 million and $28.7 million of the Company's revenue were attributable to the acquired FCI Business.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following unaudited pro forma consolidated financial information reflects the results of operations of the Company for the twelve months ended December 31, 2023 and 2022 as if the acquisition had occurred as of January 1, 2022, after giving effect to certain purchase accounting and financing adjustments. These amounts are based on financial information of the acquired business unit and are not necessarily indicative of what the Company’s operating results would have been had the acquisition taken place on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55245</wp:posOffset>
            </wp:positionV>
            <wp:extent cx="371919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719195" cy="698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0" w:type="dxa"/>
            <w:vAlign w:val="bottom"/>
          </w:tcPr>
          <w:p>
            <w:pPr>
              <w:spacing w:after="0"/>
              <w:rPr>
                <w:sz w:val="16"/>
                <w:szCs w:val="16"/>
                <w:color w:val="auto"/>
              </w:rPr>
            </w:pPr>
          </w:p>
        </w:tc>
        <w:tc>
          <w:tcPr>
            <w:tcW w:w="2660" w:type="dxa"/>
            <w:vAlign w:val="bottom"/>
            <w:gridSpan w:val="3"/>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22"/>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7"/>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58,605</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197,964</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193,810</w:t>
            </w:r>
          </w:p>
        </w:tc>
      </w:tr>
      <w:tr>
        <w:trPr>
          <w:trHeight w:val="196"/>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5,226</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(13,954)</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w:t>
            </w:r>
          </w:p>
        </w:tc>
      </w:tr>
      <w:tr>
        <w:trPr>
          <w:trHeight w:val="20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6,357</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(10,813)</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r>
    </w:tbl>
    <w:p>
      <w:pPr>
        <w:spacing w:after="0" w:line="13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Pro forma financial information is presented as if the operations of the acquired business unit had been included in the consolidated results of the Company since January 1, 2022 and gives effect to transactions that are directly attributable to the acquisition. Adjustments include additional depreciation and amortization expense related to the fair value of acquired property and equipment and intangible assets as if such assets were acquired on January 1, 2022. Transaction costs incurred by the Company related to the acquisition totaled approximately $1.5 million for the twelve months ended December 31, 2023, which were expensed and recorded as a component of general and administrative expenses in the consolidated statement of operations.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Goodwill and intangible assets, net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addition of goodwill for the year ended December 31, 2023 is discussed in Note 9.</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the components of intangible assets, net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8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Patents and trademarks</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r>
      <w:tr>
        <w:trPr>
          <w:trHeight w:val="22"/>
        </w:trPr>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IP license</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w:t>
            </w:r>
          </w:p>
        </w:tc>
      </w:tr>
      <w:tr>
        <w:trPr>
          <w:trHeight w:val="22"/>
        </w:trPr>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Reagent license</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w:t>
            </w:r>
          </w:p>
        </w:tc>
      </w:tr>
      <w:tr>
        <w:trPr>
          <w:trHeight w:val="18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intangible assets</w:t>
            </w: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27,697</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5,710</w:t>
            </w:r>
          </w:p>
        </w:tc>
      </w:tr>
      <w:tr>
        <w:trPr>
          <w:trHeight w:val="22"/>
        </w:trPr>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r>
      <w:tr>
        <w:trPr>
          <w:trHeight w:val="203"/>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23,084</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4,331</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Total amortization expense for the year ended December 31, 2023, 2022, and 2021 were approximately $3.3 million, $0.8 million and $0.3 million, respectively.</w:t>
      </w:r>
    </w:p>
    <w:p>
      <w:pPr>
        <w:spacing w:after="0" w:line="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tab/>
        <w:t>Legal settlement liability</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its products, (iii) $6.0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The Company achieved the sales milestone and made the milestone payment in the quarter ended December 31, 2021.</w:t>
      </w:r>
    </w:p>
    <w:p>
      <w:pPr>
        <w:spacing w:after="0" w:line="6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w:t>
      </w:r>
    </w:p>
    <w:p>
      <w:pPr>
        <w:spacing w:after="0" w:line="5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patents in question were determined to have an average useful life of 18 months. Accordingly, beginning the second quarter of 2022, the remaining contractual payments were classified as operating expenses as they were considered deferred litigation settlement. The Company recorded $0 million, $0.6 million, and $3.3 million product cost of sales related to royalty expense for the year ended December 31, 2023, 2022, and 2021, respectively. The Company recorded $1.6 million, $2.2 million, and $1.7 million of interest expense for the year ended December 31, 2023, 2022, and 2021, respectively, to accrete the present value discount of the payment streams over the payment period of ten years from the settlement date using the effective interest rate method. The Company made a one-time upfront payment and issued 2,087,545 shares of the Company’s common stock to BD during the year ended December 31, 2020. The Company recorded legal settlement liability on the consolidated balance sheets of $19.0 million and $17.8 million as of December 31, 2023 and December 31, 2022, respectively, and will record licensing expense in future periods.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the components of the legal settlement liability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240" w:type="dxa"/>
            <w:vAlign w:val="bottom"/>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8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Legal settlement liability</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w:t>
            </w:r>
          </w:p>
        </w:tc>
      </w:tr>
      <w:tr>
        <w:trPr>
          <w:trHeight w:val="22"/>
        </w:trPr>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Legal settlement liability</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15,596</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legal settlement liability</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Debt</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On November 7, 2022, Cytek (Wuxi) Biosciences Co., Ltd, the Company’s China subsidiary (“Cytek Wuxi”), entered a fixed asset loan agreement with Bank of Communications, China. The loan is denominated in Chinese renminbi and collateralized by Cytek Wuxi's cash deposit to the bank. The deposit is in a separate account with Cytek Wuxi's name, but the use of such account is restricted. The Company presented the deposit as restricted cash on the audited consolidated Balance Sheets as of December 31, 2022. In April 2023, the restricted cash account was released. The purchased building in Wuxi served as collateral. The total loan amount was $2.9 million and the loan term is five years. As of December 31, 2023, the total loan amount left is $2.2 million. The current portion of the loan, $0.6 million, is included in other current liabilities. The fixed interest rate on the loan was 4.5%.</w:t>
      </w:r>
    </w:p>
    <w:p>
      <w:pPr>
        <w:spacing w:after="0" w:line="5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Common stock</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As of December 31, 2023, the Company has authorized 1,000,000,000 shares of common stock at $0.001 par value. Holders of common stock are entitled to one vote per share, and to receive dividends, only and if declared by the Board of Directors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July 16, 2021, the Board and the Company’s stockholders approved an amendment and restatement of the Company’s certificate of incorporation to effect a 1.3333-for-1 stock split of its common stock and redeemable convertible preferred stock, which became effective upon filing with the Secretary of State of the State of Delaware on July 16, 2021.</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July 16, 2021, the Board and the Company’s stockholders approved an amendment and restatement of the Company’s certificate of incorporation, which became effective immediately following the closing of the Company's initial public offering (“IPO”) and filing with the Secretary of State of the State of Delaware on July 27, 2021.</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August 26, 2022, the Company filed with the SEC an automatic shelf registration statement on Form S-3ASR (File No. 333-267118) (the “Registration Statement”). In connection with the filing of the Registration Statement, the Company also entered into a sales agreement (the “2022 Sales Agreement”) with Piper Sandler &amp; Co. (“Piper”) as sales agent to sell from time to time up to $150 million of the Company’s common stock through an “at-the-market” offering program as defined in Rule 415 promulgated under the Securities Act of 1933, as amended (the “Securities Act”).</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December 31, 2023, the Company has not made any sales of common stock pursuant to the 2022 Sales Agreement. Accordingly, $0.7 million in transaction expenses recorded as prepaid offering costs have not yet been expensed in transaction expenses recorded.</w:t>
      </w:r>
    </w:p>
    <w:p>
      <w:pPr>
        <w:spacing w:after="0" w:line="5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On May 17, 2023, the Board approved a program for the repurchase by the Company of up to an aggregate of $50 million of its outstanding common stock. During the three months ended December 31, 2023, the Company repurchased 5,332,769 shares of its outstanding common stock for a total cost of approximately $34.6 million at an average price per share of $6.49. During the twelve months ended December 31, 2023, the Company repurchased 6,613,780 shares of its outstanding common stock for a total cost of approximately $44.0 million at an average price per share of $6.66. The commissions costs related with the repurchases were $0.1 million for both the three months and twelve months ended December 31, 2023. The repurchase program was used to return capital to shareholders and to minimize the dilutive impact of stock options and other share-based awards. The repurchased shares of common stock were retired. The repurchase program expired on December 31, 2023.</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August 16, 2022, the Inflation Reduction Act of 2022, or IRA, was signed into law. Among other things, the IRA imposes a 15% corporate alternative minimum tax for tax years beginning after December 31, 2022, levies a 1% excise tax on net stock repurchases after December 31, 2022, and provides tax incentives to promote clean energy. Beginning in 2023, net stock repurchases are subject to the excise tax. As of December 31, 2023, we have accrued $0.3 million excise taxes related with our shares buy back.</w:t>
      </w:r>
    </w:p>
    <w:p>
      <w:pPr>
        <w:spacing w:after="0" w:line="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Stock-based compensation plan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Plans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December 31, 2023, the Company had three stock-based compensation plans (the “Plans”) which are described below.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2015 Equity Incentive Plan</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March 2015, the Board approved the 2015 Equity Incentive Plan (“2015 Plan”), which provided for the granting of stock options to employees, directors and consultants of the Company.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2021 Equity Incentive Plan</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 Board of Directors elects to authorize a lesser number of shares prior to the applicable January 1. As of December 31, 2023, the total number of shares of common stock available for issuance under the 2021 Plan was 21,353,903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2021 Employee Stock Purchase Plan</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number of shares determined by the Board. During the year ended December 31, 2023, 296,236 shares were issued pursuant to purchases under the ESPP. As of December 31, 2023, the total number of shares of common stock available for issuance under the ESPP was 5,509,370 shares.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option valuation assumptions</w:t>
      </w:r>
    </w:p>
    <w:p>
      <w:pPr>
        <w:spacing w:after="0" w:line="96"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 (the expected term is determined as the average of the time-to-vesting and contractual life of the option), as the Company has limited historical information to develop expectations about future exercise patterns and post vesting employment termination behavior. The Company based the risk-free rate on U.S. Treasury zero-coupon issues with remaining terms similar to the expected term of the option. The Company has never paid any dividends and does not anticipate paying dividends in the foreseeable future, and therefore used an expected dividend yield of zero in the valuation model.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stock option activity during the periods indicated (in thousands except share and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80" w:type="dxa"/>
            <w:vAlign w:val="bottom"/>
          </w:tcPr>
          <w:p>
            <w:pPr>
              <w:spacing w:after="0"/>
              <w:rPr>
                <w:sz w:val="11"/>
                <w:szCs w:val="11"/>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 options</w:t>
            </w:r>
          </w:p>
        </w:tc>
        <w:tc>
          <w:tcPr>
            <w:tcW w:w="100" w:type="dxa"/>
            <w:vAlign w:val="bottom"/>
          </w:tcPr>
          <w:p>
            <w:pPr>
              <w:spacing w:after="0"/>
              <w:rPr>
                <w:sz w:val="11"/>
                <w:szCs w:val="11"/>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Weighted-average exercise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Weighted-average remaining</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49"/>
        </w:trPr>
        <w:tc>
          <w:tcPr>
            <w:tcW w:w="5080" w:type="dxa"/>
            <w:vAlign w:val="bottom"/>
          </w:tcPr>
          <w:p>
            <w:pPr>
              <w:spacing w:after="0"/>
              <w:rPr>
                <w:sz w:val="12"/>
                <w:szCs w:val="12"/>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Pr>
          <w:p>
            <w:pPr>
              <w:spacing w:after="0"/>
              <w:rPr>
                <w:sz w:val="12"/>
                <w:szCs w:val="12"/>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contractual term (in years)</w:t>
            </w:r>
          </w:p>
        </w:tc>
        <w:tc>
          <w:tcPr>
            <w:tcW w:w="100" w:type="dxa"/>
            <w:vAlign w:val="bottom"/>
          </w:tcPr>
          <w:p>
            <w:pPr>
              <w:spacing w:after="0"/>
              <w:rPr>
                <w:sz w:val="12"/>
                <w:szCs w:val="12"/>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Aggregate intrinsic value</w:t>
            </w:r>
          </w:p>
        </w:tc>
      </w:tr>
      <w:tr>
        <w:trPr>
          <w:trHeight w:val="30"/>
        </w:trPr>
        <w:tc>
          <w:tcPr>
            <w:tcW w:w="50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8,805,850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147,623</w:t>
            </w:r>
          </w:p>
        </w:tc>
      </w:tr>
      <w:tr>
        <w:trPr>
          <w:trHeight w:val="191"/>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715,352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
        </w:trPr>
        <w:tc>
          <w:tcPr>
            <w:tcW w:w="5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(1,224,564)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r>
      <w:tr>
        <w:trPr>
          <w:trHeight w:val="191"/>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Options 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(641,036)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
        </w:trPr>
        <w:tc>
          <w:tcPr>
            <w:tcW w:w="5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2"/>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0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7,578,635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8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37,200</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5"/>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 granted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1,295,948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r>
      <w:tr>
        <w:trPr>
          <w:trHeight w:val="191"/>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Options 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(1,099,160)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
        </w:trPr>
        <w:tc>
          <w:tcPr>
            <w:tcW w:w="5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 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(363,937)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r>
      <w:tr>
        <w:trPr>
          <w:trHeight w:val="191"/>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Options expired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7,219,702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 exercisable as of December 31, 2023</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4,628,353</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8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21,212</w:t>
            </w:r>
          </w:p>
        </w:tc>
      </w:tr>
      <w:tr>
        <w:trPr>
          <w:trHeight w:val="20"/>
        </w:trPr>
        <w:tc>
          <w:tcPr>
            <w:tcW w:w="50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weighted-average grant date fair value of options granted during the year ended December 31, 2023, 2022, and 2021 were $6.64, $8.21, and $10.42 per share, respectively.</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There was $20.6 million of unrecognized stock-based compensation expense related to unvested stock options as of December 31, 2023. The unrecognized stock-based compensation expense is estimated to be recognized over a period of 1.93 years as of December 31, 2023.</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currently uses authorized and unissued shares to satisfy option exercises.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aggregate intrinsic value is calculated as the difference between the exercise price and the estimated fair value of the Company’s common stock as of December 31, 2023.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RSU Awards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RSU awards activity during the periods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Weighted-average grant date</w:t>
            </w: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Weighted-average remaining</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Aggregate intrinsic value (in</w:t>
            </w:r>
          </w:p>
        </w:tc>
      </w:tr>
      <w:tr>
        <w:trPr>
          <w:trHeight w:val="171"/>
        </w:trPr>
        <w:tc>
          <w:tcPr>
            <w:tcW w:w="5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fair value per share</w:t>
            </w:r>
          </w:p>
        </w:tc>
        <w:tc>
          <w:tcPr>
            <w:tcW w:w="15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contractual term (in years)</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thousands)</w:t>
            </w: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balance at December 31, 2021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r>
      <w:tr>
        <w:trPr>
          <w:trHeight w:val="191"/>
        </w:trPr>
        <w:tc>
          <w:tcPr>
            <w:tcW w:w="6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1,361,133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
        </w:trPr>
        <w:tc>
          <w:tcPr>
            <w:tcW w:w="5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6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(215,433)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191"/>
        </w:trPr>
        <w:tc>
          <w:tcPr>
            <w:tcW w:w="6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
        </w:trPr>
        <w:tc>
          <w:tcPr>
            <w:tcW w:w="5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balance at December 31, 2022</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1,169,508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11,941</w:t>
            </w:r>
          </w:p>
        </w:tc>
      </w:tr>
      <w:tr>
        <w:trPr>
          <w:trHeight w:val="20"/>
        </w:trPr>
        <w:tc>
          <w:tcPr>
            <w:tcW w:w="5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53"/>
        </w:trPr>
        <w:tc>
          <w:tcPr>
            <w:tcW w:w="6080" w:type="dxa"/>
            <w:vAlign w:val="bottom"/>
            <w:gridSpan w:val="2"/>
          </w:tcPr>
          <w:p>
            <w:pPr>
              <w:ind w:left="140"/>
              <w:spacing w:after="0" w:line="153" w:lineRule="exact"/>
              <w:rPr>
                <w:sz w:val="20"/>
                <w:szCs w:val="20"/>
                <w:color w:val="auto"/>
              </w:rPr>
            </w:pPr>
            <w:r>
              <w:rPr>
                <w:rFonts w:ascii="Times New Roman" w:cs="Times New Roman" w:eastAsia="Times New Roman" w:hAnsi="Times New Roman"/>
                <w:sz w:val="14"/>
                <w:szCs w:val="14"/>
                <w:color w:val="auto"/>
              </w:rPr>
              <w:t>Granted</w:t>
            </w: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w w:val="96"/>
              </w:rPr>
              <w:t>2,445,364</w:t>
            </w:r>
          </w:p>
        </w:tc>
        <w:tc>
          <w:tcPr>
            <w:tcW w:w="80" w:type="dxa"/>
            <w:vAlign w:val="bottom"/>
          </w:tcPr>
          <w:p>
            <w:pPr>
              <w:spacing w:after="0"/>
              <w:rPr>
                <w:sz w:val="13"/>
                <w:szCs w:val="13"/>
                <w:color w:val="auto"/>
              </w:rPr>
            </w:pPr>
          </w:p>
        </w:tc>
        <w:tc>
          <w:tcPr>
            <w:tcW w:w="180" w:type="dxa"/>
            <w:vAlign w:val="bottom"/>
          </w:tcPr>
          <w:p>
            <w:pPr>
              <w:jc w:val="right"/>
              <w:ind w:right="32"/>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10.05</w:t>
            </w: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2"/>
        </w:trPr>
        <w:tc>
          <w:tcPr>
            <w:tcW w:w="5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6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(624,351)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191"/>
        </w:trPr>
        <w:tc>
          <w:tcPr>
            <w:tcW w:w="6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(382,264)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
        </w:trPr>
        <w:tc>
          <w:tcPr>
            <w:tcW w:w="5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balance at December 31, 2023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2,608,257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There was $26.2 million of unrecognized stock-based compensation expense related to unvested RSU awards as of December 31, 2023. The unrecognized stock-based compensation expense is estimated to be recognized over a period of 2.99 years as of December 31, 2023.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 expense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the allocation of stock-based compensation expense related to the Company’s stock-based awards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30"/>
        </w:trPr>
        <w:tc>
          <w:tcPr>
            <w:tcW w:w="6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94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w:t>
            </w:r>
          </w:p>
        </w:tc>
      </w:tr>
      <w:tr>
        <w:trPr>
          <w:trHeight w:val="22"/>
        </w:trPr>
        <w:tc>
          <w:tcPr>
            <w:tcW w:w="6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the weighted-average valuation assumptions used in determining the fair value of employee stock options:</w:t>
      </w:r>
    </w:p>
    <w:p>
      <w:pPr>
        <w:spacing w:after="0" w:line="13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0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9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30"/>
        </w:trPr>
        <w:tc>
          <w:tcPr>
            <w:tcW w:w="64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1640" w:type="dxa"/>
            <w:vAlign w:val="bottom"/>
            <w:tcBorders>
              <w:bottom w:val="single" w:sz="8" w:color="CCEEFF"/>
            </w:tcBorders>
            <w:shd w:val="clear" w:color="auto" w:fill="CCEEFF"/>
          </w:tcPr>
          <w:p>
            <w:pPr>
              <w:jc w:val="right"/>
              <w:ind w:right="1192"/>
              <w:spacing w:after="0"/>
              <w:rPr>
                <w:sz w:val="20"/>
                <w:szCs w:val="20"/>
                <w:color w:val="auto"/>
              </w:rPr>
            </w:pPr>
            <w:r>
              <w:rPr>
                <w:rFonts w:ascii="Times New Roman" w:cs="Times New Roman" w:eastAsia="Times New Roman" w:hAnsi="Times New Roman"/>
                <w:sz w:val="14"/>
                <w:szCs w:val="14"/>
                <w:color w:val="auto"/>
              </w:rPr>
              <w:t>5.96</w:t>
            </w:r>
          </w:p>
        </w:tc>
        <w:tc>
          <w:tcPr>
            <w:tcW w:w="92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5.91</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6.05</w:t>
            </w:r>
          </w:p>
        </w:tc>
      </w:tr>
      <w:tr>
        <w:trPr>
          <w:trHeight w:val="19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640" w:type="dxa"/>
            <w:vAlign w:val="bottom"/>
          </w:tcPr>
          <w:p>
            <w:pPr>
              <w:jc w:val="right"/>
              <w:ind w:right="1052"/>
              <w:spacing w:after="0"/>
              <w:rPr>
                <w:sz w:val="20"/>
                <w:szCs w:val="20"/>
                <w:color w:val="auto"/>
              </w:rPr>
            </w:pPr>
            <w:r>
              <w:rPr>
                <w:rFonts w:ascii="Times New Roman" w:cs="Times New Roman" w:eastAsia="Times New Roman" w:hAnsi="Times New Roman"/>
                <w:sz w:val="14"/>
                <w:szCs w:val="14"/>
                <w:color w:val="auto"/>
              </w:rPr>
              <w:t>71 %</w:t>
            </w:r>
          </w:p>
        </w:tc>
        <w:tc>
          <w:tcPr>
            <w:tcW w:w="9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75 %</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90 %</w:t>
            </w:r>
          </w:p>
        </w:tc>
      </w:tr>
      <w:tr>
        <w:trPr>
          <w:trHeight w:val="22"/>
        </w:trPr>
        <w:tc>
          <w:tcPr>
            <w:tcW w:w="6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640" w:type="dxa"/>
            <w:vAlign w:val="bottom"/>
            <w:tcBorders>
              <w:bottom w:val="single" w:sz="8" w:color="CCEEFF"/>
            </w:tcBorders>
            <w:shd w:val="clear" w:color="auto" w:fill="CCEEFF"/>
          </w:tcPr>
          <w:p>
            <w:pPr>
              <w:jc w:val="right"/>
              <w:ind w:right="1052"/>
              <w:spacing w:after="0"/>
              <w:rPr>
                <w:sz w:val="20"/>
                <w:szCs w:val="20"/>
                <w:color w:val="auto"/>
              </w:rPr>
            </w:pPr>
            <w:r>
              <w:rPr>
                <w:rFonts w:ascii="Times New Roman" w:cs="Times New Roman" w:eastAsia="Times New Roman" w:hAnsi="Times New Roman"/>
                <w:sz w:val="14"/>
                <w:szCs w:val="14"/>
                <w:color w:val="auto"/>
              </w:rPr>
              <w:t>4 %</w:t>
            </w:r>
          </w:p>
        </w:tc>
        <w:tc>
          <w:tcPr>
            <w:tcW w:w="92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2 %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9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640" w:type="dxa"/>
            <w:vAlign w:val="bottom"/>
          </w:tcPr>
          <w:p>
            <w:pPr>
              <w:jc w:val="right"/>
              <w:ind w:right="121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r>
    </w:tbl>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weighted-average assumptions used in estimating the fair value of the ESPP for the current offering period using the Black-Scholes option-pricing model:</w:t>
      </w:r>
    </w:p>
    <w:p>
      <w:pPr>
        <w:spacing w:after="0" w:line="13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06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ind w:right="9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8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30"/>
        </w:trPr>
        <w:tc>
          <w:tcPr>
            <w:tcW w:w="64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3"/>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88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0.5</w:t>
            </w:r>
          </w:p>
        </w:tc>
        <w:tc>
          <w:tcPr>
            <w:tcW w:w="1640" w:type="dxa"/>
            <w:vAlign w:val="bottom"/>
            <w:tcBorders>
              <w:bottom w:val="single" w:sz="8" w:color="CCEEFF"/>
            </w:tcBorders>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0.5</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0.5</w:t>
            </w:r>
          </w:p>
        </w:tc>
      </w:tr>
      <w:tr>
        <w:trPr>
          <w:trHeight w:val="191"/>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8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67 %</w:t>
            </w:r>
          </w:p>
        </w:tc>
        <w:tc>
          <w:tcPr>
            <w:tcW w:w="16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77 %</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22"/>
        </w:trPr>
        <w:tc>
          <w:tcPr>
            <w:tcW w:w="6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2"/>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8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5 %</w:t>
            </w:r>
          </w:p>
        </w:tc>
        <w:tc>
          <w:tcPr>
            <w:tcW w:w="164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3 %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91"/>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8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r>
    </w:tbl>
    <w:p>
      <w:pPr>
        <w:spacing w:after="0" w:line="1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tab/>
        <w:t>Employee benefit plan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401(k) retirement savings plan</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currently maintains a 401(k) retirement savings plan the covers substantially all of its employees (“401(k) Plan”). The 401(k) Plan permits voluntary contributions by employees, a portion of which are matched by the Company. The Company’s contributions to the 401(k) Plan were approximately $1,678,000, $1,045,000, and $770,000 for the year ended December 31, 2023, 2022, and 2021, respectively.</w:t>
      </w:r>
    </w:p>
    <w:p>
      <w:pPr>
        <w:spacing w:after="0" w:line="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16.</w:t>
        <w:tab/>
        <w:t>Income taxes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 the years ended December 31, 2023, 2022, and 2021, income from continuing operations before taxes consisted of amounts related to U.S. operations and income associated with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Company’s foreign operations. The geographical breakdown of the Company’s income (loss) before provision for (benefit from) income taxes is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3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2022</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30"/>
        </w:trPr>
        <w:tc>
          <w:tcPr>
            <w:tcW w:w="378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w:t>
            </w:r>
          </w:p>
        </w:tc>
        <w:tc>
          <w:tcPr>
            <w:tcW w:w="380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(16,899)</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(1,347)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center"/>
              <w:ind w:left="593"/>
              <w:spacing w:after="0"/>
              <w:rPr>
                <w:sz w:val="20"/>
                <w:szCs w:val="20"/>
                <w:color w:val="auto"/>
              </w:rPr>
            </w:pPr>
            <w:r>
              <w:rPr>
                <w:rFonts w:ascii="Times New Roman" w:cs="Times New Roman" w:eastAsia="Times New Roman" w:hAnsi="Times New Roman"/>
                <w:sz w:val="14"/>
                <w:szCs w:val="14"/>
                <w:color w:val="auto"/>
              </w:rPr>
              <w:t>(1,870)</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2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2,607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center"/>
              <w:ind w:left="613"/>
              <w:spacing w:after="0"/>
              <w:rPr>
                <w:sz w:val="20"/>
                <w:szCs w:val="20"/>
                <w:color w:val="auto"/>
              </w:rPr>
            </w:pPr>
            <w:r>
              <w:rPr>
                <w:rFonts w:ascii="Times New Roman" w:cs="Times New Roman" w:eastAsia="Times New Roman" w:hAnsi="Times New Roman"/>
                <w:sz w:val="14"/>
                <w:szCs w:val="14"/>
                <w:color w:val="auto"/>
              </w:rPr>
              <w:t>7,808</w:t>
            </w:r>
          </w:p>
        </w:tc>
        <w:tc>
          <w:tcPr>
            <w:tcW w:w="0" w:type="dxa"/>
            <w:vAlign w:val="bottom"/>
          </w:tcPr>
          <w:p>
            <w:pPr>
              <w:spacing w:after="0"/>
              <w:rPr>
                <w:sz w:val="1"/>
                <w:szCs w:val="1"/>
                <w:color w:val="auto"/>
              </w:rPr>
            </w:pPr>
          </w:p>
        </w:tc>
      </w:tr>
      <w:tr>
        <w:trPr>
          <w:trHeight w:val="22"/>
        </w:trPr>
        <w:tc>
          <w:tcPr>
            <w:tcW w:w="378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38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1,260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center"/>
              <w:ind w:left="613"/>
              <w:spacing w:after="0"/>
              <w:rPr>
                <w:sz w:val="20"/>
                <w:szCs w:val="20"/>
                <w:color w:val="auto"/>
              </w:rPr>
            </w:pPr>
            <w:r>
              <w:rPr>
                <w:rFonts w:ascii="Times New Roman" w:cs="Times New Roman" w:eastAsia="Times New Roman" w:hAnsi="Times New Roman"/>
                <w:sz w:val="14"/>
                <w:szCs w:val="14"/>
                <w:color w:val="auto"/>
              </w:rPr>
              <w:t>5,938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jc w:val="right"/>
              <w:ind w:right="853"/>
              <w:spacing w:after="0"/>
              <w:rPr>
                <w:sz w:val="20"/>
                <w:szCs w:val="20"/>
                <w:color w:val="auto"/>
              </w:rPr>
            </w:pPr>
            <w:r>
              <w:rPr>
                <w:rFonts w:ascii="Times New Roman" w:cs="Times New Roman" w:eastAsia="Times New Roman" w:hAnsi="Times New Roman"/>
                <w:sz w:val="14"/>
                <w:szCs w:val="14"/>
                <w:color w:val="auto"/>
              </w:rPr>
              <w:t>110</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378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80" w:type="dxa"/>
            <w:vAlign w:val="bottom"/>
            <w:tcBorders>
              <w:bottom w:val="single" w:sz="8" w:color="9A9A9A"/>
            </w:tcBorders>
          </w:tcPr>
          <w:p>
            <w:pPr>
              <w:spacing w:after="0"/>
              <w:rPr>
                <w:sz w:val="7"/>
                <w:szCs w:val="7"/>
                <w:color w:val="auto"/>
              </w:rPr>
            </w:pPr>
          </w:p>
        </w:tc>
        <w:tc>
          <w:tcPr>
            <w:tcW w:w="28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Income tax expense attributable to income from continuing operations consists of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30"/>
        </w:trPr>
        <w:tc>
          <w:tcPr>
            <w:tcW w:w="66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provisions for income taxes:</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920" w:type="dxa"/>
            <w:vAlign w:val="bottom"/>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w:t>
            </w:r>
          </w:p>
        </w:tc>
        <w:tc>
          <w:tcPr>
            <w:tcW w:w="8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7,280</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3,666</w:t>
            </w:r>
          </w:p>
        </w:tc>
      </w:tr>
      <w:tr>
        <w:trPr>
          <w:trHeight w:val="22"/>
        </w:trPr>
        <w:tc>
          <w:tcPr>
            <w:tcW w:w="6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w:t>
            </w:r>
          </w:p>
        </w:tc>
        <w:tc>
          <w:tcPr>
            <w:tcW w:w="92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6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920" w:type="dxa"/>
            <w:vAlign w:val="bottom"/>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(8,777)</w:t>
            </w:r>
          </w:p>
        </w:tc>
        <w:tc>
          <w:tcPr>
            <w:tcW w:w="8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(9,164)</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w:t>
            </w:r>
          </w:p>
        </w:tc>
      </w:tr>
      <w:tr>
        <w:trPr>
          <w:trHeight w:val="22"/>
        </w:trPr>
        <w:tc>
          <w:tcPr>
            <w:tcW w:w="6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expense (benefit)</w:t>
            </w:r>
          </w:p>
        </w:tc>
        <w:tc>
          <w:tcPr>
            <w:tcW w:w="92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66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22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provision for (benefit from) income taxes</w:t>
            </w:r>
          </w:p>
        </w:tc>
        <w:tc>
          <w:tcPr>
            <w:tcW w:w="92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 rate reconciliation</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a reconciliation of the federal statutory rate to the Company’s effective tax rate: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20" w:type="dxa"/>
            <w:vAlign w:val="bottom"/>
            <w:gridSpan w:val="2"/>
          </w:tcPr>
          <w:p>
            <w:pPr>
              <w:ind w:left="710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560" w:type="dxa"/>
            <w:vAlign w:val="bottom"/>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30"/>
        </w:trPr>
        <w:tc>
          <w:tcPr>
            <w:tcW w:w="64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tax benefit at statutory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0" w:type="dxa"/>
            <w:vAlign w:val="bottom"/>
          </w:tcPr>
          <w:p>
            <w:pPr>
              <w:spacing w:after="0"/>
              <w:rPr>
                <w:sz w:val="1"/>
                <w:szCs w:val="1"/>
                <w:color w:val="auto"/>
              </w:rPr>
            </w:pPr>
          </w:p>
        </w:tc>
      </w:tr>
      <w:tr>
        <w:trPr>
          <w:trHeight w:val="191"/>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6"/>
                <w:szCs w:val="16"/>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2"/>
        </w:trPr>
        <w:tc>
          <w:tcPr>
            <w:tcW w:w="6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income taxed at different rates</w:t>
            </w:r>
          </w:p>
        </w:tc>
        <w:tc>
          <w:tcPr>
            <w:tcW w:w="5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91"/>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Foreign-derived intangible income deduction</w:t>
            </w:r>
          </w:p>
        </w:tc>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Pr>
          <w:p>
            <w:pPr>
              <w:spacing w:after="0"/>
              <w:rPr>
                <w:sz w:val="16"/>
                <w:szCs w:val="16"/>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2"/>
        </w:trPr>
        <w:tc>
          <w:tcPr>
            <w:tcW w:w="6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credits</w:t>
            </w:r>
          </w:p>
        </w:tc>
        <w:tc>
          <w:tcPr>
            <w:tcW w:w="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(146.4)</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1"/>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impact of foreign earnings and losses</w:t>
            </w:r>
          </w:p>
        </w:tc>
        <w:tc>
          <w:tcPr>
            <w:tcW w:w="5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89.4</w:t>
            </w:r>
          </w:p>
        </w:tc>
        <w:tc>
          <w:tcPr>
            <w:tcW w:w="80" w:type="dxa"/>
            <w:vAlign w:val="bottom"/>
          </w:tcPr>
          <w:p>
            <w:pPr>
              <w:spacing w:after="0"/>
              <w:rPr>
                <w:sz w:val="16"/>
                <w:szCs w:val="16"/>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2"/>
        </w:trPr>
        <w:tc>
          <w:tcPr>
            <w:tcW w:w="6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Subpart F</w:t>
            </w:r>
          </w:p>
        </w:tc>
        <w:tc>
          <w:tcPr>
            <w:tcW w:w="5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67.2</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191"/>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5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6"/>
                <w:szCs w:val="16"/>
                <w:color w:val="auto"/>
              </w:rPr>
            </w:pP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22"/>
        </w:trPr>
        <w:tc>
          <w:tcPr>
            <w:tcW w:w="6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permanent adjustments</w:t>
            </w:r>
          </w:p>
        </w:tc>
        <w:tc>
          <w:tcPr>
            <w:tcW w:w="5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Prior year true up due to tax rate change</w:t>
            </w:r>
          </w:p>
        </w:tc>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(47.1)</w:t>
            </w:r>
          </w:p>
        </w:tc>
        <w:tc>
          <w:tcPr>
            <w:tcW w:w="80" w:type="dxa"/>
            <w:vAlign w:val="bottom"/>
          </w:tcPr>
          <w:p>
            <w:pPr>
              <w:spacing w:after="0"/>
              <w:rPr>
                <w:sz w:val="16"/>
                <w:szCs w:val="16"/>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2"/>
        </w:trPr>
        <w:tc>
          <w:tcPr>
            <w:tcW w:w="6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 net</w:t>
            </w:r>
          </w:p>
        </w:tc>
        <w:tc>
          <w:tcPr>
            <w:tcW w:w="5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60.6</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1"/>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162M compensation</w:t>
            </w:r>
          </w:p>
        </w:tc>
        <w:tc>
          <w:tcPr>
            <w:tcW w:w="5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6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tax credit</w:t>
            </w:r>
          </w:p>
        </w:tc>
        <w:tc>
          <w:tcPr>
            <w:tcW w:w="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6"/>
                <w:szCs w:val="16"/>
                <w:color w:val="auto"/>
              </w:rPr>
            </w:pP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2"/>
        </w:trPr>
        <w:tc>
          <w:tcPr>
            <w:tcW w:w="64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48.9 %</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4"/>
                <w:szCs w:val="14"/>
                <w:color w:val="auto"/>
              </w:rPr>
              <w:t>111</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4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4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components of deferred taxes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tax effects of temporary differences and carryforwards that give rise to significant portions of the deferred tax assets and deferred tax liabilities at December 31, 2023 and 2022 are presented below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8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9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960" w:type="dxa"/>
            <w:vAlign w:val="bottom"/>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tax credit carryforward</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 credit carryforward</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based compensation</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w:t>
            </w: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Legal settlement</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4,415</w:t>
            </w: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 capitalization</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4,948</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Inventory reserve</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bonus</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 liability</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3,388</w:t>
            </w: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accruals</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25,755</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96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33,699</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24,507</w:t>
            </w:r>
          </w:p>
        </w:tc>
      </w:tr>
      <w:tr>
        <w:trPr>
          <w:trHeight w:val="192"/>
        </w:trPr>
        <w:tc>
          <w:tcPr>
            <w:tcW w:w="82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ROU assets</w:t>
            </w:r>
          </w:p>
        </w:tc>
        <w:tc>
          <w:tcPr>
            <w:tcW w:w="960" w:type="dxa"/>
            <w:vAlign w:val="bottom"/>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(3,053)</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r>
      <w:tr>
        <w:trPr>
          <w:trHeight w:val="18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liabilities</w:t>
            </w:r>
          </w:p>
        </w:tc>
        <w:tc>
          <w:tcPr>
            <w:tcW w:w="960" w:type="dxa"/>
            <w:vAlign w:val="bottom"/>
            <w:tcBorders>
              <w:top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8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(4,048)</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2"/>
        </w:trPr>
        <w:tc>
          <w:tcPr>
            <w:tcW w:w="822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r>
      <w:tr>
        <w:trPr>
          <w:trHeight w:val="203"/>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assets (liabilities)</w:t>
            </w:r>
          </w:p>
        </w:tc>
        <w:tc>
          <w:tcPr>
            <w:tcW w:w="96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30,487</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20,459</w:t>
            </w: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assesses the available positive and negative evidence to estimate if sufficient future taxable income will be generated to utilize the existing deferred tax assets. During 2020, the Company released the valuation allowance on its U.S. deferred tax assets. The Company believes its deferred tax assets are more likely than not to be realized except for one entity in China which is expected to incur tax losses due to research and development deductions available.</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of December 31, 2023, the Company maintained a valuation allowance with respect to one of its foreign subsidiary’s net operating loss that it believes is not more likely than not to be realized. The Company will continue to reassess the valuation allowance annually and if future evidence allows for a partial or full release of the valuation allowance, a tax benefit will be recorded accordingly.</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of December 31, 2023 and 2022, the Company does not have state net operating loss carryforwards. As of December 31, 2023 and 2022, the Company had state tax credit carryforwards of $3.1 million and $1.8 million, respectively, to offset future tax liability. The credit carryforwards are not subject to expiration. As of December 31, 2023 and 2022, the Company had foreign tax credit for Cytek (Shanghai) Bio Sciences Co., Ltd of $0.9 million and $0.5 million, respectively, which expires in 2027 if not utilized.</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Internal Revenue Code Section 382 places a limitation on the amount of taxable income that can be offset by net operating loss carryforwards and tax credit carryforwards after a greater than 50% change in control in ownership. California has similar rules. The Company had performed a Section 382 analysis and determined that its capitalization have resulted in such a change in prior year and current year. Utilization of the net operating loss carryforwards and tax credit carryforwards had been subject to the annual limitations under IRC Section 382 and similar state provisions. The annual limitation may result in the expiration of the state net operating loss carryforwards before utilization.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Uncertain Tax Positions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is a tabular reconciliation of the total amounts of unrecognized tax benefits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30"/>
        </w:trPr>
        <w:tc>
          <w:tcPr>
            <w:tcW w:w="66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tax benefits as of the beginning of the year</w:t>
            </w:r>
          </w:p>
        </w:tc>
        <w:tc>
          <w:tcPr>
            <w:tcW w:w="980" w:type="dxa"/>
            <w:vAlign w:val="bottom"/>
            <w:tcBorders>
              <w:bottom w:val="single" w:sz="8" w:color="CCEEFF"/>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Increases related to prior year tax provisions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related to current year tax provisions</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r>
      <w:tr>
        <w:trPr>
          <w:trHeight w:val="203"/>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Unrecognized tax benefits as of the end of the year</w:t>
            </w:r>
          </w:p>
        </w:tc>
        <w:tc>
          <w:tcPr>
            <w:tcW w:w="98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w:t>
            </w:r>
          </w:p>
        </w:tc>
      </w:tr>
      <w:tr>
        <w:trPr>
          <w:trHeight w:val="20"/>
        </w:trPr>
        <w:tc>
          <w:tcPr>
            <w:tcW w:w="6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accounts for uncertain tax positions under ASC 740. As of December 31, 2023, 2022 and 2021, there was approximately $3.6 million, $2.2 million and $1.3 million of unrecognized tax benefits, respectively. Of the unrecognized tax benefits, $3.4 million, $2.0 million and $1.1 million represents the amount that if recognized, would favorably affect the effective income tax rate in 2023, 2022 and 2021, respectively. The Company does not expect a significant change to its unrecognized tax benefits or recorded liabilities over the next twelve months. The unrecognized tax benefits may increase or change during the next year for items that arise in the ordinary course of business.</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files income tax returns in U.S. federal jurisdiction, various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or foreign income tax purposes.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December 31, 2023, the Company’s management is asserting that it is their intent to indefinitely reinvest unremitted foreign earnings for all its foreign entities.</w:t>
      </w:r>
    </w:p>
    <w:p>
      <w:pPr>
        <w:spacing w:after="0" w:line="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17.</w:t>
      </w:r>
      <w:r>
        <w:rPr>
          <w:sz w:val="20"/>
          <w:szCs w:val="20"/>
          <w:color w:val="auto"/>
        </w:rPr>
        <w:tab/>
      </w:r>
      <w:r>
        <w:rPr>
          <w:rFonts w:ascii="Times New Roman" w:cs="Times New Roman" w:eastAsia="Times New Roman" w:hAnsi="Times New Roman"/>
          <w:sz w:val="13"/>
          <w:szCs w:val="13"/>
          <w:b w:val="1"/>
          <w:bCs w:val="1"/>
          <w:color w:val="auto"/>
        </w:rPr>
        <w:t>Lease</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leases office facilities and equipment from unrelated parties under operating lease agreements that have initial terms ranging from 1 to 7.25 years. Some leases include one or more options to renew, generally at the Company's sole discretion, with renewal terms that can extend the lease term up to five years.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that option. The Company’s leases generally do not contain any material restrictive covenants. The Company is a sub-lessor in an agreement with a term of three years.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Operating lease cost is recognized on a straight-line basis over the lease term. The components of lease expense are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ind w:right="375"/>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20" w:type="dxa"/>
            <w:vAlign w:val="bottom"/>
          </w:tcPr>
          <w:p>
            <w:pPr>
              <w:spacing w:after="0"/>
              <w:rPr>
                <w:sz w:val="11"/>
                <w:szCs w:val="11"/>
                <w:color w:val="auto"/>
              </w:rPr>
            </w:pPr>
          </w:p>
        </w:tc>
        <w:tc>
          <w:tcPr>
            <w:tcW w:w="1300" w:type="dxa"/>
            <w:vAlign w:val="bottom"/>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49"/>
        </w:trPr>
        <w:tc>
          <w:tcPr>
            <w:tcW w:w="8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20" w:type="dxa"/>
            <w:vAlign w:val="bottom"/>
          </w:tcPr>
          <w:p>
            <w:pPr>
              <w:spacing w:after="0"/>
              <w:rPr>
                <w:sz w:val="12"/>
                <w:szCs w:val="12"/>
                <w:color w:val="auto"/>
              </w:rPr>
            </w:pP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40"/>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22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3,539</w:t>
            </w:r>
          </w:p>
        </w:tc>
      </w:tr>
      <w:tr>
        <w:trPr>
          <w:trHeight w:val="19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8"/>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w:t>
            </w:r>
          </w:p>
        </w:tc>
        <w:tc>
          <w:tcPr>
            <w:tcW w:w="2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 the year ended December 31, 2023, sublease income was $272,000, recorded as other income.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Supplemental cash flow information related to leases is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00" w:type="dxa"/>
            <w:vAlign w:val="bottom"/>
          </w:tcPr>
          <w:p>
            <w:pPr>
              <w:spacing w:after="0"/>
              <w:rPr>
                <w:sz w:val="11"/>
                <w:szCs w:val="11"/>
                <w:color w:val="auto"/>
              </w:rPr>
            </w:pPr>
          </w:p>
        </w:tc>
        <w:tc>
          <w:tcPr>
            <w:tcW w:w="1300" w:type="dxa"/>
            <w:vAlign w:val="bottom"/>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49"/>
        </w:trPr>
        <w:tc>
          <w:tcPr>
            <w:tcW w:w="8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0" w:type="dxa"/>
            <w:vAlign w:val="bottom"/>
          </w:tcPr>
          <w:p>
            <w:pPr>
              <w:spacing w:after="0"/>
              <w:rPr>
                <w:sz w:val="12"/>
                <w:szCs w:val="12"/>
                <w:color w:val="auto"/>
              </w:rPr>
            </w:pPr>
          </w:p>
        </w:tc>
        <w:tc>
          <w:tcPr>
            <w:tcW w:w="1300" w:type="dxa"/>
            <w:vAlign w:val="bottom"/>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30"/>
        </w:trPr>
        <w:tc>
          <w:tcPr>
            <w:tcW w:w="8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measurement of lease liabilities:</w:t>
            </w:r>
          </w:p>
        </w:tc>
        <w:tc>
          <w:tcPr>
            <w:tcW w:w="1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r>
      <w:tr>
        <w:trPr>
          <w:trHeight w:val="191"/>
        </w:trPr>
        <w:tc>
          <w:tcPr>
            <w:tcW w:w="8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cash outflows - payments on operating leases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w:t>
            </w:r>
          </w:p>
        </w:tc>
      </w:tr>
      <w:tr>
        <w:trPr>
          <w:trHeight w:val="22"/>
        </w:trPr>
        <w:tc>
          <w:tcPr>
            <w:tcW w:w="8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2"/>
        </w:trPr>
        <w:tc>
          <w:tcPr>
            <w:tcW w:w="8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new lease obligations:</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
        </w:trPr>
        <w:tc>
          <w:tcPr>
            <w:tcW w:w="8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16,852</w:t>
            </w:r>
          </w:p>
        </w:tc>
      </w:tr>
      <w:tr>
        <w:trPr>
          <w:trHeight w:val="328"/>
        </w:trPr>
        <w:tc>
          <w:tcPr>
            <w:tcW w:w="8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Supplemental balance sheet information related to leases is as follows (in thousands):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6"/>
        </w:trPr>
        <w:tc>
          <w:tcPr>
            <w:tcW w:w="8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00" w:type="dxa"/>
            <w:vAlign w:val="bottom"/>
          </w:tcPr>
          <w:p>
            <w:pPr>
              <w:spacing w:after="0"/>
              <w:rPr>
                <w:sz w:val="20"/>
                <w:szCs w:val="20"/>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8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Pr>
          <w:p>
            <w:pPr>
              <w:spacing w:after="0"/>
              <w:rPr>
                <w:sz w:val="12"/>
                <w:szCs w:val="12"/>
                <w:color w:val="auto"/>
              </w:rPr>
            </w:pPr>
          </w:p>
        </w:tc>
        <w:tc>
          <w:tcPr>
            <w:tcW w:w="1300" w:type="dxa"/>
            <w:vAlign w:val="bottom"/>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40"/>
        </w:trPr>
        <w:tc>
          <w:tcPr>
            <w:tcW w:w="83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3"/>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10,853</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13,883</w:t>
            </w:r>
          </w:p>
        </w:tc>
      </w:tr>
      <w:tr>
        <w:trPr>
          <w:trHeight w:val="191"/>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Included in other current liabilities:</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
        </w:trPr>
        <w:tc>
          <w:tcPr>
            <w:tcW w:w="8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8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2,931</w:t>
            </w:r>
          </w:p>
        </w:tc>
      </w:tr>
      <w:tr>
        <w:trPr>
          <w:trHeight w:val="191"/>
        </w:trPr>
        <w:tc>
          <w:tcPr>
            <w:tcW w:w="8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9,479</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12,312</w:t>
            </w:r>
          </w:p>
        </w:tc>
      </w:tr>
      <w:tr>
        <w:trPr>
          <w:trHeight w:val="22"/>
        </w:trPr>
        <w:tc>
          <w:tcPr>
            <w:tcW w:w="8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8"/>
        </w:trPr>
        <w:tc>
          <w:tcPr>
            <w:tcW w:w="8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11,923</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8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 operating leases: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center"/>
              <w:ind w:right="94"/>
              <w:spacing w:after="0"/>
              <w:rPr>
                <w:sz w:val="20"/>
                <w:szCs w:val="20"/>
                <w:color w:val="auto"/>
              </w:rPr>
            </w:pPr>
            <w:r>
              <w:rPr>
                <w:rFonts w:ascii="Times New Roman" w:cs="Times New Roman" w:eastAsia="Times New Roman" w:hAnsi="Times New Roman"/>
                <w:sz w:val="14"/>
                <w:szCs w:val="14"/>
                <w:color w:val="auto"/>
                <w:w w:val="97"/>
              </w:rPr>
              <w:t>4.68</w:t>
            </w: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center"/>
              <w:ind w:right="114"/>
              <w:spacing w:after="0"/>
              <w:rPr>
                <w:sz w:val="20"/>
                <w:szCs w:val="20"/>
                <w:color w:val="auto"/>
              </w:rPr>
            </w:pPr>
            <w:r>
              <w:rPr>
                <w:rFonts w:ascii="Times New Roman" w:cs="Times New Roman" w:eastAsia="Times New Roman" w:hAnsi="Times New Roman"/>
                <w:sz w:val="14"/>
                <w:szCs w:val="14"/>
                <w:color w:val="auto"/>
                <w:w w:val="97"/>
              </w:rPr>
              <w:t>5.47</w:t>
            </w:r>
          </w:p>
        </w:tc>
      </w:tr>
      <w:tr>
        <w:trPr>
          <w:trHeight w:val="212"/>
        </w:trPr>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 - operating leases:</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4"/>
                <w:szCs w:val="14"/>
                <w:color w:val="auto"/>
                <w:w w:val="95"/>
              </w:rPr>
              <w:t>2.6%</w:t>
            </w:r>
          </w:p>
        </w:tc>
      </w:tr>
      <w:tr>
        <w:trPr>
          <w:trHeight w:val="22"/>
        </w:trPr>
        <w:tc>
          <w:tcPr>
            <w:tcW w:w="8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Future undiscounted cash flows for each of the next five years and thereafter and reconciliation to the lease liabilities recognized on the balance sheet as of December 31, 2023 is as follows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w:t>
            </w:r>
          </w:p>
        </w:tc>
      </w:tr>
      <w:tr>
        <w:trPr>
          <w:trHeight w:val="191"/>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2,644</w:t>
            </w:r>
          </w:p>
        </w:tc>
      </w:tr>
      <w:tr>
        <w:trPr>
          <w:trHeight w:val="22"/>
        </w:trPr>
        <w:tc>
          <w:tcPr>
            <w:tcW w:w="9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5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w:t>
            </w:r>
          </w:p>
        </w:tc>
      </w:tr>
      <w:tr>
        <w:trPr>
          <w:trHeight w:val="191"/>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w:t>
            </w:r>
          </w:p>
        </w:tc>
      </w:tr>
      <w:tr>
        <w:trPr>
          <w:trHeight w:val="22"/>
        </w:trPr>
        <w:tc>
          <w:tcPr>
            <w:tcW w:w="9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5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r>
      <w:tr>
        <w:trPr>
          <w:trHeight w:val="191"/>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r>
      <w:tr>
        <w:trPr>
          <w:trHeight w:val="22"/>
        </w:trPr>
        <w:tc>
          <w:tcPr>
            <w:tcW w:w="9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3"/>
        </w:trPr>
        <w:tc>
          <w:tcPr>
            <w:tcW w:w="9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lease payments</w:t>
            </w: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12,674</w:t>
            </w:r>
          </w:p>
        </w:tc>
      </w:tr>
      <w:tr>
        <w:trPr>
          <w:trHeight w:val="181"/>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w:t>
            </w:r>
          </w:p>
        </w:tc>
      </w:tr>
      <w:tr>
        <w:trPr>
          <w:trHeight w:val="22"/>
        </w:trPr>
        <w:tc>
          <w:tcPr>
            <w:tcW w:w="9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8"/>
        </w:trPr>
        <w:tc>
          <w:tcPr>
            <w:tcW w:w="9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present value of lease liabilities</w:t>
            </w: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18.</w:t>
        <w:tab/>
        <w:t>Commitments and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Legal proceedings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is not currently involved in legal actions, nor is management aware of any potential claims or legal actions, for which the ultimate disposition could have a material effect on the Company’s financial position, results of operations or liquidity.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19.</w:t>
        <w:tab/>
        <w:t>Investment in Cytek Japan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May 2019, the Company jointly formed Cytek Japan with TOMY Digital Biology (“TOMY”). Cytek Japan was created for the purpose of expanding the Company’s presence in Japan. The Company and TOMY each purchased $46,000 of common stock of Cytek Japan. The Company previously accounted for its 50% interest in Cytek Japan as an equity method investment. The Company recorded $40,000 for its proportionate share of Cytek Japan’s earnings prior to its additional investment, which is included in other income (expense), net in the consolidated statements of operations and comprehensive (loss) income for the year ended December 31, 2022.</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March 2021, the Company purchased an additional $688,000 of common stock of Cytek Japan and TOMY purchased an additional $229,000 of common stock of Cytek Japan. The Company’s interest in Cytek Japan increased from 50% to 73% giving the Company controlling interest. The Company consolidated Cytek Japan as of March 31, 2021.</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recognized net assets of $1.1 million, consisting primarily of $1.0 million cash. The Company recorded noncontrolling interest of $315,000 on the unaudited interim consolidated financial statements as of March 31, 2021.</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 January 2023, the Company purchased an additional $235,000 of common stock of Cytek Japan. Cytek Japan became a wholly-owned subsidiary of the Company.</w:t>
      </w:r>
    </w:p>
    <w:p>
      <w:pPr>
        <w:spacing w:after="0" w:line="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20.</w:t>
        <w:tab/>
        <w:t>Product warranty</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shows the activity in the product warranty accrual included in accrued expenses on the consolidated balance sheets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9"/>
        </w:trPr>
        <w:tc>
          <w:tcPr>
            <w:tcW w:w="8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30"/>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the period</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center"/>
              <w:ind w:left="734"/>
              <w:spacing w:after="0"/>
              <w:rPr>
                <w:sz w:val="20"/>
                <w:szCs w:val="20"/>
                <w:color w:val="auto"/>
              </w:rPr>
            </w:pPr>
            <w:r>
              <w:rPr>
                <w:rFonts w:ascii="Times New Roman" w:cs="Times New Roman" w:eastAsia="Times New Roman" w:hAnsi="Times New Roman"/>
                <w:sz w:val="14"/>
                <w:szCs w:val="14"/>
                <w:color w:val="auto"/>
              </w:rPr>
              <w:t>2,126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center"/>
              <w:ind w:left="734"/>
              <w:spacing w:after="0"/>
              <w:rPr>
                <w:sz w:val="20"/>
                <w:szCs w:val="20"/>
                <w:color w:val="auto"/>
              </w:rPr>
            </w:pPr>
            <w:r>
              <w:rPr>
                <w:rFonts w:ascii="Times New Roman" w:cs="Times New Roman" w:eastAsia="Times New Roman" w:hAnsi="Times New Roman"/>
                <w:sz w:val="14"/>
                <w:szCs w:val="14"/>
                <w:color w:val="auto"/>
              </w:rPr>
              <w:t>1,760</w:t>
            </w: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Accrual for current year warranties</w:t>
            </w:r>
          </w:p>
        </w:tc>
        <w:tc>
          <w:tcPr>
            <w:tcW w:w="260" w:type="dxa"/>
            <w:vAlign w:val="bottom"/>
          </w:tcPr>
          <w:p>
            <w:pPr>
              <w:spacing w:after="0"/>
              <w:rPr>
                <w:sz w:val="16"/>
                <w:szCs w:val="16"/>
                <w:color w:val="auto"/>
              </w:rPr>
            </w:pPr>
          </w:p>
        </w:tc>
        <w:tc>
          <w:tcPr>
            <w:tcW w:w="1240" w:type="dxa"/>
            <w:vAlign w:val="bottom"/>
          </w:tcPr>
          <w:p>
            <w:pPr>
              <w:jc w:val="center"/>
              <w:ind w:left="734"/>
              <w:spacing w:after="0"/>
              <w:rPr>
                <w:sz w:val="20"/>
                <w:szCs w:val="20"/>
                <w:color w:val="auto"/>
              </w:rPr>
            </w:pPr>
            <w:r>
              <w:rPr>
                <w:rFonts w:ascii="Times New Roman" w:cs="Times New Roman" w:eastAsia="Times New Roman" w:hAnsi="Times New Roman"/>
                <w:sz w:val="14"/>
                <w:szCs w:val="14"/>
                <w:color w:val="auto"/>
              </w:rPr>
              <w:t>3,540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left="734"/>
              <w:spacing w:after="0"/>
              <w:rPr>
                <w:sz w:val="20"/>
                <w:szCs w:val="20"/>
                <w:color w:val="auto"/>
              </w:rPr>
            </w:pPr>
            <w:r>
              <w:rPr>
                <w:rFonts w:ascii="Times New Roman" w:cs="Times New Roman" w:eastAsia="Times New Roman" w:hAnsi="Times New Roman"/>
                <w:sz w:val="14"/>
                <w:szCs w:val="14"/>
                <w:color w:val="auto"/>
              </w:rPr>
              <w:t>2,841</w:t>
            </w:r>
          </w:p>
        </w:tc>
      </w:tr>
      <w:tr>
        <w:trPr>
          <w:trHeight w:val="22"/>
        </w:trPr>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Warranty cost incurred</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center"/>
              <w:ind w:left="714"/>
              <w:spacing w:after="0"/>
              <w:rPr>
                <w:sz w:val="20"/>
                <w:szCs w:val="20"/>
                <w:color w:val="auto"/>
              </w:rPr>
            </w:pPr>
            <w:r>
              <w:rPr>
                <w:rFonts w:ascii="Times New Roman" w:cs="Times New Roman" w:eastAsia="Times New Roman" w:hAnsi="Times New Roman"/>
                <w:sz w:val="14"/>
                <w:szCs w:val="14"/>
                <w:color w:val="auto"/>
              </w:rPr>
              <w:t>(2,861)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center"/>
              <w:ind w:left="714"/>
              <w:spacing w:after="0"/>
              <w:rPr>
                <w:sz w:val="20"/>
                <w:szCs w:val="20"/>
                <w:color w:val="auto"/>
              </w:rPr>
            </w:pPr>
            <w:r>
              <w:rPr>
                <w:rFonts w:ascii="Times New Roman" w:cs="Times New Roman" w:eastAsia="Times New Roman" w:hAnsi="Times New Roman"/>
                <w:sz w:val="14"/>
                <w:szCs w:val="14"/>
                <w:color w:val="auto"/>
              </w:rPr>
              <w:t>(2,475)</w:t>
            </w:r>
          </w:p>
        </w:tc>
      </w:tr>
      <w:tr>
        <w:trPr>
          <w:trHeight w:val="203"/>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center"/>
              <w:ind w:left="734"/>
              <w:spacing w:after="0"/>
              <w:rPr>
                <w:sz w:val="20"/>
                <w:szCs w:val="20"/>
                <w:color w:val="auto"/>
              </w:rPr>
            </w:pPr>
            <w:r>
              <w:rPr>
                <w:rFonts w:ascii="Times New Roman" w:cs="Times New Roman" w:eastAsia="Times New Roman" w:hAnsi="Times New Roman"/>
                <w:sz w:val="14"/>
                <w:szCs w:val="14"/>
                <w:color w:val="auto"/>
              </w:rPr>
              <w:t>2,805</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center"/>
              <w:ind w:left="734"/>
              <w:spacing w:after="0"/>
              <w:rPr>
                <w:sz w:val="20"/>
                <w:szCs w:val="20"/>
                <w:color w:val="auto"/>
              </w:rPr>
            </w:pPr>
            <w:r>
              <w:rPr>
                <w:rFonts w:ascii="Times New Roman" w:cs="Times New Roman" w:eastAsia="Times New Roman" w:hAnsi="Times New Roman"/>
                <w:sz w:val="14"/>
                <w:szCs w:val="14"/>
                <w:color w:val="auto"/>
              </w:rPr>
              <w:t>2,126</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21.</w:t>
        <w:tab/>
        <w:t>Net (loss) income attributable to common stockholders per share</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sets forth the computation of the Company’s basic and diluted net (loss) income attributable to common stockholders per share for the year ended December 31, 2023, 2022, and 2021 (in thousands except share and per share data):</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30"/>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Numerator</w:t>
            </w: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income</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w:t>
            </w:r>
          </w:p>
        </w:tc>
      </w:tr>
      <w:tr>
        <w:trPr>
          <w:trHeight w:val="22"/>
        </w:trPr>
        <w:tc>
          <w:tcPr>
            <w:tcW w:w="6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net loss (income) allocated to noncontrolling interests</w:t>
            </w: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net income allocated to participating securities</w:t>
            </w:r>
          </w:p>
        </w:tc>
        <w:tc>
          <w:tcPr>
            <w:tcW w:w="360" w:type="dxa"/>
            <w:vAlign w:val="bottom"/>
          </w:tcPr>
          <w:p>
            <w:pPr>
              <w:spacing w:after="0"/>
              <w:rPr>
                <w:sz w:val="16"/>
                <w:szCs w:val="16"/>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(3,001)</w:t>
            </w:r>
          </w:p>
        </w:tc>
      </w:tr>
      <w:tr>
        <w:trPr>
          <w:trHeight w:val="22"/>
        </w:trPr>
        <w:tc>
          <w:tcPr>
            <w:tcW w:w="6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6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(loss) income attributable to common stockholders, basic and diluted</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(12,148)</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5"/>
        </w:trPr>
        <w:tc>
          <w:tcPr>
            <w:tcW w:w="6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Denominator</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
        </w:trPr>
        <w:tc>
          <w:tcPr>
            <w:tcW w:w="6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Weighted-average common shares outstanding, attributable to common stockholders, basic</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135,283,044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134,510,831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76,741,858</w:t>
            </w: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employee stock plans</w:t>
            </w:r>
          </w:p>
        </w:tc>
        <w:tc>
          <w:tcPr>
            <w:tcW w:w="360" w:type="dxa"/>
            <w:vAlign w:val="bottom"/>
          </w:tcPr>
          <w:p>
            <w:pPr>
              <w:spacing w:after="0"/>
              <w:rPr>
                <w:sz w:val="16"/>
                <w:szCs w:val="16"/>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4,051,280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4,800,871</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Weighted-average common shares outstanding, attributable to common stockholders, diluted</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135,283,044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138,562,111</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81,542,729</w:t>
            </w:r>
          </w:p>
        </w:tc>
      </w:tr>
      <w:tr>
        <w:trPr>
          <w:trHeight w:val="203"/>
        </w:trPr>
        <w:tc>
          <w:tcPr>
            <w:tcW w:w="66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3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common stockholders per share, basic</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common stockholders per share, diluted</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Share-based compensation awards of approximately 9.0 million, 3.5 million, and 2.3 million shares for the years ended December 31, 2023, 2022, and 2021, respectively, were outstanding but were not included in the computation of diluted net income (loss) per share attributable to Cytek Biosciences, Inc. common stockholders, because the effect of including such shares would have been anti-dilutive in the periods presented.</w:t>
      </w:r>
    </w:p>
    <w:p>
      <w:pPr>
        <w:spacing w:after="0" w:line="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22.</w:t>
        <w:tab/>
        <w:t>Geographic areas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sells its products worldwide and attributes revenue to the geography where the product is delivered. The geographical distribution of revenue for the year ended December 31, 2023, 2022, and 2021 was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30"/>
        </w:trPr>
        <w:tc>
          <w:tcPr>
            <w:tcW w:w="6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90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102,085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94,592</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72,724</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EMEA</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43,958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36,967</w:t>
            </w:r>
          </w:p>
        </w:tc>
      </w:tr>
      <w:tr>
        <w:trPr>
          <w:trHeight w:val="22"/>
        </w:trPr>
        <w:tc>
          <w:tcPr>
            <w:tcW w:w="6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APAC</w:t>
            </w: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16,078</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 net</w:t>
            </w:r>
          </w:p>
        </w:tc>
        <w:tc>
          <w:tcPr>
            <w:tcW w:w="90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193,015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164,036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127,950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EMEA includes Europe, the Middle East and Africa; APAC includes Asia and the Pacific countries; Other includes Canada and Latin America.</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 the year ended December 31, 2023 and 2022, the Company had no major customers.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December 31, 2023 and December 31, 2022, the Company’s long-lived assets by geographic area were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6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30"/>
        </w:trPr>
        <w:tc>
          <w:tcPr>
            <w:tcW w:w="31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5320" w:type="dxa"/>
            <w:vAlign w:val="bottom"/>
            <w:tcBorders>
              <w:bottom w:val="single" w:sz="8" w:color="CCEEFF"/>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6,426</w:t>
            </w:r>
          </w:p>
        </w:tc>
        <w:tc>
          <w:tcPr>
            <w:tcW w:w="0" w:type="dxa"/>
            <w:vAlign w:val="bottom"/>
          </w:tcPr>
          <w:p>
            <w:pPr>
              <w:spacing w:after="0"/>
              <w:rPr>
                <w:sz w:val="1"/>
                <w:szCs w:val="1"/>
                <w:color w:val="auto"/>
              </w:rPr>
            </w:pPr>
          </w:p>
        </w:tc>
      </w:tr>
      <w:tr>
        <w:trPr>
          <w:trHeight w:val="191"/>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EMEA</w:t>
            </w:r>
          </w:p>
        </w:tc>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31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APAC</w:t>
            </w:r>
          </w:p>
        </w:tc>
        <w:tc>
          <w:tcPr>
            <w:tcW w:w="50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7,256</w:t>
            </w:r>
          </w:p>
        </w:tc>
        <w:tc>
          <w:tcPr>
            <w:tcW w:w="0" w:type="dxa"/>
            <w:vAlign w:val="bottom"/>
          </w:tcPr>
          <w:p>
            <w:pPr>
              <w:spacing w:after="0"/>
              <w:rPr>
                <w:sz w:val="1"/>
                <w:szCs w:val="1"/>
                <w:color w:val="auto"/>
              </w:rPr>
            </w:pPr>
          </w:p>
        </w:tc>
      </w:tr>
      <w:tr>
        <w:trPr>
          <w:trHeight w:val="202"/>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50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18,405</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13,682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5060" w:type="dxa"/>
            <w:vAlign w:val="bottom"/>
            <w:vMerge w:val="restart"/>
          </w:tcPr>
          <w:p>
            <w:pPr>
              <w:jc w:val="right"/>
              <w:ind w:right="2409"/>
              <w:spacing w:after="0"/>
              <w:rPr>
                <w:sz w:val="20"/>
                <w:szCs w:val="20"/>
                <w:color w:val="auto"/>
              </w:rPr>
            </w:pPr>
            <w:r>
              <w:rPr>
                <w:rFonts w:ascii="Times New Roman" w:cs="Times New Roman" w:eastAsia="Times New Roman" w:hAnsi="Times New Roman"/>
                <w:sz w:val="14"/>
                <w:szCs w:val="14"/>
                <w:color w:val="auto"/>
              </w:rPr>
              <w:t>116</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316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160" w:type="dxa"/>
            <w:vAlign w:val="bottom"/>
            <w:tcBorders>
              <w:bottom w:val="single" w:sz="8" w:color="9A9A9A"/>
            </w:tcBorders>
          </w:tcPr>
          <w:p>
            <w:pPr>
              <w:spacing w:after="0"/>
              <w:rPr>
                <w:sz w:val="7"/>
                <w:szCs w:val="7"/>
                <w:color w:val="auto"/>
              </w:rPr>
            </w:pPr>
          </w:p>
        </w:tc>
        <w:tc>
          <w:tcPr>
            <w:tcW w:w="50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December 31, 2023 and December 31, 2022, most of the Company’s long-lived assets were located in the United States and in Wuxi, China.</w:t>
      </w:r>
    </w:p>
    <w:p>
      <w:pPr>
        <w:spacing w:after="0" w:line="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23.</w:t>
        <w:tab/>
        <w:t>Related party transactions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On May 7, 2022, the Company’s wholly-owned Hong Kong subsidiary (“Cytek HK”) completed an investment of $1.6 million in Tianjin Deep Analysis Intelligent Technology Development Co., Ltd, a company incorporated under the laws of the People’s Republic of China (“DeepCyto”) in consideration for the issuance of Series A preferred shares of DeepCyto, representing an ownership interest of approximately 3.3%. At the time of the investment, an entity affiliated with Northern Light Venture Capital (“NLVC”) had a significant ownership interest in DeepCyto and a representative serving on the DeepCyto board of directors. The founding managing partner of NLVC served as a member of the Company’s board of directors until June 1, 2022.</w:t>
      </w:r>
    </w:p>
    <w:p>
      <w:pPr>
        <w:spacing w:after="0" w:line="5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24.</w:t>
        <w:tab/>
        <w:t>Subsequent Events</w:t>
      </w:r>
    </w:p>
    <w:p>
      <w:pPr>
        <w:spacing w:after="0" w:line="191" w:lineRule="exact"/>
        <w:rPr>
          <w:sz w:val="20"/>
          <w:szCs w:val="20"/>
          <w:color w:val="auto"/>
        </w:rPr>
      </w:pPr>
    </w:p>
    <w:p>
      <w:pPr>
        <w:jc w:val="both"/>
        <w:ind w:firstLine="382"/>
        <w:spacing w:after="0" w:line="248" w:lineRule="auto"/>
        <w:rPr>
          <w:sz w:val="20"/>
          <w:szCs w:val="20"/>
          <w:color w:val="auto"/>
        </w:rPr>
      </w:pPr>
      <w:r>
        <w:rPr>
          <w:rFonts w:ascii="Times New Roman" w:cs="Times New Roman" w:eastAsia="Times New Roman" w:hAnsi="Times New Roman"/>
          <w:sz w:val="14"/>
          <w:szCs w:val="14"/>
          <w:color w:val="auto"/>
        </w:rPr>
        <w:t>On January 16, 2024, the Company signed a maximum credit agreement with Bank of Communications, China. for 40 million Chinese renminbi (approximately US $5.7 million). This credit is collateralized by the Wuxi building purchased in November 2023 as disclosed in Note 12. Among the total 40 million renminbi (approximately US $5.7 million), 20 million Chinese renminbi (approximately US $2.8 million) served as collateral for the loan. The remaining 20 million Chinese renminbi (approximately US $2.8 million) can be borrowed, as needed, as a short-term loan for normal business operation requirements. The line of credit is available from December 25, 2023 to December 25, 2024.</w:t>
      </w:r>
    </w:p>
    <w:p>
      <w:pPr>
        <w:spacing w:after="0" w:line="162" w:lineRule="exact"/>
        <w:rPr>
          <w:sz w:val="20"/>
          <w:szCs w:val="20"/>
          <w:color w:val="auto"/>
        </w:rPr>
      </w:pPr>
    </w:p>
    <w:p>
      <w:pPr>
        <w:jc w:val="both"/>
        <w:ind w:firstLine="382"/>
        <w:spacing w:after="0" w:line="243" w:lineRule="auto"/>
        <w:rPr>
          <w:sz w:val="20"/>
          <w:szCs w:val="20"/>
          <w:color w:val="auto"/>
        </w:rPr>
      </w:pPr>
      <w:r>
        <w:rPr>
          <w:rFonts w:ascii="Times New Roman" w:cs="Times New Roman" w:eastAsia="Times New Roman" w:hAnsi="Times New Roman"/>
          <w:sz w:val="14"/>
          <w:szCs w:val="14"/>
          <w:color w:val="auto"/>
        </w:rPr>
        <w:t>On February 28, 2024, Cytek (Wuxi) Biosciences Co., Ltd, the Company’s China subsidiary (“Cytek Wuxi”), based on the above mentioned line of credit, entered a one year loan agreement with Bank of Communications, China. The loan is denominated in Chinese renminbi and collateralized by the building purchased by Cytek Wuxi in November, 2023. The total loan amount was 10 million Chinese renminbi (approximately US $1.4 million) and the interest rate is fixed at 3.45%. The loan effective term is February 28, 2024 to February 28, 2025. The interest expenses will be paid on a monthly basis. The loan will be used to pay employees' payroll or suppliers' invoices.</w:t>
      </w:r>
    </w:p>
    <w:p>
      <w:pPr>
        <w:spacing w:after="0" w:line="165"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4"/>
          <w:szCs w:val="14"/>
          <w:color w:val="auto"/>
        </w:rPr>
        <w:t>On February 29, 2024, the Company exercised its right to terminate one of its Seattle, Washington leases. Pursuant to the early termination provision in the lease agreement, the Company paid an early termination fee of $0.1 million. Accordingly, the lease will expire on August 31, 2024 rather than on its original expiration date of December 31, 2026. This reduces our future lease payments of $0.2 million.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Annual Report on Form 10-K.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as a result of the material weaknesses in our internal control, our disclosure controls and procedures were not effective as of December 31, 2023.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Annual Report on Internal Control Over Financial Reporting</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Management, including our Chief Executive Officer and Chief Financial Officer, is responsible for establishing and maintaining adequate internal control over financial reporting as defined in Rules 13a- 15(f) and 15d-15(f) under the Exchange Act and based upon the criteria established in Internal Control-Integrated Framework (2013) issued by the Committee of Sponsoring Organizations of the Treadway Commission (“the COSO framework”). Our internal control over financial reporting is a process designed to provide reasonable assurance regarding the reliability of our financial reporting and the preparation of our financial statements for external purposes in accordance with U.S. GAAP.</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spacing w:after="0" w:line="56"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Chief Executive Officer and Chief Financial Officer, we have conducted an evaluation of the effectiveness of our internal control over financial reporting based on the COSO framework. Based on evaluation under these criteria, management determined, based upon the existence of the material weaknesses described below, that we did not maintain effective internal control over financial reporting as of December 31, 2023. A material weakness is a deficiency, or a combination of deficiencies, in internal control over financial reporting, such that a reasonable possibility exists that a material misstatement of our annual or interim financial statements would not be prevented or detected on a timely basis.</w:t>
      </w:r>
    </w:p>
    <w:p>
      <w:pPr>
        <w:spacing w:after="0" w:line="2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identified deficiencies in the control environment and control activities components of the COSO Framework that constitute material weaknesses, either individually or in the aggregate.</w:t>
      </w:r>
    </w:p>
    <w:p>
      <w:pPr>
        <w:spacing w:after="0" w:line="94" w:lineRule="exact"/>
        <w:rPr>
          <w:sz w:val="20"/>
          <w:szCs w:val="20"/>
          <w:color w:val="auto"/>
        </w:rPr>
      </w:pPr>
    </w:p>
    <w:p>
      <w:pPr>
        <w:jc w:val="both"/>
        <w:ind w:left="760" w:hanging="373"/>
        <w:spacing w:after="0" w:line="264" w:lineRule="auto"/>
        <w:tabs>
          <w:tab w:leader="none" w:pos="75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 environment – Management did not maintain an effective control environment based on the criteria established in the COSO framework and identified deficiencies in the principles associated with the control environment of the COSO framework. Specifically, the Company does not have a sufficient number of qualified resources within our accounting and IT function with the appropriate level of technical accounting or other requisite knowledge to (1) timely identify and assess accounting implications of transactions and (2) perform assigned responsibilities and have appropriate accountability for the design and operation of internal control over financial reporting.</w:t>
      </w:r>
    </w:p>
    <w:p>
      <w:pPr>
        <w:spacing w:after="0" w:line="55" w:lineRule="exact"/>
        <w:rPr>
          <w:rFonts w:ascii="Times New Roman" w:cs="Times New Roman" w:eastAsia="Times New Roman" w:hAnsi="Times New Roman"/>
          <w:sz w:val="14"/>
          <w:szCs w:val="14"/>
          <w:color w:val="auto"/>
        </w:rPr>
      </w:pPr>
    </w:p>
    <w:p>
      <w:pPr>
        <w:jc w:val="both"/>
        <w:ind w:left="760" w:hanging="373"/>
        <w:spacing w:after="0" w:line="261" w:lineRule="auto"/>
        <w:tabs>
          <w:tab w:leader="none" w:pos="75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 activities – Management did not design and implement effective control activities based on the criteria established in the COSO framework and identified deficiencies in the principles associated with the control activities component of the COSO framework. Specifically, these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w:t>
      </w:r>
    </w:p>
    <w:p>
      <w:pPr>
        <w:spacing w:after="0" w:line="58"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material weaknesses were contributing factors: (i) inadequate general information technology controls (GITCs) in the area of access security over certain information technology systems that support the Company’s financial reporting processes. Some of our business process controls (automated and manual) are dependent on the affected GITCs;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they too were deemed ineffective because they could have been adversely impacted; and (ii) ineffective design and/or review procedures for journal entries and balance sheet account reconciliations.</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Deloitte &amp; Touche LLP, our independent registered public accounting firm, has audited the effectiveness of our internal control over financial reporting as of December 31, 2023 and has issued an attestation report on our internal controls over financial reporting, which is included herein.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Remediation Plan and Status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remain committed to remediating the control deficiencies that constituted the above material weaknesses by continuing to enhance our internal control over financial reporting. Management has put in place measures aimed at addressing these deficiencies to ensure the material weaknesses are remediated. such that these controls are designed, implemented and operating effectively. Throughout 2023, we have executed, and we will continue to execute the following steps intended to remediate the material weaknesses described above and strengthen our internal control over financial reporting:</w:t>
      </w:r>
    </w:p>
    <w:p>
      <w:pPr>
        <w:spacing w:after="0" w:line="56" w:lineRule="exact"/>
        <w:rPr>
          <w:sz w:val="20"/>
          <w:szCs w:val="20"/>
          <w:color w:val="auto"/>
        </w:rPr>
      </w:pPr>
    </w:p>
    <w:p>
      <w:pPr>
        <w:ind w:left="760" w:hanging="373"/>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committed to augmenting our workforce with qualified personnel in both our accounting and information technology functions.</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Leveraging external consultants, we will revise and improve the design of our controls, implement reviews and monitor the effectiveness of our system of internal controls, including GITCs.</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dedicated to identifying and appointing qualified personnel to assume responsibility for the design and operation of internal control over financial reporting and monitor the progress of remediation.</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committed to an ongoing process to revise and enhance the design of existing controls and implement new controls, update documentation, expand education and training, and strengthen supervisory reviews by our management.</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continue to further strengthen, GITCs related to financial accounting and reporting systems including implementing monitoring controls as appropriate. This includes the implementation of monitoring controls where deemed necessary to ensure ongoing effectiveness.</w:t>
      </w:r>
    </w:p>
    <w:p>
      <w:pPr>
        <w:spacing w:after="0" w:line="39"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continue to automate workflows and enhance oversight over the execution and review of manual journal entry controls and account reconciliations. Furthermore, we will continue to provide training for such enhanced oversight and review.</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plan to continue to devote significant time and attention to remediate the above material weaknesses as soon as reasonably practicable. As we continue to evaluate our controls, we will make the changes described above as well as any others needed to enhance our control environment and remediate the material weaknesses. We believe these actions will be sufficient to remediate the identified material weaknesses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are taking actions to remediate the material weaknesses relating to our internal control over financial reporting. Other than the changes intended to remediate the material weaknesses noted above, there was no change in our internal control over financial reporting that occurred during the quarter ended December 31, 2023 that materially affected, or were reasonably likely to materially affect, our internal control over financial reporting.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Cytek Biosciences,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94"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color w:val="auto"/>
        </w:rPr>
        <w:t xml:space="preserve">We have audited the internal control over financial reporting of Cytek Biosciences, Inc. and subsidiaries (the “Company”) as of December 31, 2023, based on criteria established in </w:t>
      </w:r>
      <w:r>
        <w:rPr>
          <w:rFonts w:ascii="Times New Roman" w:cs="Times New Roman" w:eastAsia="Times New Roman" w:hAnsi="Times New Roman"/>
          <w:sz w:val="14"/>
          <w:szCs w:val="14"/>
          <w:i w:val="1"/>
          <w:iCs w:val="1"/>
          <w:color w:val="auto"/>
        </w:rPr>
        <w:t>Internal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Control — Integrated Framework (2013) </w:t>
      </w:r>
      <w:r>
        <w:rPr>
          <w:rFonts w:ascii="Times New Roman" w:cs="Times New Roman" w:eastAsia="Times New Roman" w:hAnsi="Times New Roman"/>
          <w:sz w:val="14"/>
          <w:szCs w:val="14"/>
          <w:color w:val="auto"/>
        </w:rPr>
        <w:t>issued by the Committee of Sponsoring Organizations of the Treadway Commission (COSO). In our opinion, because of the effect of the material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weaknesses identified below on the achievement of the objectives of the control criteria, the Company has not maintained effective internal control over financial reporting as of December 31, 2023, based on criteria established in Internal Control — Integrated Framework (2013) issued by COSO.</w:t>
      </w:r>
    </w:p>
    <w:p>
      <w:pPr>
        <w:spacing w:after="0" w:line="55"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financial statements as of and for the year ended December 31, 2023, of the Company and our report dated March 13, 2024, expressed an unqualified opinion on those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Weaknesses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49"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Control environment </w:t>
      </w:r>
      <w:r>
        <w:rPr>
          <w:rFonts w:ascii="Times New Roman" w:cs="Times New Roman" w:eastAsia="Times New Roman" w:hAnsi="Times New Roman"/>
          <w:sz w:val="14"/>
          <w:szCs w:val="14"/>
          <w:color w:val="auto"/>
        </w:rPr>
        <w:t>– Management did not maintain an effective control environment based on the criteria established in COSO and identified deficiencies in the principles associated with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control environment of COSO. Specifically, the Company does not have a sufficient number of qualified resources within its accounting and IT function with the appropriate level of technical accounting or other requisite knowledge to (1) timely identify and assess accounting implications of transactions and (2) perform assigned responsibilities and have appropriate accountability for the design and operation of internal control over financial reporting.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Control activities </w:t>
      </w:r>
      <w:r>
        <w:rPr>
          <w:rFonts w:ascii="Times New Roman" w:cs="Times New Roman" w:eastAsia="Times New Roman" w:hAnsi="Times New Roman"/>
          <w:sz w:val="14"/>
          <w:szCs w:val="14"/>
          <w:color w:val="auto"/>
        </w:rPr>
        <w:t>– Management did not design and implement effective control activities based on the criteria established in the COSO framework and identified deficiencies in the principles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associated with the control activities component of COSO. Specifically, these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w:t>
      </w:r>
    </w:p>
    <w:p>
      <w:pPr>
        <w:spacing w:after="0" w:line="55"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following material weaknesses were contributing factors: (i) inadequate general information technology controls in the area of access security over certain information technology systems that support the Company’s financial reporting processes. Some of the Company’s business process controls (automated and manual) are dependent on the affected general information technology controls; they too were deemed ineffective because they could have been adversely impacted; and (ii) ineffective design and/or review procedures for journal entries and balance sheet account reconciliations.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These material weaknesses were considered in determining the nature, timing, and extent of audit tests applied in our audit of the consolidated financial statements as of and for the year ended December 31, 2023, of the Company, and this report does not affect our report on such financial statements.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13,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Adoption, Modification or Termination of 10b5-1 Trading Plans</w:t>
      </w:r>
    </w:p>
    <w:p>
      <w:pPr>
        <w:spacing w:after="0" w:line="191" w:lineRule="exact"/>
        <w:rPr>
          <w:sz w:val="20"/>
          <w:szCs w:val="20"/>
          <w:color w:val="auto"/>
        </w:rPr>
      </w:pPr>
    </w:p>
    <w:p>
      <w:pPr>
        <w:jc w:val="both"/>
        <w:ind w:firstLine="358"/>
        <w:spacing w:after="0" w:line="254" w:lineRule="auto"/>
        <w:rPr>
          <w:sz w:val="20"/>
          <w:szCs w:val="20"/>
          <w:color w:val="auto"/>
        </w:rPr>
      </w:pPr>
      <w:r>
        <w:rPr>
          <w:rFonts w:ascii="Times New Roman" w:cs="Times New Roman" w:eastAsia="Times New Roman" w:hAnsi="Times New Roman"/>
          <w:sz w:val="14"/>
          <w:szCs w:val="14"/>
          <w:color w:val="auto"/>
        </w:rPr>
        <w:t>On November 10, 2023, Wenbin Jiang, our Chief Executive Officer, President and Chairman of the Board of Directors, terminated his written plan for the sale of the Company’s securities adopted on November 17, 2022 (the “Plan”). The termination of the Plan was intended to satisfy the affirmative defense conditions of Rule 10b5-1(c). The Plan was set to expire on January 31, 2024 and covered the sale of a total of 1,200,000 shares of the Company’s common stock held by Dr. Jiang.</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6" w:lineRule="exact"/>
        <w:rPr>
          <w:sz w:val="20"/>
          <w:szCs w:val="20"/>
          <w:color w:val="auto"/>
        </w:rPr>
      </w:pPr>
    </w:p>
    <w:p>
      <w:pPr>
        <w:jc w:val="both"/>
        <w:ind w:firstLine="382"/>
        <w:spacing w:after="0" w:line="24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definitive Proxy Statement for the 2024 Annual Meeting of Stockholders, which will be filed with the SEC no later than 120 days after December 31, 2023, under the captions “Information Regarding the Board of Directors and Corporate Governance,” “Election of Directors,” and “Executive Officers.”</w:t>
      </w:r>
    </w:p>
    <w:p>
      <w:pPr>
        <w:spacing w:after="0" w:line="6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Information regarding our Code of Business Conduct and Ethics, or the Code of Conduct, required by this item will be contained in our 2024 Proxy Statement under the caption “Information Regarding the Board of Directors and Corporate Governance - Code of Ethics,” and is hereby incorporated by reference. If we make any substantive amendments to the Code of Conduct or grant any waiver from a provision of the Code of Conduct to any executive officer or director, we will promptly disclose the nature of the amendment or waiver on its website. The full text of our Code of Conduct is available at the Investor Relations section of our website at https://investors.cytekbio.com. The reference to our website address does not constitute incorporation by reference of the information contained at or available through our website, and you should not consider it to be part of this Annual Report.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6" w:lineRule="exact"/>
        <w:rPr>
          <w:sz w:val="20"/>
          <w:szCs w:val="20"/>
          <w:color w:val="auto"/>
        </w:rPr>
      </w:pPr>
    </w:p>
    <w:p>
      <w:pPr>
        <w:jc w:val="both"/>
        <w:ind w:firstLine="382"/>
        <w:spacing w:after="0" w:line="24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definitive Proxy Statement for the 2024 Annual Meeting of Stockholders, which will be filed with the SEC no later than 120 days after December 31, 2023, under the captions “Executive Compensation” and “Director Compensation.”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6" w:lineRule="exact"/>
        <w:rPr>
          <w:sz w:val="20"/>
          <w:szCs w:val="20"/>
          <w:color w:val="auto"/>
        </w:rPr>
      </w:pPr>
    </w:p>
    <w:p>
      <w:pPr>
        <w:jc w:val="both"/>
        <w:ind w:firstLine="382"/>
        <w:spacing w:after="0" w:line="24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definitive Proxy Statement for the 2024 Annual Meeting of Stockholders, which will be filed with the SEC no later than 120 days after December 31, 2023, under the caption “Security Ownership of Certain Beneficial Owners and Management.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6" w:lineRule="exact"/>
        <w:rPr>
          <w:sz w:val="20"/>
          <w:szCs w:val="20"/>
          <w:color w:val="auto"/>
        </w:rPr>
      </w:pPr>
    </w:p>
    <w:p>
      <w:pPr>
        <w:jc w:val="both"/>
        <w:ind w:firstLine="382"/>
        <w:spacing w:after="0" w:line="235"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definitive Proxy Statement for the 2024 Annual Meeting of Stockholders, which will be filed with the SEC no later than 120 days after December 31, 2023, under the captions “Transactions with Related Persons” and “Independence of the Board of Directors.”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6" w:lineRule="exact"/>
        <w:rPr>
          <w:sz w:val="20"/>
          <w:szCs w:val="20"/>
          <w:color w:val="auto"/>
        </w:rPr>
      </w:pPr>
    </w:p>
    <w:p>
      <w:pPr>
        <w:jc w:val="both"/>
        <w:ind w:firstLine="382"/>
        <w:spacing w:after="0" w:line="247" w:lineRule="auto"/>
        <w:rPr>
          <w:sz w:val="20"/>
          <w:szCs w:val="20"/>
          <w:color w:val="auto"/>
        </w:rPr>
      </w:pPr>
      <w:r>
        <w:rPr>
          <w:rFonts w:ascii="Times New Roman" w:cs="Times New Roman" w:eastAsia="Times New Roman" w:hAnsi="Times New Roman"/>
          <w:sz w:val="14"/>
          <w:szCs w:val="14"/>
          <w:color w:val="auto"/>
        </w:rPr>
        <w:t>The information required by this item is incorporated by reference to the definitive Proxy Statement for the 2024 Annual Meeting of Stockholders, which will be filed with the SEC no later than 120 days after December 31, 2023, under the caption “Ratification of Selection of Independent Registered Public Accounting Firm.</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The following documents are filed as part of this Annual Report on Form 10-K:</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 Consolidated Financial Statements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consolidated financial statements filed as part of this Annual Report on Form 10-K are included in Part II, Item 8 of this Annual Report on Form 10-K.</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Report of Independent Registered Public Accounting Firm</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(PCAOB ID No. 34)</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Balance Sheet</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Operations and Comprehensive (Loss) Income</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Redeemable Convertible Preferred Stock and Stockholders' Equity (Deficit)</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Consolidated Statements of Cash Flows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Notes to consolidated financial statements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(2) Financial Statement Schedules</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Financial statement schedules have been omitted in this Annual Report on Form 10-K because they are not applicable, not required under the instructions or the information requested is set forth in the financial statements or related notes thereto in Part II, Item 8 of this Annual Report on Form 10-K.</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(3) List of Exhibits required by Item 601 of Regulation S-K</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40" w:type="dxa"/>
            <w:vAlign w:val="bottom"/>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gridSpan w:val="11"/>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54"/>
        </w:trPr>
        <w:tc>
          <w:tcPr>
            <w:tcW w:w="1160" w:type="dxa"/>
            <w:vAlign w:val="bottom"/>
            <w:gridSpan w:val="2"/>
            <w:vMerge w:val="continue"/>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20" w:type="dxa"/>
            <w:vAlign w:val="bottom"/>
            <w:gridSpan w:val="11"/>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right="329"/>
              <w:spacing w:after="0" w:line="155" w:lineRule="exact"/>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File No.</w:t>
            </w:r>
          </w:p>
        </w:tc>
        <w:tc>
          <w:tcPr>
            <w:tcW w:w="1120" w:type="dxa"/>
            <w:vAlign w:val="bottom"/>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jc w:val="right"/>
              <w:ind w:right="449"/>
              <w:spacing w:after="0" w:line="155" w:lineRule="exact"/>
              <w:rPr>
                <w:sz w:val="20"/>
                <w:szCs w:val="20"/>
                <w:color w:val="auto"/>
              </w:rPr>
            </w:pPr>
            <w:r>
              <w:rPr>
                <w:rFonts w:ascii="Times New Roman" w:cs="Times New Roman" w:eastAsia="Times New Roman" w:hAnsi="Times New Roman"/>
                <w:sz w:val="14"/>
                <w:szCs w:val="14"/>
                <w:b w:val="1"/>
                <w:bCs w:val="1"/>
                <w:color w:val="auto"/>
              </w:rPr>
              <w:t>Filing</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2"/>
        </w:trPr>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106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3"/>
                <w:szCs w:val="13"/>
                <w:color w:val="auto"/>
              </w:rPr>
            </w:pPr>
          </w:p>
        </w:tc>
        <w:tc>
          <w:tcPr>
            <w:tcW w:w="4300" w:type="dxa"/>
            <w:vAlign w:val="bottom"/>
            <w:gridSpan w:val="14"/>
          </w:tcPr>
          <w:p>
            <w:pPr>
              <w:spacing w:after="0" w:line="150"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Amended and Restated Certificate of Incorporation</w:t>
              </w:r>
            </w:hyperlink>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right="329"/>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line="150" w:lineRule="exact"/>
              <w:rPr>
                <w:rFonts w:ascii="Times New Roman" w:cs="Times New Roman" w:eastAsia="Times New Roman" w:hAnsi="Times New Roman"/>
                <w:sz w:val="14"/>
                <w:szCs w:val="14"/>
                <w:color w:val="0000FF"/>
                <w:w w:val="98"/>
              </w:rPr>
            </w:pPr>
            <w:hyperlink r:id="rId147">
              <w:r>
                <w:rPr>
                  <w:rFonts w:ascii="Times New Roman" w:cs="Times New Roman" w:eastAsia="Times New Roman" w:hAnsi="Times New Roman"/>
                  <w:sz w:val="14"/>
                  <w:szCs w:val="14"/>
                  <w:color w:val="0000FF"/>
                  <w:w w:val="98"/>
                </w:rPr>
                <w:t>001-40632</w:t>
              </w:r>
            </w:hyperlink>
          </w:p>
        </w:tc>
        <w:tc>
          <w:tcPr>
            <w:tcW w:w="320" w:type="dxa"/>
            <w:vAlign w:val="bottom"/>
          </w:tcPr>
          <w:p>
            <w:pPr>
              <w:spacing w:after="0"/>
              <w:rPr>
                <w:sz w:val="13"/>
                <w:szCs w:val="13"/>
                <w:color w:val="auto"/>
              </w:rPr>
            </w:pPr>
          </w:p>
        </w:tc>
        <w:tc>
          <w:tcPr>
            <w:tcW w:w="1120" w:type="dxa"/>
            <w:vAlign w:val="bottom"/>
          </w:tcPr>
          <w:p>
            <w:pPr>
              <w:jc w:val="center"/>
              <w:ind w:right="29"/>
              <w:spacing w:after="0" w:line="150" w:lineRule="exact"/>
              <w:rPr>
                <w:sz w:val="20"/>
                <w:szCs w:val="20"/>
                <w:color w:val="auto"/>
              </w:rPr>
            </w:pPr>
            <w:r>
              <w:rPr>
                <w:rFonts w:ascii="Times New Roman" w:cs="Times New Roman" w:eastAsia="Times New Roman" w:hAnsi="Times New Roman"/>
                <w:sz w:val="14"/>
                <w:szCs w:val="14"/>
                <w:color w:val="auto"/>
              </w:rPr>
              <w:t>3.1</w:t>
            </w:r>
          </w:p>
        </w:tc>
        <w:tc>
          <w:tcPr>
            <w:tcW w:w="12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07/27/2021</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1780" w:type="dxa"/>
            <w:vAlign w:val="bottom"/>
            <w:gridSpan w:val="3"/>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Amended and Restated Bylaws</w:t>
              </w:r>
            </w:hyperlink>
          </w:p>
        </w:tc>
        <w:tc>
          <w:tcPr>
            <w:tcW w:w="1120" w:type="dxa"/>
            <w:vAlign w:val="bottom"/>
            <w:gridSpan w:val="2"/>
          </w:tcPr>
          <w:p>
            <w:pPr>
              <w:spacing w:after="0"/>
              <w:rPr>
                <w:sz w:val="16"/>
                <w:szCs w:val="16"/>
                <w:color w:val="auto"/>
              </w:rPr>
            </w:pPr>
          </w:p>
        </w:tc>
        <w:tc>
          <w:tcPr>
            <w:tcW w:w="1400" w:type="dxa"/>
            <w:vAlign w:val="bottom"/>
            <w:gridSpan w:val="9"/>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329"/>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rFonts w:ascii="Times New Roman" w:cs="Times New Roman" w:eastAsia="Times New Roman" w:hAnsi="Times New Roman"/>
                <w:sz w:val="14"/>
                <w:szCs w:val="14"/>
                <w:color w:val="0000FF"/>
                <w:w w:val="98"/>
              </w:rPr>
            </w:pPr>
            <w:hyperlink r:id="rId148">
              <w:r>
                <w:rPr>
                  <w:rFonts w:ascii="Times New Roman" w:cs="Times New Roman" w:eastAsia="Times New Roman" w:hAnsi="Times New Roman"/>
                  <w:sz w:val="14"/>
                  <w:szCs w:val="14"/>
                  <w:color w:val="0000FF"/>
                  <w:w w:val="98"/>
                </w:rPr>
                <w:t>001-40632</w:t>
              </w:r>
            </w:hyperlink>
          </w:p>
        </w:tc>
        <w:tc>
          <w:tcPr>
            <w:tcW w:w="320" w:type="dxa"/>
            <w:vAlign w:val="bottom"/>
          </w:tcPr>
          <w:p>
            <w:pPr>
              <w:spacing w:after="0"/>
              <w:rPr>
                <w:sz w:val="16"/>
                <w:szCs w:val="16"/>
                <w:color w:val="auto"/>
              </w:rPr>
            </w:pPr>
          </w:p>
        </w:tc>
        <w:tc>
          <w:tcPr>
            <w:tcW w:w="11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3.2</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07/27/2021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9"/>
                <w:szCs w:val="19"/>
                <w:color w:val="auto"/>
              </w:rPr>
            </w:pPr>
          </w:p>
        </w:tc>
        <w:tc>
          <w:tcPr>
            <w:tcW w:w="43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Reference is made to Exhibits 3.1 and 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3460" w:type="dxa"/>
            <w:vAlign w:val="bottom"/>
            <w:gridSpan w:val="7"/>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Form of common stock certificate of Cytek Biosciences, Inc.</w:t>
              </w:r>
            </w:hyperlink>
          </w:p>
        </w:tc>
        <w:tc>
          <w:tcPr>
            <w:tcW w:w="840" w:type="dxa"/>
            <w:vAlign w:val="bottom"/>
            <w:gridSpan w:val="7"/>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329"/>
              <w:spacing w:after="0"/>
              <w:rPr>
                <w:sz w:val="20"/>
                <w:szCs w:val="20"/>
                <w:color w:val="auto"/>
              </w:rPr>
            </w:pPr>
            <w:r>
              <w:rPr>
                <w:rFonts w:ascii="Times New Roman" w:cs="Times New Roman" w:eastAsia="Times New Roman" w:hAnsi="Times New Roman"/>
                <w:sz w:val="14"/>
                <w:szCs w:val="14"/>
                <w:color w:val="auto"/>
              </w:rPr>
              <w:t>S-1/A</w:t>
            </w:r>
          </w:p>
        </w:tc>
        <w:tc>
          <w:tcPr>
            <w:tcW w:w="920" w:type="dxa"/>
            <w:vAlign w:val="bottom"/>
            <w:gridSpan w:val="2"/>
          </w:tcPr>
          <w:p>
            <w:pPr>
              <w:jc w:val="center"/>
              <w:ind w:right="280"/>
              <w:spacing w:after="0"/>
              <w:rPr>
                <w:rFonts w:ascii="Times New Roman" w:cs="Times New Roman" w:eastAsia="Times New Roman" w:hAnsi="Times New Roman"/>
                <w:sz w:val="14"/>
                <w:szCs w:val="14"/>
                <w:color w:val="0000FF"/>
                <w:w w:val="94"/>
              </w:rPr>
            </w:pPr>
            <w:hyperlink r:id="rId149">
              <w:r>
                <w:rPr>
                  <w:rFonts w:ascii="Times New Roman" w:cs="Times New Roman" w:eastAsia="Times New Roman" w:hAnsi="Times New Roman"/>
                  <w:sz w:val="14"/>
                  <w:szCs w:val="14"/>
                  <w:color w:val="0000FF"/>
                  <w:w w:val="94"/>
                </w:rPr>
                <w:t>333-257663</w:t>
              </w:r>
            </w:hyperlink>
          </w:p>
        </w:tc>
        <w:tc>
          <w:tcPr>
            <w:tcW w:w="11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4.1</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07/19/2021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3460" w:type="dxa"/>
            <w:vAlign w:val="bottom"/>
            <w:tcBorders>
              <w:top w:val="single" w:sz="8" w:color="0000FF"/>
            </w:tcBorders>
            <w:gridSpan w:val="7"/>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Description of Securities.</w:t>
              </w:r>
            </w:hyperlink>
          </w:p>
        </w:tc>
        <w:tc>
          <w:tcPr>
            <w:tcW w:w="840" w:type="dxa"/>
            <w:vAlign w:val="bottom"/>
            <w:gridSpan w:val="7"/>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329"/>
              <w:spacing w:after="0"/>
              <w:rPr>
                <w:sz w:val="20"/>
                <w:szCs w:val="20"/>
                <w:color w:val="auto"/>
              </w:rPr>
            </w:pPr>
            <w:r>
              <w:rPr>
                <w:rFonts w:ascii="Times New Roman" w:cs="Times New Roman" w:eastAsia="Times New Roman" w:hAnsi="Times New Roman"/>
                <w:sz w:val="14"/>
                <w:szCs w:val="14"/>
                <w:color w:val="auto"/>
              </w:rPr>
              <w:t>10-K</w:t>
            </w:r>
          </w:p>
        </w:tc>
        <w:tc>
          <w:tcPr>
            <w:tcW w:w="600" w:type="dxa"/>
            <w:vAlign w:val="bottom"/>
            <w:tcBorders>
              <w:top w:val="single" w:sz="8" w:color="0000FF"/>
            </w:tcBorders>
          </w:tcPr>
          <w:p>
            <w:pPr>
              <w:jc w:val="center"/>
              <w:spacing w:after="0"/>
              <w:rPr>
                <w:rFonts w:ascii="Times New Roman" w:cs="Times New Roman" w:eastAsia="Times New Roman" w:hAnsi="Times New Roman"/>
                <w:sz w:val="14"/>
                <w:szCs w:val="14"/>
                <w:color w:val="0000FF"/>
                <w:w w:val="98"/>
              </w:rPr>
            </w:pPr>
            <w:hyperlink r:id="rId150">
              <w:r>
                <w:rPr>
                  <w:rFonts w:ascii="Times New Roman" w:cs="Times New Roman" w:eastAsia="Times New Roman" w:hAnsi="Times New Roman"/>
                  <w:sz w:val="14"/>
                  <w:szCs w:val="14"/>
                  <w:color w:val="0000FF"/>
                  <w:w w:val="98"/>
                </w:rPr>
                <w:t>001-40632</w:t>
              </w:r>
            </w:hyperlink>
          </w:p>
        </w:tc>
        <w:tc>
          <w:tcPr>
            <w:tcW w:w="320" w:type="dxa"/>
            <w:vAlign w:val="bottom"/>
          </w:tcPr>
          <w:p>
            <w:pPr>
              <w:spacing w:after="0"/>
              <w:rPr>
                <w:sz w:val="16"/>
                <w:szCs w:val="16"/>
                <w:color w:val="auto"/>
              </w:rPr>
            </w:pPr>
          </w:p>
        </w:tc>
        <w:tc>
          <w:tcPr>
            <w:tcW w:w="11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4.3</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03/01/2023</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6"/>
                <w:szCs w:val="16"/>
                <w:color w:val="auto"/>
              </w:rPr>
            </w:pPr>
          </w:p>
        </w:tc>
        <w:tc>
          <w:tcPr>
            <w:tcW w:w="4240" w:type="dxa"/>
            <w:vAlign w:val="bottom"/>
            <w:gridSpan w:val="13"/>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Amended and Restated Investors’ Rights Agreement, by and among Cytek</w:t>
              </w:r>
            </w:hyperlink>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S-1</w:t>
            </w:r>
          </w:p>
        </w:tc>
        <w:tc>
          <w:tcPr>
            <w:tcW w:w="920" w:type="dxa"/>
            <w:vAlign w:val="bottom"/>
            <w:gridSpan w:val="2"/>
          </w:tcPr>
          <w:p>
            <w:pPr>
              <w:jc w:val="center"/>
              <w:ind w:right="280"/>
              <w:spacing w:after="0"/>
              <w:rPr>
                <w:rFonts w:ascii="Times New Roman" w:cs="Times New Roman" w:eastAsia="Times New Roman" w:hAnsi="Times New Roman"/>
                <w:sz w:val="14"/>
                <w:szCs w:val="14"/>
                <w:color w:val="0000FF"/>
                <w:w w:val="94"/>
              </w:rPr>
            </w:pPr>
            <w:hyperlink r:id="rId151">
              <w:r>
                <w:rPr>
                  <w:rFonts w:ascii="Times New Roman" w:cs="Times New Roman" w:eastAsia="Times New Roman" w:hAnsi="Times New Roman"/>
                  <w:sz w:val="14"/>
                  <w:szCs w:val="14"/>
                  <w:color w:val="0000FF"/>
                  <w:w w:val="94"/>
                </w:rPr>
                <w:t>333-257663</w:t>
              </w:r>
            </w:hyperlink>
          </w:p>
        </w:tc>
        <w:tc>
          <w:tcPr>
            <w:tcW w:w="11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7"/>
              </w:rPr>
              <w:t>10.1</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07/02/2021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12"/>
          </w:tcPr>
          <w:p>
            <w:pPr>
              <w:spacing w:after="0" w:line="150"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Biosciences, Inc. and certain of its stockholders, dated October 23, 2020.</w:t>
              </w:r>
            </w:hyperlink>
          </w:p>
        </w:tc>
        <w:tc>
          <w:tcPr>
            <w:tcW w:w="1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6"/>
                <w:szCs w:val="16"/>
                <w:color w:val="auto"/>
              </w:rPr>
            </w:pPr>
          </w:p>
        </w:tc>
        <w:tc>
          <w:tcPr>
            <w:tcW w:w="4300" w:type="dxa"/>
            <w:vAlign w:val="bottom"/>
            <w:gridSpan w:val="14"/>
            <w:vMerge w:val="restart"/>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Cytek Biosciences, Inc. 2015 Equity Incentive Plan, as amended.</w:t>
              </w:r>
            </w:hyperlink>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S-1</w:t>
            </w:r>
          </w:p>
        </w:tc>
        <w:tc>
          <w:tcPr>
            <w:tcW w:w="920" w:type="dxa"/>
            <w:vAlign w:val="bottom"/>
            <w:gridSpan w:val="2"/>
          </w:tcPr>
          <w:p>
            <w:pPr>
              <w:jc w:val="center"/>
              <w:ind w:right="280"/>
              <w:spacing w:after="0"/>
              <w:rPr>
                <w:rFonts w:ascii="Times New Roman" w:cs="Times New Roman" w:eastAsia="Times New Roman" w:hAnsi="Times New Roman"/>
                <w:sz w:val="14"/>
                <w:szCs w:val="14"/>
                <w:color w:val="0000FF"/>
                <w:w w:val="94"/>
              </w:rPr>
            </w:pPr>
            <w:hyperlink r:id="rId152">
              <w:r>
                <w:rPr>
                  <w:rFonts w:ascii="Times New Roman" w:cs="Times New Roman" w:eastAsia="Times New Roman" w:hAnsi="Times New Roman"/>
                  <w:sz w:val="14"/>
                  <w:szCs w:val="14"/>
                  <w:color w:val="0000FF"/>
                  <w:w w:val="94"/>
                </w:rPr>
                <w:t>333-257663</w:t>
              </w:r>
            </w:hyperlink>
          </w:p>
        </w:tc>
        <w:tc>
          <w:tcPr>
            <w:tcW w:w="11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7"/>
              </w:rPr>
              <w:t>10.2</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07/02/2021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gridSpan w:val="14"/>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00" w:type="dxa"/>
            <w:vAlign w:val="bottom"/>
          </w:tcPr>
          <w:p>
            <w:pPr>
              <w:spacing w:after="0"/>
              <w:rPr>
                <w:sz w:val="16"/>
                <w:szCs w:val="16"/>
                <w:color w:val="auto"/>
              </w:rPr>
            </w:pPr>
          </w:p>
        </w:tc>
        <w:tc>
          <w:tcPr>
            <w:tcW w:w="4120" w:type="dxa"/>
            <w:vAlign w:val="bottom"/>
            <w:gridSpan w:val="11"/>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Forms of Option Agreement, Notice of Stock Option Grant and Exercise</w:t>
              </w:r>
            </w:hyperlink>
          </w:p>
        </w:tc>
        <w:tc>
          <w:tcPr>
            <w:tcW w:w="18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309"/>
              <w:spacing w:after="0"/>
              <w:rPr>
                <w:sz w:val="20"/>
                <w:szCs w:val="20"/>
                <w:color w:val="auto"/>
              </w:rPr>
            </w:pPr>
            <w:r>
              <w:rPr>
                <w:rFonts w:ascii="Times New Roman" w:cs="Times New Roman" w:eastAsia="Times New Roman" w:hAnsi="Times New Roman"/>
                <w:sz w:val="14"/>
                <w:szCs w:val="14"/>
                <w:color w:val="auto"/>
              </w:rPr>
              <w:t>S-1</w:t>
            </w:r>
          </w:p>
        </w:tc>
        <w:tc>
          <w:tcPr>
            <w:tcW w:w="920" w:type="dxa"/>
            <w:vAlign w:val="bottom"/>
            <w:gridSpan w:val="2"/>
          </w:tcPr>
          <w:p>
            <w:pPr>
              <w:jc w:val="center"/>
              <w:ind w:right="280"/>
              <w:spacing w:after="0"/>
              <w:rPr>
                <w:rFonts w:ascii="Times New Roman" w:cs="Times New Roman" w:eastAsia="Times New Roman" w:hAnsi="Times New Roman"/>
                <w:sz w:val="14"/>
                <w:szCs w:val="14"/>
                <w:color w:val="0000FF"/>
                <w:w w:val="94"/>
              </w:rPr>
            </w:pPr>
            <w:hyperlink r:id="rId153">
              <w:r>
                <w:rPr>
                  <w:rFonts w:ascii="Times New Roman" w:cs="Times New Roman" w:eastAsia="Times New Roman" w:hAnsi="Times New Roman"/>
                  <w:sz w:val="14"/>
                  <w:szCs w:val="14"/>
                  <w:color w:val="0000FF"/>
                  <w:w w:val="94"/>
                </w:rPr>
                <w:t>333-257663</w:t>
              </w:r>
            </w:hyperlink>
          </w:p>
        </w:tc>
        <w:tc>
          <w:tcPr>
            <w:tcW w:w="11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7"/>
              </w:rPr>
              <w:t>10.3</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07/02/2021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20" w:type="dxa"/>
            <w:vAlign w:val="bottom"/>
            <w:tcBorders>
              <w:top w:val="single" w:sz="8" w:color="0000FF"/>
            </w:tcBorders>
            <w:gridSpan w:val="11"/>
          </w:tcPr>
          <w:p>
            <w:pPr>
              <w:spacing w:after="0" w:line="150"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Notice under Cytek Biosciences, Inc. 2015 Equity Incentive Plan.</w:t>
              </w:r>
            </w:hyperlink>
          </w:p>
        </w:tc>
        <w:tc>
          <w:tcPr>
            <w:tcW w:w="18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100" w:type="dxa"/>
            <w:vAlign w:val="bottom"/>
          </w:tcPr>
          <w:p>
            <w:pPr>
              <w:spacing w:after="0"/>
              <w:rPr>
                <w:sz w:val="16"/>
                <w:szCs w:val="16"/>
                <w:color w:val="auto"/>
              </w:rPr>
            </w:pPr>
          </w:p>
        </w:tc>
        <w:tc>
          <w:tcPr>
            <w:tcW w:w="2900" w:type="dxa"/>
            <w:vAlign w:val="bottom"/>
            <w:tcBorders>
              <w:top w:val="single" w:sz="8" w:color="0000FF"/>
            </w:tcBorders>
            <w:gridSpan w:val="5"/>
          </w:tcPr>
          <w:p>
            <w:pPr>
              <w:spacing w:after="0"/>
              <w:rPr>
                <w:rFonts w:ascii="Times New Roman" w:cs="Times New Roman" w:eastAsia="Times New Roman" w:hAnsi="Times New Roman"/>
                <w:sz w:val="14"/>
                <w:szCs w:val="14"/>
                <w:color w:val="0000FF"/>
                <w:w w:val="97"/>
              </w:rPr>
            </w:pPr>
            <w:hyperlink r:id="rId154">
              <w:r>
                <w:rPr>
                  <w:rFonts w:ascii="Times New Roman" w:cs="Times New Roman" w:eastAsia="Times New Roman" w:hAnsi="Times New Roman"/>
                  <w:sz w:val="14"/>
                  <w:szCs w:val="14"/>
                  <w:color w:val="0000FF"/>
                  <w:w w:val="97"/>
                </w:rPr>
                <w:t>Cytek Biosciences, Inc. 2021 Equity Incentive Plan.</w:t>
              </w:r>
            </w:hyperlink>
          </w:p>
        </w:tc>
        <w:tc>
          <w:tcPr>
            <w:tcW w:w="820" w:type="dxa"/>
            <w:vAlign w:val="bottom"/>
            <w:tcBorders>
              <w:top w:val="single" w:sz="8" w:color="0000FF"/>
            </w:tcBorders>
            <w:gridSpan w:val="4"/>
          </w:tcPr>
          <w:p>
            <w:pPr>
              <w:spacing w:after="0"/>
              <w:rPr>
                <w:sz w:val="16"/>
                <w:szCs w:val="16"/>
                <w:color w:val="auto"/>
              </w:rPr>
            </w:pPr>
          </w:p>
        </w:tc>
        <w:tc>
          <w:tcPr>
            <w:tcW w:w="58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329"/>
              <w:spacing w:after="0"/>
              <w:rPr>
                <w:sz w:val="20"/>
                <w:szCs w:val="20"/>
                <w:color w:val="auto"/>
              </w:rPr>
            </w:pPr>
            <w:r>
              <w:rPr>
                <w:rFonts w:ascii="Times New Roman" w:cs="Times New Roman" w:eastAsia="Times New Roman" w:hAnsi="Times New Roman"/>
                <w:sz w:val="14"/>
                <w:szCs w:val="14"/>
                <w:color w:val="auto"/>
              </w:rPr>
              <w:t>S-1/A</w:t>
            </w:r>
          </w:p>
        </w:tc>
        <w:tc>
          <w:tcPr>
            <w:tcW w:w="920" w:type="dxa"/>
            <w:vAlign w:val="bottom"/>
            <w:gridSpan w:val="2"/>
          </w:tcPr>
          <w:p>
            <w:pPr>
              <w:jc w:val="center"/>
              <w:ind w:right="280"/>
              <w:spacing w:after="0"/>
              <w:rPr>
                <w:rFonts w:ascii="Times New Roman" w:cs="Times New Roman" w:eastAsia="Times New Roman" w:hAnsi="Times New Roman"/>
                <w:sz w:val="14"/>
                <w:szCs w:val="14"/>
                <w:color w:val="0000FF"/>
                <w:w w:val="94"/>
              </w:rPr>
            </w:pPr>
            <w:hyperlink r:id="rId154">
              <w:r>
                <w:rPr>
                  <w:rFonts w:ascii="Times New Roman" w:cs="Times New Roman" w:eastAsia="Times New Roman" w:hAnsi="Times New Roman"/>
                  <w:sz w:val="14"/>
                  <w:szCs w:val="14"/>
                  <w:color w:val="0000FF"/>
                  <w:w w:val="94"/>
                </w:rPr>
                <w:t>333-257663</w:t>
              </w:r>
            </w:hyperlink>
          </w:p>
        </w:tc>
        <w:tc>
          <w:tcPr>
            <w:tcW w:w="11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7"/>
              </w:rPr>
              <w:t>10.4</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07/19/2021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100" w:type="dxa"/>
            <w:vAlign w:val="bottom"/>
          </w:tcPr>
          <w:p>
            <w:pPr>
              <w:spacing w:after="0"/>
              <w:rPr>
                <w:sz w:val="16"/>
                <w:szCs w:val="16"/>
                <w:color w:val="auto"/>
              </w:rPr>
            </w:pPr>
          </w:p>
        </w:tc>
        <w:tc>
          <w:tcPr>
            <w:tcW w:w="4240" w:type="dxa"/>
            <w:vAlign w:val="bottom"/>
            <w:gridSpan w:val="13"/>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Forms of Option Agreement and Notice of Stock Option Grant under 2021</w:t>
              </w:r>
            </w:hyperlink>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329"/>
              <w:spacing w:after="0"/>
              <w:rPr>
                <w:sz w:val="20"/>
                <w:szCs w:val="20"/>
                <w:color w:val="auto"/>
              </w:rPr>
            </w:pPr>
            <w:r>
              <w:rPr>
                <w:rFonts w:ascii="Times New Roman" w:cs="Times New Roman" w:eastAsia="Times New Roman" w:hAnsi="Times New Roman"/>
                <w:sz w:val="14"/>
                <w:szCs w:val="14"/>
                <w:color w:val="auto"/>
              </w:rPr>
              <w:t>S-1/A</w:t>
            </w:r>
          </w:p>
        </w:tc>
        <w:tc>
          <w:tcPr>
            <w:tcW w:w="920" w:type="dxa"/>
            <w:vAlign w:val="bottom"/>
            <w:gridSpan w:val="2"/>
          </w:tcPr>
          <w:p>
            <w:pPr>
              <w:jc w:val="center"/>
              <w:ind w:right="280"/>
              <w:spacing w:after="0"/>
              <w:rPr>
                <w:rFonts w:ascii="Times New Roman" w:cs="Times New Roman" w:eastAsia="Times New Roman" w:hAnsi="Times New Roman"/>
                <w:sz w:val="14"/>
                <w:szCs w:val="14"/>
                <w:color w:val="0000FF"/>
                <w:w w:val="94"/>
              </w:rPr>
            </w:pPr>
            <w:hyperlink r:id="rId155">
              <w:r>
                <w:rPr>
                  <w:rFonts w:ascii="Times New Roman" w:cs="Times New Roman" w:eastAsia="Times New Roman" w:hAnsi="Times New Roman"/>
                  <w:sz w:val="14"/>
                  <w:szCs w:val="14"/>
                  <w:color w:val="0000FF"/>
                  <w:w w:val="94"/>
                </w:rPr>
                <w:t>333-257663</w:t>
              </w:r>
            </w:hyperlink>
          </w:p>
        </w:tc>
        <w:tc>
          <w:tcPr>
            <w:tcW w:w="11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7"/>
              </w:rPr>
              <w:t>10.5</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07/19/2021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Borders>
              <w:top w:val="single" w:sz="8" w:color="0000FF"/>
            </w:tcBorders>
            <w:gridSpan w:val="13"/>
          </w:tcPr>
          <w:p>
            <w:pPr>
              <w:spacing w:after="0" w:line="150"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Equity Incentive Plan.</w:t>
              </w:r>
            </w:hyperlink>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100" w:type="dxa"/>
            <w:vAlign w:val="bottom"/>
          </w:tcPr>
          <w:p>
            <w:pPr>
              <w:spacing w:after="0"/>
              <w:rPr>
                <w:sz w:val="16"/>
                <w:szCs w:val="16"/>
                <w:color w:val="auto"/>
              </w:rPr>
            </w:pPr>
          </w:p>
        </w:tc>
        <w:tc>
          <w:tcPr>
            <w:tcW w:w="4040" w:type="dxa"/>
            <w:vAlign w:val="bottom"/>
            <w:gridSpan w:val="10"/>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Forms of Restricted Stock Unit Grant Notice and Restricted Stock Unit</w:t>
              </w:r>
            </w:hyperlink>
          </w:p>
        </w:tc>
        <w:tc>
          <w:tcPr>
            <w:tcW w:w="260" w:type="dxa"/>
            <w:vAlign w:val="bottom"/>
            <w:gridSpan w:val="4"/>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329"/>
              <w:spacing w:after="0"/>
              <w:rPr>
                <w:sz w:val="20"/>
                <w:szCs w:val="20"/>
                <w:color w:val="auto"/>
              </w:rPr>
            </w:pPr>
            <w:r>
              <w:rPr>
                <w:rFonts w:ascii="Times New Roman" w:cs="Times New Roman" w:eastAsia="Times New Roman" w:hAnsi="Times New Roman"/>
                <w:sz w:val="14"/>
                <w:szCs w:val="14"/>
                <w:color w:val="auto"/>
              </w:rPr>
              <w:t>10-Q</w:t>
            </w:r>
          </w:p>
        </w:tc>
        <w:tc>
          <w:tcPr>
            <w:tcW w:w="600" w:type="dxa"/>
            <w:vAlign w:val="bottom"/>
          </w:tcPr>
          <w:p>
            <w:pPr>
              <w:jc w:val="center"/>
              <w:spacing w:after="0"/>
              <w:rPr>
                <w:rFonts w:ascii="Times New Roman" w:cs="Times New Roman" w:eastAsia="Times New Roman" w:hAnsi="Times New Roman"/>
                <w:sz w:val="14"/>
                <w:szCs w:val="14"/>
                <w:color w:val="0000FF"/>
                <w:w w:val="98"/>
              </w:rPr>
            </w:pPr>
            <w:hyperlink r:id="rId156">
              <w:r>
                <w:rPr>
                  <w:rFonts w:ascii="Times New Roman" w:cs="Times New Roman" w:eastAsia="Times New Roman" w:hAnsi="Times New Roman"/>
                  <w:sz w:val="14"/>
                  <w:szCs w:val="14"/>
                  <w:color w:val="0000FF"/>
                  <w:w w:val="98"/>
                </w:rPr>
                <w:t>001-40632</w:t>
              </w:r>
            </w:hyperlink>
          </w:p>
        </w:tc>
        <w:tc>
          <w:tcPr>
            <w:tcW w:w="320" w:type="dxa"/>
            <w:vAlign w:val="bottom"/>
          </w:tcPr>
          <w:p>
            <w:pPr>
              <w:spacing w:after="0"/>
              <w:rPr>
                <w:sz w:val="16"/>
                <w:szCs w:val="16"/>
                <w:color w:val="auto"/>
              </w:rPr>
            </w:pPr>
          </w:p>
        </w:tc>
        <w:tc>
          <w:tcPr>
            <w:tcW w:w="11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7"/>
              </w:rPr>
              <w:t>10.2</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11/12/2021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40" w:type="dxa"/>
            <w:vAlign w:val="bottom"/>
            <w:tcBorders>
              <w:top w:val="single" w:sz="8" w:color="0000FF"/>
            </w:tcBorders>
            <w:gridSpan w:val="10"/>
          </w:tcPr>
          <w:p>
            <w:pPr>
              <w:spacing w:after="0" w:line="150"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Award Agreement under the 2021 Equity Incentive Plan</w:t>
              </w:r>
            </w:hyperlink>
          </w:p>
        </w:tc>
        <w:tc>
          <w:tcPr>
            <w:tcW w:w="260" w:type="dxa"/>
            <w:vAlign w:val="bottom"/>
            <w:gridSpan w:val="4"/>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10.7</w:t>
            </w:r>
          </w:p>
        </w:tc>
        <w:tc>
          <w:tcPr>
            <w:tcW w:w="100" w:type="dxa"/>
            <w:vAlign w:val="bottom"/>
          </w:tcPr>
          <w:p>
            <w:pPr>
              <w:spacing w:after="0"/>
              <w:rPr>
                <w:sz w:val="16"/>
                <w:szCs w:val="16"/>
                <w:color w:val="auto"/>
              </w:rPr>
            </w:pPr>
          </w:p>
        </w:tc>
        <w:tc>
          <w:tcPr>
            <w:tcW w:w="4240" w:type="dxa"/>
            <w:vAlign w:val="bottom"/>
            <w:gridSpan w:val="13"/>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Forms of Option Agreement and Notice of Stock Option Grant under 2021</w:t>
              </w:r>
            </w:hyperlink>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ind w:right="329"/>
              <w:spacing w:after="0"/>
              <w:rPr>
                <w:sz w:val="20"/>
                <w:szCs w:val="20"/>
                <w:color w:val="auto"/>
              </w:rPr>
            </w:pPr>
            <w:r>
              <w:rPr>
                <w:rFonts w:ascii="Times New Roman" w:cs="Times New Roman" w:eastAsia="Times New Roman" w:hAnsi="Times New Roman"/>
                <w:sz w:val="14"/>
                <w:szCs w:val="14"/>
                <w:color w:val="auto"/>
              </w:rPr>
              <w:t>10-Q</w:t>
            </w:r>
          </w:p>
        </w:tc>
        <w:tc>
          <w:tcPr>
            <w:tcW w:w="600" w:type="dxa"/>
            <w:vAlign w:val="bottom"/>
          </w:tcPr>
          <w:p>
            <w:pPr>
              <w:jc w:val="center"/>
              <w:spacing w:after="0"/>
              <w:rPr>
                <w:rFonts w:ascii="Times New Roman" w:cs="Times New Roman" w:eastAsia="Times New Roman" w:hAnsi="Times New Roman"/>
                <w:sz w:val="14"/>
                <w:szCs w:val="14"/>
                <w:color w:val="0000FF"/>
                <w:w w:val="98"/>
              </w:rPr>
            </w:pPr>
            <w:r>
              <w:rPr>
                <w:rFonts w:ascii="Times New Roman" w:cs="Times New Roman" w:eastAsia="Times New Roman" w:hAnsi="Times New Roman"/>
                <w:sz w:val="14"/>
                <w:szCs w:val="14"/>
                <w:color w:val="0000FF"/>
                <w:w w:val="98"/>
              </w:rPr>
              <w:t>001</w:t>
            </w:r>
            <w:hyperlink r:id="rId157">
              <w:r>
                <w:rPr>
                  <w:rFonts w:ascii="Times New Roman" w:cs="Times New Roman" w:eastAsia="Times New Roman" w:hAnsi="Times New Roman"/>
                  <w:sz w:val="14"/>
                  <w:szCs w:val="14"/>
                  <w:color w:val="0000FF"/>
                  <w:w w:val="98"/>
                </w:rPr>
                <w:t>-40632</w:t>
              </w:r>
            </w:hyperlink>
          </w:p>
        </w:tc>
        <w:tc>
          <w:tcPr>
            <w:tcW w:w="320" w:type="dxa"/>
            <w:vAlign w:val="bottom"/>
          </w:tcPr>
          <w:p>
            <w:pPr>
              <w:spacing w:after="0"/>
              <w:rPr>
                <w:sz w:val="16"/>
                <w:szCs w:val="16"/>
                <w:color w:val="auto"/>
              </w:rPr>
            </w:pPr>
          </w:p>
        </w:tc>
        <w:tc>
          <w:tcPr>
            <w:tcW w:w="11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7"/>
              </w:rPr>
              <w:t>10.1</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11/09/2022</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tcBorders>
              <w:top w:val="single" w:sz="8" w:color="0000FF"/>
            </w:tcBorders>
            <w:gridSpan w:val="13"/>
          </w:tcPr>
          <w:p>
            <w:pPr>
              <w:spacing w:after="0" w:line="150"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Equity Incentive Plan, effective August 23, 2022.</w:t>
              </w:r>
            </w:hyperlink>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3"/>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gridSpan w:val="3"/>
          </w:tcPr>
          <w:p>
            <w:pPr>
              <w:jc w:val="right"/>
              <w:ind w:right="1049"/>
              <w:spacing w:after="0"/>
              <w:rPr>
                <w:sz w:val="20"/>
                <w:szCs w:val="20"/>
                <w:color w:val="auto"/>
              </w:rPr>
            </w:pPr>
            <w:r>
              <w:rPr>
                <w:rFonts w:ascii="Times New Roman" w:cs="Times New Roman" w:eastAsia="Times New Roman" w:hAnsi="Times New Roman"/>
                <w:sz w:val="14"/>
                <w:szCs w:val="14"/>
                <w:color w:val="auto"/>
              </w:rPr>
              <w:t>124</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744"/>
        </w:trPr>
        <w:tc>
          <w:tcPr>
            <w:tcW w:w="1000" w:type="dxa"/>
            <w:vAlign w:val="bottom"/>
            <w:tcBorders>
              <w:top w:val="single" w:sz="8" w:color="0000FF"/>
            </w:tcBorders>
          </w:tcPr>
          <w:p>
            <w:pPr>
              <w:jc w:val="center"/>
              <w:ind w:left="9"/>
              <w:spacing w:after="0"/>
              <w:rPr>
                <w:sz w:val="20"/>
                <w:szCs w:val="20"/>
                <w:color w:val="auto"/>
              </w:rPr>
            </w:pPr>
            <w:r>
              <w:rPr>
                <w:rFonts w:ascii="Times New Roman" w:cs="Times New Roman" w:eastAsia="Times New Roman" w:hAnsi="Times New Roman"/>
                <w:sz w:val="14"/>
                <w:szCs w:val="14"/>
                <w:color w:val="auto"/>
                <w:w w:val="97"/>
              </w:rPr>
              <w:t>10.8</w:t>
            </w:r>
          </w:p>
        </w:tc>
        <w:tc>
          <w:tcPr>
            <w:tcW w:w="160" w:type="dxa"/>
            <w:vAlign w:val="bottom"/>
          </w:tcPr>
          <w:p>
            <w:pPr>
              <w:spacing w:after="0"/>
              <w:rPr>
                <w:sz w:val="24"/>
                <w:szCs w:val="24"/>
                <w:color w:val="auto"/>
              </w:rPr>
            </w:pPr>
          </w:p>
        </w:tc>
        <w:tc>
          <w:tcPr>
            <w:tcW w:w="404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Forms of Restricted Stock Unit Grant Notice and Restricted Stock Unit</w:t>
              </w:r>
            </w:hyperlink>
          </w:p>
        </w:tc>
        <w:tc>
          <w:tcPr>
            <w:tcW w:w="400" w:type="dxa"/>
            <w:vAlign w:val="bottom"/>
            <w:gridSpan w:val="14"/>
          </w:tcPr>
          <w:p>
            <w:pPr>
              <w:spacing w:after="0"/>
              <w:rPr>
                <w:sz w:val="24"/>
                <w:szCs w:val="24"/>
                <w:color w:val="auto"/>
              </w:rPr>
            </w:pPr>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40" w:type="dxa"/>
            <w:vAlign w:val="bottom"/>
            <w:gridSpan w:val="28"/>
          </w:tcPr>
          <w:p>
            <w:pPr>
              <w:spacing w:after="0" w:line="150"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Award Agreement under the 2021 Equity Incentive Plan, effective August 23,</w:t>
              </w:r>
            </w:hyperlink>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top w:val="single" w:sz="8" w:color="0000FF"/>
              <w:bottom w:val="single" w:sz="8" w:color="0000FF"/>
            </w:tcBorders>
            <w:gridSpan w:val="2"/>
          </w:tcPr>
          <w:p>
            <w:pPr>
              <w:spacing w:after="0" w:line="150" w:lineRule="exact"/>
              <w:rPr>
                <w:rFonts w:ascii="Times New Roman" w:cs="Times New Roman" w:eastAsia="Times New Roman" w:hAnsi="Times New Roman"/>
                <w:sz w:val="14"/>
                <w:szCs w:val="14"/>
                <w:color w:val="0000FF"/>
                <w:w w:val="95"/>
              </w:rPr>
            </w:pPr>
            <w:hyperlink r:id="rId160">
              <w:r>
                <w:rPr>
                  <w:rFonts w:ascii="Times New Roman" w:cs="Times New Roman" w:eastAsia="Times New Roman" w:hAnsi="Times New Roman"/>
                  <w:sz w:val="14"/>
                  <w:szCs w:val="14"/>
                  <w:color w:val="0000FF"/>
                  <w:w w:val="95"/>
                </w:rPr>
                <w:t>2022.</w:t>
              </w:r>
            </w:hyperlink>
          </w:p>
        </w:tc>
        <w:tc>
          <w:tcPr>
            <w:tcW w:w="10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92"/>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7"/>
              </w:rPr>
              <w:t>10.9</w:t>
            </w:r>
          </w:p>
        </w:tc>
        <w:tc>
          <w:tcPr>
            <w:tcW w:w="160" w:type="dxa"/>
            <w:vAlign w:val="bottom"/>
          </w:tcPr>
          <w:p>
            <w:pPr>
              <w:spacing w:after="0"/>
              <w:rPr>
                <w:sz w:val="16"/>
                <w:szCs w:val="16"/>
                <w:color w:val="auto"/>
              </w:rPr>
            </w:pPr>
          </w:p>
        </w:tc>
        <w:tc>
          <w:tcPr>
            <w:tcW w:w="350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Cytek Biosciences, Inc. 2021 Employee Stock Purchase Plan.</w:t>
              </w:r>
            </w:hyperlink>
          </w:p>
        </w:tc>
        <w:tc>
          <w:tcPr>
            <w:tcW w:w="940" w:type="dxa"/>
            <w:vAlign w:val="bottom"/>
            <w:gridSpan w:val="15"/>
          </w:tcPr>
          <w:p>
            <w:pPr>
              <w:spacing w:after="0"/>
              <w:rPr>
                <w:sz w:val="16"/>
                <w:szCs w:val="16"/>
                <w:color w:val="auto"/>
              </w:rPr>
            </w:pPr>
          </w:p>
        </w:tc>
      </w:tr>
      <w:tr>
        <w:trPr>
          <w:trHeight w:val="192"/>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10.10</w:t>
            </w:r>
          </w:p>
        </w:tc>
        <w:tc>
          <w:tcPr>
            <w:tcW w:w="160" w:type="dxa"/>
            <w:vAlign w:val="bottom"/>
          </w:tcPr>
          <w:p>
            <w:pPr>
              <w:spacing w:after="0"/>
              <w:rPr>
                <w:sz w:val="16"/>
                <w:szCs w:val="16"/>
                <w:color w:val="auto"/>
              </w:rPr>
            </w:pPr>
          </w:p>
        </w:tc>
        <w:tc>
          <w:tcPr>
            <w:tcW w:w="4420" w:type="dxa"/>
            <w:vAlign w:val="bottom"/>
            <w:tcBorders>
              <w:bottom w:val="single" w:sz="8" w:color="0000FF"/>
            </w:tcBorders>
            <w:gridSpan w:val="27"/>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Form of Indemnification Agreement, by and between Cytek Biosciences, Inc.</w:t>
              </w:r>
            </w:hyperlink>
          </w:p>
        </w:tc>
        <w:tc>
          <w:tcPr>
            <w:tcW w:w="20" w:type="dxa"/>
            <w:vAlign w:val="bottom"/>
          </w:tcPr>
          <w:p>
            <w:pPr>
              <w:spacing w:after="0"/>
              <w:rPr>
                <w:sz w:val="16"/>
                <w:szCs w:val="16"/>
                <w:color w:val="auto"/>
              </w:rPr>
            </w:pPr>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tcBorders>
              <w:bottom w:val="single" w:sz="8" w:color="0000FF"/>
            </w:tcBorders>
            <w:gridSpan w:val="10"/>
          </w:tcPr>
          <w:p>
            <w:pPr>
              <w:spacing w:after="0" w:line="150"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and each of its directors and executive officers.</w:t>
              </w:r>
            </w:hyperlink>
          </w:p>
        </w:tc>
        <w:tc>
          <w:tcPr>
            <w:tcW w:w="1760" w:type="dxa"/>
            <w:vAlign w:val="bottom"/>
            <w:gridSpan w:val="18"/>
          </w:tcPr>
          <w:p>
            <w:pPr>
              <w:spacing w:after="0"/>
              <w:rPr>
                <w:sz w:val="13"/>
                <w:szCs w:val="13"/>
                <w:color w:val="auto"/>
              </w:rPr>
            </w:pPr>
          </w:p>
        </w:tc>
      </w:tr>
      <w:tr>
        <w:trPr>
          <w:trHeight w:val="192"/>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10.11</w:t>
            </w:r>
          </w:p>
        </w:tc>
        <w:tc>
          <w:tcPr>
            <w:tcW w:w="160" w:type="dxa"/>
            <w:vAlign w:val="bottom"/>
          </w:tcPr>
          <w:p>
            <w:pPr>
              <w:spacing w:after="0"/>
              <w:rPr>
                <w:sz w:val="16"/>
                <w:szCs w:val="16"/>
                <w:color w:val="auto"/>
              </w:rPr>
            </w:pPr>
          </w:p>
        </w:tc>
        <w:tc>
          <w:tcPr>
            <w:tcW w:w="412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Offer letter, by and between Cytek Biosciences, Inc. and Valerie Barnett,</w:t>
              </w:r>
            </w:hyperlink>
          </w:p>
        </w:tc>
        <w:tc>
          <w:tcPr>
            <w:tcW w:w="320" w:type="dxa"/>
            <w:vAlign w:val="bottom"/>
            <w:gridSpan w:val="10"/>
          </w:tcPr>
          <w:p>
            <w:pPr>
              <w:spacing w:after="0"/>
              <w:rPr>
                <w:sz w:val="16"/>
                <w:szCs w:val="16"/>
                <w:color w:val="auto"/>
              </w:rPr>
            </w:pPr>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Borders>
              <w:bottom w:val="single" w:sz="8" w:color="0000FF"/>
            </w:tcBorders>
            <w:gridSpan w:val="4"/>
          </w:tcPr>
          <w:p>
            <w:pPr>
              <w:spacing w:after="0" w:line="150"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dated January 12, 2021.</w:t>
              </w:r>
            </w:hyperlink>
          </w:p>
        </w:tc>
        <w:tc>
          <w:tcPr>
            <w:tcW w:w="3080" w:type="dxa"/>
            <w:vAlign w:val="bottom"/>
            <w:gridSpan w:val="24"/>
          </w:tcPr>
          <w:p>
            <w:pPr>
              <w:spacing w:after="0"/>
              <w:rPr>
                <w:sz w:val="13"/>
                <w:szCs w:val="13"/>
                <w:color w:val="auto"/>
              </w:rPr>
            </w:pPr>
          </w:p>
        </w:tc>
      </w:tr>
      <w:tr>
        <w:trPr>
          <w:trHeight w:val="192"/>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10.12</w:t>
            </w:r>
          </w:p>
        </w:tc>
        <w:tc>
          <w:tcPr>
            <w:tcW w:w="160" w:type="dxa"/>
            <w:vAlign w:val="bottom"/>
          </w:tcPr>
          <w:p>
            <w:pPr>
              <w:spacing w:after="0"/>
              <w:rPr>
                <w:sz w:val="16"/>
                <w:szCs w:val="16"/>
                <w:color w:val="auto"/>
              </w:rPr>
            </w:pPr>
          </w:p>
        </w:tc>
        <w:tc>
          <w:tcPr>
            <w:tcW w:w="40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Cytek Biosciences, Inc. Amended and Restated Severance Benefit Plan.</w:t>
            </w:r>
          </w:p>
        </w:tc>
        <w:tc>
          <w:tcPr>
            <w:tcW w:w="360" w:type="dxa"/>
            <w:vAlign w:val="bottom"/>
            <w:gridSpan w:val="12"/>
          </w:tcPr>
          <w:p>
            <w:pPr>
              <w:spacing w:after="0"/>
              <w:rPr>
                <w:sz w:val="16"/>
                <w:szCs w:val="16"/>
                <w:color w:val="auto"/>
              </w:rPr>
            </w:pPr>
          </w:p>
        </w:tc>
      </w:tr>
      <w:tr>
        <w:trPr>
          <w:trHeight w:val="192"/>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10.13+</w:t>
            </w:r>
          </w:p>
        </w:tc>
        <w:tc>
          <w:tcPr>
            <w:tcW w:w="160" w:type="dxa"/>
            <w:vAlign w:val="bottom"/>
          </w:tcPr>
          <w:p>
            <w:pPr>
              <w:spacing w:after="0"/>
              <w:rPr>
                <w:sz w:val="16"/>
                <w:szCs w:val="16"/>
                <w:color w:val="auto"/>
              </w:rPr>
            </w:pPr>
          </w:p>
        </w:tc>
        <w:tc>
          <w:tcPr>
            <w:tcW w:w="4440" w:type="dxa"/>
            <w:vAlign w:val="bottom"/>
            <w:tcBorders>
              <w:bottom w:val="single" w:sz="8" w:color="0000FF"/>
            </w:tcBorders>
            <w:gridSpan w:val="28"/>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Supply Agreement between the Registrant and Cytek (Wuxi) Biosciences Co.,</w:t>
              </w:r>
            </w:hyperlink>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40" w:type="dxa"/>
            <w:vAlign w:val="bottom"/>
            <w:gridSpan w:val="28"/>
          </w:tcPr>
          <w:p>
            <w:pPr>
              <w:spacing w:after="0" w:line="150"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Ltd, a China subsidiary of Cytek Biosciences, Inc., and Coherent NA, Inc.</w:t>
              </w:r>
            </w:hyperlink>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0" w:type="dxa"/>
            <w:vAlign w:val="bottom"/>
            <w:tcBorders>
              <w:top w:val="single" w:sz="8" w:color="0000FF"/>
            </w:tcBorders>
            <w:gridSpan w:val="20"/>
          </w:tcPr>
          <w:p>
            <w:pPr>
              <w:spacing w:after="0" w:line="150"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dated August 25, 2021.</w:t>
              </w:r>
            </w:hyperlink>
          </w:p>
        </w:tc>
        <w:tc>
          <w:tcPr>
            <w:tcW w:w="240" w:type="dxa"/>
            <w:vAlign w:val="bottom"/>
            <w:gridSpan w:val="8"/>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10.14+</w:t>
            </w:r>
          </w:p>
        </w:tc>
        <w:tc>
          <w:tcPr>
            <w:tcW w:w="160" w:type="dxa"/>
            <w:vAlign w:val="bottom"/>
          </w:tcPr>
          <w:p>
            <w:pPr>
              <w:spacing w:after="0"/>
              <w:rPr>
                <w:sz w:val="16"/>
                <w:szCs w:val="16"/>
                <w:color w:val="auto"/>
              </w:rPr>
            </w:pPr>
          </w:p>
        </w:tc>
        <w:tc>
          <w:tcPr>
            <w:tcW w:w="414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Supply and License Agreement, by and between Biotium, Inc. and Cytek</w:t>
              </w:r>
            </w:hyperlink>
          </w:p>
        </w:tc>
        <w:tc>
          <w:tcPr>
            <w:tcW w:w="300" w:type="dxa"/>
            <w:vAlign w:val="bottom"/>
            <w:gridSpan w:val="9"/>
          </w:tcPr>
          <w:p>
            <w:pPr>
              <w:spacing w:after="0"/>
              <w:rPr>
                <w:sz w:val="16"/>
                <w:szCs w:val="16"/>
                <w:color w:val="auto"/>
              </w:rPr>
            </w:pPr>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40" w:type="dxa"/>
            <w:vAlign w:val="bottom"/>
            <w:gridSpan w:val="28"/>
          </w:tcPr>
          <w:p>
            <w:pPr>
              <w:spacing w:after="0" w:line="150"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Biosciences, Inc., dated as of September 1,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10.15+</w:t>
            </w:r>
          </w:p>
        </w:tc>
        <w:tc>
          <w:tcPr>
            <w:tcW w:w="160" w:type="dxa"/>
            <w:vAlign w:val="bottom"/>
          </w:tcPr>
          <w:p>
            <w:pPr>
              <w:spacing w:after="0"/>
              <w:rPr>
                <w:sz w:val="16"/>
                <w:szCs w:val="16"/>
                <w:color w:val="auto"/>
              </w:rPr>
            </w:pPr>
          </w:p>
        </w:tc>
        <w:tc>
          <w:tcPr>
            <w:tcW w:w="4440" w:type="dxa"/>
            <w:vAlign w:val="bottom"/>
            <w:gridSpan w:val="28"/>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Settlement, License, and Equity Issuance Agreement, by and between Becton,</w:t>
              </w:r>
            </w:hyperlink>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26"/>
          </w:tcPr>
          <w:p>
            <w:pPr>
              <w:spacing w:after="0" w:line="150"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Dickinson and Company and Cytek Biosciences, Inc., dated October 5, 2020.</w:t>
              </w:r>
            </w:hyperlink>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92"/>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10.16</w:t>
            </w:r>
          </w:p>
        </w:tc>
        <w:tc>
          <w:tcPr>
            <w:tcW w:w="160" w:type="dxa"/>
            <w:vAlign w:val="bottom"/>
          </w:tcPr>
          <w:p>
            <w:pPr>
              <w:spacing w:after="0"/>
              <w:rPr>
                <w:sz w:val="16"/>
                <w:szCs w:val="16"/>
                <w:color w:val="auto"/>
              </w:rPr>
            </w:pPr>
          </w:p>
        </w:tc>
        <w:tc>
          <w:tcPr>
            <w:tcW w:w="406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Lease, by and between SNH Medical Office Properties Trust and Cytek</w:t>
              </w:r>
            </w:hyperlink>
          </w:p>
        </w:tc>
        <w:tc>
          <w:tcPr>
            <w:tcW w:w="380" w:type="dxa"/>
            <w:vAlign w:val="bottom"/>
            <w:gridSpan w:val="13"/>
          </w:tcPr>
          <w:p>
            <w:pPr>
              <w:spacing w:after="0"/>
              <w:rPr>
                <w:sz w:val="16"/>
                <w:szCs w:val="16"/>
                <w:color w:val="auto"/>
              </w:rPr>
            </w:pPr>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40" w:type="dxa"/>
            <w:vAlign w:val="bottom"/>
            <w:gridSpan w:val="28"/>
          </w:tcPr>
          <w:p>
            <w:pPr>
              <w:spacing w:after="0" w:line="150"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Biosciences, Inc., dated November 20, 2020.</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2"/>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10.17+</w:t>
            </w:r>
          </w:p>
        </w:tc>
        <w:tc>
          <w:tcPr>
            <w:tcW w:w="160" w:type="dxa"/>
            <w:vAlign w:val="bottom"/>
          </w:tcPr>
          <w:p>
            <w:pPr>
              <w:spacing w:after="0"/>
              <w:rPr>
                <w:sz w:val="16"/>
                <w:szCs w:val="16"/>
                <w:color w:val="auto"/>
              </w:rPr>
            </w:pPr>
          </w:p>
        </w:tc>
        <w:tc>
          <w:tcPr>
            <w:tcW w:w="436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Asset Purchase Agreement, dated February 13, 2023, by and between Cytek,</w:t>
              </w:r>
            </w:hyperlink>
          </w:p>
        </w:tc>
        <w:tc>
          <w:tcPr>
            <w:tcW w:w="80" w:type="dxa"/>
            <w:vAlign w:val="bottom"/>
            <w:gridSpan w:val="4"/>
          </w:tcPr>
          <w:p>
            <w:pPr>
              <w:spacing w:after="0"/>
              <w:rPr>
                <w:sz w:val="16"/>
                <w:szCs w:val="16"/>
                <w:color w:val="auto"/>
              </w:rPr>
            </w:pPr>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40" w:type="dxa"/>
            <w:vAlign w:val="bottom"/>
            <w:gridSpan w:val="28"/>
          </w:tcPr>
          <w:p>
            <w:pPr>
              <w:spacing w:after="0" w:line="150"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Inc. and Luminex Corporation</w:t>
              </w:r>
            </w:hyperlink>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2"/>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10.18</w:t>
            </w:r>
          </w:p>
        </w:tc>
        <w:tc>
          <w:tcPr>
            <w:tcW w:w="160" w:type="dxa"/>
            <w:vAlign w:val="bottom"/>
          </w:tcPr>
          <w:p>
            <w:pPr>
              <w:spacing w:after="0"/>
              <w:rPr>
                <w:sz w:val="16"/>
                <w:szCs w:val="16"/>
                <w:color w:val="auto"/>
              </w:rPr>
            </w:pPr>
          </w:p>
        </w:tc>
        <w:tc>
          <w:tcPr>
            <w:tcW w:w="4440" w:type="dxa"/>
            <w:vAlign w:val="bottom"/>
            <w:gridSpan w:val="28"/>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Equity Distribution Agreement, by and between the Company and Piper</w:t>
              </w:r>
            </w:hyperlink>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80" w:type="dxa"/>
            <w:vAlign w:val="bottom"/>
            <w:tcBorders>
              <w:top w:val="single" w:sz="8" w:color="0000FF"/>
            </w:tcBorders>
            <w:gridSpan w:val="16"/>
          </w:tcPr>
          <w:p>
            <w:pPr>
              <w:spacing w:after="0" w:line="150"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Sandler &amp; Co. dated August 26, 2022.</w:t>
              </w:r>
            </w:hyperlink>
          </w:p>
        </w:tc>
        <w:tc>
          <w:tcPr>
            <w:tcW w:w="360" w:type="dxa"/>
            <w:vAlign w:val="bottom"/>
            <w:gridSpan w:val="12"/>
          </w:tcPr>
          <w:p>
            <w:pPr>
              <w:spacing w:after="0"/>
              <w:rPr>
                <w:sz w:val="13"/>
                <w:szCs w:val="13"/>
                <w:color w:val="auto"/>
              </w:rPr>
            </w:pPr>
          </w:p>
        </w:tc>
      </w:tr>
      <w:tr>
        <w:trPr>
          <w:trHeight w:val="192"/>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7"/>
              </w:rPr>
              <w:t>21.1</w:t>
            </w:r>
          </w:p>
        </w:tc>
        <w:tc>
          <w:tcPr>
            <w:tcW w:w="160" w:type="dxa"/>
            <w:vAlign w:val="bottom"/>
          </w:tcPr>
          <w:p>
            <w:pPr>
              <w:spacing w:after="0"/>
              <w:rPr>
                <w:sz w:val="16"/>
                <w:szCs w:val="16"/>
                <w:color w:val="auto"/>
              </w:rPr>
            </w:pPr>
          </w:p>
        </w:tc>
        <w:tc>
          <w:tcPr>
            <w:tcW w:w="21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List of Subsidiaries of the Registrant</w:t>
            </w:r>
          </w:p>
        </w:tc>
        <w:tc>
          <w:tcPr>
            <w:tcW w:w="2280" w:type="dxa"/>
            <w:vAlign w:val="bottom"/>
            <w:gridSpan w:val="20"/>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2"/>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7"/>
              </w:rPr>
              <w:t>23.1</w:t>
            </w:r>
          </w:p>
        </w:tc>
        <w:tc>
          <w:tcPr>
            <w:tcW w:w="160" w:type="dxa"/>
            <w:vAlign w:val="bottom"/>
          </w:tcPr>
          <w:p>
            <w:pPr>
              <w:spacing w:after="0"/>
              <w:rPr>
                <w:sz w:val="16"/>
                <w:szCs w:val="16"/>
                <w:color w:val="auto"/>
              </w:rPr>
            </w:pPr>
          </w:p>
        </w:tc>
        <w:tc>
          <w:tcPr>
            <w:tcW w:w="43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Consent of Deloitte &amp; Touche LLP, independent registered public accounting</w:t>
            </w:r>
          </w:p>
        </w:tc>
        <w:tc>
          <w:tcPr>
            <w:tcW w:w="60" w:type="dxa"/>
            <w:vAlign w:val="bottom"/>
            <w:gridSpan w:val="3"/>
          </w:tcPr>
          <w:p>
            <w:pPr>
              <w:spacing w:after="0"/>
              <w:rPr>
                <w:sz w:val="16"/>
                <w:szCs w:val="16"/>
                <w:color w:val="auto"/>
              </w:rPr>
            </w:pPr>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40" w:type="dxa"/>
            <w:vAlign w:val="bottom"/>
            <w:gridSpan w:val="28"/>
          </w:tcPr>
          <w:p>
            <w:pPr>
              <w:spacing w:after="0" w:line="150" w:lineRule="exact"/>
              <w:rPr>
                <w:sz w:val="20"/>
                <w:szCs w:val="20"/>
                <w:color w:val="auto"/>
              </w:rPr>
            </w:pPr>
            <w:r>
              <w:rPr>
                <w:rFonts w:ascii="Times New Roman" w:cs="Times New Roman" w:eastAsia="Times New Roman" w:hAnsi="Times New Roman"/>
                <w:sz w:val="14"/>
                <w:szCs w:val="14"/>
                <w:color w:val="0000FF"/>
              </w:rPr>
              <w:t>firm.</w:t>
            </w: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2"/>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7"/>
              </w:rPr>
              <w:t>24.1</w:t>
            </w:r>
          </w:p>
        </w:tc>
        <w:tc>
          <w:tcPr>
            <w:tcW w:w="160" w:type="dxa"/>
            <w:vAlign w:val="bottom"/>
          </w:tcPr>
          <w:p>
            <w:pPr>
              <w:spacing w:after="0"/>
              <w:rPr>
                <w:sz w:val="16"/>
                <w:szCs w:val="16"/>
                <w:color w:val="auto"/>
              </w:rPr>
            </w:pPr>
          </w:p>
        </w:tc>
        <w:tc>
          <w:tcPr>
            <w:tcW w:w="4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Power of Attorney (incorporated by reference to the signatures page of this</w:t>
            </w:r>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FF"/>
              </w:rPr>
              <w:t>Annual Report on Form 10-K)</w:t>
            </w:r>
          </w:p>
        </w:tc>
        <w:tc>
          <w:tcPr>
            <w:tcW w:w="2500" w:type="dxa"/>
            <w:vAlign w:val="bottom"/>
            <w:tcBorders>
              <w:top w:val="single" w:sz="8" w:color="0000FF"/>
            </w:tcBorders>
            <w:gridSpan w:val="15"/>
          </w:tcPr>
          <w:p>
            <w:pPr>
              <w:spacing w:after="0"/>
              <w:rPr>
                <w:sz w:val="13"/>
                <w:szCs w:val="13"/>
                <w:color w:val="auto"/>
              </w:rPr>
            </w:pPr>
          </w:p>
        </w:tc>
        <w:tc>
          <w:tcPr>
            <w:tcW w:w="200" w:type="dxa"/>
            <w:vAlign w:val="bottom"/>
            <w:gridSpan w:val="7"/>
          </w:tcPr>
          <w:p>
            <w:pPr>
              <w:spacing w:after="0"/>
              <w:rPr>
                <w:sz w:val="13"/>
                <w:szCs w:val="13"/>
                <w:color w:val="auto"/>
              </w:rPr>
            </w:pPr>
          </w:p>
        </w:tc>
      </w:tr>
      <w:tr>
        <w:trPr>
          <w:trHeight w:val="192"/>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7"/>
              </w:rPr>
              <w:t>31.1</w:t>
            </w:r>
          </w:p>
        </w:tc>
        <w:tc>
          <w:tcPr>
            <w:tcW w:w="160" w:type="dxa"/>
            <w:vAlign w:val="bottom"/>
          </w:tcPr>
          <w:p>
            <w:pPr>
              <w:spacing w:after="0"/>
              <w:rPr>
                <w:sz w:val="16"/>
                <w:szCs w:val="16"/>
                <w:color w:val="auto"/>
              </w:rPr>
            </w:pPr>
          </w:p>
        </w:tc>
        <w:tc>
          <w:tcPr>
            <w:tcW w:w="43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required by Rules 13a-14(a) and</w:t>
            </w:r>
          </w:p>
        </w:tc>
        <w:tc>
          <w:tcPr>
            <w:tcW w:w="100" w:type="dxa"/>
            <w:vAlign w:val="bottom"/>
            <w:gridSpan w:val="5"/>
          </w:tcPr>
          <w:p>
            <w:pPr>
              <w:spacing w:after="0"/>
              <w:rPr>
                <w:sz w:val="16"/>
                <w:szCs w:val="16"/>
                <w:color w:val="auto"/>
              </w:rPr>
            </w:pPr>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40" w:type="dxa"/>
            <w:vAlign w:val="bottom"/>
            <w:gridSpan w:val="28"/>
          </w:tcPr>
          <w:p>
            <w:pPr>
              <w:spacing w:after="0" w:line="150" w:lineRule="exact"/>
              <w:rPr>
                <w:sz w:val="20"/>
                <w:szCs w:val="20"/>
                <w:color w:val="auto"/>
              </w:rPr>
            </w:pPr>
            <w:r>
              <w:rPr>
                <w:rFonts w:ascii="Times New Roman" w:cs="Times New Roman" w:eastAsia="Times New Roman" w:hAnsi="Times New Roman"/>
                <w:sz w:val="14"/>
                <w:szCs w:val="14"/>
                <w:color w:val="0000FF"/>
              </w:rPr>
              <w:t>15d-14(a) under the Securities Exchange Act of 1934, as adopted pursuant to</w:t>
            </w:r>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60" w:type="dxa"/>
            <w:vAlign w:val="bottom"/>
            <w:tcBorders>
              <w:top w:val="single" w:sz="8" w:color="0000FF"/>
            </w:tcBorders>
            <w:gridSpan w:val="24"/>
          </w:tcPr>
          <w:p>
            <w:pPr>
              <w:spacing w:after="0" w:line="150" w:lineRule="exact"/>
              <w:rPr>
                <w:sz w:val="20"/>
                <w:szCs w:val="20"/>
                <w:color w:val="auto"/>
              </w:rPr>
            </w:pPr>
            <w:r>
              <w:rPr>
                <w:rFonts w:ascii="Times New Roman" w:cs="Times New Roman" w:eastAsia="Times New Roman" w:hAnsi="Times New Roman"/>
                <w:sz w:val="14"/>
                <w:szCs w:val="14"/>
                <w:color w:val="0000FF"/>
              </w:rPr>
              <w:t>Section 302 of the Sarbanes-Oxley Act of 2002.</w:t>
            </w:r>
          </w:p>
        </w:tc>
        <w:tc>
          <w:tcPr>
            <w:tcW w:w="80" w:type="dxa"/>
            <w:vAlign w:val="bottom"/>
            <w:gridSpan w:val="4"/>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gridSpan w:val="11"/>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2"/>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7"/>
              </w:rPr>
              <w:t>31.2</w:t>
            </w:r>
          </w:p>
        </w:tc>
        <w:tc>
          <w:tcPr>
            <w:tcW w:w="160" w:type="dxa"/>
            <w:vAlign w:val="bottom"/>
          </w:tcPr>
          <w:p>
            <w:pPr>
              <w:spacing w:after="0"/>
              <w:rPr>
                <w:sz w:val="16"/>
                <w:szCs w:val="16"/>
                <w:color w:val="auto"/>
              </w:rPr>
            </w:pPr>
          </w:p>
        </w:tc>
        <w:tc>
          <w:tcPr>
            <w:tcW w:w="4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required by Rule 13a-14(a) or</w:t>
            </w: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12"/>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20" w:type="dxa"/>
            <w:vAlign w:val="bottom"/>
            <w:tcBorders>
              <w:bottom w:val="single" w:sz="8" w:color="0000FF"/>
            </w:tcBorders>
            <w:gridSpan w:val="22"/>
          </w:tcPr>
          <w:p>
            <w:pPr>
              <w:spacing w:after="0" w:line="150" w:lineRule="exact"/>
              <w:rPr>
                <w:sz w:val="20"/>
                <w:szCs w:val="20"/>
                <w:color w:val="auto"/>
              </w:rPr>
            </w:pPr>
            <w:r>
              <w:rPr>
                <w:rFonts w:ascii="Times New Roman" w:cs="Times New Roman" w:eastAsia="Times New Roman" w:hAnsi="Times New Roman"/>
                <w:sz w:val="14"/>
                <w:szCs w:val="14"/>
                <w:color w:val="0000FF"/>
              </w:rPr>
              <w:t>Rule 15d-14(a) of the Securities Exchange Act of 1934, as adopted pursuant</w:t>
            </w:r>
          </w:p>
        </w:tc>
        <w:tc>
          <w:tcPr>
            <w:tcW w:w="120" w:type="dxa"/>
            <w:vAlign w:val="bottom"/>
            <w:gridSpan w:val="6"/>
          </w:tcPr>
          <w:p>
            <w:pPr>
              <w:spacing w:after="0"/>
              <w:rPr>
                <w:sz w:val="13"/>
                <w:szCs w:val="13"/>
                <w:color w:val="auto"/>
              </w:rPr>
            </w:pPr>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40" w:type="dxa"/>
            <w:vAlign w:val="bottom"/>
            <w:gridSpan w:val="28"/>
          </w:tcPr>
          <w:p>
            <w:pPr>
              <w:spacing w:after="0" w:line="150" w:lineRule="exact"/>
              <w:rPr>
                <w:sz w:val="20"/>
                <w:szCs w:val="20"/>
                <w:color w:val="auto"/>
              </w:rPr>
            </w:pPr>
            <w:r>
              <w:rPr>
                <w:rFonts w:ascii="Times New Roman" w:cs="Times New Roman" w:eastAsia="Times New Roman" w:hAnsi="Times New Roman"/>
                <w:sz w:val="14"/>
                <w:szCs w:val="14"/>
                <w:color w:val="0000FF"/>
              </w:rPr>
              <w:t>to Section 302 of the Sarbanes-Oxley Act of 2002.</w:t>
            </w: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12"/>
            <w:shd w:val="clear" w:color="auto" w:fill="0000FF"/>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2"/>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32.1*</w:t>
            </w:r>
          </w:p>
        </w:tc>
        <w:tc>
          <w:tcPr>
            <w:tcW w:w="160" w:type="dxa"/>
            <w:vAlign w:val="bottom"/>
          </w:tcPr>
          <w:p>
            <w:pPr>
              <w:spacing w:after="0"/>
              <w:rPr>
                <w:sz w:val="16"/>
                <w:szCs w:val="16"/>
                <w:color w:val="auto"/>
              </w:rPr>
            </w:pPr>
          </w:p>
        </w:tc>
        <w:tc>
          <w:tcPr>
            <w:tcW w:w="43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w:t>
            </w:r>
          </w:p>
        </w:tc>
        <w:tc>
          <w:tcPr>
            <w:tcW w:w="100" w:type="dxa"/>
            <w:vAlign w:val="bottom"/>
            <w:gridSpan w:val="5"/>
          </w:tcPr>
          <w:p>
            <w:pPr>
              <w:spacing w:after="0"/>
              <w:rPr>
                <w:sz w:val="16"/>
                <w:szCs w:val="16"/>
                <w:color w:val="auto"/>
              </w:rPr>
            </w:pPr>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100" w:type="dxa"/>
            <w:vAlign w:val="bottom"/>
            <w:tcBorders>
              <w:bottom w:val="single" w:sz="8" w:color="0000FF"/>
            </w:tcBorders>
            <w:gridSpan w:val="17"/>
          </w:tcPr>
          <w:p>
            <w:pPr>
              <w:spacing w:after="0" w:line="150" w:lineRule="exact"/>
              <w:rPr>
                <w:sz w:val="20"/>
                <w:szCs w:val="20"/>
                <w:color w:val="auto"/>
              </w:rPr>
            </w:pPr>
            <w:r>
              <w:rPr>
                <w:rFonts w:ascii="Times New Roman" w:cs="Times New Roman" w:eastAsia="Times New Roman" w:hAnsi="Times New Roman"/>
                <w:sz w:val="14"/>
                <w:szCs w:val="14"/>
                <w:color w:val="0000FF"/>
              </w:rPr>
              <w:t>as adopted pursuant to Section 906 of the Sarbanes-Oxley Act of 2002.*</w:t>
            </w:r>
          </w:p>
        </w:tc>
        <w:tc>
          <w:tcPr>
            <w:tcW w:w="340" w:type="dxa"/>
            <w:vAlign w:val="bottom"/>
            <w:gridSpan w:val="11"/>
          </w:tcPr>
          <w:p>
            <w:pPr>
              <w:spacing w:after="0"/>
              <w:rPr>
                <w:sz w:val="13"/>
                <w:szCs w:val="13"/>
                <w:color w:val="auto"/>
              </w:rPr>
            </w:pPr>
          </w:p>
        </w:tc>
      </w:tr>
    </w:tbl>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10-Q</w:t>
            </w:r>
          </w:p>
        </w:tc>
        <w:tc>
          <w:tcPr>
            <w:tcW w:w="640" w:type="dxa"/>
            <w:vAlign w:val="bottom"/>
            <w:gridSpan w:val="2"/>
          </w:tcPr>
          <w:p>
            <w:pPr>
              <w:jc w:val="center"/>
              <w:spacing w:after="0"/>
              <w:rPr>
                <w:rFonts w:ascii="Times New Roman" w:cs="Times New Roman" w:eastAsia="Times New Roman" w:hAnsi="Times New Roman"/>
                <w:sz w:val="14"/>
                <w:szCs w:val="14"/>
                <w:color w:val="0000FF"/>
                <w:w w:val="98"/>
              </w:rPr>
            </w:pPr>
            <w:hyperlink r:id="rId160">
              <w:r>
                <w:rPr>
                  <w:rFonts w:ascii="Times New Roman" w:cs="Times New Roman" w:eastAsia="Times New Roman" w:hAnsi="Times New Roman"/>
                  <w:sz w:val="14"/>
                  <w:szCs w:val="14"/>
                  <w:color w:val="0000FF"/>
                  <w:w w:val="98"/>
                </w:rPr>
                <w:t>001-40632</w:t>
              </w:r>
            </w:hyperlink>
          </w:p>
        </w:tc>
        <w:tc>
          <w:tcPr>
            <w:tcW w:w="40" w:type="dxa"/>
            <w:vAlign w:val="bottom"/>
          </w:tcPr>
          <w:p>
            <w:pPr>
              <w:spacing w:after="0"/>
              <w:rPr>
                <w:sz w:val="13"/>
                <w:szCs w:val="13"/>
                <w:color w:val="auto"/>
              </w:rPr>
            </w:pPr>
          </w:p>
        </w:tc>
        <w:tc>
          <w:tcPr>
            <w:tcW w:w="14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7"/>
              </w:rPr>
              <w:t>10.2</w:t>
            </w:r>
          </w:p>
        </w:tc>
        <w:tc>
          <w:tcPr>
            <w:tcW w:w="178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11/09/2022</w:t>
            </w: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532"/>
        </w:trPr>
        <w:tc>
          <w:tcPr>
            <w:tcW w:w="92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S-1/A</w:t>
            </w:r>
          </w:p>
        </w:tc>
        <w:tc>
          <w:tcPr>
            <w:tcW w:w="680" w:type="dxa"/>
            <w:vAlign w:val="bottom"/>
            <w:tcBorders>
              <w:bottom w:val="single" w:sz="8" w:color="0000FF"/>
            </w:tcBorders>
            <w:gridSpan w:val="3"/>
          </w:tcPr>
          <w:p>
            <w:pPr>
              <w:jc w:val="cente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333-257663</w:t>
              </w:r>
            </w:hyperlink>
          </w:p>
        </w:tc>
        <w:tc>
          <w:tcPr>
            <w:tcW w:w="14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7"/>
              </w:rPr>
              <w:t>10.6</w:t>
            </w:r>
          </w:p>
        </w:tc>
        <w:tc>
          <w:tcPr>
            <w:tcW w:w="178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07/19/2021</w:t>
            </w:r>
          </w:p>
        </w:tc>
      </w:tr>
      <w:tr>
        <w:trPr>
          <w:trHeight w:val="192"/>
        </w:trPr>
        <w:tc>
          <w:tcPr>
            <w:tcW w:w="92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S-1/A</w:t>
            </w:r>
          </w:p>
        </w:tc>
        <w:tc>
          <w:tcPr>
            <w:tcW w:w="680" w:type="dxa"/>
            <w:vAlign w:val="bottom"/>
            <w:tcBorders>
              <w:bottom w:val="single" w:sz="8" w:color="0000FF"/>
            </w:tcBorders>
            <w:gridSpan w:val="3"/>
          </w:tcPr>
          <w:p>
            <w:pPr>
              <w:jc w:val="cente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333-257663</w:t>
              </w:r>
            </w:hyperlink>
          </w:p>
        </w:tc>
        <w:tc>
          <w:tcPr>
            <w:tcW w:w="14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7"/>
              </w:rPr>
              <w:t>10.7</w:t>
            </w:r>
          </w:p>
        </w:tc>
        <w:tc>
          <w:tcPr>
            <w:tcW w:w="178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07/19/2021</w:t>
            </w:r>
          </w:p>
        </w:tc>
      </w:tr>
      <w:tr>
        <w:trPr>
          <w:trHeight w:val="362"/>
        </w:trPr>
        <w:tc>
          <w:tcPr>
            <w:tcW w:w="92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10-Q</w:t>
            </w:r>
          </w:p>
        </w:tc>
        <w:tc>
          <w:tcPr>
            <w:tcW w:w="640" w:type="dxa"/>
            <w:vAlign w:val="bottom"/>
            <w:gridSpan w:val="2"/>
          </w:tcPr>
          <w:p>
            <w:pPr>
              <w:jc w:val="center"/>
              <w:spacing w:after="0"/>
              <w:rPr>
                <w:rFonts w:ascii="Times New Roman" w:cs="Times New Roman" w:eastAsia="Times New Roman" w:hAnsi="Times New Roman"/>
                <w:sz w:val="14"/>
                <w:szCs w:val="14"/>
                <w:color w:val="0000FF"/>
                <w:w w:val="98"/>
              </w:rPr>
            </w:pPr>
            <w:hyperlink r:id="rId163">
              <w:r>
                <w:rPr>
                  <w:rFonts w:ascii="Times New Roman" w:cs="Times New Roman" w:eastAsia="Times New Roman" w:hAnsi="Times New Roman"/>
                  <w:sz w:val="14"/>
                  <w:szCs w:val="14"/>
                  <w:color w:val="0000FF"/>
                  <w:w w:val="98"/>
                </w:rPr>
                <w:t>001-40632</w:t>
              </w:r>
            </w:hyperlink>
          </w:p>
        </w:tc>
        <w:tc>
          <w:tcPr>
            <w:tcW w:w="40" w:type="dxa"/>
            <w:vAlign w:val="bottom"/>
          </w:tcPr>
          <w:p>
            <w:pPr>
              <w:spacing w:after="0"/>
              <w:rPr>
                <w:sz w:val="24"/>
                <w:szCs w:val="24"/>
                <w:color w:val="auto"/>
              </w:rPr>
            </w:pPr>
          </w:p>
        </w:tc>
        <w:tc>
          <w:tcPr>
            <w:tcW w:w="14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7"/>
              </w:rPr>
              <w:t>10.1</w:t>
            </w:r>
          </w:p>
        </w:tc>
        <w:tc>
          <w:tcPr>
            <w:tcW w:w="178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05/09/2023</w:t>
            </w:r>
          </w:p>
        </w:tc>
      </w:tr>
      <w:tr>
        <w:trPr>
          <w:trHeight w:val="393"/>
        </w:trPr>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r>
      <w:tr>
        <w:trPr>
          <w:trHeight w:val="181"/>
        </w:trPr>
        <w:tc>
          <w:tcPr>
            <w:tcW w:w="92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10-Q</w:t>
            </w:r>
          </w:p>
        </w:tc>
        <w:tc>
          <w:tcPr>
            <w:tcW w:w="640" w:type="dxa"/>
            <w:vAlign w:val="bottom"/>
            <w:gridSpan w:val="2"/>
          </w:tcPr>
          <w:p>
            <w:pPr>
              <w:jc w:val="center"/>
              <w:spacing w:after="0"/>
              <w:rPr>
                <w:rFonts w:ascii="Times New Roman" w:cs="Times New Roman" w:eastAsia="Times New Roman" w:hAnsi="Times New Roman"/>
                <w:sz w:val="14"/>
                <w:szCs w:val="14"/>
                <w:color w:val="0000FF"/>
                <w:w w:val="98"/>
              </w:rPr>
            </w:pPr>
            <w:hyperlink r:id="rId164">
              <w:r>
                <w:rPr>
                  <w:rFonts w:ascii="Times New Roman" w:cs="Times New Roman" w:eastAsia="Times New Roman" w:hAnsi="Times New Roman"/>
                  <w:sz w:val="14"/>
                  <w:szCs w:val="14"/>
                  <w:color w:val="0000FF"/>
                  <w:w w:val="98"/>
                </w:rPr>
                <w:t>001-40632</w:t>
              </w:r>
            </w:hyperlink>
          </w:p>
        </w:tc>
        <w:tc>
          <w:tcPr>
            <w:tcW w:w="40" w:type="dxa"/>
            <w:vAlign w:val="bottom"/>
          </w:tcPr>
          <w:p>
            <w:pPr>
              <w:spacing w:after="0"/>
              <w:rPr>
                <w:sz w:val="15"/>
                <w:szCs w:val="15"/>
                <w:color w:val="auto"/>
              </w:rPr>
            </w:pPr>
          </w:p>
        </w:tc>
        <w:tc>
          <w:tcPr>
            <w:tcW w:w="14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w w:val="97"/>
              </w:rPr>
              <w:t>10.1</w:t>
            </w:r>
          </w:p>
        </w:tc>
        <w:tc>
          <w:tcPr>
            <w:tcW w:w="178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11/12/2021</w:t>
            </w: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532"/>
        </w:trPr>
        <w:tc>
          <w:tcPr>
            <w:tcW w:w="920" w:type="dxa"/>
            <w:vAlign w:val="bottom"/>
          </w:tcPr>
          <w:p>
            <w:pPr>
              <w:jc w:val="center"/>
              <w:ind w:right="489"/>
              <w:spacing w:after="0"/>
              <w:rPr>
                <w:sz w:val="20"/>
                <w:szCs w:val="20"/>
                <w:color w:val="auto"/>
              </w:rPr>
            </w:pPr>
            <w:r>
              <w:rPr>
                <w:rFonts w:ascii="Times New Roman" w:cs="Times New Roman" w:eastAsia="Times New Roman" w:hAnsi="Times New Roman"/>
                <w:sz w:val="14"/>
                <w:szCs w:val="14"/>
                <w:color w:val="auto"/>
              </w:rPr>
              <w:t>S-1</w:t>
            </w:r>
          </w:p>
        </w:tc>
        <w:tc>
          <w:tcPr>
            <w:tcW w:w="680" w:type="dxa"/>
            <w:vAlign w:val="bottom"/>
            <w:tcBorders>
              <w:bottom w:val="single" w:sz="8" w:color="0000FF"/>
            </w:tcBorders>
            <w:gridSpan w:val="3"/>
          </w:tcPr>
          <w:p>
            <w:pPr>
              <w:jc w:val="cente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333-257663</w:t>
              </w:r>
            </w:hyperlink>
          </w:p>
        </w:tc>
        <w:tc>
          <w:tcPr>
            <w:tcW w:w="14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10.11</w:t>
            </w:r>
          </w:p>
        </w:tc>
        <w:tc>
          <w:tcPr>
            <w:tcW w:w="178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07/02/2021</w:t>
            </w:r>
          </w:p>
        </w:tc>
      </w:tr>
      <w:tr>
        <w:trPr>
          <w:trHeight w:val="362"/>
        </w:trPr>
        <w:tc>
          <w:tcPr>
            <w:tcW w:w="920" w:type="dxa"/>
            <w:vAlign w:val="bottom"/>
          </w:tcPr>
          <w:p>
            <w:pPr>
              <w:jc w:val="center"/>
              <w:ind w:right="489"/>
              <w:spacing w:after="0"/>
              <w:rPr>
                <w:sz w:val="20"/>
                <w:szCs w:val="20"/>
                <w:color w:val="auto"/>
              </w:rPr>
            </w:pPr>
            <w:r>
              <w:rPr>
                <w:rFonts w:ascii="Times New Roman" w:cs="Times New Roman" w:eastAsia="Times New Roman" w:hAnsi="Times New Roman"/>
                <w:sz w:val="14"/>
                <w:szCs w:val="14"/>
                <w:color w:val="auto"/>
              </w:rPr>
              <w:t>S-1</w:t>
            </w:r>
          </w:p>
        </w:tc>
        <w:tc>
          <w:tcPr>
            <w:tcW w:w="680" w:type="dxa"/>
            <w:vAlign w:val="bottom"/>
            <w:tcBorders>
              <w:bottom w:val="single" w:sz="8" w:color="0000FF"/>
            </w:tcBorders>
            <w:gridSpan w:val="3"/>
          </w:tcPr>
          <w:p>
            <w:pPr>
              <w:jc w:val="cente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333-257663</w:t>
              </w:r>
            </w:hyperlink>
          </w:p>
        </w:tc>
        <w:tc>
          <w:tcPr>
            <w:tcW w:w="14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10.12</w:t>
            </w:r>
          </w:p>
        </w:tc>
        <w:tc>
          <w:tcPr>
            <w:tcW w:w="178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07/02/2021</w:t>
            </w:r>
          </w:p>
        </w:tc>
      </w:tr>
      <w:tr>
        <w:trPr>
          <w:trHeight w:val="362"/>
        </w:trPr>
        <w:tc>
          <w:tcPr>
            <w:tcW w:w="920" w:type="dxa"/>
            <w:vAlign w:val="bottom"/>
          </w:tcPr>
          <w:p>
            <w:pPr>
              <w:jc w:val="center"/>
              <w:ind w:right="489"/>
              <w:spacing w:after="0"/>
              <w:rPr>
                <w:sz w:val="20"/>
                <w:szCs w:val="20"/>
                <w:color w:val="auto"/>
              </w:rPr>
            </w:pPr>
            <w:r>
              <w:rPr>
                <w:rFonts w:ascii="Times New Roman" w:cs="Times New Roman" w:eastAsia="Times New Roman" w:hAnsi="Times New Roman"/>
                <w:sz w:val="14"/>
                <w:szCs w:val="14"/>
                <w:color w:val="auto"/>
              </w:rPr>
              <w:t>S-1</w:t>
            </w:r>
          </w:p>
        </w:tc>
        <w:tc>
          <w:tcPr>
            <w:tcW w:w="680" w:type="dxa"/>
            <w:vAlign w:val="bottom"/>
            <w:tcBorders>
              <w:bottom w:val="single" w:sz="8" w:color="0000FF"/>
            </w:tcBorders>
            <w:gridSpan w:val="3"/>
          </w:tcPr>
          <w:p>
            <w:pPr>
              <w:jc w:val="cente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333-257663</w:t>
              </w:r>
            </w:hyperlink>
          </w:p>
        </w:tc>
        <w:tc>
          <w:tcPr>
            <w:tcW w:w="14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10.14</w:t>
            </w:r>
          </w:p>
        </w:tc>
        <w:tc>
          <w:tcPr>
            <w:tcW w:w="178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07/02/2021</w:t>
            </w:r>
          </w:p>
        </w:tc>
      </w:tr>
      <w:tr>
        <w:trPr>
          <w:trHeight w:val="393"/>
        </w:trPr>
        <w:tc>
          <w:tcPr>
            <w:tcW w:w="92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10-K</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001-40632</w:t>
            </w:r>
          </w:p>
        </w:tc>
        <w:tc>
          <w:tcPr>
            <w:tcW w:w="40" w:type="dxa"/>
            <w:vAlign w:val="bottom"/>
          </w:tcPr>
          <w:p>
            <w:pPr>
              <w:spacing w:after="0"/>
              <w:rPr>
                <w:sz w:val="24"/>
                <w:szCs w:val="24"/>
                <w:color w:val="auto"/>
              </w:rPr>
            </w:pPr>
          </w:p>
        </w:tc>
        <w:tc>
          <w:tcPr>
            <w:tcW w:w="146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10.16</w:t>
            </w:r>
          </w:p>
        </w:tc>
        <w:tc>
          <w:tcPr>
            <w:tcW w:w="178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03/01/2023</w:t>
            </w:r>
          </w:p>
        </w:tc>
      </w:tr>
      <w:tr>
        <w:trPr>
          <w:trHeight w:val="351"/>
        </w:trPr>
        <w:tc>
          <w:tcPr>
            <w:tcW w:w="920" w:type="dxa"/>
            <w:vAlign w:val="bottom"/>
          </w:tcPr>
          <w:p>
            <w:pPr>
              <w:jc w:val="center"/>
              <w:ind w:right="489"/>
              <w:spacing w:after="0"/>
              <w:rPr>
                <w:sz w:val="20"/>
                <w:szCs w:val="20"/>
                <w:color w:val="auto"/>
              </w:rPr>
            </w:pPr>
            <w:r>
              <w:rPr>
                <w:rFonts w:ascii="Times New Roman" w:cs="Times New Roman" w:eastAsia="Times New Roman" w:hAnsi="Times New Roman"/>
                <w:sz w:val="14"/>
                <w:szCs w:val="14"/>
                <w:color w:val="auto"/>
              </w:rPr>
              <w:t>S-3</w:t>
            </w:r>
          </w:p>
        </w:tc>
        <w:tc>
          <w:tcPr>
            <w:tcW w:w="680" w:type="dxa"/>
            <w:vAlign w:val="bottom"/>
            <w:tcBorders>
              <w:bottom w:val="single" w:sz="8" w:color="0000FF"/>
            </w:tcBorders>
            <w:gridSpan w:val="3"/>
          </w:tcPr>
          <w:p>
            <w:pPr>
              <w:jc w:val="cente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333-267118</w:t>
              </w:r>
            </w:hyperlink>
          </w:p>
        </w:tc>
        <w:tc>
          <w:tcPr>
            <w:tcW w:w="14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1.2</w:t>
            </w:r>
          </w:p>
        </w:tc>
        <w:tc>
          <w:tcPr>
            <w:tcW w:w="178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08/26/2022</w:t>
            </w:r>
          </w:p>
        </w:tc>
      </w:tr>
    </w:tbl>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ectPr>
          <w:pgSz w:w="11900" w:h="16838" w:orient="portrait"/>
          <w:cols w:equalWidth="0" w:num="2">
            <w:col w:w="5760" w:space="160"/>
            <w:col w:w="4840"/>
          </w:cols>
          <w:pgMar w:left="300" w:top="201" w:right="8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744"/>
        </w:trPr>
        <w:tc>
          <w:tcPr>
            <w:tcW w:w="1000" w:type="dxa"/>
            <w:vAlign w:val="bottom"/>
            <w:tcBorders>
              <w:top w:val="single" w:sz="8" w:color="0000FF"/>
            </w:tcBorders>
          </w:tcPr>
          <w:p>
            <w:pPr>
              <w:jc w:val="center"/>
              <w:ind w:left="9"/>
              <w:spacing w:after="0"/>
              <w:rPr>
                <w:sz w:val="20"/>
                <w:szCs w:val="20"/>
                <w:color w:val="auto"/>
              </w:rPr>
            </w:pPr>
            <w:r>
              <w:rPr>
                <w:rFonts w:ascii="Times New Roman" w:cs="Times New Roman" w:eastAsia="Times New Roman" w:hAnsi="Times New Roman"/>
                <w:sz w:val="14"/>
                <w:szCs w:val="14"/>
                <w:color w:val="auto"/>
              </w:rPr>
              <w:t>32.2*</w:t>
            </w:r>
          </w:p>
        </w:tc>
        <w:tc>
          <w:tcPr>
            <w:tcW w:w="160" w:type="dxa"/>
            <w:vAlign w:val="bottom"/>
          </w:tcPr>
          <w:p>
            <w:pPr>
              <w:spacing w:after="0"/>
              <w:rPr>
                <w:sz w:val="24"/>
                <w:szCs w:val="24"/>
                <w:color w:val="auto"/>
              </w:rPr>
            </w:pPr>
          </w:p>
        </w:tc>
        <w:tc>
          <w:tcPr>
            <w:tcW w:w="4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w:t>
            </w:r>
          </w:p>
        </w:tc>
        <w:tc>
          <w:tcPr>
            <w:tcW w:w="2640" w:type="dxa"/>
            <w:vAlign w:val="bottom"/>
          </w:tcPr>
          <w:p>
            <w:pPr>
              <w:spacing w:after="0"/>
              <w:rPr>
                <w:sz w:val="24"/>
                <w:szCs w:val="24"/>
                <w:color w:val="auto"/>
              </w:rPr>
            </w:pPr>
          </w:p>
        </w:tc>
        <w:tc>
          <w:tcPr>
            <w:tcW w:w="2660" w:type="dxa"/>
            <w:vAlign w:val="bottom"/>
          </w:tcPr>
          <w:p>
            <w:pPr>
              <w:ind w:left="2560"/>
              <w:spacing w:after="0"/>
              <w:rPr>
                <w:sz w:val="20"/>
                <w:szCs w:val="20"/>
                <w:color w:val="auto"/>
              </w:rPr>
            </w:pPr>
            <w:r>
              <w:rPr>
                <w:rFonts w:ascii="Times New Roman" w:cs="Times New Roman" w:eastAsia="Times New Roman" w:hAnsi="Times New Roman"/>
                <w:sz w:val="14"/>
                <w:szCs w:val="14"/>
                <w:color w:val="auto"/>
                <w:w w:val="78"/>
              </w:rPr>
              <w:t>X</w:t>
            </w:r>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100" w:type="dxa"/>
            <w:vAlign w:val="bottom"/>
            <w:tcBorders>
              <w:bottom w:val="single" w:sz="8" w:color="0000FF"/>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FF"/>
              </w:rPr>
              <w:t>as adopted pursuant to Section 906 of the Sarbanes-Oxley Act of 2002.*</w:t>
            </w:r>
          </w:p>
        </w:tc>
        <w:tc>
          <w:tcPr>
            <w:tcW w:w="2840" w:type="dxa"/>
            <w:vAlign w:val="bottom"/>
            <w:gridSpan w:val="2"/>
          </w:tcPr>
          <w:p>
            <w:pPr>
              <w:spacing w:after="0"/>
              <w:rPr>
                <w:sz w:val="13"/>
                <w:szCs w:val="13"/>
                <w:color w:val="auto"/>
              </w:rPr>
            </w:pPr>
          </w:p>
        </w:tc>
        <w:tc>
          <w:tcPr>
            <w:tcW w:w="2660" w:type="dxa"/>
            <w:vAlign w:val="bottom"/>
          </w:tcPr>
          <w:p>
            <w:pPr>
              <w:spacing w:after="0"/>
              <w:rPr>
                <w:sz w:val="13"/>
                <w:szCs w:val="13"/>
                <w:color w:val="auto"/>
              </w:rPr>
            </w:pPr>
          </w:p>
        </w:tc>
      </w:tr>
      <w:tr>
        <w:trPr>
          <w:trHeight w:val="192"/>
        </w:trPr>
        <w:tc>
          <w:tcPr>
            <w:tcW w:w="10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7"/>
              </w:rPr>
              <w:t>97.0</w:t>
            </w:r>
          </w:p>
        </w:tc>
        <w:tc>
          <w:tcPr>
            <w:tcW w:w="160" w:type="dxa"/>
            <w:vAlign w:val="bottom"/>
          </w:tcPr>
          <w:p>
            <w:pPr>
              <w:spacing w:after="0"/>
              <w:rPr>
                <w:sz w:val="16"/>
                <w:szCs w:val="16"/>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Cytek Biosciences, Inc. Incentive Compensation Recoupment Policy</w:t>
            </w:r>
          </w:p>
        </w:tc>
        <w:tc>
          <w:tcPr>
            <w:tcW w:w="2660" w:type="dxa"/>
            <w:vAlign w:val="bottom"/>
          </w:tcPr>
          <w:p>
            <w:pPr>
              <w:ind w:left="2560"/>
              <w:spacing w:after="0"/>
              <w:rPr>
                <w:sz w:val="20"/>
                <w:szCs w:val="20"/>
                <w:color w:val="auto"/>
              </w:rPr>
            </w:pPr>
            <w:r>
              <w:rPr>
                <w:rFonts w:ascii="Times New Roman" w:cs="Times New Roman" w:eastAsia="Times New Roman" w:hAnsi="Times New Roman"/>
                <w:sz w:val="14"/>
                <w:szCs w:val="14"/>
                <w:color w:val="auto"/>
                <w:w w:val="78"/>
              </w:rPr>
              <w:t>X</w:t>
            </w:r>
          </w:p>
        </w:tc>
      </w:tr>
      <w:tr>
        <w:trPr>
          <w:trHeight w:val="20"/>
        </w:trPr>
        <w:tc>
          <w:tcPr>
            <w:tcW w:w="1160" w:type="dxa"/>
            <w:vAlign w:val="bottom"/>
            <w:gridSpan w:val="2"/>
          </w:tcPr>
          <w:p>
            <w:pPr>
              <w:spacing w:after="0" w:line="20" w:lineRule="exact"/>
              <w:rPr>
                <w:sz w:val="1"/>
                <w:szCs w:val="1"/>
                <w:color w:val="auto"/>
              </w:rPr>
            </w:pPr>
          </w:p>
        </w:tc>
        <w:tc>
          <w:tcPr>
            <w:tcW w:w="3900" w:type="dxa"/>
            <w:vAlign w:val="bottom"/>
            <w:shd w:val="clear" w:color="auto" w:fill="0000FF"/>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09"/>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101.INS</w:t>
            </w:r>
          </w:p>
        </w:tc>
        <w:tc>
          <w:tcPr>
            <w:tcW w:w="6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w:t>
            </w:r>
          </w:p>
        </w:tc>
        <w:tc>
          <w:tcPr>
            <w:tcW w:w="2660" w:type="dxa"/>
            <w:vAlign w:val="bottom"/>
          </w:tcPr>
          <w:p>
            <w:pPr>
              <w:ind w:left="2560"/>
              <w:spacing w:after="0"/>
              <w:rPr>
                <w:sz w:val="20"/>
                <w:szCs w:val="20"/>
                <w:color w:val="auto"/>
              </w:rPr>
            </w:pPr>
            <w:r>
              <w:rPr>
                <w:rFonts w:ascii="Times New Roman" w:cs="Times New Roman" w:eastAsia="Times New Roman" w:hAnsi="Times New Roman"/>
                <w:sz w:val="14"/>
                <w:szCs w:val="14"/>
                <w:color w:val="auto"/>
                <w:w w:val="78"/>
              </w:rPr>
              <w:t>X</w:t>
            </w:r>
          </w:p>
        </w:tc>
      </w:tr>
      <w:tr>
        <w:trPr>
          <w:trHeight w:val="170"/>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Interactive Data File because XBRL tags are embedded within the Inline</w:t>
            </w:r>
          </w:p>
        </w:tc>
        <w:tc>
          <w:tcPr>
            <w:tcW w:w="2660" w:type="dxa"/>
            <w:vAlign w:val="bottom"/>
          </w:tcPr>
          <w:p>
            <w:pPr>
              <w:spacing w:after="0"/>
              <w:rPr>
                <w:sz w:val="14"/>
                <w:szCs w:val="14"/>
                <w:color w:val="auto"/>
              </w:rPr>
            </w:pPr>
          </w:p>
        </w:tc>
      </w:tr>
      <w:tr>
        <w:trPr>
          <w:trHeight w:val="184"/>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2660" w:type="dxa"/>
            <w:vAlign w:val="bottom"/>
          </w:tcPr>
          <w:p>
            <w:pPr>
              <w:spacing w:after="0"/>
              <w:rPr>
                <w:sz w:val="16"/>
                <w:szCs w:val="16"/>
                <w:color w:val="auto"/>
              </w:rPr>
            </w:pPr>
          </w:p>
        </w:tc>
      </w:tr>
      <w:tr>
        <w:trPr>
          <w:trHeight w:val="340"/>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101.SCH</w:t>
            </w:r>
          </w:p>
        </w:tc>
        <w:tc>
          <w:tcPr>
            <w:tcW w:w="6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2660" w:type="dxa"/>
            <w:vAlign w:val="bottom"/>
          </w:tcPr>
          <w:p>
            <w:pPr>
              <w:ind w:left="2560"/>
              <w:spacing w:after="0"/>
              <w:rPr>
                <w:sz w:val="20"/>
                <w:szCs w:val="20"/>
                <w:color w:val="auto"/>
              </w:rPr>
            </w:pPr>
            <w:r>
              <w:rPr>
                <w:rFonts w:ascii="Times New Roman" w:cs="Times New Roman" w:eastAsia="Times New Roman" w:hAnsi="Times New Roman"/>
                <w:sz w:val="14"/>
                <w:szCs w:val="14"/>
                <w:color w:val="auto"/>
                <w:w w:val="78"/>
              </w:rPr>
              <w:t>X</w:t>
            </w:r>
          </w:p>
        </w:tc>
      </w:tr>
      <w:tr>
        <w:trPr>
          <w:trHeight w:val="340"/>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101.CAL</w:t>
            </w:r>
          </w:p>
        </w:tc>
        <w:tc>
          <w:tcPr>
            <w:tcW w:w="6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2660" w:type="dxa"/>
            <w:vAlign w:val="bottom"/>
          </w:tcPr>
          <w:p>
            <w:pPr>
              <w:ind w:left="2560"/>
              <w:spacing w:after="0"/>
              <w:rPr>
                <w:sz w:val="20"/>
                <w:szCs w:val="20"/>
                <w:color w:val="auto"/>
              </w:rPr>
            </w:pPr>
            <w:r>
              <w:rPr>
                <w:rFonts w:ascii="Times New Roman" w:cs="Times New Roman" w:eastAsia="Times New Roman" w:hAnsi="Times New Roman"/>
                <w:sz w:val="14"/>
                <w:szCs w:val="14"/>
                <w:color w:val="auto"/>
                <w:w w:val="78"/>
              </w:rPr>
              <w:t>X</w:t>
            </w:r>
          </w:p>
        </w:tc>
      </w:tr>
      <w:tr>
        <w:trPr>
          <w:trHeight w:val="340"/>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101.DEF</w:t>
            </w:r>
          </w:p>
        </w:tc>
        <w:tc>
          <w:tcPr>
            <w:tcW w:w="6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2660" w:type="dxa"/>
            <w:vAlign w:val="bottom"/>
          </w:tcPr>
          <w:p>
            <w:pPr>
              <w:ind w:left="2560"/>
              <w:spacing w:after="0"/>
              <w:rPr>
                <w:sz w:val="20"/>
                <w:szCs w:val="20"/>
                <w:color w:val="auto"/>
              </w:rPr>
            </w:pPr>
            <w:r>
              <w:rPr>
                <w:rFonts w:ascii="Times New Roman" w:cs="Times New Roman" w:eastAsia="Times New Roman" w:hAnsi="Times New Roman"/>
                <w:sz w:val="14"/>
                <w:szCs w:val="14"/>
                <w:color w:val="auto"/>
                <w:w w:val="78"/>
              </w:rPr>
              <w:t>X</w:t>
            </w:r>
          </w:p>
        </w:tc>
      </w:tr>
      <w:tr>
        <w:trPr>
          <w:trHeight w:val="340"/>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101.LAB</w:t>
            </w:r>
          </w:p>
        </w:tc>
        <w:tc>
          <w:tcPr>
            <w:tcW w:w="6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2660" w:type="dxa"/>
            <w:vAlign w:val="bottom"/>
          </w:tcPr>
          <w:p>
            <w:pPr>
              <w:ind w:left="2560"/>
              <w:spacing w:after="0"/>
              <w:rPr>
                <w:sz w:val="20"/>
                <w:szCs w:val="20"/>
                <w:color w:val="auto"/>
              </w:rPr>
            </w:pPr>
            <w:r>
              <w:rPr>
                <w:rFonts w:ascii="Times New Roman" w:cs="Times New Roman" w:eastAsia="Times New Roman" w:hAnsi="Times New Roman"/>
                <w:sz w:val="14"/>
                <w:szCs w:val="14"/>
                <w:color w:val="auto"/>
                <w:w w:val="78"/>
              </w:rPr>
              <w:t>X</w:t>
            </w:r>
          </w:p>
        </w:tc>
      </w:tr>
      <w:tr>
        <w:trPr>
          <w:trHeight w:val="340"/>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101.PRE</w:t>
            </w:r>
          </w:p>
        </w:tc>
        <w:tc>
          <w:tcPr>
            <w:tcW w:w="6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2660" w:type="dxa"/>
            <w:vAlign w:val="bottom"/>
          </w:tcPr>
          <w:p>
            <w:pPr>
              <w:ind w:left="2560"/>
              <w:spacing w:after="0"/>
              <w:rPr>
                <w:sz w:val="20"/>
                <w:szCs w:val="20"/>
                <w:color w:val="auto"/>
              </w:rPr>
            </w:pPr>
            <w:r>
              <w:rPr>
                <w:rFonts w:ascii="Times New Roman" w:cs="Times New Roman" w:eastAsia="Times New Roman" w:hAnsi="Times New Roman"/>
                <w:sz w:val="14"/>
                <w:szCs w:val="14"/>
                <w:color w:val="auto"/>
                <w:w w:val="78"/>
              </w:rPr>
              <w:t>X</w:t>
            </w:r>
          </w:p>
        </w:tc>
      </w:tr>
      <w:tr>
        <w:trPr>
          <w:trHeight w:val="304"/>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60" w:type="dxa"/>
            <w:vAlign w:val="bottom"/>
          </w:tcPr>
          <w:p>
            <w:pPr>
              <w:spacing w:after="0"/>
              <w:rPr>
                <w:sz w:val="24"/>
                <w:szCs w:val="24"/>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w:t>
            </w:r>
          </w:p>
        </w:tc>
        <w:tc>
          <w:tcPr>
            <w:tcW w:w="2660" w:type="dxa"/>
            <w:vAlign w:val="bottom"/>
          </w:tcPr>
          <w:p>
            <w:pPr>
              <w:ind w:left="2560"/>
              <w:spacing w:after="0"/>
              <w:rPr>
                <w:sz w:val="20"/>
                <w:szCs w:val="20"/>
                <w:color w:val="auto"/>
              </w:rPr>
            </w:pPr>
            <w:r>
              <w:rPr>
                <w:rFonts w:ascii="Times New Roman" w:cs="Times New Roman" w:eastAsia="Times New Roman" w:hAnsi="Times New Roman"/>
                <w:sz w:val="14"/>
                <w:szCs w:val="14"/>
                <w:color w:val="auto"/>
                <w:w w:val="78"/>
              </w:rPr>
              <w:t>X</w:t>
            </w:r>
          </w:p>
        </w:tc>
      </w:tr>
      <w:tr>
        <w:trPr>
          <w:trHeight w:val="184"/>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Exhibits 101).</w:t>
            </w:r>
          </w:p>
        </w:tc>
        <w:tc>
          <w:tcPr>
            <w:tcW w:w="2660" w:type="dxa"/>
            <w:vAlign w:val="bottom"/>
          </w:tcPr>
          <w:p>
            <w:pPr>
              <w:spacing w:after="0"/>
              <w:rPr>
                <w:sz w:val="16"/>
                <w:szCs w:val="16"/>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w:t>
      </w:r>
    </w:p>
    <w:p>
      <w:pPr>
        <w:spacing w:after="0" w:line="94" w:lineRule="exact"/>
        <w:rPr>
          <w:sz w:val="20"/>
          <w:szCs w:val="20"/>
          <w:color w:val="auto"/>
        </w:rPr>
      </w:pPr>
    </w:p>
    <w:p>
      <w:pPr>
        <w:ind w:left="140" w:hanging="135"/>
        <w:spacing w:after="0" w:line="287" w:lineRule="auto"/>
        <w:tabs>
          <w:tab w:leader="none" w:pos="135"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601(b)(10) of Regulation S-K, portions of this exhibit have been omitted as the Registrant has determined that the omitted information is both not material and is the type that the Registrant treats as private and confidential.</w:t>
      </w:r>
    </w:p>
    <w:p>
      <w:pPr>
        <w:spacing w:after="0" w:line="39" w:lineRule="exact"/>
        <w:rPr>
          <w:sz w:val="20"/>
          <w:szCs w:val="20"/>
          <w:color w:val="auto"/>
        </w:rPr>
      </w:pPr>
    </w:p>
    <w:p>
      <w:pPr>
        <w:jc w:val="both"/>
        <w:ind w:left="140" w:hanging="135"/>
        <w:spacing w:after="0" w:line="270" w:lineRule="auto"/>
        <w:tabs>
          <w:tab w:leader="none" w:pos="13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contemplated by SEC Release No. 33-8212, these exhibits are furnished with this Annual Report on Form 10-K and are not deemed filed with the SEC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spacing w:after="0" w:line="50" w:lineRule="exact"/>
        <w:rPr>
          <w:rFonts w:ascii="Times New Roman" w:cs="Times New Roman" w:eastAsia="Times New Roman" w:hAnsi="Times New Roman"/>
          <w:sz w:val="14"/>
          <w:szCs w:val="14"/>
          <w:color w:val="auto"/>
        </w:rPr>
      </w:pPr>
    </w:p>
    <w:p>
      <w:pPr>
        <w:jc w:val="both"/>
        <w:ind w:left="140"/>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provided.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8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b w:val="1"/>
          <w:bCs w:val="1"/>
          <w:color w:val="auto"/>
        </w:rPr>
        <w:t>Cytek Biosciences, Inc.</w:t>
      </w:r>
    </w:p>
    <w:p>
      <w:pPr>
        <w:spacing w:after="0" w:line="265" w:lineRule="exact"/>
        <w:rPr>
          <w:sz w:val="20"/>
          <w:szCs w:val="20"/>
          <w:color w:val="auto"/>
        </w:rPr>
      </w:pPr>
    </w:p>
    <w:p>
      <w:pPr>
        <w:ind w:left="20"/>
        <w:spacing w:after="0"/>
        <w:tabs>
          <w:tab w:leader="none" w:pos="5400" w:val="left"/>
          <w:tab w:leader="none" w:pos="8080" w:val="left"/>
        </w:tabs>
        <w:rPr>
          <w:sz w:val="20"/>
          <w:szCs w:val="20"/>
          <w:color w:val="auto"/>
        </w:rPr>
      </w:pPr>
      <w:r>
        <w:rPr>
          <w:rFonts w:ascii="Times New Roman" w:cs="Times New Roman" w:eastAsia="Times New Roman" w:hAnsi="Times New Roman"/>
          <w:sz w:val="14"/>
          <w:szCs w:val="14"/>
          <w:color w:val="auto"/>
        </w:rPr>
        <w:t>Date: March 13,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Wenbin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28575</wp:posOffset>
            </wp:positionV>
            <wp:extent cx="344297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3442970" cy="6985"/>
                    </a:xfrm>
                    <a:prstGeom prst="rect">
                      <a:avLst/>
                    </a:prstGeom>
                    <a:noFill/>
                  </pic:spPr>
                </pic:pic>
              </a:graphicData>
            </a:graphic>
          </wp:anchor>
        </w:drawing>
      </w:r>
    </w:p>
    <w:p>
      <w:pPr>
        <w:spacing w:after="0" w:line="4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color w:val="auto"/>
        </w:rPr>
        <w:t>Wenbin Jiang, Ph.D.</w:t>
      </w:r>
    </w:p>
    <w:p>
      <w:pPr>
        <w:spacing w:after="0" w:line="5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5400" w:val="left"/>
          <w:tab w:leader="none" w:pos="7960" w:val="left"/>
        </w:tabs>
        <w:rPr>
          <w:sz w:val="20"/>
          <w:szCs w:val="20"/>
          <w:color w:val="auto"/>
        </w:rPr>
      </w:pPr>
      <w:r>
        <w:rPr>
          <w:rFonts w:ascii="Times New Roman" w:cs="Times New Roman" w:eastAsia="Times New Roman" w:hAnsi="Times New Roman"/>
          <w:sz w:val="14"/>
          <w:szCs w:val="14"/>
          <w:color w:val="auto"/>
        </w:rPr>
        <w:t>Date: March 13,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Patrik Jeanmonod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28575</wp:posOffset>
            </wp:positionV>
            <wp:extent cx="344297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3442970" cy="6985"/>
                    </a:xfrm>
                    <a:prstGeom prst="rect">
                      <a:avLst/>
                    </a:prstGeom>
                    <a:noFill/>
                  </pic:spPr>
                </pic:pic>
              </a:graphicData>
            </a:graphic>
          </wp:anchor>
        </w:drawing>
      </w:r>
    </w:p>
    <w:p>
      <w:pPr>
        <w:spacing w:after="0" w:line="42"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color w:val="auto"/>
        </w:rPr>
        <w:t>Patrik Jeanmonod</w:t>
      </w:r>
    </w:p>
    <w:p>
      <w:pPr>
        <w:spacing w:after="0" w:line="5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Wenbin Jiang, Patrik Jeanmonod and Valerie Barnett, and each or any one of them,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attorneys-in-facts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substitutes, may lawfully do or cause to be done by virtue hereof.</w:t>
      </w:r>
    </w:p>
    <w:p>
      <w:pPr>
        <w:spacing w:after="0" w:line="6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77" w:lineRule="exact"/>
        <w:rPr>
          <w:sz w:val="20"/>
          <w:szCs w:val="20"/>
          <w:color w:val="auto"/>
        </w:rPr>
      </w:pPr>
    </w:p>
    <w:p>
      <w:pPr>
        <w:ind w:left="1780"/>
        <w:spacing w:after="0"/>
        <w:tabs>
          <w:tab w:leader="none" w:pos="6180" w:val="left"/>
          <w:tab w:leader="none" w:pos="9900" w:val="left"/>
        </w:tabs>
        <w:rPr>
          <w:sz w:val="20"/>
          <w:szCs w:val="20"/>
          <w:color w:val="auto"/>
        </w:rPr>
      </w:pPr>
      <w:r>
        <w:rPr>
          <w:rFonts w:ascii="Times New Roman" w:cs="Times New Roman" w:eastAsia="Times New Roman" w:hAnsi="Times New Roman"/>
          <w:sz w:val="11"/>
          <w:szCs w:val="11"/>
          <w:b w:val="1"/>
          <w:bCs w:val="1"/>
          <w:color w:val="auto"/>
        </w:rPr>
        <w:t>Name</w:t>
      </w:r>
      <w:r>
        <w:rPr>
          <w:sz w:val="20"/>
          <w:szCs w:val="20"/>
          <w:color w:val="auto"/>
        </w:rPr>
        <w:tab/>
      </w:r>
      <w:r>
        <w:rPr>
          <w:rFonts w:ascii="Times New Roman" w:cs="Times New Roman" w:eastAsia="Times New Roman" w:hAnsi="Times New Roman"/>
          <w:sz w:val="11"/>
          <w:szCs w:val="11"/>
          <w:b w:val="1"/>
          <w:bCs w:val="1"/>
          <w:color w:val="auto"/>
        </w:rPr>
        <w:t>Title</w:t>
      </w:r>
      <w:r>
        <w:rPr>
          <w:sz w:val="20"/>
          <w:szCs w:val="20"/>
          <w:color w:val="auto"/>
        </w:rPr>
        <w:tab/>
      </w:r>
      <w:r>
        <w:rPr>
          <w:rFonts w:ascii="Times New Roman" w:cs="Times New Roman" w:eastAsia="Times New Roman" w:hAnsi="Times New Roman"/>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6153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 Wenbin Jiang</w:t>
            </w:r>
          </w:p>
        </w:tc>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1980" w:type="dxa"/>
            <w:vAlign w:val="bottom"/>
          </w:tcPr>
          <w:p>
            <w:pPr>
              <w:ind w:left="1080"/>
              <w:spacing w:after="0"/>
              <w:rPr>
                <w:sz w:val="20"/>
                <w:szCs w:val="20"/>
                <w:color w:val="auto"/>
              </w:rPr>
            </w:pPr>
            <w:r>
              <w:rPr>
                <w:rFonts w:ascii="Times New Roman" w:cs="Times New Roman" w:eastAsia="Times New Roman" w:hAnsi="Times New Roman"/>
                <w:sz w:val="14"/>
                <w:szCs w:val="14"/>
                <w:color w:val="auto"/>
                <w:w w:val="98"/>
              </w:rPr>
              <w:t>March 13, 2024</w:t>
            </w:r>
          </w:p>
        </w:tc>
        <w:tc>
          <w:tcPr>
            <w:tcW w:w="0" w:type="dxa"/>
            <w:vAlign w:val="bottom"/>
          </w:tcPr>
          <w:p>
            <w:pPr>
              <w:spacing w:after="0"/>
              <w:rPr>
                <w:sz w:val="1"/>
                <w:szCs w:val="1"/>
                <w:color w:val="auto"/>
              </w:rPr>
            </w:pPr>
          </w:p>
        </w:tc>
      </w:tr>
      <w:tr>
        <w:trPr>
          <w:trHeight w:val="22"/>
        </w:trPr>
        <w:tc>
          <w:tcPr>
            <w:tcW w:w="3840" w:type="dxa"/>
            <w:vAlign w:val="bottom"/>
            <w:tcBorders>
              <w:bottom w:val="single" w:sz="8" w:color="auto"/>
            </w:tcBorders>
          </w:tcPr>
          <w:p>
            <w:pPr>
              <w:spacing w:after="0" w:line="20" w:lineRule="exact"/>
              <w:rPr>
                <w:sz w:val="1"/>
                <w:szCs w:val="1"/>
                <w:color w:val="auto"/>
              </w:rPr>
            </w:pPr>
          </w:p>
        </w:tc>
        <w:tc>
          <w:tcPr>
            <w:tcW w:w="3880" w:type="dxa"/>
            <w:vAlign w:val="bottom"/>
            <w:vMerge w:val="restart"/>
          </w:tcPr>
          <w:p>
            <w:pPr>
              <w:ind w:left="160"/>
              <w:spacing w:after="0"/>
              <w:rPr>
                <w:sz w:val="20"/>
                <w:szCs w:val="20"/>
                <w:color w:val="auto"/>
              </w:rPr>
            </w:pPr>
            <w:r>
              <w:rPr>
                <w:rFonts w:ascii="Times New Roman" w:cs="Times New Roman" w:eastAsia="Times New Roman" w:hAnsi="Times New Roman"/>
                <w:sz w:val="11"/>
                <w:szCs w:val="11"/>
                <w:i w:val="1"/>
                <w:iCs w:val="1"/>
                <w:color w:val="auto"/>
              </w:rPr>
              <w:t>(Principal Executive Officer)</w:t>
            </w: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3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Wenbin Jiang, Ph.D.</w:t>
            </w:r>
          </w:p>
        </w:tc>
        <w:tc>
          <w:tcPr>
            <w:tcW w:w="388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Patrik Jeanmonod</w:t>
            </w:r>
          </w:p>
        </w:tc>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Chief Financial Officer</w:t>
            </w:r>
          </w:p>
        </w:tc>
        <w:tc>
          <w:tcPr>
            <w:tcW w:w="1980" w:type="dxa"/>
            <w:vAlign w:val="bottom"/>
          </w:tcPr>
          <w:p>
            <w:pPr>
              <w:ind w:left="1080"/>
              <w:spacing w:after="0"/>
              <w:rPr>
                <w:sz w:val="20"/>
                <w:szCs w:val="20"/>
                <w:color w:val="auto"/>
              </w:rPr>
            </w:pPr>
            <w:r>
              <w:rPr>
                <w:rFonts w:ascii="Times New Roman" w:cs="Times New Roman" w:eastAsia="Times New Roman" w:hAnsi="Times New Roman"/>
                <w:sz w:val="14"/>
                <w:szCs w:val="14"/>
                <w:color w:val="auto"/>
                <w:w w:val="98"/>
              </w:rPr>
              <w:t>March 13, 2024</w:t>
            </w:r>
          </w:p>
        </w:tc>
        <w:tc>
          <w:tcPr>
            <w:tcW w:w="0" w:type="dxa"/>
            <w:vAlign w:val="bottom"/>
          </w:tcPr>
          <w:p>
            <w:pPr>
              <w:spacing w:after="0"/>
              <w:rPr>
                <w:sz w:val="1"/>
                <w:szCs w:val="1"/>
                <w:color w:val="auto"/>
              </w:rPr>
            </w:pPr>
          </w:p>
        </w:tc>
      </w:tr>
      <w:tr>
        <w:trPr>
          <w:trHeight w:val="22"/>
        </w:trPr>
        <w:tc>
          <w:tcPr>
            <w:tcW w:w="3840" w:type="dxa"/>
            <w:vAlign w:val="bottom"/>
            <w:tcBorders>
              <w:bottom w:val="single" w:sz="8" w:color="auto"/>
            </w:tcBorders>
          </w:tcPr>
          <w:p>
            <w:pPr>
              <w:spacing w:after="0" w:line="20" w:lineRule="exact"/>
              <w:rPr>
                <w:sz w:val="1"/>
                <w:szCs w:val="1"/>
                <w:color w:val="auto"/>
              </w:rPr>
            </w:pPr>
          </w:p>
        </w:tc>
        <w:tc>
          <w:tcPr>
            <w:tcW w:w="3880" w:type="dxa"/>
            <w:vAlign w:val="bottom"/>
            <w:vMerge w:val="restart"/>
          </w:tcPr>
          <w:p>
            <w:pPr>
              <w:ind w:left="160"/>
              <w:spacing w:after="0"/>
              <w:rPr>
                <w:sz w:val="20"/>
                <w:szCs w:val="20"/>
                <w:color w:val="auto"/>
              </w:rPr>
            </w:pPr>
            <w:r>
              <w:rPr>
                <w:rFonts w:ascii="Times New Roman" w:cs="Times New Roman" w:eastAsia="Times New Roman" w:hAnsi="Times New Roman"/>
                <w:sz w:val="11"/>
                <w:szCs w:val="11"/>
                <w:i w:val="1"/>
                <w:iCs w:val="1"/>
                <w:color w:val="auto"/>
              </w:rPr>
              <w:t>(Principal Financial and Accounting Officer)</w:t>
            </w: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3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Patrik Jeanmonod</w:t>
            </w:r>
          </w:p>
        </w:tc>
        <w:tc>
          <w:tcPr>
            <w:tcW w:w="388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Ming Yan</w:t>
            </w:r>
          </w:p>
        </w:tc>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Chief Technology Officer and Director</w:t>
            </w:r>
          </w:p>
        </w:tc>
        <w:tc>
          <w:tcPr>
            <w:tcW w:w="1980" w:type="dxa"/>
            <w:vAlign w:val="bottom"/>
          </w:tcPr>
          <w:p>
            <w:pPr>
              <w:ind w:left="1080"/>
              <w:spacing w:after="0"/>
              <w:rPr>
                <w:sz w:val="20"/>
                <w:szCs w:val="20"/>
                <w:color w:val="auto"/>
              </w:rPr>
            </w:pPr>
            <w:r>
              <w:rPr>
                <w:rFonts w:ascii="Times New Roman" w:cs="Times New Roman" w:eastAsia="Times New Roman" w:hAnsi="Times New Roman"/>
                <w:sz w:val="14"/>
                <w:szCs w:val="14"/>
                <w:color w:val="auto"/>
                <w:w w:val="98"/>
              </w:rPr>
              <w:t>March 13, 2024</w:t>
            </w:r>
          </w:p>
        </w:tc>
        <w:tc>
          <w:tcPr>
            <w:tcW w:w="0" w:type="dxa"/>
            <w:vAlign w:val="bottom"/>
          </w:tcPr>
          <w:p>
            <w:pPr>
              <w:spacing w:after="0"/>
              <w:rPr>
                <w:sz w:val="1"/>
                <w:szCs w:val="1"/>
                <w:color w:val="auto"/>
              </w:rPr>
            </w:pPr>
          </w:p>
        </w:tc>
      </w:tr>
      <w:tr>
        <w:trPr>
          <w:trHeight w:val="22"/>
        </w:trPr>
        <w:tc>
          <w:tcPr>
            <w:tcW w:w="3840" w:type="dxa"/>
            <w:vAlign w:val="bottom"/>
            <w:tcBorders>
              <w:bottom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3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Ming Yan, Ph.D.</w:t>
            </w:r>
          </w:p>
        </w:tc>
        <w:tc>
          <w:tcPr>
            <w:tcW w:w="38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Jack Ball</w:t>
            </w:r>
          </w:p>
        </w:tc>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980" w:type="dxa"/>
            <w:vAlign w:val="bottom"/>
          </w:tcPr>
          <w:p>
            <w:pPr>
              <w:ind w:left="1080"/>
              <w:spacing w:after="0"/>
              <w:rPr>
                <w:sz w:val="20"/>
                <w:szCs w:val="20"/>
                <w:color w:val="auto"/>
              </w:rPr>
            </w:pPr>
            <w:r>
              <w:rPr>
                <w:rFonts w:ascii="Times New Roman" w:cs="Times New Roman" w:eastAsia="Times New Roman" w:hAnsi="Times New Roman"/>
                <w:sz w:val="14"/>
                <w:szCs w:val="14"/>
                <w:color w:val="auto"/>
                <w:w w:val="98"/>
              </w:rPr>
              <w:t>March 13, 2024</w:t>
            </w:r>
          </w:p>
        </w:tc>
        <w:tc>
          <w:tcPr>
            <w:tcW w:w="0" w:type="dxa"/>
            <w:vAlign w:val="bottom"/>
          </w:tcPr>
          <w:p>
            <w:pPr>
              <w:spacing w:after="0"/>
              <w:rPr>
                <w:sz w:val="1"/>
                <w:szCs w:val="1"/>
                <w:color w:val="auto"/>
              </w:rPr>
            </w:pPr>
          </w:p>
        </w:tc>
      </w:tr>
      <w:tr>
        <w:trPr>
          <w:trHeight w:val="22"/>
        </w:trPr>
        <w:tc>
          <w:tcPr>
            <w:tcW w:w="3840" w:type="dxa"/>
            <w:vAlign w:val="bottom"/>
            <w:tcBorders>
              <w:bottom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3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Jack Ball</w:t>
            </w:r>
          </w:p>
        </w:tc>
        <w:tc>
          <w:tcPr>
            <w:tcW w:w="38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 Don Hardison</w:t>
            </w:r>
          </w:p>
        </w:tc>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980" w:type="dxa"/>
            <w:vAlign w:val="bottom"/>
          </w:tcPr>
          <w:p>
            <w:pPr>
              <w:ind w:left="1080"/>
              <w:spacing w:after="0"/>
              <w:rPr>
                <w:sz w:val="20"/>
                <w:szCs w:val="20"/>
                <w:color w:val="auto"/>
              </w:rPr>
            </w:pPr>
            <w:r>
              <w:rPr>
                <w:rFonts w:ascii="Times New Roman" w:cs="Times New Roman" w:eastAsia="Times New Roman" w:hAnsi="Times New Roman"/>
                <w:sz w:val="14"/>
                <w:szCs w:val="14"/>
                <w:color w:val="auto"/>
                <w:w w:val="98"/>
              </w:rPr>
              <w:t>March 13, 2024</w:t>
            </w:r>
          </w:p>
        </w:tc>
        <w:tc>
          <w:tcPr>
            <w:tcW w:w="0" w:type="dxa"/>
            <w:vAlign w:val="bottom"/>
          </w:tcPr>
          <w:p>
            <w:pPr>
              <w:spacing w:after="0"/>
              <w:rPr>
                <w:sz w:val="1"/>
                <w:szCs w:val="1"/>
                <w:color w:val="auto"/>
              </w:rPr>
            </w:pPr>
          </w:p>
        </w:tc>
      </w:tr>
      <w:tr>
        <w:trPr>
          <w:trHeight w:val="22"/>
        </w:trPr>
        <w:tc>
          <w:tcPr>
            <w:tcW w:w="3840" w:type="dxa"/>
            <w:vAlign w:val="bottom"/>
            <w:tcBorders>
              <w:bottom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3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Don Hardison</w:t>
            </w:r>
          </w:p>
        </w:tc>
        <w:tc>
          <w:tcPr>
            <w:tcW w:w="38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 Deborah Neff</w:t>
            </w:r>
          </w:p>
        </w:tc>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980" w:type="dxa"/>
            <w:vAlign w:val="bottom"/>
          </w:tcPr>
          <w:p>
            <w:pPr>
              <w:ind w:left="1080"/>
              <w:spacing w:after="0"/>
              <w:rPr>
                <w:sz w:val="20"/>
                <w:szCs w:val="20"/>
                <w:color w:val="auto"/>
              </w:rPr>
            </w:pPr>
            <w:r>
              <w:rPr>
                <w:rFonts w:ascii="Times New Roman" w:cs="Times New Roman" w:eastAsia="Times New Roman" w:hAnsi="Times New Roman"/>
                <w:sz w:val="14"/>
                <w:szCs w:val="14"/>
                <w:color w:val="auto"/>
                <w:w w:val="98"/>
              </w:rPr>
              <w:t>March 13, 2024</w:t>
            </w:r>
          </w:p>
        </w:tc>
        <w:tc>
          <w:tcPr>
            <w:tcW w:w="0" w:type="dxa"/>
            <w:vAlign w:val="bottom"/>
          </w:tcPr>
          <w:p>
            <w:pPr>
              <w:spacing w:after="0"/>
              <w:rPr>
                <w:sz w:val="1"/>
                <w:szCs w:val="1"/>
                <w:color w:val="auto"/>
              </w:rPr>
            </w:pPr>
          </w:p>
        </w:tc>
      </w:tr>
      <w:tr>
        <w:trPr>
          <w:trHeight w:val="22"/>
        </w:trPr>
        <w:tc>
          <w:tcPr>
            <w:tcW w:w="3840" w:type="dxa"/>
            <w:vAlign w:val="bottom"/>
            <w:tcBorders>
              <w:bottom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3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Deborah Neff</w:t>
            </w:r>
          </w:p>
        </w:tc>
        <w:tc>
          <w:tcPr>
            <w:tcW w:w="38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 Gisele Dion</w:t>
            </w:r>
          </w:p>
        </w:tc>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980" w:type="dxa"/>
            <w:vAlign w:val="bottom"/>
          </w:tcPr>
          <w:p>
            <w:pPr>
              <w:ind w:left="1080"/>
              <w:spacing w:after="0"/>
              <w:rPr>
                <w:sz w:val="20"/>
                <w:szCs w:val="20"/>
                <w:color w:val="auto"/>
              </w:rPr>
            </w:pPr>
            <w:r>
              <w:rPr>
                <w:rFonts w:ascii="Times New Roman" w:cs="Times New Roman" w:eastAsia="Times New Roman" w:hAnsi="Times New Roman"/>
                <w:sz w:val="14"/>
                <w:szCs w:val="14"/>
                <w:color w:val="auto"/>
                <w:w w:val="98"/>
              </w:rPr>
              <w:t>March 13, 2024</w:t>
            </w:r>
          </w:p>
        </w:tc>
        <w:tc>
          <w:tcPr>
            <w:tcW w:w="0" w:type="dxa"/>
            <w:vAlign w:val="bottom"/>
          </w:tcPr>
          <w:p>
            <w:pPr>
              <w:spacing w:after="0"/>
              <w:rPr>
                <w:sz w:val="1"/>
                <w:szCs w:val="1"/>
                <w:color w:val="auto"/>
              </w:rPr>
            </w:pPr>
          </w:p>
        </w:tc>
      </w:tr>
      <w:tr>
        <w:trPr>
          <w:trHeight w:val="22"/>
        </w:trPr>
        <w:tc>
          <w:tcPr>
            <w:tcW w:w="3840" w:type="dxa"/>
            <w:vAlign w:val="bottom"/>
            <w:tcBorders>
              <w:bottom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3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Gisele Dion</w:t>
            </w:r>
          </w:p>
        </w:tc>
        <w:tc>
          <w:tcPr>
            <w:tcW w:w="38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 Vera Imper</w:t>
            </w:r>
          </w:p>
        </w:tc>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1980" w:type="dxa"/>
            <w:vAlign w:val="bottom"/>
          </w:tcPr>
          <w:p>
            <w:pPr>
              <w:ind w:left="1080"/>
              <w:spacing w:after="0"/>
              <w:rPr>
                <w:sz w:val="20"/>
                <w:szCs w:val="20"/>
                <w:color w:val="auto"/>
              </w:rPr>
            </w:pPr>
            <w:r>
              <w:rPr>
                <w:rFonts w:ascii="Times New Roman" w:cs="Times New Roman" w:eastAsia="Times New Roman" w:hAnsi="Times New Roman"/>
                <w:sz w:val="14"/>
                <w:szCs w:val="14"/>
                <w:color w:val="auto"/>
                <w:w w:val="98"/>
              </w:rPr>
              <w:t>March 13, 2024</w:t>
            </w:r>
          </w:p>
        </w:tc>
        <w:tc>
          <w:tcPr>
            <w:tcW w:w="0" w:type="dxa"/>
            <w:vAlign w:val="bottom"/>
          </w:tcPr>
          <w:p>
            <w:pPr>
              <w:spacing w:after="0"/>
              <w:rPr>
                <w:sz w:val="1"/>
                <w:szCs w:val="1"/>
                <w:color w:val="auto"/>
              </w:rPr>
            </w:pPr>
          </w:p>
        </w:tc>
      </w:tr>
      <w:tr>
        <w:trPr>
          <w:trHeight w:val="22"/>
        </w:trPr>
        <w:tc>
          <w:tcPr>
            <w:tcW w:w="3840" w:type="dxa"/>
            <w:vAlign w:val="bottom"/>
            <w:tcBorders>
              <w:bottom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3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Vera Imper, Ph.D.</w:t>
            </w:r>
          </w:p>
        </w:tc>
        <w:tc>
          <w:tcPr>
            <w:tcW w:w="38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0"/>
        </w:trPr>
        <w:tc>
          <w:tcPr>
            <w:tcW w:w="3840" w:type="dxa"/>
            <w:vAlign w:val="bottom"/>
          </w:tcPr>
          <w:p>
            <w:pPr>
              <w:spacing w:after="0"/>
              <w:rPr>
                <w:sz w:val="24"/>
                <w:szCs w:val="24"/>
                <w:color w:val="auto"/>
              </w:rPr>
            </w:pPr>
          </w:p>
        </w:tc>
        <w:tc>
          <w:tcPr>
            <w:tcW w:w="388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128</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0" w:right="31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790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Subsidiaries of Cytek Biosciences, Inc.</w:t>
            </w:r>
          </w:p>
        </w:tc>
      </w:tr>
      <w:tr>
        <w:trPr>
          <w:trHeight w:val="758"/>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36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Jurisdiction</w:t>
            </w:r>
          </w:p>
        </w:tc>
      </w:tr>
      <w:tr>
        <w:trPr>
          <w:trHeight w:val="191"/>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Cytek (Shanghai) Biosciences Co., Ltd.</w:t>
            </w:r>
          </w:p>
        </w:tc>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China</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Cytek (Wuxi) Biosciences Co. Ltd.</w:t>
            </w: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China</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Cytek Biosciences B.V.</w:t>
            </w: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Netherlands</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Cytek Japan Corporation</w:t>
            </w: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Japan</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Cytek Biosciences Ltd</w:t>
            </w: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Kingdon</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Cytek Biosciences GmbH</w:t>
            </w: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Germany</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Cytek Limited</w:t>
            </w: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Hong Kong</w:t>
            </w:r>
          </w:p>
        </w:tc>
      </w:tr>
    </w:tbl>
    <w:p>
      <w:pPr>
        <w:sectPr>
          <w:pgSz w:w="11900" w:h="16838" w:orient="portrait"/>
          <w:cols w:equalWidth="0" w:num="1">
            <w:col w:w="11280"/>
          </w:cols>
          <w:pgMar w:left="300" w:top="1242"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2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 333-267118 on Form S-3 and Registration Statement Nos. 333-258153, 333-263661 and 333-270200 on Form S-8 of our reports dated March 13, 2024, relating to the financial statements of Cytek Biosciences, Inc. and the effectiveness of Cytek Biosciences, Inc.'s internal control over financial reporting appearing in this Annual Report on Form 10-K for the year ended December 31,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Jose,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13, 2024</w:t>
      </w:r>
    </w:p>
    <w:p>
      <w:pPr>
        <w:sectPr>
          <w:pgSz w:w="11900" w:h="16838" w:orient="portrait"/>
          <w:cols w:equalWidth="0" w:num="1">
            <w:col w:w="11140"/>
          </w:cols>
          <w:pgMar w:left="300" w:top="1141" w:right="45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Wenbin Jiang, Ph.D., certify that:</w:t>
      </w:r>
    </w:p>
    <w:p>
      <w:pPr>
        <w:spacing w:after="0" w:line="94" w:lineRule="exact"/>
        <w:rPr>
          <w:sz w:val="20"/>
          <w:szCs w:val="20"/>
          <w:color w:val="auto"/>
        </w:rPr>
      </w:pPr>
    </w:p>
    <w:p>
      <w:pPr>
        <w:ind w:left="140" w:hanging="135"/>
        <w:spacing w:after="0"/>
        <w:tabs>
          <w:tab w:leader="none" w:pos="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Cytek Biosciences, Inc.;</w:t>
      </w:r>
    </w:p>
    <w:p>
      <w:pPr>
        <w:spacing w:after="0" w:line="93" w:lineRule="exact"/>
        <w:rPr>
          <w:rFonts w:ascii="Times New Roman" w:cs="Times New Roman" w:eastAsia="Times New Roman" w:hAnsi="Times New Roman"/>
          <w:sz w:val="14"/>
          <w:szCs w:val="14"/>
          <w:color w:val="auto"/>
        </w:rPr>
      </w:pPr>
    </w:p>
    <w:p>
      <w:pPr>
        <w:ind w:left="140" w:right="280" w:hanging="135"/>
        <w:spacing w:after="0" w:line="287" w:lineRule="auto"/>
        <w:tabs>
          <w:tab w:leader="none" w:pos="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140" w:right="60" w:hanging="135"/>
        <w:spacing w:after="0" w:line="287" w:lineRule="auto"/>
        <w:tabs>
          <w:tab w:leader="none" w:pos="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140" w:right="180" w:hanging="135"/>
        <w:spacing w:after="0" w:line="287" w:lineRule="auto"/>
        <w:tabs>
          <w:tab w:leader="none" w:pos="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39" w:lineRule="exact"/>
        <w:rPr>
          <w:rFonts w:ascii="Times New Roman" w:cs="Times New Roman" w:eastAsia="Times New Roman" w:hAnsi="Times New Roman"/>
          <w:sz w:val="14"/>
          <w:szCs w:val="14"/>
          <w:color w:val="auto"/>
        </w:rPr>
      </w:pPr>
    </w:p>
    <w:p>
      <w:pPr>
        <w:ind w:left="760" w:right="20" w:hanging="373"/>
        <w:spacing w:after="0" w:line="287" w:lineRule="auto"/>
        <w:tabs>
          <w:tab w:leader="none" w:pos="753"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right="240" w:hanging="373"/>
        <w:spacing w:after="0" w:line="287" w:lineRule="auto"/>
        <w:tabs>
          <w:tab w:leader="none" w:pos="75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760" w:right="420" w:hanging="373"/>
        <w:spacing w:after="0" w:line="287" w:lineRule="auto"/>
        <w:tabs>
          <w:tab w:leader="none" w:pos="753"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760" w:right="80" w:hanging="373"/>
        <w:spacing w:after="0" w:line="287" w:lineRule="auto"/>
        <w:tabs>
          <w:tab w:leader="none" w:pos="75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140" w:right="120" w:hanging="135"/>
        <w:spacing w:after="0" w:line="287" w:lineRule="auto"/>
        <w:tabs>
          <w:tab w:leader="none" w:pos="1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760" w:right="120" w:hanging="373"/>
        <w:spacing w:after="0" w:line="287" w:lineRule="auto"/>
        <w:tabs>
          <w:tab w:leader="none" w:pos="753"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20"/>
        <w:spacing w:after="0"/>
        <w:tabs>
          <w:tab w:leader="none" w:pos="2780" w:val="left"/>
          <w:tab w:leader="none" w:pos="3240" w:val="left"/>
        </w:tabs>
        <w:rPr>
          <w:sz w:val="20"/>
          <w:szCs w:val="20"/>
          <w:color w:val="auto"/>
        </w:rPr>
      </w:pPr>
      <w:r>
        <w:rPr>
          <w:rFonts w:ascii="Times New Roman" w:cs="Times New Roman" w:eastAsia="Times New Roman" w:hAnsi="Times New Roman"/>
          <w:sz w:val="14"/>
          <w:szCs w:val="14"/>
          <w:color w:val="auto"/>
        </w:rPr>
        <w:t>Date: March 13,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Wenbin Jiang, Ph.D.</w:t>
      </w:r>
    </w:p>
    <w:p>
      <w:pPr>
        <w:spacing w:after="0" w:line="2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color w:val="auto"/>
        </w:rPr>
        <w:t>Wenbin Jiang,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-101600</wp:posOffset>
            </wp:positionV>
            <wp:extent cx="146177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1461770" cy="6985"/>
                    </a:xfrm>
                    <a:prstGeom prst="rect">
                      <a:avLst/>
                    </a:prstGeom>
                    <a:noFill/>
                  </pic:spPr>
                </pic:pic>
              </a:graphicData>
            </a:graphic>
          </wp:anchor>
        </w:drawing>
      </w:r>
    </w:p>
    <w:p>
      <w:pPr>
        <w:ind w:left="76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844" w:right="31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Patrik Jeanmonod, certify that:</w:t>
      </w:r>
    </w:p>
    <w:p>
      <w:pPr>
        <w:spacing w:after="0" w:line="94" w:lineRule="exact"/>
        <w:rPr>
          <w:sz w:val="20"/>
          <w:szCs w:val="20"/>
          <w:color w:val="auto"/>
        </w:rPr>
      </w:pPr>
    </w:p>
    <w:p>
      <w:pPr>
        <w:ind w:left="140" w:hanging="135"/>
        <w:spacing w:after="0"/>
        <w:tabs>
          <w:tab w:leader="none" w:pos="1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Cytek Biosciences, Inc.;</w:t>
      </w:r>
    </w:p>
    <w:p>
      <w:pPr>
        <w:spacing w:after="0" w:line="93" w:lineRule="exact"/>
        <w:rPr>
          <w:rFonts w:ascii="Times New Roman" w:cs="Times New Roman" w:eastAsia="Times New Roman" w:hAnsi="Times New Roman"/>
          <w:sz w:val="14"/>
          <w:szCs w:val="14"/>
          <w:color w:val="auto"/>
        </w:rPr>
      </w:pPr>
    </w:p>
    <w:p>
      <w:pPr>
        <w:ind w:left="140" w:right="280" w:hanging="135"/>
        <w:spacing w:after="0" w:line="287" w:lineRule="auto"/>
        <w:tabs>
          <w:tab w:leader="none" w:pos="1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140" w:right="60" w:hanging="135"/>
        <w:spacing w:after="0" w:line="287" w:lineRule="auto"/>
        <w:tabs>
          <w:tab w:leader="none" w:pos="1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140" w:right="180" w:hanging="135"/>
        <w:spacing w:after="0" w:line="287" w:lineRule="auto"/>
        <w:tabs>
          <w:tab w:leader="none" w:pos="1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spacing w:after="0" w:line="39" w:lineRule="exact"/>
        <w:rPr>
          <w:rFonts w:ascii="Times New Roman" w:cs="Times New Roman" w:eastAsia="Times New Roman" w:hAnsi="Times New Roman"/>
          <w:sz w:val="14"/>
          <w:szCs w:val="14"/>
          <w:color w:val="auto"/>
        </w:rPr>
      </w:pPr>
    </w:p>
    <w:p>
      <w:pPr>
        <w:ind w:left="760" w:right="20" w:hanging="373"/>
        <w:spacing w:after="0" w:line="287" w:lineRule="auto"/>
        <w:tabs>
          <w:tab w:leader="none" w:pos="753"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right="240" w:hanging="373"/>
        <w:spacing w:after="0" w:line="287" w:lineRule="auto"/>
        <w:tabs>
          <w:tab w:leader="none" w:pos="75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760" w:right="420" w:hanging="373"/>
        <w:spacing w:after="0" w:line="287" w:lineRule="auto"/>
        <w:tabs>
          <w:tab w:leader="none" w:pos="753"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760" w:right="80" w:hanging="373"/>
        <w:spacing w:after="0" w:line="287" w:lineRule="auto"/>
        <w:tabs>
          <w:tab w:leader="none" w:pos="75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140" w:right="120" w:hanging="135"/>
        <w:spacing w:after="0" w:line="287" w:lineRule="auto"/>
        <w:tabs>
          <w:tab w:leader="none" w:pos="1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760" w:right="120" w:hanging="373"/>
        <w:spacing w:after="0" w:line="287" w:lineRule="auto"/>
        <w:tabs>
          <w:tab w:leader="none" w:pos="753"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Date: March 13, 2024</w:t>
            </w:r>
          </w:p>
        </w:tc>
        <w:tc>
          <w:tcPr>
            <w:tcW w:w="12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By:</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Patrik Jeanmonod</w:t>
            </w:r>
          </w:p>
        </w:tc>
      </w:tr>
      <w:tr>
        <w:trPr>
          <w:trHeight w:val="167"/>
        </w:trPr>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Patrik Jeanmonod</w:t>
            </w:r>
          </w:p>
        </w:tc>
      </w:tr>
      <w:tr>
        <w:trPr>
          <w:trHeight w:val="180"/>
        </w:trPr>
        <w:tc>
          <w:tcPr>
            <w:tcW w:w="2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4"/>
        </w:trPr>
        <w:tc>
          <w:tcPr>
            <w:tcW w:w="2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ectPr>
          <w:pgSz w:w="11900" w:h="16838" w:orient="portrait"/>
          <w:cols w:equalWidth="0" w:num="1">
            <w:col w:w="11280"/>
          </w:cols>
          <w:pgMar w:left="300" w:top="844" w:right="31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79" w:lineRule="exact"/>
        <w:rPr>
          <w:sz w:val="20"/>
          <w:szCs w:val="20"/>
          <w:color w:val="auto"/>
        </w:rPr>
      </w:pPr>
    </w:p>
    <w:p>
      <w:pPr>
        <w:jc w:val="both"/>
        <w:ind w:firstLine="764"/>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Cytek Biosciences, Inc. (the “Company”) for the period ended December 31, 2023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spacing w:after="0" w:line="51" w:lineRule="exact"/>
        <w:rPr>
          <w:sz w:val="20"/>
          <w:szCs w:val="20"/>
          <w:color w:val="auto"/>
        </w:rPr>
      </w:pPr>
    </w:p>
    <w:p>
      <w:pPr>
        <w:ind w:left="760" w:hanging="373"/>
        <w:spacing w:after="0"/>
        <w:tabs>
          <w:tab w:leader="none" w:pos="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Exchange Act; and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Date: March 13, 2024</w:t>
            </w:r>
          </w:p>
        </w:tc>
        <w:tc>
          <w:tcPr>
            <w:tcW w:w="12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By:</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Wenbin Jiang, Ph.D.</w:t>
            </w:r>
          </w:p>
        </w:tc>
      </w:tr>
      <w:tr>
        <w:trPr>
          <w:trHeight w:val="167"/>
        </w:trPr>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Wenbin Jiang, Ph.D.</w:t>
            </w:r>
          </w:p>
        </w:tc>
      </w:tr>
      <w:tr>
        <w:trPr>
          <w:trHeight w:val="180"/>
        </w:trPr>
        <w:tc>
          <w:tcPr>
            <w:tcW w:w="2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4"/>
        </w:trPr>
        <w:tc>
          <w:tcPr>
            <w:tcW w:w="2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844" w:right="31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79" w:lineRule="exact"/>
        <w:rPr>
          <w:sz w:val="20"/>
          <w:szCs w:val="20"/>
          <w:color w:val="auto"/>
        </w:rPr>
      </w:pPr>
    </w:p>
    <w:p>
      <w:pPr>
        <w:ind w:right="160" w:firstLine="764"/>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Cytek Biosciences, Inc. (the “Company”) for the period ended December 31, 2023 as filed with the Securities and Exchange Commission on the date hereof (the “Report”), the undersigned, Patrik Jeanmonod, Chief Financial Officer of the Company, hereby certifies, pursuant to requirements set forth in Rule 13a-14(b) of the Securities Exchange Act of 1934, as amended (the “Exchange Act”), and 18 U.S.C. Section 1350, that to his knowledge:</w:t>
      </w:r>
    </w:p>
    <w:p>
      <w:pPr>
        <w:spacing w:after="0" w:line="51" w:lineRule="exact"/>
        <w:rPr>
          <w:sz w:val="20"/>
          <w:szCs w:val="20"/>
          <w:color w:val="auto"/>
        </w:rPr>
      </w:pPr>
    </w:p>
    <w:p>
      <w:pPr>
        <w:ind w:left="760" w:hanging="373"/>
        <w:spacing w:after="0"/>
        <w:tabs>
          <w:tab w:leader="none" w:pos="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Exchange Act; and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Date: March 13, 2024</w:t>
            </w:r>
          </w:p>
        </w:tc>
        <w:tc>
          <w:tcPr>
            <w:tcW w:w="12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By:</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Patrik Jeanmonod</w:t>
            </w:r>
          </w:p>
        </w:tc>
      </w:tr>
      <w:tr>
        <w:trPr>
          <w:trHeight w:val="167"/>
        </w:trPr>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Patrik Jeanmonod</w:t>
            </w:r>
          </w:p>
        </w:tc>
      </w:tr>
      <w:tr>
        <w:trPr>
          <w:trHeight w:val="180"/>
        </w:trPr>
        <w:tc>
          <w:tcPr>
            <w:tcW w:w="2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4"/>
        </w:trPr>
        <w:tc>
          <w:tcPr>
            <w:tcW w:w="2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ectPr>
          <w:pgSz w:w="11900" w:h="16838" w:orient="portrait"/>
          <w:cols w:equalWidth="0" w:num="1">
            <w:col w:w="11280"/>
          </w:cols>
          <w:pgMar w:left="300" w:top="844" w:right="319" w:bottom="1440"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9747250</wp:posOffset>
            </wp:positionV>
            <wp:extent cx="7105650" cy="196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lvl w:ilvl="1">
      <w:lvlJc w:val="left"/>
      <w:lvlText w:val="\emdash "/>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lvl w:ilvl="1">
      <w:lvlJc w:val="left"/>
      <w:lvlText w:val="\emdash "/>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47" Type="http://schemas.openxmlformats.org/officeDocument/2006/relationships/hyperlink" Target="https://www.sec.gov/Archives/edgar/data/1831915/000119312521225716/d183956dex31.htm" TargetMode="External"/><Relationship Id="rId148" Type="http://schemas.openxmlformats.org/officeDocument/2006/relationships/hyperlink" Target="https://www.sec.gov/Archives/edgar/data/1831915/000119312521225716/d183956dex32.htm" TargetMode="External"/><Relationship Id="rId149" Type="http://schemas.openxmlformats.org/officeDocument/2006/relationships/hyperlink" Target="https://www.sec.gov/Archives/edgar/data/1831915/000119312521217965/d80783dex41.htm" TargetMode="External"/><Relationship Id="rId150" Type="http://schemas.openxmlformats.org/officeDocument/2006/relationships/hyperlink" Target="https://www.sec.gov/Archives/edgar/data/1831915/000095017023005610/ctkb-ex4_3.htm" TargetMode="External"/><Relationship Id="rId151" Type="http://schemas.openxmlformats.org/officeDocument/2006/relationships/hyperlink" Target="https://www.sec.gov/Archives/edgar/data/1831915/000119312521207678/d80783dex101.htm" TargetMode="External"/><Relationship Id="rId152" Type="http://schemas.openxmlformats.org/officeDocument/2006/relationships/hyperlink" Target="https://www.sec.gov/Archives/edgar/data/1831915/000119312521207678/d80783dex102.htm" TargetMode="External"/><Relationship Id="rId153" Type="http://schemas.openxmlformats.org/officeDocument/2006/relationships/hyperlink" Target="https://www.sec.gov/Archives/edgar/data/1831915/000119312521207678/d80783dex103.htm" TargetMode="External"/><Relationship Id="rId154" Type="http://schemas.openxmlformats.org/officeDocument/2006/relationships/hyperlink" Target="https://www.sec.gov/Archives/edgar/data/1831915/000119312521217965/d80783dex104.htm" TargetMode="External"/><Relationship Id="rId155" Type="http://schemas.openxmlformats.org/officeDocument/2006/relationships/hyperlink" Target="https://www.sec.gov/Archives/edgar/data/1831915/000119312521217965/d80783dex105.htm" TargetMode="External"/><Relationship Id="rId156" Type="http://schemas.openxmlformats.org/officeDocument/2006/relationships/hyperlink" Target="https://www.sec.gov/Archives/edgar/data/1831915/000095017021004256/ctkb-ex10_2.htm" TargetMode="External"/><Relationship Id="rId157" Type="http://schemas.openxmlformats.org/officeDocument/2006/relationships/hyperlink" Target="https://www.sec.gov/Archives/edgar/data/1831915/000095017022023935/ctkb-ex10_1.htm" TargetMode="External"/><Relationship Id="rId160" Type="http://schemas.openxmlformats.org/officeDocument/2006/relationships/hyperlink" Target="https://www.sec.gov/Archives/edgar/data/1831915/000095017022023935/ctkb-ex10_2.htm" TargetMode="External"/><Relationship Id="rId161" Type="http://schemas.openxmlformats.org/officeDocument/2006/relationships/hyperlink" Target="https://www.sec.gov/Archives/edgar/data/1831915/000119312521217965/d80783dex106.htm" TargetMode="External"/><Relationship Id="rId162" Type="http://schemas.openxmlformats.org/officeDocument/2006/relationships/hyperlink" Target="https://www.sec.gov/Archives/edgar/data/1831915/000119312521217965/d80783dex107.htm" TargetMode="External"/><Relationship Id="rId163" Type="http://schemas.openxmlformats.org/officeDocument/2006/relationships/hyperlink" Target="https://www.sec.gov/Archives/edgar/data/1831915/000095017023019777/ctkb-ex10_1.htm" TargetMode="External"/><Relationship Id="rId164" Type="http://schemas.openxmlformats.org/officeDocument/2006/relationships/hyperlink" Target="https://www.sec.gov/Archives/edgar/data/1831915/000095017021004256/ctkb-ex10_1.htm" TargetMode="External"/><Relationship Id="rId165" Type="http://schemas.openxmlformats.org/officeDocument/2006/relationships/hyperlink" Target="https://www.sec.gov/Archives/edgar/data/1831915/000119312521207678/d80783dex1011.htm" TargetMode="External"/><Relationship Id="rId166" Type="http://schemas.openxmlformats.org/officeDocument/2006/relationships/hyperlink" Target="https://www.sec.gov/Archives/edgar/data/1831915/000119312521207678/d80783dex1012.htm" TargetMode="External"/><Relationship Id="rId167" Type="http://schemas.openxmlformats.org/officeDocument/2006/relationships/hyperlink" Target="https://www.sec.gov/Archives/edgar/data/1831915/000119312521207678/d80783dex1014.htm" TargetMode="External"/><Relationship Id="rId168" Type="http://schemas.openxmlformats.org/officeDocument/2006/relationships/hyperlink" Target="https://www.sec.gov/Archives/edgar/data/1831915/000095017023005610/ctkb-ex10_16.htm" TargetMode="External"/><Relationship Id="rId169" Type="http://schemas.openxmlformats.org/officeDocument/2006/relationships/hyperlink" Target="https://www.sec.gov/Archives/edgar/data/1831915/000119312522231398/d661781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2024-03-13T16:06:42Z</dcterms:created>
  <dcterms:modified xsi:type="dcterms:W3CDTF">2024-03-13T16:06:42Z</dcterms:modified>
</cp:coreProperties>
</file>