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OF THE SECURITIES EXCHANGE ACT OF 1934 FOR THE TRANSITION PERIOD FROM TO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001-40632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4980" w:type="dxa"/>
        <w:jc w:val="left"/>
        <w:tblInd w:w="0" w:type="dxa"/>
        <w:tblLayout w:type="fixed"/>
        <w:tblCellMar>
          <w:top w:w="28" w:type="dxa"/>
          <w:left w:w="28" w:type="dxa"/>
          <w:bottom w:w="28" w:type="dxa"/>
          <w:right w:w="28" w:type="dxa"/>
        </w:tblCellMar>
      </w:tblPr>
      <w:tblGrid>
        <w:gridCol w:w="1363"/>
        <w:gridCol w:w="1197"/>
        <w:gridCol w:w="1205"/>
        <w:gridCol w:w="355"/>
        <w:gridCol w:w="355"/>
        <w:gridCol w:w="505"/>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47-2547526</w:t>
            </w:r>
          </w:p>
        </w:tc>
      </w:tr>
      <w:tr>
        <w:trPr/>
        <w:tc>
          <w:tcPr>
            <w:tcW w:w="376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r>
          </w:p>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r>
          </w:p>
          <w:p>
            <w:pPr>
              <w:pStyle w:val="TableContents"/>
              <w:bidi w:val="0"/>
              <w:spacing w:lineRule="auto" w:line="276" w:before="14" w:after="283"/>
              <w:jc w:val="center"/>
              <w:rPr>
                <w:rFonts w:ascii="Times New Roman;serif" w:hAnsi="Times New Roman;serif"/>
                <w:b w:val="false"/>
                <w:color w:val="000000"/>
                <w:sz w:val="14"/>
              </w:rPr>
            </w:pPr>
            <w:r>
              <w:rPr>
                <w:rFonts w:ascii="Times New Roman;serif" w:hAnsi="Times New Roman;serif"/>
                <w:b w:val="false"/>
                <w:color w:val="000000"/>
                <w:sz w:val="14"/>
              </w:rPr>
              <w:t>Identification No.)</w:t>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47215 Lakeview Blvd. Fremont, California</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94538</w:t>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12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r>
    </w:tbl>
    <w:p>
      <w:pPr>
        <w:pStyle w:val="TextBody"/>
        <w:bidi w:val="0"/>
        <w:spacing w:lineRule="auto" w:line="288" w:before="120" w:after="283"/>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20"/>
        </w:rPr>
        <w:t>(877) 922-9835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Securities registered pursuant to Section 12(b) of the Act: </w:t>
      </w:r>
    </w:p>
    <w:tbl>
      <w:tblPr>
        <w:tblW w:w="8633" w:type="dxa"/>
        <w:jc w:val="left"/>
        <w:tblInd w:w="0" w:type="dxa"/>
        <w:tblLayout w:type="fixed"/>
        <w:tblCellMar>
          <w:top w:w="28" w:type="dxa"/>
          <w:left w:w="28" w:type="dxa"/>
          <w:bottom w:w="28" w:type="dxa"/>
          <w:right w:w="28" w:type="dxa"/>
        </w:tblCellMar>
      </w:tblPr>
      <w:tblGrid>
        <w:gridCol w:w="1207"/>
        <w:gridCol w:w="1054"/>
        <w:gridCol w:w="1069"/>
        <w:gridCol w:w="109"/>
        <w:gridCol w:w="109"/>
        <w:gridCol w:w="109"/>
        <w:gridCol w:w="474"/>
        <w:gridCol w:w="474"/>
        <w:gridCol w:w="476"/>
        <w:gridCol w:w="109"/>
        <w:gridCol w:w="109"/>
        <w:gridCol w:w="109"/>
        <w:gridCol w:w="945"/>
        <w:gridCol w:w="945"/>
        <w:gridCol w:w="1335"/>
      </w:tblGrid>
      <w:tr>
        <w:trPr/>
        <w:tc>
          <w:tcPr>
            <w:tcW w:w="1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erif" w:hAnsi="Times New Roman;serif"/>
                <w:b/>
                <w:color w:val="000000"/>
                <w:sz w:val="17"/>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7"/>
              </w:rPr>
              <w:t>CTKB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7"/>
              </w:rPr>
            </w:pPr>
            <w:r>
              <w:rPr>
                <w:rFonts w:ascii="Times New Roman;serif" w:hAnsi="Times New Roman;serif"/>
                <w:b/>
                <w:color w:val="000000"/>
                <w:sz w:val="17"/>
              </w:rPr>
              <w:t xml:space="preserve">The Nasdaq Global Select Market </w:t>
            </w:r>
          </w:p>
        </w:tc>
      </w:tr>
    </w:tbl>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75" w:type="dxa"/>
        <w:jc w:val="left"/>
        <w:tblInd w:w="0" w:type="dxa"/>
        <w:tblLayout w:type="fixed"/>
        <w:tblCellMar>
          <w:top w:w="28" w:type="dxa"/>
          <w:left w:w="28" w:type="dxa"/>
          <w:bottom w:w="28" w:type="dxa"/>
          <w:right w:w="28" w:type="dxa"/>
        </w:tblCellMar>
      </w:tblPr>
      <w:tblGrid>
        <w:gridCol w:w="738"/>
        <w:gridCol w:w="648"/>
        <w:gridCol w:w="653"/>
        <w:gridCol w:w="109"/>
        <w:gridCol w:w="109"/>
        <w:gridCol w:w="109"/>
        <w:gridCol w:w="109"/>
        <w:gridCol w:w="109"/>
        <w:gridCol w:w="109"/>
        <w:gridCol w:w="669"/>
        <w:gridCol w:w="669"/>
        <w:gridCol w:w="67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 xml:space="preserve">The number of shares of Registrant’s Common Stock outstanding as of October 31, 2025 was </w:t>
      </w:r>
      <w:r>
        <w:rPr>
          <w:rFonts w:ascii="Times New Roman;serif" w:hAnsi="Times New Roman;serif"/>
          <w:b w:val="false"/>
          <w:color w:val="000000"/>
          <w:sz w:val="16"/>
          <w:shd w:fill="FFFFFF" w:val="clear"/>
        </w:rPr>
        <w:t>127,864,830.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4485"/>
                <wp:effectExtent l="0" t="0" r="0" b="0"/>
                <wp:wrapNone/>
                <wp:docPr id="1" name="Frame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3"/>
        <w:gridCol w:w="2453"/>
        <w:gridCol w:w="2459"/>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0">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0">
              <w:r>
                <w:rPr>
                  <w:rStyle w:val="InternetLink"/>
                  <w:rFonts w:ascii="Times New Roman;serif" w:hAnsi="Times New Roman;serif"/>
                  <w:b w:val="false"/>
                  <w:strike w:val="false"/>
                  <w:dstrike w:val="false"/>
                  <w:color w:val="000000"/>
                  <w:sz w:val="20"/>
                  <w:u w:val="none"/>
                  <w:effect w:val="non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3">
              <w:r>
                <w:rPr>
                  <w:rStyle w:val="InternetLink"/>
                  <w:rFonts w:ascii="Times New Roman;serif" w:hAnsi="Times New Roman;serif"/>
                  <w:b w:val="false"/>
                  <w:color w:val="0000FF"/>
                  <w:sz w:val="20"/>
                  <w:u w:val="single"/>
                </w:rPr>
                <w:t>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3">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6">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6">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9">
              <w:r>
                <w:rPr>
                  <w:rStyle w:val="InternetLink"/>
                  <w:rFonts w:ascii="Times New Roman;serif" w:hAnsi="Times New Roman;serif"/>
                  <w:b w:val="false"/>
                  <w:color w:val="000080"/>
                  <w:sz w:val="20"/>
                  <w:u w:val="single"/>
                </w:rPr>
                <w:t xml:space="preserve">Consolidated Statements of Operations and Comprehensive </w:t>
              </w:r>
            </w:hyperlink>
            <w:hyperlink w:anchor="ib943a519d6ac48cfab49cefe6a8fd93b_19">
              <w:r>
                <w:rPr>
                  <w:rStyle w:val="InternetLink"/>
                  <w:rFonts w:ascii="Times New Roman;serif" w:hAnsi="Times New Roman;serif"/>
                  <w:b w:val="false"/>
                  <w:color w:val="000080"/>
                  <w:sz w:val="20"/>
                  <w:u w:val="single"/>
                </w:rPr>
                <w:t xml:space="preserve">(Loss) </w:t>
              </w:r>
            </w:hyperlink>
            <w:hyperlink w:anchor="ib943a519d6ac48cfab49cefe6a8fd93b_19">
              <w:r>
                <w:rPr>
                  <w:rStyle w:val="InternetLink"/>
                  <w:rFonts w:ascii="Times New Roman;serif" w:hAnsi="Times New Roman;serif"/>
                  <w:b w:val="false"/>
                  <w:color w:val="000080"/>
                  <w:sz w:val="20"/>
                  <w:u w:val="single"/>
                </w:rPr>
                <w:t>Income</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9">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22">
              <w:r>
                <w:rPr>
                  <w:rStyle w:val="InternetLink"/>
                  <w:rFonts w:ascii="Times New Roman;serif" w:hAnsi="Times New Roman;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22">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25">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25">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28">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28">
              <w:r>
                <w:rPr>
                  <w:rStyle w:val="InternetLink"/>
                  <w:rFonts w:ascii="Times New Roman;serif" w:hAnsi="Times New Roman;serif"/>
                  <w:b w:val="false"/>
                  <w:strike w:val="false"/>
                  <w:dstrike w:val="false"/>
                  <w:color w:val="000000"/>
                  <w:sz w:val="20"/>
                  <w:u w:val="none"/>
                  <w:effect w:val="none"/>
                </w:rPr>
                <w:t>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97">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97">
              <w:r>
                <w:rPr>
                  <w:rStyle w:val="InternetLink"/>
                  <w:rFonts w:ascii="Times New Roman;serif" w:hAnsi="Times New Roman;serif"/>
                  <w:b w:val="false"/>
                  <w:strike w:val="false"/>
                  <w:dstrike w:val="false"/>
                  <w:color w:val="000000"/>
                  <w:sz w:val="20"/>
                  <w:u w:val="none"/>
                  <w:effect w:val="none"/>
                </w:rPr>
                <w:t>35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3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36">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36">
              <w:r>
                <w:rPr>
                  <w:rStyle w:val="InternetLink"/>
                  <w:rFonts w:ascii="Times New Roman;serif" w:hAnsi="Times New Roman;serif"/>
                  <w:b w:val="false"/>
                  <w:strike w:val="false"/>
                  <w:dstrike w:val="false"/>
                  <w:color w:val="000000"/>
                  <w:sz w:val="20"/>
                  <w:u w:val="none"/>
                  <w:effect w:val="none"/>
                </w:rPr>
                <w:t>47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39">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39">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39">
              <w:r>
                <w:rPr>
                  <w:rStyle w:val="InternetLink"/>
                  <w:rFonts w:ascii="Times New Roman;serif" w:hAnsi="Times New Roman;serif"/>
                  <w:b w:val="false"/>
                  <w:strike w:val="false"/>
                  <w:dstrike w:val="false"/>
                  <w:color w:val="000000"/>
                  <w:sz w:val="20"/>
                  <w:u w:val="none"/>
                  <w:effect w:val="none"/>
                </w:rPr>
                <w:t>48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42">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42">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45">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45">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45">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48">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48">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48">
              <w:r>
                <w:rPr>
                  <w:rStyle w:val="InternetLink"/>
                  <w:rFonts w:ascii="Times New Roman;serif" w:hAnsi="Times New Roman;serif"/>
                  <w:b w:val="false"/>
                  <w:strike w:val="false"/>
                  <w:dstrike w:val="false"/>
                  <w:color w:val="000000"/>
                  <w:sz w:val="20"/>
                  <w:u w:val="none"/>
                  <w:effect w:val="none"/>
                </w:rPr>
                <w:t>49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51">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51">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51">
              <w:r>
                <w:rPr>
                  <w:rStyle w:val="InternetLink"/>
                  <w:rFonts w:ascii="Times New Roman;serif" w:hAnsi="Times New Roman;serif"/>
                  <w:b w:val="false"/>
                  <w:strike w:val="false"/>
                  <w:dstrike w:val="false"/>
                  <w:color w:val="000000"/>
                  <w:sz w:val="20"/>
                  <w:u w:val="none"/>
                  <w:effect w:val="none"/>
                </w:rPr>
                <w:t>94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54">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54">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54">
              <w:r>
                <w:rPr>
                  <w:rStyle w:val="InternetLink"/>
                  <w:rFonts w:ascii="Times New Roman;serif" w:hAnsi="Times New Roman;serif"/>
                  <w:b w:val="false"/>
                  <w:strike w:val="false"/>
                  <w:dstrike w:val="false"/>
                  <w:color w:val="000000"/>
                  <w:sz w:val="20"/>
                  <w:u w:val="none"/>
                  <w:effect w:val="none"/>
                </w:rPr>
                <w:t>94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57">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57">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57">
              <w:r>
                <w:rPr>
                  <w:rStyle w:val="InternetLink"/>
                  <w:rFonts w:ascii="Times New Roman;serif" w:hAnsi="Times New Roman;serif"/>
                  <w:b w:val="false"/>
                  <w:strike w:val="false"/>
                  <w:dstrike w:val="false"/>
                  <w:color w:val="000000"/>
                  <w:sz w:val="20"/>
                  <w:u w:val="none"/>
                  <w:effect w:val="none"/>
                </w:rPr>
                <w:t>94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60">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60">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60">
              <w:r>
                <w:rPr>
                  <w:rStyle w:val="InternetLink"/>
                  <w:rFonts w:ascii="Times New Roman;serif" w:hAnsi="Times New Roman;serif"/>
                  <w:b w:val="false"/>
                  <w:strike w:val="false"/>
                  <w:dstrike w:val="false"/>
                  <w:color w:val="000000"/>
                  <w:sz w:val="20"/>
                  <w:u w:val="none"/>
                  <w:effect w:val="none"/>
                </w:rPr>
                <w:t>94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63">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63">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63">
              <w:r>
                <w:rPr>
                  <w:rStyle w:val="InternetLink"/>
                  <w:rFonts w:ascii="Times New Roman;serif" w:hAnsi="Times New Roman;serif"/>
                  <w:b w:val="false"/>
                  <w:strike w:val="false"/>
                  <w:dstrike w:val="false"/>
                  <w:color w:val="000000"/>
                  <w:sz w:val="20"/>
                  <w:u w:val="none"/>
                  <w:effect w:val="none"/>
                </w:rPr>
                <w:t>95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943a519d6ac48cfab49cefe6a8fd93b_166">
              <w:r>
                <w:rPr>
                  <w:rStyle w:val="InternetLink"/>
                  <w:rFonts w:ascii="Times New Roman;serif" w:hAnsi="Times New Roman;serif"/>
                  <w:b w:val="false"/>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943a519d6ac48cfab49cefe6a8fd93b_166">
              <w:r>
                <w:rPr>
                  <w:rStyle w:val="InternetLink"/>
                  <w:rFonts w:ascii="Times New Roman;serif" w:hAnsi="Times New Roman;serif"/>
                  <w:b w:val="false"/>
                  <w:strike w:val="false"/>
                  <w:dstrike w:val="false"/>
                  <w:color w:val="000000"/>
                  <w:sz w:val="20"/>
                  <w:u w:val="none"/>
                  <w:effect w:val="non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4485"/>
                <wp:effectExtent l="0" t="0" r="0" b="0"/>
                <wp:wrapNone/>
                <wp:docPr id="2" name="Frame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22"/>
        <w:gridCol w:w="2191"/>
        <w:gridCol w:w="2200"/>
        <w:gridCol w:w="109"/>
        <w:gridCol w:w="109"/>
        <w:gridCol w:w="109"/>
        <w:gridCol w:w="211"/>
        <w:gridCol w:w="826"/>
        <w:gridCol w:w="109"/>
        <w:gridCol w:w="109"/>
        <w:gridCol w:w="109"/>
        <w:gridCol w:w="109"/>
        <w:gridCol w:w="211"/>
        <w:gridCol w:w="826"/>
        <w:gridCol w:w="155"/>
      </w:tblGrid>
      <w:tr>
        <w:trPr/>
        <w:tc>
          <w:tcPr>
            <w:tcW w:w="2822"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(unaudited)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20"/>
              </w:rPr>
              <w:t>(audited)</w:t>
            </w:r>
            <w:r>
              <w:rPr>
                <w:color w:val="000000"/>
              </w:rPr>
              <w:t xml:space="preserve"> </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Common stock, $0.001 par value; 1,000,000,000 authorized shares as of September 30, 2025 and December 31, 2024, respectively; 127,864,830 and 129,205,901 issued and outstanding shares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gain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395,737 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4485"/>
                <wp:effectExtent l="0" t="0" r="0" b="0"/>
                <wp:wrapNone/>
                <wp:docPr id="3" name="Frame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 Income</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77"/>
        <w:gridCol w:w="869"/>
        <w:gridCol w:w="872"/>
        <w:gridCol w:w="109"/>
        <w:gridCol w:w="109"/>
        <w:gridCol w:w="109"/>
        <w:gridCol w:w="285"/>
        <w:gridCol w:w="901"/>
        <w:gridCol w:w="115"/>
        <w:gridCol w:w="115"/>
        <w:gridCol w:w="115"/>
        <w:gridCol w:w="115"/>
        <w:gridCol w:w="285"/>
        <w:gridCol w:w="901"/>
        <w:gridCol w:w="115"/>
        <w:gridCol w:w="109"/>
        <w:gridCol w:w="109"/>
        <w:gridCol w:w="109"/>
        <w:gridCol w:w="211"/>
        <w:gridCol w:w="1186"/>
        <w:gridCol w:w="109"/>
        <w:gridCol w:w="109"/>
        <w:gridCol w:w="109"/>
        <w:gridCol w:w="109"/>
        <w:gridCol w:w="211"/>
        <w:gridCol w:w="1186"/>
        <w:gridCol w:w="156"/>
      </w:tblGrid>
      <w:tr>
        <w:trPr/>
        <w:tc>
          <w:tcPr>
            <w:tcW w:w="147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100,963 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127,547,859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131,003,744</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127,604,317 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131,121,301 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127,547,859 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132,785,552 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127,604,317 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131,121,301 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(4,619)</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4485"/>
                <wp:effectExtent l="0" t="0" r="0" b="0"/>
                <wp:wrapNone/>
                <wp:docPr id="4" name="Frame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Cytek Biosciences,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247"/>
        <w:gridCol w:w="1076"/>
        <w:gridCol w:w="1081"/>
        <w:gridCol w:w="109"/>
        <w:gridCol w:w="109"/>
        <w:gridCol w:w="109"/>
        <w:gridCol w:w="435"/>
        <w:gridCol w:w="436"/>
        <w:gridCol w:w="283"/>
        <w:gridCol w:w="181"/>
        <w:gridCol w:w="541"/>
        <w:gridCol w:w="109"/>
        <w:gridCol w:w="181"/>
        <w:gridCol w:w="796"/>
        <w:gridCol w:w="109"/>
        <w:gridCol w:w="181"/>
        <w:gridCol w:w="774"/>
        <w:gridCol w:w="109"/>
        <w:gridCol w:w="288"/>
        <w:gridCol w:w="742"/>
        <w:gridCol w:w="175"/>
        <w:gridCol w:w="181"/>
        <w:gridCol w:w="796"/>
        <w:gridCol w:w="157"/>
      </w:tblGrid>
      <w:tr>
        <w:trPr/>
        <w:tc>
          <w:tcPr>
            <w:tcW w:w="124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Additional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paid-in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capital</w:t>
            </w:r>
          </w:p>
        </w:tc>
        <w:tc>
          <w:tcPr>
            <w:tcW w:w="106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deficit</w:t>
            </w:r>
          </w:p>
          <w:p>
            <w:pPr>
              <w:pStyle w:val="TableContents"/>
              <w:bidi w:val="0"/>
              <w:spacing w:before="0" w:after="0"/>
              <w:jc w:val="center"/>
              <w:rPr/>
            </w:pPr>
            <w:r>
              <w:rPr/>
            </w:r>
          </w:p>
        </w:tc>
        <w:tc>
          <w:tcPr>
            <w:tcW w:w="1205"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income (loss)</w:t>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stockholders’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3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 except share data)</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Shares</w:t>
            </w:r>
            <w:r>
              <w:rPr>
                <w:color w:val="000000"/>
              </w:rPr>
              <w:t xml:space="preserve">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1064" w:type="dxa"/>
            <w:gridSpan w:val="3"/>
            <w:vMerge w:val="continue"/>
            <w:tcBorders/>
            <w:tcMar>
              <w:top w:w="0" w:type="dxa"/>
              <w:left w:w="0" w:type="dxa"/>
              <w:bottom w:w="0" w:type="dxa"/>
              <w:right w:w="0" w:type="dxa"/>
            </w:tcMar>
            <w:vAlign w:val="center"/>
          </w:tcPr>
          <w:p>
            <w:pPr>
              <w:pStyle w:val="Normal"/>
              <w:bidi w:val="0"/>
              <w:jc w:val="left"/>
              <w:rPr/>
            </w:pPr>
            <w:r>
              <w:rPr/>
            </w:r>
          </w:p>
        </w:tc>
        <w:tc>
          <w:tcPr>
            <w:tcW w:w="1205" w:type="dxa"/>
            <w:gridSpan w:val="3"/>
            <w:vMerge w:val="continue"/>
            <w:tcBorders/>
            <w:tcMar>
              <w:top w:w="0" w:type="dxa"/>
              <w:left w:w="0" w:type="dxa"/>
              <w:bottom w:w="0" w:type="dxa"/>
              <w:right w:w="0" w:type="dxa"/>
            </w:tcMar>
            <w:vAlign w:val="center"/>
          </w:tcPr>
          <w:p>
            <w:pPr>
              <w:pStyle w:val="Normal"/>
              <w:bidi w:val="0"/>
              <w:jc w:val="left"/>
              <w:rPr/>
            </w:pPr>
            <w:r>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December 31, 2024</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129,205,901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430,791.00 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(35,199.00)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395,737.00 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500,830</w:t>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0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(29,006)</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(129)</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(2,078,583)</w:t>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(10,625)</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0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(10,627)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6,630</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marketable securities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0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(11,402)</w:t>
            </w:r>
          </w:p>
        </w:tc>
        <w:tc>
          <w:tcPr>
            <w:tcW w:w="1205"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(11,402)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March 31, 2025</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127,599,142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379,623 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545,702 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Employee Stock Purchase Plan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292,212 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(37,938)</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(1,214,005)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marketable securities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June 30, 2025</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127,185,113 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377,557 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721,661 </w:t>
            </w:r>
          </w:p>
        </w:tc>
        <w:tc>
          <w:tcPr>
            <w:tcW w:w="28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15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BFE4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(41,944)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marketable securities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September 30, 2025</w:t>
            </w:r>
          </w:p>
        </w:tc>
        <w:tc>
          <w:tcPr>
            <w:tcW w:w="327" w:type="dxa"/>
            <w:gridSpan w:val="3"/>
            <w:tcBorders>
              <w:top w:val="single" w:sz="8" w:space="0" w:color="000000"/>
              <w:left w:val="single" w:sz="8" w:space="0" w:color="000000"/>
              <w:bottom w:val="doub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127,864,830 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378,571 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4485"/>
                <wp:effectExtent l="0" t="0" r="0" b="0"/>
                <wp:wrapNone/>
                <wp:docPr id="5" name="Frame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tbl>
      <w:tblPr>
        <w:tblW w:w="10003" w:type="dxa"/>
        <w:jc w:val="left"/>
        <w:tblInd w:w="0" w:type="dxa"/>
        <w:tblLayout w:type="fixed"/>
        <w:tblCellMar>
          <w:top w:w="28" w:type="dxa"/>
          <w:left w:w="28" w:type="dxa"/>
          <w:bottom w:w="28" w:type="dxa"/>
          <w:right w:w="28" w:type="dxa"/>
        </w:tblCellMar>
      </w:tblPr>
      <w:tblGrid>
        <w:gridCol w:w="1389"/>
        <w:gridCol w:w="1223"/>
        <w:gridCol w:w="1228"/>
        <w:gridCol w:w="109"/>
        <w:gridCol w:w="109"/>
        <w:gridCol w:w="109"/>
        <w:gridCol w:w="435"/>
        <w:gridCol w:w="436"/>
        <w:gridCol w:w="283"/>
        <w:gridCol w:w="181"/>
        <w:gridCol w:w="361"/>
        <w:gridCol w:w="109"/>
        <w:gridCol w:w="181"/>
        <w:gridCol w:w="616"/>
        <w:gridCol w:w="109"/>
        <w:gridCol w:w="181"/>
        <w:gridCol w:w="601"/>
        <w:gridCol w:w="109"/>
        <w:gridCol w:w="291"/>
        <w:gridCol w:w="777"/>
        <w:gridCol w:w="177"/>
        <w:gridCol w:w="188"/>
        <w:gridCol w:w="641"/>
        <w:gridCol w:w="160"/>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Additional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paid-in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capital</w:t>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deficit</w:t>
            </w:r>
          </w:p>
          <w:p>
            <w:pPr>
              <w:pStyle w:val="TableContents"/>
              <w:bidi w:val="0"/>
              <w:spacing w:before="0" w:after="0"/>
              <w:jc w:val="center"/>
              <w:rPr/>
            </w:pPr>
            <w:r>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income (loss)</w:t>
            </w:r>
          </w:p>
        </w:tc>
        <w:tc>
          <w:tcPr>
            <w:tcW w:w="989"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Total</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 xml:space="preserve">stockholders’ </w:t>
            </w:r>
          </w:p>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38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(In thousands, except share data)</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Shares</w:t>
            </w:r>
            <w:r>
              <w:rPr>
                <w:color w:val="000000"/>
              </w:rPr>
              <w:t xml:space="preserve"> </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9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December 31, 2023</w:t>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130,714,906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423,386 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(1,275)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393,064 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559,325</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(20,050)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marketable securities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March 31, 2024</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131,254,181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429,384 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392,614 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506,375</w:t>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224</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Employee Stock Purchase Plan</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210,496</w:t>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1,007</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(21,532)</w:t>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(130)</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(444,319)</w:t>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(2,670)</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7,152</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marketable securities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1,375</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(10,434)</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June 30, 2024</w:t>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131,505,201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434,967 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389,123 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in connection with employee stock plans</w:t>
            </w:r>
          </w:p>
        </w:tc>
        <w:tc>
          <w:tcPr>
            <w:tcW w:w="327"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481,509</w:t>
            </w:r>
          </w:p>
        </w:tc>
        <w:tc>
          <w:tcPr>
            <w:tcW w:w="5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of Common Stock withheld related to net share settlement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(26,344)</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shares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(2,194,355)</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marketable securities</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 at September 30, 2024</w:t>
            </w:r>
          </w:p>
        </w:tc>
        <w:tc>
          <w:tcPr>
            <w:tcW w:w="327" w:type="dxa"/>
            <w:gridSpan w:val="3"/>
            <w:tcBorders>
              <w:top w:val="single" w:sz="8" w:space="0" w:color="000000"/>
              <w:left w:val="single" w:sz="8" w:space="0" w:color="000000"/>
              <w:bottom w:val="doub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129,766,011 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385,463 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16"/>
        </w:rPr>
        <w:t>The accompanying notes are an integral part of these unaudited interim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4485"/>
                <wp:effectExtent l="0" t="0" r="0" b="0"/>
                <wp:wrapNone/>
                <wp:docPr id="6" name="Frame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Cytek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4485"/>
                <wp:effectExtent l="0" t="0" r="0" b="0"/>
                <wp:wrapNone/>
                <wp:docPr id="7" name="Frame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32"/>
        <w:gridCol w:w="2350"/>
        <w:gridCol w:w="2365"/>
        <w:gridCol w:w="109"/>
        <w:gridCol w:w="109"/>
        <w:gridCol w:w="109"/>
        <w:gridCol w:w="196"/>
        <w:gridCol w:w="711"/>
        <w:gridCol w:w="109"/>
        <w:gridCol w:w="109"/>
        <w:gridCol w:w="109"/>
        <w:gridCol w:w="109"/>
        <w:gridCol w:w="196"/>
        <w:gridCol w:w="736"/>
        <w:gridCol w:w="156"/>
      </w:tblGrid>
      <w:tr>
        <w:trPr/>
        <w:tc>
          <w:tcPr>
            <w:tcW w:w="2732"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w:t>
            </w:r>
          </w:p>
        </w:tc>
      </w:tr>
      <w:tr>
        <w:trPr/>
        <w:tc>
          <w:tcPr>
            <w:tcW w:w="74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7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(benefit from)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on investments, accretion, and amortization,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expenses for accretion of the legal settlement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Legal settlement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(166,812)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(19,541)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taxes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repurchase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(12,182)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167,630 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Fixed asset purchases in accounts payable or accrued purchase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Transfer of inventory to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in accounts payable or accrued expenses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Derecognition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obtained in exchange for operating lease liabilities, net of tenant improvement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4485"/>
                <wp:effectExtent l="0" t="0" r="0" b="0"/>
                <wp:wrapNone/>
                <wp:docPr id="8" name="Frame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Cytek Biosciences,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lineRule="auto" w:line="276" w:before="120" w:after="283"/>
        <w:ind w:left="0" w:right="0" w:firstLine="540"/>
        <w:jc w:val="both"/>
        <w:rPr/>
      </w:pPr>
      <w:r>
        <w:rPr>
          <w:rFonts w:ascii="Times New Roman;serif" w:hAnsi="Times New Roman;serif"/>
          <w:b w:val="false"/>
          <w:color w:val="000000"/>
          <w:sz w:val="20"/>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w:t>
      </w:r>
      <w:r>
        <w:rPr>
          <w:color w:val="000000"/>
        </w:rPr>
        <w:t xml:space="preserve">™” </w:t>
      </w:r>
      <w:r>
        <w:rPr>
          <w:rFonts w:ascii="Times New Roman;serif" w:hAnsi="Times New Roman;serif"/>
          <w:b w:val="false"/>
          <w:color w:val="000000"/>
          <w:sz w:val="20"/>
        </w:rPr>
        <w:t>or “FSP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technology). The Company is focused on becoming the premier cell analysis company through continued innovation that facilitates scientific advances in biomedical research and clinical applications. </w:t>
      </w:r>
    </w:p>
    <w:p>
      <w:pPr>
        <w:pStyle w:val="TextBody"/>
        <w:bidi w:val="0"/>
        <w:spacing w:lineRule="auto" w:line="276" w:before="120" w:after="283"/>
        <w:ind w:left="0" w:right="0" w:firstLine="540"/>
        <w:jc w:val="both"/>
        <w:rPr/>
      </w:pPr>
      <w:r>
        <w:rPr>
          <w:rFonts w:ascii="Times New Roman;serif" w:hAnsi="Times New Roman;serif"/>
          <w:b w:val="false"/>
          <w:color w:val="000000"/>
          <w:sz w:val="20"/>
        </w:rPr>
        <w:t>The Company has successfully developed and manufactured its full spectrum flow cytometry platform (“instrument(s)” or “product(s)”). The Company’s FSP cell analyzers, the Cytek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Aurora</w:t>
      </w:r>
      <w:r>
        <w:rPr>
          <w:color w:val="000000"/>
        </w:rPr>
        <w:t>™</w:t>
      </w:r>
      <w:r>
        <w:rPr>
          <w:rFonts w:ascii="Times New Roman;serif" w:hAnsi="Times New Roman;serif"/>
          <w:b w:val="false"/>
          <w:color w:val="000000"/>
          <w:sz w:val="20"/>
        </w:rPr>
        <w:t>, Northern Lights</w:t>
      </w:r>
      <w:r>
        <w:rPr>
          <w:color w:val="000000"/>
        </w:rPr>
        <w:t xml:space="preserve">™ </w:t>
      </w:r>
      <w:r>
        <w:rPr>
          <w:rFonts w:ascii="Times New Roman;serif" w:hAnsi="Times New Roman;serif"/>
          <w:b w:val="false"/>
          <w:color w:val="000000"/>
          <w:sz w:val="20"/>
        </w:rPr>
        <w:t>and Cytek Aurora Evo systems, deliver high-resolution, high-content and high-sensitivity cell analysis. The Company also launched its Cytek Aurora cell sorter (“Cytek Aurora CS system”),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pStyle w:val="TextBody"/>
        <w:bidi w:val="0"/>
        <w:spacing w:lineRule="auto" w:line="276" w:before="120" w:after="283"/>
        <w:ind w:left="0" w:right="0" w:firstLine="540"/>
        <w:jc w:val="both"/>
        <w:rPr/>
      </w:pPr>
      <w:r>
        <w:rPr>
          <w:rFonts w:ascii="Times New Roman;serif" w:hAnsi="Times New Roman;serif"/>
          <w:b w:val="false"/>
          <w:color w:val="000000"/>
          <w:sz w:val="20"/>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serif" w:hAnsi="Times New Roman;serif"/>
          <w:b w:val="false"/>
          <w:color w:val="000000"/>
          <w:sz w:val="13"/>
        </w:rPr>
        <w:t>®</w:t>
      </w:r>
      <w:r>
        <w:rPr>
          <w:rFonts w:ascii="Times New Roman;serif" w:hAnsi="Times New Roman;serif"/>
          <w:b w:val="false"/>
          <w:color w:val="000000"/>
          <w:sz w:val="20"/>
        </w:rPr>
        <w:t>- and Guava</w:t>
      </w:r>
      <w:r>
        <w:rPr>
          <w:rFonts w:ascii="Times New Roman;serif" w:hAnsi="Times New Roman;serif"/>
          <w:b w:val="false"/>
          <w:color w:val="000000"/>
          <w:sz w:val="13"/>
        </w:rPr>
        <w:t>®</w:t>
      </w:r>
      <w:r>
        <w:rPr>
          <w:rFonts w:ascii="Times New Roman;serif" w:hAnsi="Times New Roman;serif"/>
          <w:b w:val="false"/>
          <w:color w:val="000000"/>
          <w:sz w:val="20"/>
        </w:rPr>
        <w:t>-branded instruments, and flow cytometry reagent products and services (the “FCI Business”). The acquired FCI Business includes conventional flow and image-based flow cytometry instrumentation and related products and services (the “FCI Products”).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was incorporated in the state of Delaware in December 2014 and is headquartered in Fremont, California with offices, manufacturing facilities and distribution channels across the globe.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interim consolidated financial statements include the accounts of Cytek Biosciences, Inc., its wholly-owned subsidiaries, Cytek Biosciences B.V. (Netherlands), Cytek Biosciences GmbH (Germany), Cytek Biosciences Ltd (UK), Cytek Biosciences Pte. Ltd. (Singapore), Cytek Biosciences S.A.S. (France), Cytek Limited (Hong Kong), Cytek Japan Corporation (“Cytek Japan”), Cytek (Shanghai) Biosciences Co., Ltd., and Cytek (Wuxi) Biosciences Co., Ltd. (“Cytek Wuxi”). All intercompany accounts and transactions have been eliminated in consolidation.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Variable interest entities and voting interest entities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entity model (“VOE”) or other applicable GAAP metric.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4485"/>
                <wp:effectExtent l="0" t="0" r="0" b="0"/>
                <wp:wrapNone/>
                <wp:docPr id="9" name="Frame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and the recording of expenses that are not readily apparent from other sources. Actual results may differ materially and adversely from these estimates.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Operating segments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Foreign currency translation and transactions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(loss) income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(loss) income.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 maturity of three months or less when purchased to be cash equivalents. Cash equivalents are carried at cost, which approximates fair value.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Company’s</w:t>
      </w:r>
      <w:r>
        <w:rPr>
          <w:color w:val="000000"/>
          <w:shd w:fill="FFFFFF" w:val="clear"/>
        </w:rPr>
        <w:t xml:space="preserve"> </w:t>
      </w:r>
      <w:r>
        <w:rPr>
          <w:rFonts w:ascii="Times New Roman;serif" w:hAnsi="Times New Roman;serif"/>
          <w:b w:val="false"/>
          <w:color w:val="000000"/>
          <w:sz w:val="20"/>
          <w:shd w:fill="FFFFFF" w:val="clear"/>
        </w:rPr>
        <w:t>cash and cash equivalents consist of money held in demand depository accounts and money market funds. The carrying amount of cash and cash equivalents, and restricted cash was $93.3 million and $98.7 million as of September 30, 2025 and December 31, 2024, respectively, which approximates fair value and was determined based upon Level 1 inputs. The money market account is valued using quoted market prices with no valuation adjustments applied and is categorized as Level 1. The C</w:t>
      </w:r>
      <w:r>
        <w:rPr>
          <w:rFonts w:ascii="Times New Roman;serif" w:hAnsi="Times New Roman;serif"/>
          <w:b w:val="false"/>
          <w:color w:val="000000"/>
          <w:sz w:val="20"/>
        </w:rPr>
        <w:t>ompany limits its credit risk associated with cash and cash equivalents by maintaining its bank accounts at major and reputable financial institutions. The Company’s cash and cash equivalents balance exceeded the federally insured limit of $250,000 as of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restricted cash as current on the accompanying unaudited interim consolidated balance sheets based upon the term of the remaining restrictions.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cash, cash equivalents and restricted cash on the consolidated balance sheets (in thousands): </w:t>
      </w:r>
    </w:p>
    <w:tbl>
      <w:tblPr>
        <w:tblW w:w="10205" w:type="dxa"/>
        <w:jc w:val="left"/>
        <w:tblInd w:w="0" w:type="dxa"/>
        <w:tblLayout w:type="fixed"/>
        <w:tblCellMar>
          <w:top w:w="28" w:type="dxa"/>
          <w:left w:w="28" w:type="dxa"/>
          <w:bottom w:w="28" w:type="dxa"/>
          <w:right w:w="28" w:type="dxa"/>
        </w:tblCellMar>
      </w:tblPr>
      <w:tblGrid>
        <w:gridCol w:w="2782"/>
        <w:gridCol w:w="2399"/>
        <w:gridCol w:w="2437"/>
        <w:gridCol w:w="228"/>
        <w:gridCol w:w="780"/>
        <w:gridCol w:w="117"/>
        <w:gridCol w:w="109"/>
        <w:gridCol w:w="109"/>
        <w:gridCol w:w="109"/>
        <w:gridCol w:w="219"/>
        <w:gridCol w:w="752"/>
        <w:gridCol w:w="164"/>
      </w:tblGrid>
      <w:tr>
        <w:trPr/>
        <w:tc>
          <w:tcPr>
            <w:tcW w:w="2782"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as presented on the consolidated statements of cash flows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93,281 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98,745 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Short-term restricted cash</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As of December 31, 2024, two bank guarantees to Cytek Biosciences B.V. totaled </w:t>
      </w:r>
      <w:r>
        <w:rPr>
          <w:rFonts w:ascii="Times New Roman;serif" w:hAnsi="Times New Roman;serif"/>
          <w:b w:val="false"/>
          <w:color w:val="000000"/>
          <w:sz w:val="20"/>
        </w:rPr>
        <w:t>$29.0</w:t>
      </w:r>
      <w:r>
        <w:rPr>
          <w:color w:val="000000"/>
          <w:shd w:fill="FFFFFF" w:val="clear"/>
        </w:rPr>
        <w:t xml:space="preserve"> </w:t>
      </w:r>
      <w:r>
        <w:rPr>
          <w:rFonts w:ascii="Times New Roman;serif" w:hAnsi="Times New Roman;serif"/>
          <w:b w:val="false"/>
          <w:color w:val="000000"/>
          <w:sz w:val="20"/>
          <w:shd w:fill="FFFFFF" w:val="clear"/>
        </w:rPr>
        <w:t xml:space="preserve">thousand (EUR </w:t>
      </w:r>
      <w:r>
        <w:rPr>
          <w:rFonts w:ascii="Times New Roman;serif" w:hAnsi="Times New Roman;serif"/>
          <w:b w:val="false"/>
          <w:color w:val="000000"/>
          <w:sz w:val="20"/>
        </w:rPr>
        <w:t>27.5 thousand</w:t>
      </w:r>
      <w:r>
        <w:rPr>
          <w:rFonts w:ascii="Times New Roman;serif" w:hAnsi="Times New Roman;serif"/>
          <w:b w:val="false"/>
          <w:color w:val="000000"/>
          <w:sz w:val="20"/>
          <w:shd w:fill="FFFFFF" w:val="clear"/>
        </w:rPr>
        <w:t>). The restricted cash was related to two customers and was based on a 12-month period warranty security that would be released in 2025.</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all short-term restricted cash had been released, and there was no short-term restricted cash with Cytek Biosciences B.V.</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Available-for-sale investments. </w:t>
      </w:r>
      <w:r>
        <w:rPr>
          <w:rFonts w:ascii="Times New Roman;serif" w:hAnsi="Times New Roman;serif"/>
          <w:b w:val="false"/>
          <w:color w:val="000000"/>
          <w:sz w:val="20"/>
        </w:rPr>
        <w:t xml:space="preserve">The Company’s investments may consist of U.S. treasury and U.S. government agency securities, corporate notes and bonds, commercial paper, and money market funds. The Company has designated all investments as available-for-sale and, therefore, such investments are reported at fair value, with unrealized gains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4485"/>
                <wp:effectExtent l="0" t="0" r="0" b="0"/>
                <wp:wrapNone/>
                <wp:docPr id="10" name="Frame1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losses recorded in accumulated other comprehensive (loss) income.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and comprehensive (loss) income.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Equity Investments. </w:t>
      </w:r>
      <w:r>
        <w:rPr>
          <w:rFonts w:ascii="Times New Roman;serif" w:hAnsi="Times New Roman;serif"/>
          <w:b w:val="false"/>
          <w:color w:val="000000"/>
          <w:sz w:val="20"/>
        </w:rPr>
        <w:t>The Company’s equity investments consist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and comprehensive (loss) income. There were no material events or circumstances impacting the carrying amount of our strategic investments during the three months ended September 30,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Trade accounts receivable,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accounts receivable consists principally of amounts due related to product sales of instrument systems, reagents and accessories, as well as installation and repair services. These receivables are generally due within 30 to 90 days of the period in which the corresponding sales occur, do not bear interest and are classified as trade accounts receivable, net on the consolidated balance sheets. Trade accounts receivable are reported at their estimated net realizable value.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adopted ASU 2016-13, </w:t>
      </w:r>
      <w:r>
        <w:rPr>
          <w:rFonts w:ascii="Times New Roman;serif" w:hAnsi="Times New Roman;serif"/>
          <w:b w:val="false"/>
          <w:i/>
          <w:color w:val="000000"/>
          <w:sz w:val="20"/>
        </w:rPr>
        <w:t>Financial Instruments—Credit Losses (Topic 326): Measurement of Credit Losses on Financial Instruments</w:t>
      </w:r>
      <w:r>
        <w:rPr>
          <w:color w:val="000000"/>
        </w:rPr>
        <w:t xml:space="preserve"> </w:t>
      </w:r>
      <w:r>
        <w:rPr>
          <w:rFonts w:ascii="Times New Roman;serif" w:hAnsi="Times New Roman;serif"/>
          <w:b w:val="false"/>
          <w:color w:val="000000"/>
          <w:sz w:val="20"/>
        </w:rPr>
        <w:t>(“ASU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not party to any off-balance sheet arrangements that would require an allowance for credit losses in accordance with this accounting standard.</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significant changes in the allowance for credit losses for the nine months ended September 30,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recorded at cost, net of accumulated depreciation. Depreciation is recorded using the straight-line method based on the estimated useful lives of the depreciable property or, for leasehold improvements,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4485"/>
                <wp:effectExtent l="0" t="0" r="0" b="0"/>
                <wp:wrapNone/>
                <wp:docPr id="11" name="Frame1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remaining term of the lease, whichever is shorter. Assets not yet placed in use are not depreciated. The Company’s estimated useful lives of its property and equipment are as follows: </w:t>
      </w:r>
    </w:p>
    <w:tbl>
      <w:tblPr>
        <w:tblW w:w="7153" w:type="dxa"/>
        <w:jc w:val="left"/>
        <w:tblInd w:w="0" w:type="dxa"/>
        <w:tblLayout w:type="fixed"/>
        <w:tblCellMar>
          <w:top w:w="28" w:type="dxa"/>
          <w:left w:w="28" w:type="dxa"/>
          <w:bottom w:w="28" w:type="dxa"/>
          <w:right w:w="28" w:type="dxa"/>
        </w:tblCellMar>
      </w:tblPr>
      <w:tblGrid>
        <w:gridCol w:w="971"/>
        <w:gridCol w:w="850"/>
        <w:gridCol w:w="863"/>
        <w:gridCol w:w="1306"/>
        <w:gridCol w:w="1306"/>
        <w:gridCol w:w="1857"/>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5 - 7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5 - 10 years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expected lease term or estimated useful life</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sale or retirement of the assets, the cost and related accumulated depreciation are removed from the accounts and the resulting gain or loss is recognized in the consolidated statements of operations and comprehensive (loss) income. Expenditures for general maintenance and repairs are expensed as incurred.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Goodwill and intangible assets,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 </w:t>
      </w:r>
    </w:p>
    <w:tbl>
      <w:tblPr>
        <w:tblW w:w="4379" w:type="dxa"/>
        <w:jc w:val="left"/>
        <w:tblInd w:w="0" w:type="dxa"/>
        <w:tblLayout w:type="fixed"/>
        <w:tblCellMar>
          <w:top w:w="28" w:type="dxa"/>
          <w:left w:w="28" w:type="dxa"/>
          <w:bottom w:w="28" w:type="dxa"/>
          <w:right w:w="28" w:type="dxa"/>
        </w:tblCellMar>
      </w:tblPr>
      <w:tblGrid>
        <w:gridCol w:w="829"/>
        <w:gridCol w:w="730"/>
        <w:gridCol w:w="736"/>
        <w:gridCol w:w="609"/>
        <w:gridCol w:w="609"/>
        <w:gridCol w:w="86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2 - 15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FCI developed technology</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1 - 6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7 - 9 years</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Reagent licenses</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IP license</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Accounting for Impairment of Long-Lived Assets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Fair value of financial instruments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1—Quoted prices in active markets for identical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4485"/>
                <wp:effectExtent l="0" t="0" r="0" b="0"/>
                <wp:wrapNone/>
                <wp:docPr id="12" name="Frame1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reflected in the unaudited interim consolidated balance sheets for cash and cash equivalents, trade accounts receivable, net, trade accounts payable and accrued expenses approximate their fair values.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 revenue consists of sales of its instrument systems, reagents and accessories. The Company recognizes product revenue at the point in time when control of the product is transferred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Invoicing for products occurs upon shipment and is adjusted based on the applicable International Commercial Terms, and payment terms are 30 to 90 days. Service contracts are invoiced upfront and payment terms are generally 30 days. For those arrangements that have terms longer than one year, any payments received upfront are for reasons other than financing. Revenue is recognized only to the extent that it is probable that a significant reversal of the cumulative amount recognized will not occur in future periods. The Company does not typically offer discounts, rebates, incentives, or rights of return. Variable consideration is not 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4485"/>
                <wp:effectExtent l="0" t="0" r="0" b="0"/>
                <wp:wrapNone/>
                <wp:docPr id="13" name="Frame1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Product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standard arrangement for sales to end users is a purchase order or an executed contract. Revenue is recognized upon transfer of control of the product to the customer, which occurs at a point in time depending on the shipping terms.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Contract liabilities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Assurance-type product warranties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offering costs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Deferred offering costs, which consist of direct incremental legal, consulting, banking and accounting fees relating to offerings of the Company’s securities are capitalized, and are offset against proceeds from an offering upon the effectiveness of the offering.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the termination of the 2022 Sales Agreement in August 2025, the Company had not made any sales of common stock pursuant to the 2022 Sales Agreement. Accordingly, $0.7 million in transaction expenses recorded as prepaid offering costs have been expensed and recorded as of September 30,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4485"/>
                <wp:effectExtent l="0" t="0" r="0" b="0"/>
                <wp:wrapNone/>
                <wp:docPr id="14" name="Frame1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Advertising costs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cost of advertising, marketing and media is expensed as incurred. For the three and nine months ended September 30, 2025, advertising, marketing and media expenses were</w:t>
      </w:r>
      <w:r>
        <w:rPr>
          <w:color w:val="000000"/>
          <w:shd w:fill="FFFFFF" w:val="clear"/>
        </w:rPr>
        <w:t xml:space="preserve"> </w:t>
      </w:r>
      <w:r>
        <w:rPr>
          <w:rFonts w:ascii="Times New Roman;serif" w:hAnsi="Times New Roman;serif"/>
          <w:b w:val="false"/>
          <w:color w:val="000000"/>
          <w:sz w:val="20"/>
          <w:shd w:fill="FFFFFF" w:val="clear"/>
        </w:rPr>
        <w:t>$0.8 million and $3.2 m</w:t>
      </w:r>
      <w:r>
        <w:rPr>
          <w:rFonts w:ascii="Times New Roman;serif" w:hAnsi="Times New Roman;serif"/>
          <w:b w:val="false"/>
          <w:color w:val="000000"/>
          <w:sz w:val="20"/>
        </w:rPr>
        <w:t>illion, respectively. For the three and nine months ended September 30, 2024, advertising, marketing and media expenses were $0.8 million and $3.0 million,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Expected Volatility—Expected volatility is estimated by analyzing the historical volatility of selected industry peers, and the Company’s historical market data for the assessment corresponds to the expected term of the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Expected Term—Expected term represents the period that the Company’s stock-based awards are expected to be outstanding and is determined using the simplified method.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Dividend Yield— The expected dividend yield is zero as the Company has never declared or paid cash dividends and has no current plans to do so in the foreseeable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Risk-Free Interest Rate—The risk-free interest rate is based on the U.S. Treasury zero-coupon issued in effect at the time of grant for periods corresponding with the expected term of the option.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statements of operations and comprehensive (loss) income. Accrued interest and penalties, if any, are included in accrued expenses in the consolidated balance sheet.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federal jurisdiction, various U.S. state jurisdictions and foreign jurisdictions. The U.S. federal,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Net loss per share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and diluted net loss per share are computed using the weighted-average number of shares of common stock outstanding for the period. Net loss per share is calculated using the two-class method, which is an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4485"/>
                <wp:effectExtent l="0" t="0" r="0" b="0"/>
                <wp:wrapNone/>
                <wp:docPr id="15" name="Frame1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allocation formula that determines net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loss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per share gives effect to all potentially dilutive common stock equivalents, including outstanding options and redeemable convertible preferred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equivalents are excluded from the computation of diluted net loss per share if their effect is antidilutive.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uses the acquisition method of accounting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2023-07, Segment Reporting (Topic 280): Improvements to Reportable Segment Disclosures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 of significant segment expenses and other segment items as well as incremental qualitative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21 for further information on the Company’s reportable segment.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Recently issued accounting pronouncements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 (“ASU 2023-09”)</w:t>
      </w:r>
      <w:r>
        <w:rPr>
          <w:rFonts w:ascii="Times New Roman;serif" w:hAnsi="Times New Roman;serif"/>
          <w:b w:val="false"/>
          <w:color w:val="000000"/>
          <w:sz w:val="20"/>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 (Subtopic 220-40): Disaggregation of Income Statement Expenses</w:t>
      </w:r>
      <w:r>
        <w:rPr>
          <w:color w:val="000000"/>
        </w:rPr>
        <w:t xml:space="preserve"> </w:t>
      </w:r>
      <w:r>
        <w:rPr>
          <w:rFonts w:ascii="Times New Roman;serif" w:hAnsi="Times New Roman;serif"/>
          <w:b w:val="false"/>
          <w:color w:val="000000"/>
          <w:sz w:val="20"/>
        </w:rPr>
        <w:t xml:space="preserve">(“ASU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(“ASU 2025-06”), which modernizes the accounting for internal-use software costs. ASU 2025-06 is effective for annual periods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4485"/>
                <wp:effectExtent l="0" t="0" r="0" b="0"/>
                <wp:wrapNone/>
                <wp:docPr id="16" name="Frame1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December 15, 2027, with early adoption permitted as of the beginning of an annual period. The Company is currently in the process of evaluating the impact of this pronouncement on its consolidated financial statements and related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new accounting pronouncements issued by the FASB and does not believe any accounting pronouncements issued through the date of this report will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3.    Concentrations of credit risk and other risks and uncertainties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4.    Revenue from contracts with customers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by sales channel mix and customer mix as defined by the nature of workflows (in thousands):</w:t>
      </w:r>
    </w:p>
    <w:tbl>
      <w:tblPr>
        <w:tblW w:w="10205" w:type="dxa"/>
        <w:jc w:val="left"/>
        <w:tblInd w:w="0" w:type="dxa"/>
        <w:tblLayout w:type="fixed"/>
        <w:tblCellMar>
          <w:top w:w="28" w:type="dxa"/>
          <w:left w:w="28" w:type="dxa"/>
          <w:bottom w:w="28" w:type="dxa"/>
          <w:right w:w="28" w:type="dxa"/>
        </w:tblCellMar>
      </w:tblPr>
      <w:tblGrid>
        <w:gridCol w:w="1807"/>
        <w:gridCol w:w="1432"/>
        <w:gridCol w:w="1421"/>
        <w:gridCol w:w="223"/>
        <w:gridCol w:w="764"/>
        <w:gridCol w:w="115"/>
        <w:gridCol w:w="115"/>
        <w:gridCol w:w="115"/>
        <w:gridCol w:w="115"/>
        <w:gridCol w:w="223"/>
        <w:gridCol w:w="764"/>
        <w:gridCol w:w="115"/>
        <w:gridCol w:w="109"/>
        <w:gridCol w:w="109"/>
        <w:gridCol w:w="109"/>
        <w:gridCol w:w="211"/>
        <w:gridCol w:w="826"/>
        <w:gridCol w:w="109"/>
        <w:gridCol w:w="109"/>
        <w:gridCol w:w="109"/>
        <w:gridCol w:w="109"/>
        <w:gridCol w:w="211"/>
        <w:gridCol w:w="826"/>
        <w:gridCol w:w="159"/>
      </w:tblGrid>
      <w:tr>
        <w:trPr/>
        <w:tc>
          <w:tcPr>
            <w:tcW w:w="180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Sales channel mix</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sales channel</w:t>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108,612 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channel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Customer mix</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Academia and government</w:t>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59,849 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Biotechnology, pharmaceutical, distributor and contract research organizations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geographical markets is presented in Note 21. </w:t>
      </w:r>
    </w:p>
    <w:p>
      <w:pPr>
        <w:pStyle w:val="TextBody"/>
        <w:bidi w:val="0"/>
        <w:spacing w:before="120" w:after="283"/>
        <w:ind w:left="0" w:right="0" w:firstLine="540"/>
        <w:jc w:val="both"/>
        <w:rPr/>
      </w:pPr>
      <w:r>
        <w:r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Remaining performance obligations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includes estimated revenues expected to be recognized in the future related to performance obligations that are unsatisfied (or partially satisfied) as of September 30, 2025 (in thousands): </w:t>
      </w:r>
    </w:p>
    <w:tbl>
      <w:tblPr>
        <w:tblW w:w="6045" w:type="dxa"/>
        <w:jc w:val="left"/>
        <w:tblInd w:w="0" w:type="dxa"/>
        <w:tblLayout w:type="fixed"/>
        <w:tblCellMar>
          <w:top w:w="28" w:type="dxa"/>
          <w:left w:w="28" w:type="dxa"/>
          <w:bottom w:w="28" w:type="dxa"/>
          <w:right w:w="28" w:type="dxa"/>
        </w:tblCellMar>
      </w:tblPr>
      <w:tblGrid>
        <w:gridCol w:w="521"/>
        <w:gridCol w:w="459"/>
        <w:gridCol w:w="460"/>
        <w:gridCol w:w="261"/>
        <w:gridCol w:w="894"/>
        <w:gridCol w:w="135"/>
        <w:gridCol w:w="109"/>
        <w:gridCol w:w="109"/>
        <w:gridCol w:w="109"/>
        <w:gridCol w:w="319"/>
        <w:gridCol w:w="1091"/>
        <w:gridCol w:w="165"/>
        <w:gridCol w:w="109"/>
        <w:gridCol w:w="109"/>
        <w:gridCol w:w="109"/>
        <w:gridCol w:w="211"/>
        <w:gridCol w:w="72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Greater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4485"/>
                <wp:effectExtent l="0" t="0" r="0" b="0"/>
                <wp:wrapNone/>
                <wp:docPr id="17" name="Frame1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Contract balances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immaterial amounts of contract assets included within prepaid expenses and other current assets on the consolidated balance sheets. The following table provides information about deferred revenue from contracts with customers, and customer deposits (in thousands): </w:t>
      </w:r>
    </w:p>
    <w:tbl>
      <w:tblPr>
        <w:tblW w:w="8065" w:type="dxa"/>
        <w:jc w:val="left"/>
        <w:tblInd w:w="0" w:type="dxa"/>
        <w:tblLayout w:type="fixed"/>
        <w:tblCellMar>
          <w:top w:w="28" w:type="dxa"/>
          <w:left w:w="28" w:type="dxa"/>
          <w:bottom w:w="28" w:type="dxa"/>
          <w:right w:w="28" w:type="dxa"/>
        </w:tblCellMar>
      </w:tblPr>
      <w:tblGrid>
        <w:gridCol w:w="1976"/>
        <w:gridCol w:w="1738"/>
        <w:gridCol w:w="1745"/>
        <w:gridCol w:w="231"/>
        <w:gridCol w:w="790"/>
        <w:gridCol w:w="119"/>
        <w:gridCol w:w="109"/>
        <w:gridCol w:w="109"/>
        <w:gridCol w:w="109"/>
        <w:gridCol w:w="221"/>
        <w:gridCol w:w="757"/>
        <w:gridCol w:w="161"/>
      </w:tblGrid>
      <w:tr>
        <w:trPr/>
        <w:tc>
          <w:tcPr>
            <w:tcW w:w="197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long-term</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 which are included in 'Other current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provides a roll-forward of the contract liabilities (in thousands): </w:t>
      </w:r>
    </w:p>
    <w:tbl>
      <w:tblPr>
        <w:tblW w:w="3725" w:type="dxa"/>
        <w:jc w:val="left"/>
        <w:tblInd w:w="0" w:type="dxa"/>
        <w:tblLayout w:type="fixed"/>
        <w:tblCellMar>
          <w:top w:w="28" w:type="dxa"/>
          <w:left w:w="28" w:type="dxa"/>
          <w:bottom w:w="28" w:type="dxa"/>
          <w:right w:w="28" w:type="dxa"/>
        </w:tblCellMar>
      </w:tblPr>
      <w:tblGrid>
        <w:gridCol w:w="957"/>
        <w:gridCol w:w="838"/>
        <w:gridCol w:w="844"/>
        <w:gridCol w:w="211"/>
        <w:gridCol w:w="72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Contract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5.    Balance sheet details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Inventories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inventory (in thousands): </w:t>
      </w:r>
    </w:p>
    <w:tbl>
      <w:tblPr>
        <w:tblW w:w="4121" w:type="dxa"/>
        <w:jc w:val="left"/>
        <w:tblInd w:w="0" w:type="dxa"/>
        <w:tblLayout w:type="fixed"/>
        <w:tblCellMar>
          <w:top w:w="28" w:type="dxa"/>
          <w:left w:w="28" w:type="dxa"/>
          <w:bottom w:w="28" w:type="dxa"/>
          <w:right w:w="28" w:type="dxa"/>
        </w:tblCellMar>
      </w:tblPr>
      <w:tblGrid>
        <w:gridCol w:w="549"/>
        <w:gridCol w:w="481"/>
        <w:gridCol w:w="485"/>
        <w:gridCol w:w="231"/>
        <w:gridCol w:w="790"/>
        <w:gridCol w:w="119"/>
        <w:gridCol w:w="109"/>
        <w:gridCol w:w="109"/>
        <w:gridCol w:w="109"/>
        <w:gridCol w:w="221"/>
        <w:gridCol w:w="757"/>
        <w:gridCol w:w="161"/>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51,649 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43,893 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Prepaid expenses and other current assets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prepaid expenses and other current assets (in thousands): </w:t>
      </w:r>
    </w:p>
    <w:tbl>
      <w:tblPr>
        <w:tblW w:w="6536" w:type="dxa"/>
        <w:jc w:val="left"/>
        <w:tblInd w:w="0" w:type="dxa"/>
        <w:tblLayout w:type="fixed"/>
        <w:tblCellMar>
          <w:top w:w="28" w:type="dxa"/>
          <w:left w:w="28" w:type="dxa"/>
          <w:bottom w:w="28" w:type="dxa"/>
          <w:right w:w="28" w:type="dxa"/>
        </w:tblCellMar>
      </w:tblPr>
      <w:tblGrid>
        <w:gridCol w:w="1423"/>
        <w:gridCol w:w="1248"/>
        <w:gridCol w:w="1259"/>
        <w:gridCol w:w="231"/>
        <w:gridCol w:w="790"/>
        <w:gridCol w:w="119"/>
        <w:gridCol w:w="109"/>
        <w:gridCol w:w="109"/>
        <w:gridCol w:w="109"/>
        <w:gridCol w:w="221"/>
        <w:gridCol w:w="757"/>
        <w:gridCol w:w="161"/>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inventory</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refund receivable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 receivables</w:t>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18,474 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4485"/>
                <wp:effectExtent l="0" t="0" r="0" b="0"/>
                <wp:wrapNone/>
                <wp:docPr id="18" name="Frame1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accrued expenses (in thousands): </w:t>
      </w:r>
    </w:p>
    <w:tbl>
      <w:tblPr>
        <w:tblW w:w="6221" w:type="dxa"/>
        <w:jc w:val="left"/>
        <w:tblInd w:w="0" w:type="dxa"/>
        <w:tblLayout w:type="fixed"/>
        <w:tblCellMar>
          <w:top w:w="28" w:type="dxa"/>
          <w:left w:w="28" w:type="dxa"/>
          <w:bottom w:w="28" w:type="dxa"/>
          <w:right w:w="28" w:type="dxa"/>
        </w:tblCellMar>
      </w:tblPr>
      <w:tblGrid>
        <w:gridCol w:w="1310"/>
        <w:gridCol w:w="1148"/>
        <w:gridCol w:w="1157"/>
        <w:gridCol w:w="231"/>
        <w:gridCol w:w="790"/>
        <w:gridCol w:w="119"/>
        <w:gridCol w:w="109"/>
        <w:gridCol w:w="109"/>
        <w:gridCol w:w="109"/>
        <w:gridCol w:w="221"/>
        <w:gridCol w:w="757"/>
        <w:gridCol w:w="161"/>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fees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20,233 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product warranty analysis refer to Note 19.</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Other current liabilities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other current liabilities (in thousands): </w:t>
      </w:r>
    </w:p>
    <w:tbl>
      <w:tblPr>
        <w:tblW w:w="6026" w:type="dxa"/>
        <w:jc w:val="left"/>
        <w:tblInd w:w="0" w:type="dxa"/>
        <w:tblLayout w:type="fixed"/>
        <w:tblCellMar>
          <w:top w:w="28" w:type="dxa"/>
          <w:left w:w="28" w:type="dxa"/>
          <w:bottom w:w="28" w:type="dxa"/>
          <w:right w:w="28" w:type="dxa"/>
        </w:tblCellMar>
      </w:tblPr>
      <w:tblGrid>
        <w:gridCol w:w="1239"/>
        <w:gridCol w:w="1089"/>
        <w:gridCol w:w="1092"/>
        <w:gridCol w:w="231"/>
        <w:gridCol w:w="790"/>
        <w:gridCol w:w="119"/>
        <w:gridCol w:w="109"/>
        <w:gridCol w:w="109"/>
        <w:gridCol w:w="109"/>
        <w:gridCol w:w="221"/>
        <w:gridCol w:w="757"/>
        <w:gridCol w:w="16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use tax payable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loan and line of credit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6.    Fair value of financial instruments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 </w:t>
      </w:r>
    </w:p>
    <w:tbl>
      <w:tblPr>
        <w:tblW w:w="7806"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230,478 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35,162 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4485"/>
                <wp:effectExtent l="0" t="0" r="0" b="0"/>
                <wp:wrapNone/>
                <wp:docPr id="19" name="Frame1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tbl>
      <w:tblPr>
        <w:tblW w:w="7806" w:type="dxa"/>
        <w:jc w:val="left"/>
        <w:tblInd w:w="0" w:type="dxa"/>
        <w:tblLayout w:type="fixed"/>
        <w:tblCellMar>
          <w:top w:w="28" w:type="dxa"/>
          <w:left w:w="28" w:type="dxa"/>
          <w:bottom w:w="28" w:type="dxa"/>
          <w:right w:w="28" w:type="dxa"/>
        </w:tblCellMar>
      </w:tblPr>
      <w:tblGrid>
        <w:gridCol w:w="743"/>
        <w:gridCol w:w="655"/>
        <w:gridCol w:w="65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4"/>
        <w:gridCol w:w="585"/>
        <w:gridCol w:w="222"/>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transfers of financial assets measured at fair value on a recurring basis to or from Level 1, Level 2 or Level 3 for any of the periods presented.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table above does not include the Company’s investments in privately held equity securities. Non-marketable equity investments of </w:t>
      </w:r>
      <w:r>
        <w:rPr>
          <w:rFonts w:ascii="Times New Roman;serif" w:hAnsi="Times New Roman;serif"/>
          <w:b w:val="false"/>
          <w:color w:val="000000"/>
          <w:sz w:val="20"/>
          <w:shd w:fill="FFFFFF" w:val="clear"/>
        </w:rPr>
        <w:t>$1.6 million</w:t>
      </w:r>
      <w:r>
        <w:rPr>
          <w:color w:val="000000"/>
        </w:rPr>
        <w:t xml:space="preserve"> </w:t>
      </w:r>
      <w:r>
        <w:rPr>
          <w:rFonts w:ascii="Times New Roman;serif" w:hAnsi="Times New Roman;serif"/>
          <w:b w:val="false"/>
          <w:color w:val="000000"/>
          <w:sz w:val="20"/>
        </w:rPr>
        <w:t>are included within Other noncurrent assets on the consolidated balance sheet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7.    Investments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investments in available-for-sale securities by significant investment category reported as short-term as of September 30, 2025 (in thousands):</w:t>
      </w:r>
    </w:p>
    <w:tbl>
      <w:tblPr>
        <w:tblW w:w="10205" w:type="dxa"/>
        <w:jc w:val="left"/>
        <w:tblInd w:w="0" w:type="dxa"/>
        <w:tblLayout w:type="fixed"/>
        <w:tblCellMar>
          <w:top w:w="28" w:type="dxa"/>
          <w:left w:w="28" w:type="dxa"/>
          <w:bottom w:w="28" w:type="dxa"/>
          <w:right w:w="28" w:type="dxa"/>
        </w:tblCellMar>
      </w:tblPr>
      <w:tblGrid>
        <w:gridCol w:w="1053"/>
        <w:gridCol w:w="926"/>
        <w:gridCol w:w="922"/>
        <w:gridCol w:w="227"/>
        <w:gridCol w:w="891"/>
        <w:gridCol w:w="117"/>
        <w:gridCol w:w="109"/>
        <w:gridCol w:w="109"/>
        <w:gridCol w:w="109"/>
        <w:gridCol w:w="464"/>
        <w:gridCol w:w="1029"/>
        <w:gridCol w:w="243"/>
        <w:gridCol w:w="109"/>
        <w:gridCol w:w="109"/>
        <w:gridCol w:w="109"/>
        <w:gridCol w:w="604"/>
        <w:gridCol w:w="776"/>
        <w:gridCol w:w="313"/>
        <w:gridCol w:w="109"/>
        <w:gridCol w:w="109"/>
        <w:gridCol w:w="109"/>
        <w:gridCol w:w="292"/>
        <w:gridCol w:w="1146"/>
        <w:gridCol w:w="221"/>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21"/>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Gross Unrealized Loss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133,290 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168,348 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168,454 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available-for-sale securities at September 30, 2025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168,348 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168,348 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168,454 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investments in available-for-sale securities by significant investment category reported as short-term as of December 31, 2024 (in thousands):</w:t>
      </w:r>
    </w:p>
    <w:tbl>
      <w:tblPr>
        <w:tblW w:w="10205" w:type="dxa"/>
        <w:jc w:val="left"/>
        <w:tblInd w:w="0" w:type="dxa"/>
        <w:tblLayout w:type="fixed"/>
        <w:tblCellMar>
          <w:top w:w="28" w:type="dxa"/>
          <w:left w:w="28" w:type="dxa"/>
          <w:bottom w:w="28" w:type="dxa"/>
          <w:right w:w="28" w:type="dxa"/>
        </w:tblCellMar>
      </w:tblPr>
      <w:tblGrid>
        <w:gridCol w:w="1053"/>
        <w:gridCol w:w="926"/>
        <w:gridCol w:w="922"/>
        <w:gridCol w:w="227"/>
        <w:gridCol w:w="891"/>
        <w:gridCol w:w="117"/>
        <w:gridCol w:w="109"/>
        <w:gridCol w:w="109"/>
        <w:gridCol w:w="109"/>
        <w:gridCol w:w="464"/>
        <w:gridCol w:w="1029"/>
        <w:gridCol w:w="243"/>
        <w:gridCol w:w="109"/>
        <w:gridCol w:w="109"/>
        <w:gridCol w:w="109"/>
        <w:gridCol w:w="512"/>
        <w:gridCol w:w="914"/>
        <w:gridCol w:w="267"/>
        <w:gridCol w:w="109"/>
        <w:gridCol w:w="109"/>
        <w:gridCol w:w="109"/>
        <w:gridCol w:w="292"/>
        <w:gridCol w:w="1146"/>
        <w:gridCol w:w="221"/>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4"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Gross Unrealized Loss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161,477 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4485"/>
                <wp:effectExtent l="0" t="0" r="0" b="0"/>
                <wp:wrapNone/>
                <wp:docPr id="20" name="Frame2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available-for-sale securities at December 31, 2024 (in thousands):</w:t>
      </w:r>
    </w:p>
    <w:tbl>
      <w:tblPr>
        <w:tblW w:w="5163" w:type="dxa"/>
        <w:jc w:val="left"/>
        <w:tblInd w:w="0" w:type="dxa"/>
        <w:tblLayout w:type="fixed"/>
        <w:tblCellMar>
          <w:top w:w="28" w:type="dxa"/>
          <w:left w:w="28" w:type="dxa"/>
          <w:bottom w:w="28" w:type="dxa"/>
          <w:right w:w="28" w:type="dxa"/>
        </w:tblCellMar>
      </w:tblPr>
      <w:tblGrid>
        <w:gridCol w:w="867"/>
        <w:gridCol w:w="765"/>
        <w:gridCol w:w="768"/>
        <w:gridCol w:w="229"/>
        <w:gridCol w:w="898"/>
        <w:gridCol w:w="118"/>
        <w:gridCol w:w="109"/>
        <w:gridCol w:w="109"/>
        <w:gridCol w:w="109"/>
        <w:gridCol w:w="211"/>
        <w:gridCol w:w="82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179,061 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179,061 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8.    Property and equipment, net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components of property and equipment, net (in thousands): </w:t>
      </w:r>
    </w:p>
    <w:tbl>
      <w:tblPr>
        <w:tblW w:w="5290" w:type="dxa"/>
        <w:jc w:val="left"/>
        <w:tblInd w:w="0" w:type="dxa"/>
        <w:tblLayout w:type="fixed"/>
        <w:tblCellMar>
          <w:top w:w="28" w:type="dxa"/>
          <w:left w:w="28" w:type="dxa"/>
          <w:bottom w:w="28" w:type="dxa"/>
          <w:right w:w="28" w:type="dxa"/>
        </w:tblCellMar>
      </w:tblPr>
      <w:tblGrid>
        <w:gridCol w:w="972"/>
        <w:gridCol w:w="854"/>
        <w:gridCol w:w="858"/>
        <w:gridCol w:w="231"/>
        <w:gridCol w:w="790"/>
        <w:gridCol w:w="119"/>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land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Total depreciation expense for the three and nine months ended September 30, 2025 was </w:t>
      </w:r>
      <w:r>
        <w:rPr>
          <w:rFonts w:ascii="Times New Roman;serif" w:hAnsi="Times New Roman;serif"/>
          <w:b w:val="false"/>
          <w:color w:val="000000"/>
          <w:sz w:val="20"/>
          <w:shd w:fill="FFFFFF" w:val="clear"/>
        </w:rPr>
        <w:t>$1.0 million and $2.9</w:t>
      </w:r>
      <w:r>
        <w:rPr>
          <w:color w:val="000000"/>
        </w:rPr>
        <w:t xml:space="preserve"> </w:t>
      </w:r>
      <w:r>
        <w:rPr>
          <w:rFonts w:ascii="Times New Roman;serif" w:hAnsi="Times New Roman;serif"/>
          <w:b w:val="false"/>
          <w:color w:val="000000"/>
          <w:sz w:val="20"/>
        </w:rPr>
        <w:t>million, respectively. Total depreciation expense for the three and nine months ended September 30, 2024 was $0.9 million and $2.6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9.    </w:t>
      </w:r>
      <w:r>
        <w:rPr>
          <w:rFonts w:ascii="Times New Roman;serif" w:hAnsi="Times New Roman;serif"/>
          <w:b/>
          <w:color w:val="000000"/>
          <w:sz w:val="20"/>
          <w:shd w:fill="FFFFFF" w:val="clear"/>
        </w:rPr>
        <w:t>Acquisition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2023, the Company completed the FCI Acquisition for an aggregate cash consideration of $44.9 million.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FCI Acquisition expanded the Company’s product portfolio to include high-resolution cell images with the speed, sensitivity and phenotyping abilities of flow cytometry and added cost-effective, entry-level and personal instrument options to broaden the market and research areas the Company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acquisition was accounted for as a business combination in accordance with ASC 805. The purchase price has been allocated to tangible assets and identifiable intangible assets acquired and liabilities assumed based upon their estimated fair values, with the exception of contract liabilities assumed which are recognized and measured in accordance with ASC 606, Revenue from Contracts with Customers. The Company finalized its accounting for the FCI Acquisition during the fourth quarter of 2023.</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Company recorded the following changes as a result of measurement period adjustments to the fair value of the initial assets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Property and equipment increased by $1.4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Deferred tax assets increased by $0.6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Customer relationships increased by $0.1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Developed technologies increased by $0.7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Trade names increased by $0.2 million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measurement period adjustments noted above decreased goodwill by $3.0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4485"/>
                <wp:effectExtent l="0" t="0" r="0" b="0"/>
                <wp:wrapNone/>
                <wp:docPr id="21" name="Frame2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The fol</w:t>
      </w:r>
      <w:r>
        <w:rPr>
          <w:rFonts w:ascii="Times New Roman;serif" w:hAnsi="Times New Roman;serif"/>
          <w:b w:val="false"/>
          <w:color w:val="000000"/>
          <w:sz w:val="20"/>
        </w:rPr>
        <w:t>lowing table summarizes the estimated fair value of assets acquired and liabilities assumed at the date of the FCI Acquisition:</w:t>
      </w:r>
    </w:p>
    <w:tbl>
      <w:tblPr>
        <w:tblW w:w="6149" w:type="dxa"/>
        <w:jc w:val="left"/>
        <w:tblInd w:w="0" w:type="dxa"/>
        <w:tblLayout w:type="fixed"/>
        <w:tblCellMar>
          <w:top w:w="28" w:type="dxa"/>
          <w:left w:w="28" w:type="dxa"/>
          <w:bottom w:w="28" w:type="dxa"/>
          <w:right w:w="28" w:type="dxa"/>
        </w:tblCellMar>
      </w:tblPr>
      <w:tblGrid>
        <w:gridCol w:w="1785"/>
        <w:gridCol w:w="1572"/>
        <w:gridCol w:w="1577"/>
        <w:gridCol w:w="236"/>
        <w:gridCol w:w="807"/>
        <w:gridCol w:w="172"/>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(in thousands) </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18,695 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Amnis ImageStream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Guava easyCyte™ and Muse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developed technology</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Amnis FlowSight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CellStream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trade name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Guava trade name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costs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net assets acquired</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44,896 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$6.0 million of goodwill arising from the FCI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tbl>
      <w:tblPr>
        <w:tblW w:w="7727" w:type="dxa"/>
        <w:jc w:val="left"/>
        <w:tblInd w:w="0" w:type="dxa"/>
        <w:tblLayout w:type="fixed"/>
        <w:tblCellMar>
          <w:top w:w="28" w:type="dxa"/>
          <w:left w:w="28" w:type="dxa"/>
          <w:bottom w:w="28" w:type="dxa"/>
          <w:right w:w="28" w:type="dxa"/>
        </w:tblCellMar>
      </w:tblPr>
      <w:tblGrid>
        <w:gridCol w:w="1787"/>
        <w:gridCol w:w="1571"/>
        <w:gridCol w:w="1577"/>
        <w:gridCol w:w="211"/>
        <w:gridCol w:w="721"/>
        <w:gridCol w:w="109"/>
        <w:gridCol w:w="109"/>
        <w:gridCol w:w="109"/>
        <w:gridCol w:w="109"/>
        <w:gridCol w:w="417"/>
        <w:gridCol w:w="417"/>
        <w:gridCol w:w="590"/>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Useful life (years)</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for years)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Amnis ImageStream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Guava easyCyte™ and Muse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Amnis FlowSight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CellStream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Amnis trade name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Guava trade name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fair value of the intangible assets acquired were estimated using variations of the income approach.</w:t>
      </w:r>
      <w:r>
        <w:rPr>
          <w:color w:val="000000"/>
          <w:shd w:fill="FFFFFF" w:val="clear"/>
        </w:rPr>
        <w:t xml:space="preserve"> </w:t>
      </w:r>
      <w:r>
        <w:rPr>
          <w:rFonts w:ascii="Times New Roman;serif" w:hAnsi="Times New Roman;serif"/>
          <w:b w:val="false"/>
          <w:color w:val="000000"/>
          <w:sz w:val="20"/>
          <w:shd w:fill="FFFFFF" w:val="clear"/>
        </w:rPr>
        <w:t>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4485"/>
                <wp:effectExtent l="0" t="0" r="0" b="0"/>
                <wp:wrapNone/>
                <wp:docPr id="22" name="Frame2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acquired intangibles are being amortized over their estimated useful lives using the straight-line method of amortization.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assigned to the assets acquired are based on reasonable assumptions and estimates that market participants would use. Actual results may differ from these estimates and assumptions.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for the FCI Business are included in the consolidated financial statements of the Company from the date of the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10.    Goodwill and intangible assets,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intangible assets, net (in thousands):</w:t>
      </w:r>
    </w:p>
    <w:tbl>
      <w:tblPr>
        <w:tblW w:w="5306" w:type="dxa"/>
        <w:jc w:val="left"/>
        <w:tblInd w:w="0" w:type="dxa"/>
        <w:tblLayout w:type="fixed"/>
        <w:tblCellMar>
          <w:top w:w="28" w:type="dxa"/>
          <w:left w:w="28" w:type="dxa"/>
          <w:bottom w:w="28" w:type="dxa"/>
          <w:right w:w="28" w:type="dxa"/>
        </w:tblCellMar>
      </w:tblPr>
      <w:tblGrid>
        <w:gridCol w:w="976"/>
        <w:gridCol w:w="859"/>
        <w:gridCol w:w="865"/>
        <w:gridCol w:w="231"/>
        <w:gridCol w:w="790"/>
        <w:gridCol w:w="119"/>
        <w:gridCol w:w="109"/>
        <w:gridCol w:w="109"/>
        <w:gridCol w:w="109"/>
        <w:gridCol w:w="221"/>
        <w:gridCol w:w="757"/>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trademarks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IP license</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Reagent license</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 use right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17,676 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amortization expense for the three and nine months ended September 30, 2025 was approximately </w:t>
      </w:r>
      <w:r>
        <w:rPr>
          <w:rFonts w:ascii="Times New Roman;serif" w:hAnsi="Times New Roman;serif"/>
          <w:b w:val="false"/>
          <w:color w:val="000000"/>
          <w:sz w:val="20"/>
          <w:shd w:fill="FFFFFF" w:val="clear"/>
        </w:rPr>
        <w:t xml:space="preserve">$0.9 million and $2.8 </w:t>
      </w:r>
      <w:r>
        <w:rPr>
          <w:rFonts w:ascii="Times New Roman;serif" w:hAnsi="Times New Roman;serif"/>
          <w:b w:val="false"/>
          <w:color w:val="000000"/>
          <w:sz w:val="20"/>
        </w:rPr>
        <w:t>million,</w:t>
      </w:r>
      <w:r>
        <w:rPr>
          <w:color w:val="000000"/>
          <w:shd w:fill="FFFFFF" w:val="clear"/>
        </w:rPr>
        <w:t xml:space="preserve"> </w:t>
      </w:r>
      <w:r>
        <w:rPr>
          <w:rFonts w:ascii="Times New Roman;serif" w:hAnsi="Times New Roman;serif"/>
          <w:b w:val="false"/>
          <w:color w:val="000000"/>
          <w:sz w:val="20"/>
          <w:shd w:fill="FFFFFF" w:val="clear"/>
        </w:rPr>
        <w:t xml:space="preserve">respectively. </w:t>
      </w:r>
      <w:r>
        <w:rPr>
          <w:rFonts w:ascii="Times New Roman;serif" w:hAnsi="Times New Roman;serif"/>
          <w:b w:val="false"/>
          <w:color w:val="000000"/>
          <w:sz w:val="20"/>
        </w:rPr>
        <w:t xml:space="preserve">Total amortization expense for the three and nine months ended September 30, 2024 was approximately $0.9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$2.8 million, </w:t>
      </w:r>
      <w:r>
        <w:rPr>
          <w:rFonts w:ascii="Times New Roman;serif" w:hAnsi="Times New Roman;serif"/>
          <w:b w:val="false"/>
          <w:color w:val="000000"/>
          <w:sz w:val="20"/>
          <w:shd w:fill="FFFFFF" w:val="clear"/>
        </w:rPr>
        <w:t xml:space="preserve">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11.    </w:t>
      </w:r>
      <w:r>
        <w:rPr>
          <w:rFonts w:ascii="Times New Roman;serif" w:hAnsi="Times New Roman;serif"/>
          <w:b/>
          <w:color w:val="000000"/>
          <w:sz w:val="20"/>
          <w:shd w:fill="FFFFFF" w:val="clear"/>
        </w:rPr>
        <w:t xml:space="preserve">Legal settlement liability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patents in question were determined to have an average useful life of 18 months. Accordingly, beginning with the second quarter of 2022, the remaining contractual payments were classified as operating expenses as they were considered deferred litigation settlement. The Company recorded $0.3 million and </w:t>
      </w:r>
      <w:r>
        <w:rPr>
          <w:rFonts w:ascii="Times New Roman;serif" w:hAnsi="Times New Roman;serif"/>
          <w:b w:val="false"/>
          <w:color w:val="000000"/>
          <w:sz w:val="20"/>
          <w:shd w:fill="FFFFFF" w:val="clear"/>
        </w:rPr>
        <w:t>$0.8 million</w:t>
      </w:r>
      <w:r>
        <w:rPr>
          <w:color w:val="000000"/>
        </w:rPr>
        <w:t xml:space="preserve"> </w:t>
      </w:r>
      <w:r>
        <w:rPr>
          <w:rFonts w:ascii="Times New Roman;serif" w:hAnsi="Times New Roman;serif"/>
          <w:b w:val="false"/>
          <w:color w:val="000000"/>
          <w:sz w:val="20"/>
        </w:rPr>
        <w:t xml:space="preserve">of interest expense for the three and nine months ended September 30, 2025, respectively, and $0.1 million and $0.5 million of interest expense for the three and nine months ended September 30, 2024, respectively, to accrete the present value discount of the payment streams over the payment period of ten years from the settlement date using the effective interest rate method.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4485"/>
                <wp:effectExtent l="0" t="0" r="0" b="0"/>
                <wp:wrapNone/>
                <wp:docPr id="23" name="Frame2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Company made a one-time upfront payment and issued 2,087,545 shares of the Company’s common stock to BD during the year ended December 31, 2020. The Company recorded legal settlement liability on the consolidated balance sheets of $10.3 million and $10.7 million as of September 30, 2025 and December 31, 2024,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components of the legal settlement liability (in thousands):</w:t>
      </w:r>
    </w:p>
    <w:tbl>
      <w:tblPr>
        <w:tblW w:w="5200" w:type="dxa"/>
        <w:jc w:val="left"/>
        <w:tblInd w:w="0" w:type="dxa"/>
        <w:tblLayout w:type="fixed"/>
        <w:tblCellMar>
          <w:top w:w="28" w:type="dxa"/>
          <w:left w:w="28" w:type="dxa"/>
          <w:bottom w:w="28" w:type="dxa"/>
          <w:right w:w="28" w:type="dxa"/>
        </w:tblCellMar>
      </w:tblPr>
      <w:tblGrid>
        <w:gridCol w:w="937"/>
        <w:gridCol w:w="823"/>
        <w:gridCol w:w="834"/>
        <w:gridCol w:w="231"/>
        <w:gridCol w:w="790"/>
        <w:gridCol w:w="119"/>
        <w:gridCol w:w="109"/>
        <w:gridCol w:w="109"/>
        <w:gridCol w:w="109"/>
        <w:gridCol w:w="221"/>
        <w:gridCol w:w="757"/>
        <w:gridCol w:w="161"/>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liability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legal settlement liability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10,335 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12.    Debt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November 7, 2022, Cytek Wuxi entered a fixed asset loan agreement with Bank of Communications, China (the “Wuxi Loan”). The Wuxi Loan was denominated in Chinese renminbi and collateralized by Cytek Wuxi’s cash deposit to the bank. The deposit was in a separate account with Cytek Wuxi’s name, but the use of such account was restricted. The Company presented the deposit as restricted cash on the audited consolidated balance sheets as of December 31, 2022. In April 2023, the restricted cash account was released. The purchased building in Wuxi serves as collateral for the Wuxi Loan. The total loan amount was $2.9 million and the loan term is five years. As of September 30, 2025, the total outstanding loan amount is</w:t>
      </w:r>
      <w:r>
        <w:rPr>
          <w:color w:val="000000"/>
          <w:shd w:fill="FFFFFF" w:val="clear"/>
        </w:rPr>
        <w:t xml:space="preserve"> </w:t>
      </w:r>
      <w:r>
        <w:rPr>
          <w:rFonts w:ascii="Times New Roman;serif" w:hAnsi="Times New Roman;serif"/>
          <w:b w:val="false"/>
          <w:color w:val="000000"/>
          <w:sz w:val="20"/>
          <w:shd w:fill="FFFFFF" w:val="clear"/>
        </w:rPr>
        <w:t>$1.2 million. The current portion of the loan, $0.6 million, is included in other current liabilities. As of September 30, 2025, the interest rate on the loan was 3.8%, which is based o</w:t>
      </w:r>
      <w:r>
        <w:rPr>
          <w:rFonts w:ascii="Times New Roman;serif" w:hAnsi="Times New Roman;serif"/>
          <w:b w:val="false"/>
          <w:color w:val="000000"/>
          <w:sz w:val="20"/>
        </w:rPr>
        <w:t>n the five-year Loan Prime Rate (LPR) plus a margin of 0.2%.</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October 24, 2024, the Company signed a maximum credit agreement with the Bank of China, Wuxi Branch (the “Bank of China Maximum Credit Agreement), for 37 million Chinese renminbi (approximately US $5.2 million), which was renewed on August 26, 2025. This credit is collateralized by Cytek Wuxi’s cash deposit to the bank. The 37 million Chinese renminbi (approximately US $5.2 million) can be borrowed, as needed, as a short-term loan for normal business operation requirements. Under the renewed Bank of China Maximum Credit Agreement, the line of credit is available until August 14, 2026. During the fourth quarter of 2024, the Company withdrew 20 million Chinese renminbi (approximately US $2.8 million) to support its operational needs. </w:t>
      </w:r>
      <w:r>
        <w:rPr>
          <w:rFonts w:ascii="Times New Roman;serif" w:hAnsi="Times New Roman;serif"/>
          <w:b w:val="false"/>
          <w:color w:val="000000"/>
          <w:sz w:val="20"/>
          <w:shd w:fill="FFFFFF" w:val="clear"/>
        </w:rPr>
        <w:t xml:space="preserve">During the third quarter of 2025, the Company withdrew </w:t>
      </w:r>
      <w:r>
        <w:rPr>
          <w:rFonts w:ascii="Times New Roman;serif" w:hAnsi="Times New Roman;serif"/>
          <w:b w:val="false"/>
          <w:color w:val="000000"/>
          <w:sz w:val="20"/>
        </w:rPr>
        <w:t>15</w:t>
      </w:r>
      <w:r>
        <w:rPr>
          <w:color w:val="000000"/>
          <w:shd w:fill="FFFFFF" w:val="clear"/>
        </w:rPr>
        <w:t xml:space="preserve"> </w:t>
      </w:r>
      <w:r>
        <w:rPr>
          <w:rFonts w:ascii="Times New Roman;serif" w:hAnsi="Times New Roman;serif"/>
          <w:b w:val="false"/>
          <w:color w:val="000000"/>
          <w:sz w:val="20"/>
          <w:shd w:fill="FFFFFF" w:val="clear"/>
        </w:rPr>
        <w:t xml:space="preserve">million Chinese renminbi (approximately US </w:t>
      </w:r>
      <w:r>
        <w:rPr>
          <w:rFonts w:ascii="Times New Roman;serif" w:hAnsi="Times New Roman;serif"/>
          <w:b w:val="false"/>
          <w:color w:val="000000"/>
          <w:sz w:val="20"/>
        </w:rPr>
        <w:t>$2.1</w:t>
      </w:r>
      <w:r>
        <w:rPr>
          <w:color w:val="000000"/>
          <w:shd w:fill="FFFFFF" w:val="clear"/>
        </w:rPr>
        <w:t xml:space="preserve"> </w:t>
      </w:r>
      <w:r>
        <w:rPr>
          <w:rFonts w:ascii="Times New Roman;serif" w:hAnsi="Times New Roman;serif"/>
          <w:b w:val="false"/>
          <w:color w:val="000000"/>
          <w:sz w:val="20"/>
          <w:shd w:fill="FFFFFF" w:val="clear"/>
        </w:rPr>
        <w:t>million) to support its operational needs. The remaining balance as of September 30, 2025 was 2 million Chinese renminbi (approximately US $0.3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6, 2025, Cytek (Shanghai) Biosciences Co., Ltd. signed a maximum credit agreement with the Bank of Ningbo for 10 million Chinese renminbi (approximately US $1.4 million). Collateral for the credit was provided to the bank by Cytek Wuxi. In January and March of 2025, Cytek (Shanghai) Biosciences Co., Ltd. withdrew 2.0 million Chinese renminbi (approximately US $0.3 million) and 3.0 million Chinese renminbi (approximately US $0.45 million), respectively, to support its operational needs. The interest rate was at 3.1% and 2.55%, respectively, and the lines of credit are due on January 9 and March 3, 2026, respectively. As of September 30, 2025, the outstanding balance was 5 million Chinese renminbi (approximately US $0.75 million).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June 11, 2025</w:t>
      </w:r>
      <w:r>
        <w:rPr>
          <w:rFonts w:ascii="Times New Roman;serif" w:hAnsi="Times New Roman;serif"/>
          <w:b w:val="false"/>
          <w:color w:val="000000"/>
          <w:sz w:val="20"/>
          <w:shd w:fill="FFFFFF" w:val="clear"/>
        </w:rPr>
        <w:t xml:space="preserve">, Cytek Wuxi entered into a </w:t>
      </w:r>
      <w:r>
        <w:rPr>
          <w:rFonts w:ascii="Times New Roman;serif" w:hAnsi="Times New Roman;serif"/>
          <w:b w:val="false"/>
          <w:color w:val="000000"/>
          <w:sz w:val="20"/>
        </w:rPr>
        <w:t xml:space="preserve">one-year </w:t>
      </w:r>
      <w:r>
        <w:rPr>
          <w:rFonts w:ascii="Times New Roman;serif" w:hAnsi="Times New Roman;serif"/>
          <w:b w:val="false"/>
          <w:color w:val="000000"/>
          <w:sz w:val="20"/>
          <w:shd w:fill="FFFFFF" w:val="clear"/>
        </w:rPr>
        <w:t xml:space="preserve">loan agreement with Bank of Communications, China. The loan was denominated in Chinese renminbi and collateralized by the building purchased by Cytek Wuxi in November 2023. The total loan amount was 10 million Chinese renminbi (approximately US $1.4 million) and the interest rate was fixed at </w:t>
      </w:r>
      <w:r>
        <w:rPr>
          <w:rFonts w:ascii="Times New Roman;serif" w:hAnsi="Times New Roman;serif"/>
          <w:b w:val="false"/>
          <w:color w:val="000000"/>
          <w:sz w:val="20"/>
        </w:rPr>
        <w:t>2.8%</w:t>
      </w:r>
      <w:r>
        <w:rPr>
          <w:rFonts w:ascii="Times New Roman;serif" w:hAnsi="Times New Roman;serif"/>
          <w:b w:val="false"/>
          <w:color w:val="000000"/>
          <w:sz w:val="20"/>
          <w:shd w:fill="FFFFFF" w:val="clear"/>
        </w:rPr>
        <w:t xml:space="preserve">. The loan effective term is </w:t>
      </w:r>
      <w:r>
        <w:rPr>
          <w:rFonts w:ascii="Times New Roman;serif" w:hAnsi="Times New Roman;serif"/>
          <w:b w:val="false"/>
          <w:color w:val="000000"/>
          <w:sz w:val="20"/>
        </w:rPr>
        <w:t>June 11, 2025</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June 10, 2026</w:t>
      </w:r>
      <w:r>
        <w:rPr>
          <w:rFonts w:ascii="Times New Roman;serif" w:hAnsi="Times New Roman;serif"/>
          <w:b w:val="false"/>
          <w:color w:val="000000"/>
          <w:sz w:val="20"/>
          <w:shd w:fill="FFFFFF" w:val="clear"/>
        </w:rPr>
        <w:t>. The interest expenses are paid on a monthly basis. The loan was used for operating expenses. The total line of credit loan of 10 million Chinese renminbi (approximately US $1.4 million) is included in other current liabilities.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13.    Common stock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As of September 30, 2025, </w:t>
      </w:r>
      <w:r>
        <w:rPr>
          <w:rFonts w:ascii="Times New Roman;serif" w:hAnsi="Times New Roman;serif"/>
          <w:b w:val="false"/>
          <w:color w:val="000000"/>
          <w:sz w:val="20"/>
        </w:rPr>
        <w:t>the Company has authorized 1,000,000,000 shares of common stock at $0.001 par value. Holders of common stock are entitled to one vote per share, and to receive dividends, only and if declared by the Company’s Board of Directors (the “Board”)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4485"/>
                <wp:effectExtent l="0" t="0" r="0" b="0"/>
                <wp:wrapNone/>
                <wp:docPr id="24" name="Frame2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shd w:fill="FFFFFF" w:val="clear"/>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filing by the Company of the Registration Statement on August 26, 2022, the Company also entered into the “2022 Sales Agreement” with Piper as sales agent to sell from time to time up to $150 million of the Company’s common stock through an “at-the-market” offering program as defined in Rule 415 promulgated under the Securities Act.</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the termination of the 2022 Sales Agreement in August 2025, the Company had not made any sales of common stock pursuant to the 2022 Sales Agreement. Accordingly, $0.7 million in transaction expenses recorded as prepaid offering costs have been expensed and recorded as of September 30, 2025.</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17, 2023, the Board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$44.2 million at an average price per share of $6.66. The commissions costs related with the repurchases were $0.1 million for both the three months and twelve months ended December 31, 2023. The repurchase program was used to return capital to shareholders and to minimize the dilutive impact of stock options and other stock-based awards. The repurchased shares of common stock were retired. The repurchase program expired on December 31, 2023.</w:t>
      </w:r>
    </w:p>
    <w:p>
      <w:pPr>
        <w:pStyle w:val="TextBody"/>
        <w:bidi w:val="0"/>
        <w:spacing w:lineRule="auto" w:line="288" w:before="120" w:after="283"/>
        <w:ind w:left="0" w:right="0" w:firstLine="540"/>
        <w:jc w:val="both"/>
        <w:rPr>
          <w:shd w:fill="FFFFFF" w:val="clear"/>
        </w:rPr>
      </w:pPr>
      <w:r>
        <w:rPr>
          <w:rFonts w:ascii="Times New Roman;serif" w:hAnsi="Times New Roman;serif"/>
          <w:b w:val="false"/>
          <w:color w:val="000000"/>
          <w:sz w:val="20"/>
          <w:shd w:fill="FFFFFF" w:val="clear"/>
        </w:rPr>
        <w:t>On June 6, 2024, the Board approved a program for the repurchase by the Company of up to an aggregate of $50 million of its outstanding common stock. During the three months ended December 31, 2024, the Company repurchased 1,332,950 shares of its outstanding common stock for a total cost of approximately $7.0 million</w:t>
      </w:r>
      <w:r>
        <w:rPr>
          <w:color w:val="000000"/>
          <w:shd w:fill="FFFFFF" w:val="clear"/>
        </w:rPr>
        <w:t xml:space="preserve"> </w:t>
      </w:r>
      <w:r>
        <w:rPr>
          <w:rFonts w:ascii="Times New Roman;serif" w:hAnsi="Times New Roman;serif"/>
          <w:b w:val="false"/>
          <w:color w:val="000000"/>
          <w:sz w:val="20"/>
          <w:shd w:fill="FFFFFF" w:val="clear"/>
        </w:rPr>
        <w:t>at an average price per share of $5.21. During the twelve months ended December 31, 2024, the Company repurchased 3,971,624</w:t>
      </w:r>
      <w:r>
        <w:rPr>
          <w:color w:val="000000"/>
          <w:shd w:fill="FFFFFF" w:val="clear"/>
        </w:rPr>
        <w:t xml:space="preserve"> </w:t>
      </w:r>
      <w:r>
        <w:rPr>
          <w:rFonts w:ascii="Times New Roman;serif" w:hAnsi="Times New Roman;serif"/>
          <w:b w:val="false"/>
          <w:color w:val="000000"/>
          <w:sz w:val="20"/>
          <w:shd w:fill="FFFFFF" w:val="clear"/>
        </w:rPr>
        <w:t xml:space="preserve">shares of its outstanding common stock for a total cost of approximately $21.6 million at an average price per share of $5.41. The repurchase program was used to return capital to shareholders and to minimize the dilutive impact of stock options and other stock-based awards. The repurchased shares of common stock were retired. The repurchase program expired on December 31, 2024. </w:t>
      </w:r>
    </w:p>
    <w:p>
      <w:pPr>
        <w:pStyle w:val="TextBody"/>
        <w:bidi w:val="0"/>
        <w:spacing w:lineRule="auto" w:line="276" w:before="120" w:after="283"/>
        <w:ind w:left="0" w:right="0" w:firstLine="540"/>
        <w:jc w:val="both"/>
        <w:rPr>
          <w:shd w:fill="FFFFFF" w:val="clear"/>
        </w:rPr>
      </w:pPr>
      <w:r>
        <w:rPr>
          <w:rFonts w:ascii="Times New Roman;serif" w:hAnsi="Times New Roman;serif"/>
          <w:b w:val="false"/>
          <w:color w:val="000000"/>
          <w:sz w:val="20"/>
          <w:shd w:fill="FFFFFF" w:val="clear"/>
        </w:rPr>
        <w:t>On December 11, 2024, the Board approved a new program for the repurchase by the Company of up to an aggregate of</w:t>
      </w:r>
      <w:r>
        <w:rPr>
          <w:color w:val="000000"/>
          <w:shd w:fill="FFFFFF" w:val="clear"/>
        </w:rPr>
        <w:t xml:space="preserve"> </w:t>
      </w:r>
      <w:r>
        <w:rPr>
          <w:rFonts w:ascii="Times New Roman;serif" w:hAnsi="Times New Roman;serif"/>
          <w:b w:val="false"/>
          <w:color w:val="000000"/>
          <w:sz w:val="20"/>
          <w:shd w:fill="FFFFFF" w:val="clear"/>
        </w:rPr>
        <w:t>$50 million of its outstanding common stock commencing January 1, 2025. During the nine months ended September 30, 2025, the Company repurchased 3,292,588 shares of its outstanding common stock for a total cost of approximately $15.1 million at an average price per share of $4.56. As of September 30, 2025, the Company had a remaining authorized amount of $35.0 million</w:t>
      </w:r>
      <w:r>
        <w:rPr>
          <w:color w:val="000000"/>
          <w:shd w:fill="FFFFFF" w:val="clear"/>
        </w:rPr>
        <w:t xml:space="preserve"> </w:t>
      </w:r>
      <w:r>
        <w:rPr>
          <w:rFonts w:ascii="Times New Roman;serif" w:hAnsi="Times New Roman;serif"/>
          <w:b w:val="false"/>
          <w:color w:val="000000"/>
          <w:sz w:val="20"/>
          <w:shd w:fill="FFFFFF" w:val="clear"/>
        </w:rPr>
        <w:t xml:space="preserve">in the repurchase program. The repurchase program is used to return capital to shareholders and to minimize the dilutive impact of stock options and other stock-based awards. The repurchased shares of common stock were retired. The repurchase program will expire on December 31, 2025. </w:t>
      </w:r>
    </w:p>
    <w:p>
      <w:pPr>
        <w:pStyle w:val="TextBody"/>
        <w:bidi w:val="0"/>
        <w:spacing w:lineRule="auto" w:line="276" w:before="120" w:after="283"/>
        <w:ind w:left="0" w:right="0" w:firstLine="540"/>
        <w:jc w:val="both"/>
        <w:rPr>
          <w:shd w:fill="FFFFFF" w:val="clear"/>
        </w:rPr>
      </w:pPr>
      <w:r>
        <w:rPr>
          <w:rFonts w:ascii="Times New Roman;serif" w:hAnsi="Times New Roman;serif"/>
          <w:b w:val="false"/>
          <w:color w:val="000000"/>
          <w:sz w:val="20"/>
          <w:shd w:fill="FFFFFF" w:val="clear"/>
        </w:rPr>
        <w:t>Under these three repurchase programs, the Company has purchased an aggregate of 13,877,992 shares of its outstanding common stock for a total cost of approximately $80.5 million at an average price per share of $5.8.</w:t>
      </w:r>
      <w:r>
        <w:rPr>
          <w:color w:val="000000"/>
          <w:shd w:fill="FFFFFF" w:val="clear"/>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16, 2022, the Inflation Reduction Act of 2022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September 30, 2025, the Company accrued $0.1 million in excise taxes related with its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14.    Stock-based compensation plan </w:t>
      </w:r>
    </w:p>
    <w:p>
      <w:pPr>
        <w:pStyle w:val="TextBody"/>
        <w:bidi w:val="0"/>
        <w:spacing w:lineRule="auto" w:line="288" w:before="120" w:after="283"/>
        <w:jc w:val="both"/>
        <w:rPr>
          <w:shd w:fill="FFFFFF" w:val="clear"/>
        </w:rPr>
      </w:pPr>
      <w:r>
        <w:rPr>
          <w:rFonts w:ascii="Times New Roman;serif" w:hAnsi="Times New Roman;serif"/>
          <w:b w:val="false"/>
          <w:i/>
          <w:color w:val="000000"/>
          <w:sz w:val="20"/>
          <w:shd w:fill="FFFFFF" w:val="clear"/>
        </w:rPr>
        <w:t>Stock Plans</w:t>
      </w:r>
      <w:r>
        <w:rPr>
          <w:color w:val="000000"/>
          <w:shd w:fill="FFFFFF" w:val="clear"/>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the Company had three stock-based compensation plans (the “Plans”) which are described below.</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2015 Equity Incentive Plan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March 2015, the Board approved the 2015 Equity Incentive Plan (the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4485"/>
                <wp:effectExtent l="0" t="0" r="0" b="0"/>
                <wp:wrapNone/>
                <wp:docPr id="25" name="Frame2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2021 Equity Incentive Plan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September 30, 2025, the total number of shares of common stock available for issuance under the 2021 Plan was </w:t>
      </w:r>
      <w:r>
        <w:rPr>
          <w:rFonts w:ascii="Times New Roman;serif" w:hAnsi="Times New Roman;serif"/>
          <w:b w:val="false"/>
          <w:color w:val="000000"/>
          <w:sz w:val="20"/>
          <w:shd w:fill="FFFFFF" w:val="clear"/>
        </w:rPr>
        <w:t>23,511,494</w:t>
      </w:r>
      <w:r>
        <w:rPr>
          <w:color w:val="000000"/>
        </w:rPr>
        <w:t xml:space="preserve"> </w:t>
      </w:r>
      <w:r>
        <w:rPr>
          <w:rFonts w:ascii="Times New Roman;serif" w:hAnsi="Times New Roman;serif"/>
          <w:b w:val="false"/>
          <w:color w:val="000000"/>
          <w:sz w:val="20"/>
        </w:rPr>
        <w:t>shares.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2021 Employee Stock Purchase Plan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September 30, 2025, the total number of shares of common stock available for issuance under the ESPP was </w:t>
      </w:r>
      <w:r>
        <w:rPr>
          <w:rFonts w:ascii="Times New Roman;serif" w:hAnsi="Times New Roman;serif"/>
          <w:b w:val="false"/>
          <w:color w:val="000000"/>
          <w:sz w:val="20"/>
          <w:shd w:fill="FFFFFF" w:val="clear"/>
        </w:rPr>
        <w:t xml:space="preserve">6,150,670 </w:t>
      </w:r>
      <w:r>
        <w:rPr>
          <w:rFonts w:ascii="Times New Roman;serif" w:hAnsi="Times New Roman;serif"/>
          <w:b w:val="false"/>
          <w:color w:val="000000"/>
          <w:sz w:val="20"/>
        </w:rPr>
        <w:t>shares.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 valuation assumptions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stock option activity during the periods indicated (in thousands except share and per share data): </w:t>
      </w:r>
    </w:p>
    <w:tbl>
      <w:tblPr>
        <w:tblW w:w="10205" w:type="dxa"/>
        <w:jc w:val="left"/>
        <w:tblInd w:w="0" w:type="dxa"/>
        <w:tblLayout w:type="fixed"/>
        <w:tblCellMar>
          <w:top w:w="28" w:type="dxa"/>
          <w:left w:w="28" w:type="dxa"/>
          <w:bottom w:w="28" w:type="dxa"/>
          <w:right w:w="28" w:type="dxa"/>
        </w:tblCellMar>
      </w:tblPr>
      <w:tblGrid>
        <w:gridCol w:w="815"/>
        <w:gridCol w:w="659"/>
        <w:gridCol w:w="664"/>
        <w:gridCol w:w="512"/>
        <w:gridCol w:w="512"/>
        <w:gridCol w:w="514"/>
        <w:gridCol w:w="109"/>
        <w:gridCol w:w="109"/>
        <w:gridCol w:w="109"/>
        <w:gridCol w:w="467"/>
        <w:gridCol w:w="1135"/>
        <w:gridCol w:w="243"/>
        <w:gridCol w:w="109"/>
        <w:gridCol w:w="109"/>
        <w:gridCol w:w="109"/>
        <w:gridCol w:w="752"/>
        <w:gridCol w:w="752"/>
        <w:gridCol w:w="753"/>
        <w:gridCol w:w="109"/>
        <w:gridCol w:w="109"/>
        <w:gridCol w:w="109"/>
        <w:gridCol w:w="279"/>
        <w:gridCol w:w="957"/>
        <w:gridCol w:w="210"/>
      </w:tblGrid>
      <w:tr>
        <w:trPr/>
        <w:tc>
          <w:tcPr>
            <w:tcW w:w="8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Number of options outstanding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7,764,457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10,810 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5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5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5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9,268,683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September 30, 2025</w:t>
            </w:r>
          </w:p>
        </w:tc>
        <w:tc>
          <w:tcPr>
            <w:tcW w:w="153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5,799,190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of options granted during the three months ended September 30, 2025 was $2.17 per share. Options were not granted during the three months ended September 30, 2024. The weighted-average grant date fair value of options granted during the nine months ended September 30, 2025 and 2024 were $2.67 and $4.61 per share,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4485"/>
                <wp:effectExtent l="0" t="0" r="0" b="0"/>
                <wp:wrapNone/>
                <wp:docPr id="26" name="Frame2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$12.3 million of unrecognized stock-based compensation expense related to unvested stock options as of September 30, 2025. The unrecognized stock-based compensation expense is estimated to be recognized over a period of 2.71 years as of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uses authorized and unissued shares to satisfy option exercises.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and the estimated fair value of the Company’s common stock as of September 30,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RSU Awards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RSU awards activity during the periods indicated: </w:t>
      </w:r>
    </w:p>
    <w:tbl>
      <w:tblPr>
        <w:tblW w:w="10205" w:type="dxa"/>
        <w:jc w:val="left"/>
        <w:tblInd w:w="0" w:type="dxa"/>
        <w:tblLayout w:type="fixed"/>
        <w:tblCellMar>
          <w:top w:w="28" w:type="dxa"/>
          <w:left w:w="28" w:type="dxa"/>
          <w:bottom w:w="28" w:type="dxa"/>
          <w:right w:w="28" w:type="dxa"/>
        </w:tblCellMar>
      </w:tblPr>
      <w:tblGrid>
        <w:gridCol w:w="677"/>
        <w:gridCol w:w="569"/>
        <w:gridCol w:w="572"/>
        <w:gridCol w:w="334"/>
        <w:gridCol w:w="334"/>
        <w:gridCol w:w="341"/>
        <w:gridCol w:w="109"/>
        <w:gridCol w:w="109"/>
        <w:gridCol w:w="109"/>
        <w:gridCol w:w="564"/>
        <w:gridCol w:w="1369"/>
        <w:gridCol w:w="293"/>
        <w:gridCol w:w="109"/>
        <w:gridCol w:w="109"/>
        <w:gridCol w:w="109"/>
        <w:gridCol w:w="800"/>
        <w:gridCol w:w="800"/>
        <w:gridCol w:w="802"/>
        <w:gridCol w:w="109"/>
        <w:gridCol w:w="109"/>
        <w:gridCol w:w="109"/>
        <w:gridCol w:w="342"/>
        <w:gridCol w:w="1170"/>
        <w:gridCol w:w="257"/>
      </w:tblGrid>
      <w:tr>
        <w:trPr/>
        <w:tc>
          <w:tcPr>
            <w:tcW w:w="67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December 31, 2024</w:t>
            </w:r>
          </w:p>
        </w:tc>
        <w:tc>
          <w:tcPr>
            <w:tcW w:w="1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4,220,878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27,393 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2,498,586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balance at September 30, 2025</w:t>
            </w:r>
          </w:p>
        </w:tc>
        <w:tc>
          <w:tcPr>
            <w:tcW w:w="10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4,971,712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As of September 30, 2025, </w:t>
      </w:r>
      <w:r>
        <w:rPr>
          <w:rFonts w:ascii="Times New Roman;serif" w:hAnsi="Times New Roman;serif"/>
          <w:b w:val="false"/>
          <w:color w:val="000000"/>
          <w:sz w:val="20"/>
          <w:shd w:fill="FFFFFF" w:val="clear"/>
        </w:rPr>
        <w:t xml:space="preserve">$28.4 million </w:t>
      </w:r>
      <w:r>
        <w:rPr>
          <w:rFonts w:ascii="Times New Roman;serif" w:hAnsi="Times New Roman;serif"/>
          <w:b w:val="false"/>
          <w:color w:val="000000"/>
          <w:sz w:val="20"/>
        </w:rPr>
        <w:t>of unrecognized stock-based compensation expense related to unvested RSU awards. The unrecognized stock-based compensation expense is estimated to be recognized over a weighted-average period of approximately 2.7 years.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expense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allocation of stock-based compensation expense related to the Company’s stock-based awards (in thousands): </w:t>
      </w:r>
    </w:p>
    <w:tbl>
      <w:tblPr>
        <w:tblW w:w="8298" w:type="dxa"/>
        <w:jc w:val="left"/>
        <w:tblInd w:w="0" w:type="dxa"/>
        <w:tblLayout w:type="fixed"/>
        <w:tblCellMar>
          <w:top w:w="28" w:type="dxa"/>
          <w:left w:w="28" w:type="dxa"/>
          <w:bottom w:w="28" w:type="dxa"/>
          <w:right w:w="28" w:type="dxa"/>
        </w:tblCellMar>
      </w:tblPr>
      <w:tblGrid>
        <w:gridCol w:w="993"/>
        <w:gridCol w:w="868"/>
        <w:gridCol w:w="884"/>
        <w:gridCol w:w="253"/>
        <w:gridCol w:w="739"/>
        <w:gridCol w:w="130"/>
        <w:gridCol w:w="130"/>
        <w:gridCol w:w="130"/>
        <w:gridCol w:w="130"/>
        <w:gridCol w:w="253"/>
        <w:gridCol w:w="739"/>
        <w:gridCol w:w="130"/>
        <w:gridCol w:w="109"/>
        <w:gridCol w:w="109"/>
        <w:gridCol w:w="109"/>
        <w:gridCol w:w="223"/>
        <w:gridCol w:w="762"/>
        <w:gridCol w:w="115"/>
        <w:gridCol w:w="115"/>
        <w:gridCol w:w="115"/>
        <w:gridCol w:w="115"/>
        <w:gridCol w:w="223"/>
        <w:gridCol w:w="762"/>
        <w:gridCol w:w="162"/>
      </w:tblGrid>
      <w:tr>
        <w:trPr/>
        <w:tc>
          <w:tcPr>
            <w:tcW w:w="99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19,059 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19,845 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weighted-average valuation assumptions used in determining the fair value of employee stock options: </w:t>
      </w:r>
    </w:p>
    <w:tbl>
      <w:tblPr>
        <w:tblW w:w="7638" w:type="dxa"/>
        <w:jc w:val="left"/>
        <w:tblInd w:w="0" w:type="dxa"/>
        <w:tblLayout w:type="fixed"/>
        <w:tblCellMar>
          <w:top w:w="28" w:type="dxa"/>
          <w:left w:w="28" w:type="dxa"/>
          <w:bottom w:w="28" w:type="dxa"/>
          <w:right w:w="28" w:type="dxa"/>
        </w:tblCellMar>
      </w:tblPr>
      <w:tblGrid>
        <w:gridCol w:w="755"/>
        <w:gridCol w:w="663"/>
        <w:gridCol w:w="666"/>
        <w:gridCol w:w="220"/>
        <w:gridCol w:w="220"/>
        <w:gridCol w:w="548"/>
        <w:gridCol w:w="220"/>
        <w:gridCol w:w="220"/>
        <w:gridCol w:w="220"/>
        <w:gridCol w:w="220"/>
        <w:gridCol w:w="220"/>
        <w:gridCol w:w="548"/>
        <w:gridCol w:w="109"/>
        <w:gridCol w:w="109"/>
        <w:gridCol w:w="109"/>
        <w:gridCol w:w="209"/>
        <w:gridCol w:w="209"/>
        <w:gridCol w:w="521"/>
        <w:gridCol w:w="209"/>
        <w:gridCol w:w="209"/>
        <w:gridCol w:w="209"/>
        <w:gridCol w:w="209"/>
        <w:gridCol w:w="209"/>
        <w:gridCol w:w="60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4485"/>
                <wp:effectExtent l="0" t="0" r="0" b="0"/>
                <wp:wrapNone/>
                <wp:docPr id="27" name="Frame2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used in estimating the fair value of the ESPP for the current offering period using the Black-Scholes option-pricing model:</w:t>
      </w:r>
    </w:p>
    <w:tbl>
      <w:tblPr>
        <w:tblW w:w="7638" w:type="dxa"/>
        <w:jc w:val="left"/>
        <w:tblInd w:w="0" w:type="dxa"/>
        <w:tblLayout w:type="fixed"/>
        <w:tblCellMar>
          <w:top w:w="28" w:type="dxa"/>
          <w:left w:w="28" w:type="dxa"/>
          <w:bottom w:w="28" w:type="dxa"/>
          <w:right w:w="28" w:type="dxa"/>
        </w:tblCellMar>
      </w:tblPr>
      <w:tblGrid>
        <w:gridCol w:w="755"/>
        <w:gridCol w:w="663"/>
        <w:gridCol w:w="666"/>
        <w:gridCol w:w="220"/>
        <w:gridCol w:w="220"/>
        <w:gridCol w:w="548"/>
        <w:gridCol w:w="220"/>
        <w:gridCol w:w="220"/>
        <w:gridCol w:w="220"/>
        <w:gridCol w:w="220"/>
        <w:gridCol w:w="220"/>
        <w:gridCol w:w="548"/>
        <w:gridCol w:w="109"/>
        <w:gridCol w:w="109"/>
        <w:gridCol w:w="109"/>
        <w:gridCol w:w="209"/>
        <w:gridCol w:w="209"/>
        <w:gridCol w:w="521"/>
        <w:gridCol w:w="209"/>
        <w:gridCol w:w="209"/>
        <w:gridCol w:w="209"/>
        <w:gridCol w:w="209"/>
        <w:gridCol w:w="209"/>
        <w:gridCol w:w="60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15.    Employee benefit plan </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401(k) retirement savings plan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currently maintains a 401(k) retirement savings plan that covers substantially all of its employees (“401(k) Plan”). The 401(k) Plan permits voluntary contributions by employees, a portion of which are matched by the Company. The Company’s contributions to the 401(k) Plan were approximately </w:t>
      </w:r>
      <w:r>
        <w:rPr>
          <w:rFonts w:ascii="Times New Roman;serif" w:hAnsi="Times New Roman;serif"/>
          <w:b w:val="false"/>
          <w:color w:val="000000"/>
          <w:sz w:val="20"/>
          <w:shd w:fill="FFFFFF" w:val="clear"/>
        </w:rPr>
        <w:t>$0.5 million and $1.4</w:t>
      </w:r>
      <w:r>
        <w:rPr>
          <w:color w:val="000000"/>
        </w:rPr>
        <w:t xml:space="preserve"> </w:t>
      </w:r>
      <w:r>
        <w:rPr>
          <w:rFonts w:ascii="Times New Roman;serif" w:hAnsi="Times New Roman;serif"/>
          <w:b w:val="false"/>
          <w:color w:val="000000"/>
          <w:sz w:val="20"/>
        </w:rPr>
        <w:t xml:space="preserve">million for the three and nine months ended September 30, 2025, respectively. The Company’s contributions to the 401(k) Plan were approximately $0.4 million and $1.4 million for the three and nine months ended September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16.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statements of operations and comprehensive (loss) income. Accrued interest and penalties, if any, are included in accrued expenses in the consolidated balance sheet.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Company’s effective income tax rate from continuing operations was 13.0% and 2.1% for the nine months ended September 30, 2025 and 2024, respectively. The Company’s effective income tax rate for the nine months ended September 30, 2025 </w:t>
      </w:r>
      <w:r>
        <w:rPr>
          <w:rFonts w:ascii="Times New Roman;serif" w:hAnsi="Times New Roman;serif"/>
          <w:b w:val="false"/>
          <w:color w:val="000000"/>
          <w:sz w:val="20"/>
        </w:rPr>
        <w:t xml:space="preserve">is lower than the U.S. federal statutory tax rate due to the impact of non-deductible stock-based compensation and the Company's mix of earnings between various taxing jurisdictions, partially offset by a deduction for stock compensation and federal and state research credits. The effective income tax rate for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September 30, 2024 was lower than the US federal statutory tax rate primarily due to state income taxes, non-deductible stock-based compensation, the Company's mix of earnings between various taxing jurisdictions, partially offset by a deduction for foreign-sourced revenue, and federal and state research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4485"/>
                <wp:effectExtent l="0" t="0" r="0" b="0"/>
                <wp:wrapNone/>
                <wp:docPr id="28" name="Frame2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pStyle w:val="TextBody"/>
        <w:bidi w:val="0"/>
        <w:spacing w:lineRule="auto" w:line="288" w:before="120" w:after="283"/>
        <w:ind w:left="0" w:right="0" w:firstLine="540"/>
        <w:jc w:val="left"/>
        <w:rPr/>
      </w:pPr>
      <w:r>
        <w:rPr>
          <w:rFonts w:ascii="Times New Roman;serif" w:hAnsi="Times New Roman;serif"/>
          <w:b w:val="false"/>
          <w:color w:val="000000"/>
          <w:sz w:val="20"/>
          <w:shd w:fill="FFFFFF" w:val="clear"/>
        </w:rPr>
        <w:t xml:space="preserve">On July 4, 2025, legislation commonly referred to as the One Big Beautiful Bill Act (“OBBBA”) was signed into law in the United States. The OBBBA includes significant changes to the U.S. </w:t>
      </w:r>
      <w:r>
        <w:rPr>
          <w:rFonts w:ascii="Times New Roman;serif" w:hAnsi="Times New Roman;serif"/>
          <w:b w:val="false"/>
          <w:color w:val="000000"/>
          <w:sz w:val="20"/>
        </w:rPr>
        <w:t>Internal Revenue Code of 1986, as amended</w:t>
      </w:r>
      <w:r>
        <w:rPr>
          <w:rFonts w:ascii="Times New Roman;serif" w:hAnsi="Times New Roman;serif"/>
          <w:b w:val="false"/>
          <w:color w:val="000000"/>
          <w:sz w:val="20"/>
          <w:shd w:fill="FFFFFF" w:val="clear"/>
        </w:rPr>
        <w:t xml:space="preserve">, including restoration of immediate deductions of domestic research and experimental expenditures and reinstatement of 100% bonus depreciation for qualifying property. The Company continues to evaluate the impact of the OBBBA on its consolidated financial statements, including the effects on its deferred tax assets and liabilities. The provisions of the OBBBA provide that the Company is no longer required to capitalize domestic research and development expenses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2025, which has resulted in the Company forecasting a taxable loss for the fiscal year and a corresponding elimination of taxpayer favorable permanent deductions for Global Intangible Low-Taxed Income and Foreign Derived Intangible Income, causing an increase in the effective tax rate. In addition, there will be an impact in future years due to changes in these two deductions that are not expected to have a material impact to the Company.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Components of our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benefit from income taxes consists primarily of benefit for U.S. taxes offset by a provision for foreign taxes. As the Company plans to expand the scale and scope of its international business activities, any changes in the United States and foreign taxation of such activities may increase the Company’s overall provision for income taxes in the future.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Results of operations: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fol</w:t>
      </w:r>
      <w:r>
        <w:rPr>
          <w:rFonts w:ascii="Times New Roman;serif" w:hAnsi="Times New Roman;serif"/>
          <w:b w:val="false"/>
          <w:color w:val="000000"/>
          <w:sz w:val="20"/>
        </w:rPr>
        <w:t xml:space="preserve">lowing table displays the benefits from income taxes for the three and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September 30, 2025 and 2024 (in thousands, except percentages):</w:t>
      </w:r>
    </w:p>
    <w:tbl>
      <w:tblPr>
        <w:tblW w:w="770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257"/>
        <w:gridCol w:w="844"/>
        <w:gridCol w:w="133"/>
        <w:gridCol w:w="133"/>
        <w:gridCol w:w="133"/>
        <w:gridCol w:w="133"/>
        <w:gridCol w:w="257"/>
        <w:gridCol w:w="660"/>
        <w:gridCol w:w="133"/>
        <w:gridCol w:w="109"/>
        <w:gridCol w:w="109"/>
        <w:gridCol w:w="109"/>
        <w:gridCol w:w="211"/>
        <w:gridCol w:w="691"/>
        <w:gridCol w:w="109"/>
        <w:gridCol w:w="109"/>
        <w:gridCol w:w="109"/>
        <w:gridCol w:w="109"/>
        <w:gridCol w:w="233"/>
        <w:gridCol w:w="233"/>
        <w:gridCol w:w="316"/>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849"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311"/>
        <w:gridCol w:w="286"/>
        <w:gridCol w:w="197"/>
        <w:gridCol w:w="186"/>
        <w:gridCol w:w="186"/>
        <w:gridCol w:w="186"/>
        <w:gridCol w:w="361"/>
        <w:gridCol w:w="927"/>
        <w:gridCol w:w="186"/>
        <w:gridCol w:w="109"/>
        <w:gridCol w:w="109"/>
        <w:gridCol w:w="109"/>
        <w:gridCol w:w="211"/>
        <w:gridCol w:w="691"/>
        <w:gridCol w:w="109"/>
        <w:gridCol w:w="109"/>
        <w:gridCol w:w="109"/>
        <w:gridCol w:w="109"/>
        <w:gridCol w:w="233"/>
        <w:gridCol w:w="233"/>
        <w:gridCol w:w="316"/>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$(3,347)</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Benefit from income tax expense was </w:t>
      </w:r>
      <w:r>
        <w:rPr>
          <w:rFonts w:ascii="Times New Roman;serif" w:hAnsi="Times New Roman;serif"/>
          <w:b w:val="false"/>
          <w:color w:val="000000"/>
          <w:sz w:val="20"/>
          <w:shd w:fill="FFFFFF" w:val="clear"/>
        </w:rPr>
        <w:t>$2.3</w:t>
      </w:r>
      <w:r>
        <w:rPr>
          <w:color w:val="000000"/>
        </w:rPr>
        <w:t xml:space="preserve"> </w:t>
      </w:r>
      <w:r>
        <w:rPr>
          <w:rFonts w:ascii="Times New Roman;serif" w:hAnsi="Times New Roman;serif"/>
          <w:b w:val="false"/>
          <w:color w:val="000000"/>
          <w:sz w:val="20"/>
        </w:rPr>
        <w:t>million for the three months ended September 30, 2025, as compared to benefit from income tax expense of $0.8 million for the three months ended September 30, 2024. The net increase of $1.5 million for the three months ended September 30, 2025 was primarily due to the combination of a higher effective tax rate for the three months ended September 30, 2025 caused by a higher projected pre-tax loss for 2025 compared to a year ago, which meant the permanently nondeductible item reduced the effective tax rate less than in the same quarter in 2024, and a higher pre-tax loss for the current quarter compared to the three months ended September 30, 2024.</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Benefit from income tax expense was $3.3 million for the nine months ended September 30, 2025, as compared to benefit from income tax expense of $0.4 million for the nine months ended September 30, 2024. The net increase of $3.0 million for the nine months ended September 30, 2025 was primarily due to a higher effective tax rate resulting from a larger projected loss for the year and the geographic mix of worldwide project and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17.    Lease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4485"/>
                <wp:effectExtent l="0" t="0" r="0" b="0"/>
                <wp:wrapNone/>
                <wp:docPr id="29" name="Frame2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facilities and equipment from unrelated parties under operating lease agreements that have initial terms ranging from 1 to 12 years. Some leases include one or more options to renew, generally at the Company’s sole discretion, with renewal terms that can extend the lease term up to 10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 is recognized on a straight-line basis over the lease term. The components of lease expense are as follows (in thousands):</w:t>
      </w:r>
    </w:p>
    <w:tbl>
      <w:tblPr>
        <w:tblW w:w="4393" w:type="dxa"/>
        <w:jc w:val="left"/>
        <w:tblInd w:w="0" w:type="dxa"/>
        <w:tblLayout w:type="fixed"/>
        <w:tblCellMar>
          <w:top w:w="28" w:type="dxa"/>
          <w:left w:w="28" w:type="dxa"/>
          <w:bottom w:w="28" w:type="dxa"/>
          <w:right w:w="28" w:type="dxa"/>
        </w:tblCellMar>
      </w:tblPr>
      <w:tblGrid>
        <w:gridCol w:w="651"/>
        <w:gridCol w:w="572"/>
        <w:gridCol w:w="576"/>
        <w:gridCol w:w="244"/>
        <w:gridCol w:w="712"/>
        <w:gridCol w:w="126"/>
        <w:gridCol w:w="126"/>
        <w:gridCol w:w="126"/>
        <w:gridCol w:w="126"/>
        <w:gridCol w:w="244"/>
        <w:gridCol w:w="712"/>
        <w:gridCol w:w="178"/>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(in thousands):</w:t>
      </w:r>
    </w:p>
    <w:tbl>
      <w:tblPr>
        <w:tblW w:w="8174" w:type="dxa"/>
        <w:jc w:val="left"/>
        <w:tblInd w:w="0" w:type="dxa"/>
        <w:tblLayout w:type="fixed"/>
        <w:tblCellMar>
          <w:top w:w="28" w:type="dxa"/>
          <w:left w:w="28" w:type="dxa"/>
          <w:bottom w:w="28" w:type="dxa"/>
          <w:right w:w="28" w:type="dxa"/>
        </w:tblCellMar>
      </w:tblPr>
      <w:tblGrid>
        <w:gridCol w:w="2023"/>
        <w:gridCol w:w="1774"/>
        <w:gridCol w:w="1783"/>
        <w:gridCol w:w="244"/>
        <w:gridCol w:w="712"/>
        <w:gridCol w:w="126"/>
        <w:gridCol w:w="126"/>
        <w:gridCol w:w="126"/>
        <w:gridCol w:w="126"/>
        <w:gridCol w:w="244"/>
        <w:gridCol w:w="712"/>
        <w:gridCol w:w="178"/>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 payments on operating leases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obligations: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thousands):</w:t>
      </w:r>
    </w:p>
    <w:tbl>
      <w:tblPr>
        <w:tblW w:w="7450" w:type="dxa"/>
        <w:jc w:val="left"/>
        <w:tblInd w:w="0" w:type="dxa"/>
        <w:tblLayout w:type="fixed"/>
        <w:tblCellMar>
          <w:top w:w="28" w:type="dxa"/>
          <w:left w:w="28" w:type="dxa"/>
          <w:bottom w:w="28" w:type="dxa"/>
          <w:right w:w="28" w:type="dxa"/>
        </w:tblCellMar>
      </w:tblPr>
      <w:tblGrid>
        <w:gridCol w:w="1755"/>
        <w:gridCol w:w="1540"/>
        <w:gridCol w:w="1549"/>
        <w:gridCol w:w="231"/>
        <w:gridCol w:w="790"/>
        <w:gridCol w:w="119"/>
        <w:gridCol w:w="109"/>
        <w:gridCol w:w="109"/>
        <w:gridCol w:w="109"/>
        <w:gridCol w:w="221"/>
        <w:gridCol w:w="757"/>
        <w:gridCol w:w="161"/>
      </w:tblGrid>
      <w:tr>
        <w:trPr/>
        <w:tc>
          <w:tcPr>
            <w:tcW w:w="17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current liabilities: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3.49</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undiscounted cash flows for each of the next five years and thereafter and reconciliation to the lease liabilities recognized on the balance sheet as of September 30, 2025 is as follows (in thousands):</w:t>
      </w:r>
    </w:p>
    <w:tbl>
      <w:tblPr>
        <w:tblW w:w="6170" w:type="dxa"/>
        <w:jc w:val="left"/>
        <w:tblInd w:w="0" w:type="dxa"/>
        <w:tblLayout w:type="fixed"/>
        <w:tblCellMar>
          <w:top w:w="28" w:type="dxa"/>
          <w:left w:w="28" w:type="dxa"/>
          <w:bottom w:w="28" w:type="dxa"/>
          <w:right w:w="28" w:type="dxa"/>
        </w:tblCellMar>
      </w:tblPr>
      <w:tblGrid>
        <w:gridCol w:w="1840"/>
        <w:gridCol w:w="1617"/>
        <w:gridCol w:w="1627"/>
        <w:gridCol w:w="211"/>
        <w:gridCol w:w="72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(excluding the nine months ended September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4485"/>
                <wp:effectExtent l="0" t="0" r="0" b="0"/>
                <wp:wrapNone/>
                <wp:docPr id="30" name="Frame3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operating leases contain tenant allowance provisions, which obligate the landlord to remit cash to us as an incentive to enter into the lease agreement. We record the full amount to be remitted by the landlord as a reduction to the operating lease right-of-use assets. The amounts are included in prepaid expenses and other current assets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18.    Commitments and contingencies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Purchase Obligations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non-cancelable arrangements with third parties, primarily related to cloud computing and other information technology services. As of September 30, 2025, future payments under these contractual obligations were as follows (in thousands):</w:t>
      </w:r>
    </w:p>
    <w:tbl>
      <w:tblPr>
        <w:tblW w:w="3305" w:type="dxa"/>
        <w:jc w:val="left"/>
        <w:tblInd w:w="0" w:type="dxa"/>
        <w:tblLayout w:type="fixed"/>
        <w:tblCellMar>
          <w:top w:w="28" w:type="dxa"/>
          <w:left w:w="28" w:type="dxa"/>
          <w:bottom w:w="28" w:type="dxa"/>
          <w:right w:w="28" w:type="dxa"/>
        </w:tblCellMar>
      </w:tblPr>
      <w:tblGrid>
        <w:gridCol w:w="839"/>
        <w:gridCol w:w="735"/>
        <w:gridCol w:w="750"/>
        <w:gridCol w:w="211"/>
        <w:gridCol w:w="61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legal proceedings and claims. On August 14, 2024, Beckman Coulter, Inc. (“Beckman Coulter”) sued the Company in federal court in the District of Delaware, alleging that the Company’s Cytek Aurora flow cytometers, Cytek Aurora CS cell sorters, and Northern Lights and Northern Lights-CLC products infringe U.S. Patent Nos. 10,330,582 and 11,703,443, each titled “Flow Cytometer.” On October 7, 2024, the Company filed an answer denying any liability and including a counterclaim against Beckman Coulter for false marking. On October 28, 2024, Beckman Coulter filed an answer to the counterclaim, denying liability. On January 9, 2025, Beckman Coulter filed a first amended complaint, further alleging that the Company’s Cytek Aurora flow cytometers, Cytek Aurora CS cell sorters, and Northern Lights and Northern Lights-CLC products also infringe U.S. Patent Nos. 12,174,106 and 12,174,107, each of which is also titled “Flow Cytometer” and related to the earlier asserted patents. On February 6, 2025, the Company filed an answer to the first amended complaint, denying any liability and including a counterclaim against Beckman Coulter for false patent marking. On February 27, 2025, Beckman Coulter filed an answer to the counterclaim, denying liability. Claim construction hearings were held on August 21, 2025 and September 17, 2025. At the second claim construction hearing, the court ordered Beckman Coulter to narrow the number of asserted claims, and Beckman Coulter has dropped all asserted claims from U.S. Patent No. 12,174,106. Briefing on dispositive motions is currently scheduled in March and April of 2026, and a trial is scheduled for August 17, 2026. The Company intends to vigorously defend itself and pursue the counterclaim.</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19.    Product warranty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activity in the product warranty accrual included in accrued expenses on the consolidated balance sheets (in thousands): </w:t>
      </w:r>
    </w:p>
    <w:tbl>
      <w:tblPr>
        <w:tblW w:w="5500" w:type="dxa"/>
        <w:jc w:val="left"/>
        <w:tblInd w:w="0" w:type="dxa"/>
        <w:tblLayout w:type="fixed"/>
        <w:tblCellMar>
          <w:top w:w="28" w:type="dxa"/>
          <w:left w:w="28" w:type="dxa"/>
          <w:bottom w:w="28" w:type="dxa"/>
          <w:right w:w="28" w:type="dxa"/>
        </w:tblCellMar>
      </w:tblPr>
      <w:tblGrid>
        <w:gridCol w:w="1048"/>
        <w:gridCol w:w="921"/>
        <w:gridCol w:w="925"/>
        <w:gridCol w:w="257"/>
        <w:gridCol w:w="750"/>
        <w:gridCol w:w="132"/>
        <w:gridCol w:w="109"/>
        <w:gridCol w:w="109"/>
        <w:gridCol w:w="109"/>
        <w:gridCol w:w="245"/>
        <w:gridCol w:w="716"/>
        <w:gridCol w:w="179"/>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Accrual for current year warranties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 incurred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4485"/>
                <wp:effectExtent l="0" t="0" r="0" b="0"/>
                <wp:wrapNone/>
                <wp:docPr id="31" name="Frame3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    Net (loss) income attributable to common stockholders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(loss) income per share for the three and nine months ended September 30, 2025 and 2024, respectively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924"/>
        <w:gridCol w:w="1263"/>
        <w:gridCol w:w="1272"/>
        <w:gridCol w:w="256"/>
        <w:gridCol w:w="838"/>
        <w:gridCol w:w="130"/>
        <w:gridCol w:w="130"/>
        <w:gridCol w:w="130"/>
        <w:gridCol w:w="130"/>
        <w:gridCol w:w="289"/>
        <w:gridCol w:w="701"/>
        <w:gridCol w:w="151"/>
        <w:gridCol w:w="109"/>
        <w:gridCol w:w="109"/>
        <w:gridCol w:w="109"/>
        <w:gridCol w:w="227"/>
        <w:gridCol w:w="795"/>
        <w:gridCol w:w="119"/>
        <w:gridCol w:w="109"/>
        <w:gridCol w:w="109"/>
        <w:gridCol w:w="109"/>
        <w:gridCol w:w="227"/>
        <w:gridCol w:w="795"/>
        <w:gridCol w:w="174"/>
      </w:tblGrid>
      <w:tr>
        <w:trPr/>
        <w:tc>
          <w:tcPr>
            <w:tcW w:w="192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127,547,859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131,003,744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127,604,317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131,121,301</w:t>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employee stock plans</w:t>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1,781,808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127,547,859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132,785,552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127,604,317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131,121,301</w:t>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basic</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diluted</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Company had a net loss during the three months ended September 30, 2025, 1.2 million shares were dilutive, but were not included in the computation of diluted net loss per share because their inclusion would have been anti-dilutive. Therefore, for the three months ended September 30, 2025, basic net loss per share is the same as diluted net loss per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2024, diluted EPS includes the impact of outstanding RSUs and stock options, while shares from the ESPP were excluded due to their anti-dilutive effect. For the three months ended September 30, 2024, the basic weighted average shares outstanding were 131,003,744. The treasury stock method was applied to add 1,754,814 shares from stock options and 26,994 shares from RSUs.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the Company had a net loss during the nine months ended September 30, 2025 and 2024, respectively, 1.4 million and 2.0 million shares were dilutive, but were not included in the computation of diluted net loss per share because their inclusion would have been anti-dilutive. Therefore, basic net loss per share is the same as diluted net loss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21.    Segment Information and Geographic Data</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Segment Information</w:t>
      </w:r>
    </w:p>
    <w:p>
      <w:pPr>
        <w:pStyle w:val="TextBody"/>
        <w:bidi w:val="0"/>
        <w:spacing w:lineRule="auto" w:line="26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operates and manages its business activities on a consolidated basis and has one operating and reportable segment, as defined under ASC 280, Segment Reporting. Operating segments are defined as components of an enterprise where separate financial information is evaluated regularly by the Chief Operating Decision Maker (“CODM”), who decides how to allocate resources and assess performance. The Company’s Chief Executive Officer serves as the CODM and is responsible for evaluating the Company’s financial performance and allocating resources. The CODM uses net income as the measure of profit or loss to allocate resources, assess performance, and monitor budgets against actual results.</w:t>
      </w:r>
    </w:p>
    <w:p>
      <w:pPr>
        <w:pStyle w:val="TextBody"/>
        <w:bidi w:val="0"/>
        <w:spacing w:lineRule="auto" w:line="26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Further, the CODM reviews the significant segment expenses in the table below on net loss when assessing performance and allocating resources, as well as those used for strategic decisions related to headcount and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4485"/>
                <wp:effectExtent l="0" t="0" r="0" b="0"/>
                <wp:wrapNone/>
                <wp:docPr id="32" name="Frame3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expenditures. The measure of segment assets is reported on the balance sheet as total assets. The CODM does not review segment assets at a level other than that presented in the Company’s consolidated balance sheets. </w:t>
      </w:r>
    </w:p>
    <w:p>
      <w:pPr>
        <w:pStyle w:val="TextBody"/>
        <w:bidi w:val="0"/>
        <w:spacing w:lineRule="auto" w:line="26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reflects the Company’s significant segment expenses:</w:t>
      </w:r>
    </w:p>
    <w:tbl>
      <w:tblPr>
        <w:tblW w:w="10205" w:type="dxa"/>
        <w:jc w:val="left"/>
        <w:tblInd w:w="0" w:type="dxa"/>
        <w:tblLayout w:type="fixed"/>
        <w:tblCellMar>
          <w:top w:w="28" w:type="dxa"/>
          <w:left w:w="28" w:type="dxa"/>
          <w:bottom w:w="28" w:type="dxa"/>
          <w:right w:w="28" w:type="dxa"/>
        </w:tblCellMar>
      </w:tblPr>
      <w:tblGrid>
        <w:gridCol w:w="1543"/>
        <w:gridCol w:w="1310"/>
        <w:gridCol w:w="1292"/>
        <w:gridCol w:w="249"/>
        <w:gridCol w:w="853"/>
        <w:gridCol w:w="128"/>
        <w:gridCol w:w="128"/>
        <w:gridCol w:w="128"/>
        <w:gridCol w:w="128"/>
        <w:gridCol w:w="249"/>
        <w:gridCol w:w="853"/>
        <w:gridCol w:w="128"/>
        <w:gridCol w:w="109"/>
        <w:gridCol w:w="109"/>
        <w:gridCol w:w="109"/>
        <w:gridCol w:w="228"/>
        <w:gridCol w:w="893"/>
        <w:gridCol w:w="117"/>
        <w:gridCol w:w="117"/>
        <w:gridCol w:w="117"/>
        <w:gridCol w:w="117"/>
        <w:gridCol w:w="228"/>
        <w:gridCol w:w="893"/>
        <w:gridCol w:w="179"/>
      </w:tblGrid>
      <w:tr>
        <w:trPr/>
        <w:tc>
          <w:tcPr>
            <w:tcW w:w="154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stock-based compensation)</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 license &amp; IP expense</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(excluding stock-based compensation)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(excluding stock-based compensation)</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(excluding stock-based compensation)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(excluding stock-based compensation)</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(15,664)</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segment items include other income (expenses) and interest income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its products worldwide and attributes revenue to the geography where the product is delivered. The geographical distribution of revenue for the three and nine months ended September 30, 2025 and 2024 was as follows (in thousands): </w:t>
      </w:r>
    </w:p>
    <w:tbl>
      <w:tblPr>
        <w:tblW w:w="7545" w:type="dxa"/>
        <w:jc w:val="left"/>
        <w:tblInd w:w="0" w:type="dxa"/>
        <w:tblLayout w:type="fixed"/>
        <w:tblCellMar>
          <w:top w:w="28" w:type="dxa"/>
          <w:left w:w="28" w:type="dxa"/>
          <w:bottom w:w="28" w:type="dxa"/>
          <w:right w:w="28" w:type="dxa"/>
        </w:tblCellMar>
      </w:tblPr>
      <w:tblGrid>
        <w:gridCol w:w="577"/>
        <w:gridCol w:w="505"/>
        <w:gridCol w:w="508"/>
        <w:gridCol w:w="109"/>
        <w:gridCol w:w="109"/>
        <w:gridCol w:w="109"/>
        <w:gridCol w:w="231"/>
        <w:gridCol w:w="790"/>
        <w:gridCol w:w="119"/>
        <w:gridCol w:w="119"/>
        <w:gridCol w:w="119"/>
        <w:gridCol w:w="119"/>
        <w:gridCol w:w="231"/>
        <w:gridCol w:w="790"/>
        <w:gridCol w:w="119"/>
        <w:gridCol w:w="109"/>
        <w:gridCol w:w="109"/>
        <w:gridCol w:w="109"/>
        <w:gridCol w:w="211"/>
        <w:gridCol w:w="826"/>
        <w:gridCol w:w="109"/>
        <w:gridCol w:w="109"/>
        <w:gridCol w:w="109"/>
        <w:gridCol w:w="109"/>
        <w:gridCol w:w="211"/>
        <w:gridCol w:w="826"/>
        <w:gridCol w:w="154"/>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EMEA includes Europe, the Middle East and Africa; APAC includes Asia and the Pacific countries; Other includes Canada and Latin America.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revenue, a major country is defined as a group of customers in a country with combined revenue of greater than 10% of consolidated revenue or as otherwise deemed significant. Revenue in the United States was approximately $27.2 million and $69.6 million for the three and nine months ended September 30, 2025, respectively. Revenue in China was approximately $5.3 million and $14.2 million for the three and nine months ended September 30, 2025, respectively. No other country represented greater than 10% of the Company’s consolidated net sales or was otherwise deemed significant. For the three and nine months ended September 30, 2025, and 2024, the Company had no major customers that represented more than 10% of the Company’s total revenue.</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4485"/>
                <wp:effectExtent l="0" t="0" r="0" b="0"/>
                <wp:wrapNone/>
                <wp:docPr id="33" name="Frame3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Company’s long-lived assets by geographic area were as follows (in thousands): </w:t>
      </w:r>
    </w:p>
    <w:tbl>
      <w:tblPr>
        <w:tblW w:w="4615" w:type="dxa"/>
        <w:jc w:val="left"/>
        <w:tblInd w:w="0" w:type="dxa"/>
        <w:tblLayout w:type="fixed"/>
        <w:tblCellMar>
          <w:top w:w="28" w:type="dxa"/>
          <w:left w:w="28" w:type="dxa"/>
          <w:bottom w:w="28" w:type="dxa"/>
          <w:right w:w="28" w:type="dxa"/>
        </w:tblCellMar>
      </w:tblPr>
      <w:tblGrid>
        <w:gridCol w:w="435"/>
        <w:gridCol w:w="381"/>
        <w:gridCol w:w="383"/>
        <w:gridCol w:w="313"/>
        <w:gridCol w:w="1070"/>
        <w:gridCol w:w="161"/>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17,962 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most of the Company’s long-lived assets were located in the United States and in Wuxi,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4485"/>
                <wp:effectExtent l="0" t="0" r="0" b="0"/>
                <wp:wrapNone/>
                <wp:docPr id="34" name="Frame3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2024 and the related Management’s Discussion and Analysis of Financial Condition and Results of Operations, both of which are contained in our Annual Report on Form 10-K filed with the Securities and Exchange Commission (the “SEC”) on February 28, 2025. Unless the context requires otherwise, references in this Quarterly Report on Form 10-Q to “we,” “us” and “our” refer to Cytek Biosciences,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i/>
          <w:color w:val="000000"/>
          <w:sz w:val="20"/>
        </w:rPr>
        <w:t>Forward-Looking Statements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leading cell analysis solutions company advancing the next generation of research and clinical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FSP cell analyzers, the Cytek Aurora, Northern Lights and Cytek Aurora Evo systems,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(“Cytek Aurora CS system”)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we have sold and deployed our instruments to customers around the world, including pharmaceutical companies, biopharma companies, academic research centers, and clinical research organizations (“CROs”).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28, 2023, we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segments previously underserved, and increase the efficiency of our operations.</w:t>
      </w:r>
    </w:p>
    <w:p>
      <w:pPr>
        <w:pStyle w:val="TextBody"/>
        <w:bidi w:val="0"/>
        <w:spacing w:before="0" w:after="0"/>
        <w:ind w:left="0" w:right="0" w:firstLine="54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our instruments in our facilities in Fremont, California; Wuxi, China; Seattle, Washington; and Singapore. We have designed our operating model to be capital efficient and to scale efficiently as our product volumes grow.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and nine months ended September 30, 2025 was $52.3 million and $139.4 million, respectively, representing a 2% increase and a 3% decrease, respectively, compared to revenue for the three and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4485"/>
                <wp:effectExtent l="0" t="0" r="0" b="0"/>
                <wp:wrapNone/>
                <wp:docPr id="35" name="Frame3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months ended September 30, 2024 of $51.5 million and $143.0 million, respectively. Total revenue for the three months ended September 30, 2025 increased compared to total revenue for the three months ended September 30, 2024, due to higher service revenue from a larger installed base of instruments compared to a year ago, partially offset by lower product revenue resulting from lower instrument sales in EMEA. Lower EMEA instrument sales were partially offset by higher instrument sales in the APAC region as well as higher global reagent sales. The decrease in total revenue for the nine months ended September 30, 2025, compared to total revenue for the nine months ended September 30, 2024 was due to lower instrument sales to academic and government customers in EMEA and the United States. Lower instrument revenue was partially offset by higher reagent sales and higher service revenue from a larger installed base of instruments compared to a year ago.</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72% and 73% of total revenue for the three and nine months ended September 30, 2025, respectively, and 77% and 76%</w:t>
      </w:r>
      <w:r>
        <w:rPr>
          <w:color w:val="000000"/>
        </w:rPr>
        <w:t xml:space="preserve"> </w:t>
      </w:r>
      <w:r>
        <w:rPr>
          <w:rFonts w:ascii="Times New Roman;serif" w:hAnsi="Times New Roman;serif"/>
          <w:b w:val="false"/>
          <w:color w:val="000000"/>
          <w:sz w:val="20"/>
        </w:rPr>
        <w:t>for the three and nine months ended September 30, 2024, respectively. Revenue from distributors represented 28% and 27% of total revenue for the three and nine months ended September 30, 2025, respectively, and 23% and 24%</w:t>
      </w:r>
      <w:r>
        <w:rPr>
          <w:color w:val="000000"/>
        </w:rPr>
        <w:t xml:space="preserve"> </w:t>
      </w:r>
      <w:r>
        <w:rPr>
          <w:rFonts w:ascii="Times New Roman;serif" w:hAnsi="Times New Roman;serif"/>
          <w:b w:val="false"/>
          <w:color w:val="000000"/>
          <w:sz w:val="20"/>
        </w:rPr>
        <w:t>for the three and nine months ended September 30, 2024,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$9.0 million and $27.5 million for the three and nine months ended September 30, 2025, respectively, and $9.9 million and $29.7</w:t>
      </w:r>
      <w:r>
        <w:rPr>
          <w:color w:val="000000"/>
        </w:rPr>
        <w:t xml:space="preserve"> </w:t>
      </w:r>
      <w:r>
        <w:rPr>
          <w:rFonts w:ascii="Times New Roman;serif" w:hAnsi="Times New Roman;serif"/>
          <w:b w:val="false"/>
          <w:color w:val="000000"/>
          <w:sz w:val="20"/>
        </w:rPr>
        <w:t xml:space="preserve">million for three and nine months ended September 30, 2024, respectively. We intend to continue to make significant investments in research and development in the future.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$11.7 million and $36.3 million for the three and nine months ended September 30, 2025, respectively, and $12.4</w:t>
      </w:r>
      <w:r>
        <w:rPr>
          <w:color w:val="000000"/>
        </w:rPr>
        <w:t xml:space="preserve"> </w:t>
      </w:r>
      <w:r>
        <w:rPr>
          <w:rFonts w:ascii="Times New Roman;serif" w:hAnsi="Times New Roman;serif"/>
          <w:b w:val="false"/>
          <w:color w:val="000000"/>
          <w:sz w:val="20"/>
        </w:rPr>
        <w:t xml:space="preserve">million and $37.2 million for three and nine months ended September 30, 2024, respectively.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our inception in 2014, we have financed our operations primarily through sales of our securities and revenue from the sale of our products and services.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net loss was $5.5 million and $22.5 million for the three and nine months ended September 30, 2025, respectively, and our net income (loss) was $0.9</w:t>
      </w:r>
      <w:r>
        <w:rPr>
          <w:color w:val="000000"/>
        </w:rPr>
        <w:t xml:space="preserve"> </w:t>
      </w:r>
      <w:r>
        <w:rPr>
          <w:rFonts w:ascii="Times New Roman;serif" w:hAnsi="Times New Roman;serif"/>
          <w:b w:val="false"/>
          <w:color w:val="000000"/>
          <w:sz w:val="20"/>
        </w:rPr>
        <w:t>million and $(15.7) million for three and nine months ended September 30, 2024, respectively. The change for the three and nine months ended September 30, 2025 compared to the three and nine months ended September 30, 2024 resulted primarily from a decrease in revenues and gross profit and an increase in operating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expenses will increase substantially in connection with our ongoing activities, as we: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attract, hire and retain qualified personnel;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invest in processes, commercial infrastructure and supporting functions to scale our business and introduce new products and services;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support our research and development efforts;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continue to expand geographically;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protect and defend our intellectual property; and </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 xml:space="preserve">make strategic investments in complementary businesses, services, products or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Key factors affecting our results of operations and future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4485"/>
                <wp:effectExtent l="0" t="0" r="0" b="0"/>
                <wp:wrapNone/>
                <wp:docPr id="36" name="Frame3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Global customer adoption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We intend to continue increasing our workforce in line with our growth.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Recurring revenues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Revenue mix and gross margin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revenue is primarily derived from sales of our instruments and services with our instruments recognizing higher revenue and gross profit than our services. Although we expect sales of our instruments to continue to represent the largest percentage of our revenue in the future, we expect service revenue to increase as a percentage of our total revenue and our gross margins to experience a corresponding improvement as we grow our installed base and increase our focus on leveraging our fixed manufacturing and service overhead costs. Our sales in certain regions, particularly outside of the United States, are largely realized through third-party distribution partners that typically receive discounted prices, thus resulting in lower gross margins than those recognized by our direct sales organization. Furthermore, our instrument selling prices and gross margins may fluctuate in the future due to the impact of competing products entering the market and fluctuating foreign exchange rates and as we continue to introduce new products and reduce our production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near term, we expect the continued leveraging of fixed manufacturing and service overhead costs, optimization of our manufacturing processes, and material cost fluctuations to have the greatest impact on our gross margin.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Expansion into new markets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Northern Lights-CLC system received CE Marking under the European Union In Vitro Diagnostic Medical Devices Directive in September 2020 and was registered in the European Union in compliance with Regulation (EU) 2017/746 on In Vitro Diagnostic Medical Devices in November 2023. The Northern Lights-CLC system was also registered as a Class II In Vitro Diagnostic Medical Device in China. These registrations enable the Northern Lights-CLC system to be marketed for clinical use in China, the European Union and in other countries around the world that accept the Certification of Free Sale issued from an EU Competent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Key business metrics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the following key business metrics to evaluate our business, measure our performance, identify trends affecting our business, formulate financial projections and make strategic decisions. We believe that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4485"/>
                <wp:effectExtent l="0" t="0" r="0" b="0"/>
                <wp:wrapNone/>
                <wp:docPr id="37" name="Frame3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metrics are representative of our current business; however, we anticipate these will change or may be substituted for additional or different metrics as our business grows.</w:t>
      </w:r>
    </w:p>
    <w:tbl>
      <w:tblPr>
        <w:tblW w:w="10205" w:type="dxa"/>
        <w:jc w:val="left"/>
        <w:tblInd w:w="0" w:type="dxa"/>
        <w:tblLayout w:type="fixed"/>
        <w:tblCellMar>
          <w:top w:w="28" w:type="dxa"/>
          <w:left w:w="28" w:type="dxa"/>
          <w:bottom w:w="28" w:type="dxa"/>
          <w:right w:w="28" w:type="dxa"/>
        </w:tblCellMar>
      </w:tblPr>
      <w:tblGrid>
        <w:gridCol w:w="914"/>
        <w:gridCol w:w="440"/>
        <w:gridCol w:w="442"/>
        <w:gridCol w:w="109"/>
        <w:gridCol w:w="109"/>
        <w:gridCol w:w="109"/>
        <w:gridCol w:w="215"/>
        <w:gridCol w:w="736"/>
        <w:gridCol w:w="111"/>
        <w:gridCol w:w="111"/>
        <w:gridCol w:w="111"/>
        <w:gridCol w:w="111"/>
        <w:gridCol w:w="215"/>
        <w:gridCol w:w="736"/>
        <w:gridCol w:w="111"/>
        <w:gridCol w:w="109"/>
        <w:gridCol w:w="109"/>
        <w:gridCol w:w="109"/>
        <w:gridCol w:w="214"/>
        <w:gridCol w:w="647"/>
        <w:gridCol w:w="110"/>
        <w:gridCol w:w="109"/>
        <w:gridCol w:w="109"/>
        <w:gridCol w:w="109"/>
        <w:gridCol w:w="213"/>
        <w:gridCol w:w="835"/>
        <w:gridCol w:w="110"/>
        <w:gridCol w:w="110"/>
        <w:gridCol w:w="110"/>
        <w:gridCol w:w="110"/>
        <w:gridCol w:w="213"/>
        <w:gridCol w:w="835"/>
        <w:gridCol w:w="110"/>
        <w:gridCol w:w="109"/>
        <w:gridCol w:w="109"/>
        <w:gridCol w:w="109"/>
        <w:gridCol w:w="214"/>
        <w:gridCol w:w="646"/>
        <w:gridCol w:w="167"/>
      </w:tblGrid>
      <w:tr>
        <w:trPr/>
        <w:tc>
          <w:tcPr>
            <w:tcW w:w="91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Dollar Change</w:t>
            </w:r>
          </w:p>
        </w:tc>
      </w:tr>
      <w:tr>
        <w:trPr/>
        <w:tc>
          <w:tcPr>
            <w:tcW w:w="1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channel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sales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108,612 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channel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mix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Academia and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(3,172)</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Biotechnology, pharmaceutical, distributor and contract research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Distributors typically sell to end customers identified in other customer categories. </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Known Trends, Events and Uncertainties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results of operation and financial condition are dependent on both domestic and global macroeconomic conditions.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Recent inflation trends may adversely affect our business and corresponding financial position and cash flows. Inflationary factors, such as increases in the cost of materials and supplies, labor and benefit costs and overhead costs may adversely affect our operating results. Although we do not believe that inflation has had a material impact on our financial position or results of operations to date, we may experience increases in the near future (especially if the rate of inflation increases) on our operating costs, including our labor costs and research and development costs, due to inflationary pressures as well as supply chain constraints, consequences associated with future public health crises, the ongoing conflict between Russia and Ukraine, conflict in the Middle East or liquidity concerns at, and failure of, banks and other financial institutions.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our pharmaceutical and biotech customers based in the United States have been impacted by the difficult fundraising environment for small companies and generally high interest rates. We believe these factors contributed to longer sales cycles, which adversely impacted our operating results for the three months ended September 30, 2025, and may adversely affect our operating results in the future.</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Trump administration has made and continues to signal additional changes to existing U.S. trade policies, including imposing and announcing plans for tariffs on all U.S. trading partners including China, and renegotiating or potentially terminating existing bilateral and multi-lateral trade agreements. In response,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Although we cannot predict the ultimate extent to which the United States or other countries will impose quotas, duties, reciprocal tariffs, taxes, or other similar restrictions upon the import or export of our products, nor can we predict future trade policy or the terms of any renegotiated trade agreements and their impact on our business, the Trump administration’s imposition of tariffs as well as threatened and actual retaliatory tariffs against U.S. goods may have a negative impact on our revenue and costs in the future.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new license and export controls announced by the U.S. government in January 2025 that impact exports of certain products and technology, including high-parameter and spectral flow cytometers and cell sorters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4485"/>
                <wp:effectExtent l="0" t="0" r="0" b="0"/>
                <wp:wrapNone/>
                <wp:docPr id="38" name="Frame3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certain mass spectrometry equipment to certain countries, including China, may have a negative impact on our sales, manufacturing and research and development activities.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Finally, changes in the U.S. National Institutes of Health (“NIH”) policy with respect to grants for academic research, specifically, the reduction in indirect cost reimbursement, has impacted and may continue to impact our revenue from academic and government customers in the near term.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further discussion of trends, events, uncertainties and other factors that could impact our operating results, see the section titled “Risk Factors” in Item 1A of Part II in this Quarterly Report on Form 10-Q.</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revenue, net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generate our total revenue, net from product revenue and service revenue.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Product</w:t>
      </w:r>
      <w:r>
        <w:rPr>
          <w:rFonts w:ascii="Times New Roman;serif" w:hAnsi="Times New Roman;serif"/>
          <w:b w:val="false"/>
          <w:color w:val="000000"/>
          <w:sz w:val="20"/>
        </w:rPr>
        <w:t xml:space="preserve">. Our product revenue primarily consists of sales of our instruments, including the Cytek Aurora, Northern Lights, Cytek Aurora Evo, Cytek Aurora CS, Amnis and Guava systems, instrument accessories, such as loaders, and consumables, such as reagents. We offer multiple versions of our FSP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Service</w:t>
      </w:r>
      <w:r>
        <w:rPr>
          <w:rFonts w:ascii="Times New Roman;serif" w:hAnsi="Times New Roman;serif"/>
          <w:b w:val="false"/>
          <w:color w:val="000000"/>
          <w:sz w:val="20"/>
        </w:rPr>
        <w:t xml:space="preserve">.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expect our revenue to increase in absolute dollars as we expand our sales organization and sales territories, broaden our customer base, and expand awareness of our products with new and existing customers. Our revenue was </w:t>
      </w:r>
      <w:r>
        <w:rPr>
          <w:rFonts w:ascii="Times New Roman;serif" w:hAnsi="Times New Roman;serif"/>
          <w:b w:val="false"/>
          <w:color w:val="000000"/>
          <w:sz w:val="20"/>
          <w:shd w:fill="FFFFFF" w:val="clear"/>
        </w:rPr>
        <w:t>$52.3</w:t>
      </w:r>
      <w:r>
        <w:rPr>
          <w:color w:val="000000"/>
        </w:rPr>
        <w:t xml:space="preserve"> </w:t>
      </w:r>
      <w:r>
        <w:rPr>
          <w:rFonts w:ascii="Times New Roman;serif" w:hAnsi="Times New Roman;serif"/>
          <w:b w:val="false"/>
          <w:color w:val="000000"/>
          <w:sz w:val="20"/>
        </w:rPr>
        <w:t xml:space="preserve">million and $51.5 million for the three months ended September 30, 2025 and 2024, respectively, and </w:t>
      </w:r>
      <w:r>
        <w:rPr>
          <w:rFonts w:ascii="Times New Roman;serif" w:hAnsi="Times New Roman;serif"/>
          <w:b w:val="false"/>
          <w:color w:val="000000"/>
          <w:sz w:val="20"/>
          <w:shd w:fill="FFFFFF" w:val="clear"/>
        </w:rPr>
        <w:t>$139.4</w:t>
      </w:r>
      <w:r>
        <w:rPr>
          <w:color w:val="000000"/>
        </w:rPr>
        <w:t xml:space="preserve"> </w:t>
      </w:r>
      <w:r>
        <w:rPr>
          <w:rFonts w:ascii="Times New Roman;serif" w:hAnsi="Times New Roman;serif"/>
          <w:b w:val="false"/>
          <w:color w:val="000000"/>
          <w:sz w:val="20"/>
        </w:rPr>
        <w:t>million and $143.0 million for the nine months ended September 30, 2025 and 2024, respectively.</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Total cost of sales, gross profit and gross margin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cost of sales is comprised of product cost of sales and service cost of sales.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Product. </w:t>
      </w:r>
      <w:r>
        <w:rPr>
          <w:rFonts w:ascii="Times New Roman;serif" w:hAnsi="Times New Roman;serif"/>
          <w:b w:val="false"/>
          <w:color w:val="000000"/>
          <w:sz w:val="20"/>
        </w:rPr>
        <w:t xml:space="preserve">Cost of sales associated with our products primarily consist of manufacturing-related costs incurred in the production process, inventory write-downs, warranty costs, third party royalty costs, personnel and related costs, costs of component materials, overhead, packaging and delivery and depreciation expense.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Service</w:t>
      </w:r>
      <w:r>
        <w:rPr>
          <w:rFonts w:ascii="Times New Roman;serif" w:hAnsi="Times New Roman;serif"/>
          <w:b w:val="false"/>
          <w:color w:val="000000"/>
          <w:sz w:val="20"/>
        </w:rPr>
        <w:t xml:space="preserve">. Cost of sales associated with our services primarily consists of personnel and related costs, expenses related to product replacements, product updates and qualification validation of our products and depreciation expense.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total cost of sales to increase in absolute dollars in future periods, corresponding to our anticipated growth in revenue and employee headcount to support our manufacturing, operations, field service team and support organizations.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are primarily comprised of research and development, sales and marketing, and general and administrative expenses, depreciation and amortization, and related overhead.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Our research and development expenses primarily consist of salaries, benefits, stock-based compensation costs for employees in our research and development department, independent contractor costs, laboratory supplies, equipment maintenance and materials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continue to invest in our research and development efforts. Research and development expense may increase in absolute dollars in future periods due to our continuing investment in product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4485"/>
                <wp:effectExtent l="0" t="0" r="0" b="0"/>
                <wp:wrapNone/>
                <wp:docPr id="39" name="Frame3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i/>
          <w:color w:val="000000"/>
          <w:sz w:val="20"/>
        </w:rPr>
        <w:t>Sales and marketing</w:t>
      </w:r>
      <w:r>
        <w:rPr>
          <w:rFonts w:ascii="Times New Roman;serif" w:hAnsi="Times New Roman;serif"/>
          <w:b w:val="false"/>
          <w:color w:val="000000"/>
          <w:sz w:val="20"/>
        </w:rPr>
        <w:t xml:space="preserve">. Our sales and marketing expenses consist primarily of salaries, benefits, and stock-based compensation costs for employees in our sales and marketing department, sales commissions, marketing material costs, travel expenses and costs related to trade shows, trainings and various workshops. Sales and marketing expense may increase in absolute dollars in future periods.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Our general and administrative expenses primarily consist of salaries, benefits, and stock-based compensation costs for employees in our executive, accounting and finance, legal and human resource functions, as well as professional services fees, such as consulting, audit, tax, legal, general corporate costs and allocated overhead expenses. We are focused on controlling our general and administrative expenses; however, these may increase in absolute dollars in future periods.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these expenses to vary from period to period as a percentage of revenue. As a result, our historical results of operations may not be indicative of our results of operations in future periods.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 xml:space="preserve">Interest expense consists primarily of accretion of the present value of the litigation settlement liability. See Note 11 to our unaudited interim consolidated financial statements included elsewhere in this Quarterly Report on Form 10-Q for further details regarding the settlement.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Our interest income consists primarily of interest earned on our cash and cash equivalents which are invested in cash deposits and in money market funds.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 xml:space="preserve">Our other income (expense), net consists primarily of foreign exchange gains and losses.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(benefit from)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r>
        <w:rPr>
          <w:color w:val="000000"/>
        </w:rPr>
        <w:t xml:space="preserve"> </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September 30, 2025 and 2024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presented below should be reviewed in conjunction with the unaudited interim consolidated financial statements and related notes included elsewhere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4485"/>
                <wp:effectExtent l="0" t="0" r="0" b="0"/>
                <wp:wrapNone/>
                <wp:docPr id="40" name="Frame4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results of operations and comprehensive (loss) income data for the periods presented: </w:t>
      </w:r>
    </w:p>
    <w:tbl>
      <w:tblPr>
        <w:tblW w:w="10205" w:type="dxa"/>
        <w:jc w:val="left"/>
        <w:tblInd w:w="0" w:type="dxa"/>
        <w:tblLayout w:type="fixed"/>
        <w:tblCellMar>
          <w:top w:w="28" w:type="dxa"/>
          <w:left w:w="28" w:type="dxa"/>
          <w:bottom w:w="28" w:type="dxa"/>
          <w:right w:w="28" w:type="dxa"/>
        </w:tblCellMar>
      </w:tblPr>
      <w:tblGrid>
        <w:gridCol w:w="1477"/>
        <w:gridCol w:w="869"/>
        <w:gridCol w:w="872"/>
        <w:gridCol w:w="109"/>
        <w:gridCol w:w="109"/>
        <w:gridCol w:w="109"/>
        <w:gridCol w:w="285"/>
        <w:gridCol w:w="901"/>
        <w:gridCol w:w="115"/>
        <w:gridCol w:w="115"/>
        <w:gridCol w:w="115"/>
        <w:gridCol w:w="115"/>
        <w:gridCol w:w="285"/>
        <w:gridCol w:w="901"/>
        <w:gridCol w:w="115"/>
        <w:gridCol w:w="109"/>
        <w:gridCol w:w="109"/>
        <w:gridCol w:w="109"/>
        <w:gridCol w:w="211"/>
        <w:gridCol w:w="1186"/>
        <w:gridCol w:w="109"/>
        <w:gridCol w:w="109"/>
        <w:gridCol w:w="109"/>
        <w:gridCol w:w="109"/>
        <w:gridCol w:w="211"/>
        <w:gridCol w:w="1186"/>
        <w:gridCol w:w="156"/>
      </w:tblGrid>
      <w:tr>
        <w:trPr/>
        <w:tc>
          <w:tcPr>
            <w:tcW w:w="147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38,114 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39,544 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52,293 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51,500 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142,977 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24,742 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65,523 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12,429 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36,743 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33,253 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100,963 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basic and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1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calculating net (loss) income per share, 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127,547,859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131,003,744</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127,604,317 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131,121,301 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income per share,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127,547,859 </w:t>
            </w:r>
          </w:p>
        </w:tc>
        <w:tc>
          <w:tcPr>
            <w:tcW w:w="11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132,785,552 </w:t>
            </w:r>
          </w:p>
        </w:tc>
        <w:tc>
          <w:tcPr>
            <w:tcW w:w="11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127,604,317 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131,121,301 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comprehensive (loss)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(4,619)</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(14,287)</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4485"/>
                <wp:effectExtent l="0" t="0" r="0" b="0"/>
                <wp:wrapNone/>
                <wp:docPr id="41" name="Frame4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Total revenue, net</w:t>
      </w:r>
    </w:p>
    <w:tbl>
      <w:tblPr>
        <w:tblW w:w="10622"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65"/>
        <w:gridCol w:w="166"/>
        <w:gridCol w:w="241"/>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173"/>
        <w:gridCol w:w="173"/>
        <w:gridCol w:w="286"/>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9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net increased by $0.8 million to $52.3 million, or 2%, for the three months ended September 30, 2025 as compared to the three months ended September 30, 2024. Total revenue, net decreased by $3.6 million to $139.4 million, or 3%, for the nine months ended September 30, 2025 as compared to the nine months ended September 30, 2024.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Product revenue decreased by $1.4 million to $38.1 million, or 4%, for the three months ended September 30, 2025, as compared to the three months ended September 30, 2024. </w:t>
      </w:r>
      <w:r>
        <w:rPr>
          <w:rFonts w:ascii="Times New Roman;serif" w:hAnsi="Times New Roman;serif"/>
          <w:b w:val="false"/>
          <w:color w:val="000000"/>
          <w:sz w:val="20"/>
          <w:shd w:fill="FFFFFF" w:val="clear"/>
        </w:rPr>
        <w:t xml:space="preserve">The lower product revenue for the three months ended </w:t>
      </w:r>
      <w:r>
        <w:rPr>
          <w:rFonts w:ascii="Times New Roman;serif" w:hAnsi="Times New Roman;serif"/>
          <w:b w:val="false"/>
          <w:color w:val="000000"/>
          <w:sz w:val="20"/>
        </w:rPr>
        <w:t xml:space="preserve">September 30, 2025 was primarily due to lower product revenue in EMEA, partially offset by growth in APAC and global reagent revenue. Product revenue decreased by $10.6 million to $97.6 million, or 10%, for the nine months ended September 30, 2025, </w:t>
      </w:r>
      <w:r>
        <w:rPr>
          <w:rFonts w:ascii="Times New Roman;serif" w:hAnsi="Times New Roman;serif"/>
          <w:b w:val="false"/>
          <w:color w:val="000000"/>
          <w:sz w:val="20"/>
          <w:shd w:fill="FFFFFF" w:val="clear"/>
        </w:rPr>
        <w:t xml:space="preserve">as compared to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2024. The lower product revenue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2025 was </w:t>
      </w:r>
      <w:r>
        <w:rPr>
          <w:rFonts w:ascii="Times New Roman;serif" w:hAnsi="Times New Roman;serif"/>
          <w:b w:val="false"/>
          <w:color w:val="000000"/>
          <w:sz w:val="20"/>
          <w:shd w:fill="FFFFFF" w:val="clear"/>
        </w:rPr>
        <w:t>primarily due to lower product revenue in EMEA and to a lesser extent in the United States, partially offset by growth in the APAC region as well as global reagent revenue growth.</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Service revenue increased $2.2 million to $14.2 million, or 19%, and $7.0 million to $41.7 million, or 20%, for the three and nine months ended September 30, 2025, respectively, as compared to the three and nine months ended September 30, 2024. </w:t>
      </w:r>
      <w:r>
        <w:rPr>
          <w:rFonts w:ascii="Times New Roman;serif" w:hAnsi="Times New Roman;serif"/>
          <w:b w:val="false"/>
          <w:color w:val="000000"/>
          <w:sz w:val="20"/>
          <w:shd w:fill="FFFFFF" w:val="clear"/>
        </w:rPr>
        <w:t xml:space="preserve">The increase was primarily due to continued growth of the installed base of instruments and the related increase in the number of service contracts and in maintenance activity.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Total cost of sales, gross profit and gross margin </w:t>
      </w:r>
    </w:p>
    <w:tbl>
      <w:tblPr>
        <w:tblW w:w="1056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96"/>
        <w:gridCol w:w="646"/>
        <w:gridCol w:w="241"/>
        <w:gridCol w:w="109"/>
        <w:gridCol w:w="109"/>
        <w:gridCol w:w="109"/>
        <w:gridCol w:w="196"/>
        <w:gridCol w:w="646"/>
        <w:gridCol w:w="241"/>
        <w:gridCol w:w="109"/>
        <w:gridCol w:w="109"/>
        <w:gridCol w:w="109"/>
        <w:gridCol w:w="196"/>
        <w:gridCol w:w="421"/>
        <w:gridCol w:w="109"/>
        <w:gridCol w:w="109"/>
        <w:gridCol w:w="109"/>
        <w:gridCol w:w="109"/>
        <w:gridCol w:w="164"/>
        <w:gridCol w:w="167"/>
        <w:gridCol w:w="241"/>
        <w:gridCol w:w="109"/>
        <w:gridCol w:w="109"/>
        <w:gridCol w:w="109"/>
        <w:gridCol w:w="196"/>
        <w:gridCol w:w="646"/>
        <w:gridCol w:w="241"/>
        <w:gridCol w:w="109"/>
        <w:gridCol w:w="109"/>
        <w:gridCol w:w="109"/>
        <w:gridCol w:w="196"/>
        <w:gridCol w:w="646"/>
        <w:gridCol w:w="241"/>
        <w:gridCol w:w="109"/>
        <w:gridCol w:w="109"/>
        <w:gridCol w:w="109"/>
        <w:gridCol w:w="196"/>
        <w:gridCol w:w="571"/>
        <w:gridCol w:w="109"/>
        <w:gridCol w:w="109"/>
        <w:gridCol w:w="109"/>
        <w:gridCol w:w="109"/>
        <w:gridCol w:w="165"/>
        <w:gridCol w:w="166"/>
        <w:gridCol w:w="28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Change</w:t>
            </w:r>
            <w:r>
              <w:rPr>
                <w:color w:val="000000"/>
              </w:rPr>
              <w:t xml:space="preserve"> </w:t>
            </w:r>
          </w:p>
        </w:tc>
      </w:tr>
      <w:tr>
        <w:trPr/>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w:t>
            </w:r>
            <w:r>
              <w:rPr>
                <w:color w:val="000000"/>
              </w:rPr>
              <w:t xml:space="preserve"> </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71,575 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77,454 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Total cost of sales increased by $2.2 million to $24.7 million, or 10%, for the three months ended September 30, 2025 as compared to the three months ended September 30, 2024. Total cost of sales increased by $2.3 million</w:t>
      </w:r>
      <w:r>
        <w:rPr>
          <w:color w:val="000000"/>
        </w:rPr>
        <w:t xml:space="preserve"> </w:t>
      </w:r>
      <w:r>
        <w:rPr>
          <w:rFonts w:ascii="Times New Roman;serif" w:hAnsi="Times New Roman;serif"/>
          <w:b w:val="false"/>
          <w:color w:val="000000"/>
          <w:sz w:val="20"/>
        </w:rPr>
        <w:t>to $67.8 million, or 3%, for the nine months ended September 30, 2025 as compared to the nine months ended September 30, 2024. The increase in cost of sales for the three and nine months ended September 30, 2025 was driven primarily by higher parts and labor costs required to support a larger installed base of instruments and the associated higher level of service activity. The higher service cost of sales for the nine months ended September 30, 2025 was partially offset by lower product cost of sales primarily related to lower product revenue</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months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gross profit margin was 53% and 56% of total revenue for the three months ended September 30, 2025 and 2024, respectively, and 51% and 54% for the nine months ended September 30, 2025 and 2024, respectively. Gross profit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4485"/>
                <wp:effectExtent l="0" t="0" r="0" b="0"/>
                <wp:wrapNone/>
                <wp:docPr id="42" name="Frame4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margin declined primarily due to lower service gross margins driven by higher labor and travel costs, and lower product gross margin associated with increased materials and overhead costs.</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333"/>
        <w:gridCol w:w="313"/>
        <w:gridCol w:w="247"/>
        <w:gridCol w:w="111"/>
        <w:gridCol w:w="111"/>
        <w:gridCol w:w="111"/>
        <w:gridCol w:w="333"/>
        <w:gridCol w:w="313"/>
        <w:gridCol w:w="247"/>
        <w:gridCol w:w="109"/>
        <w:gridCol w:w="109"/>
        <w:gridCol w:w="109"/>
        <w:gridCol w:w="196"/>
        <w:gridCol w:w="572"/>
        <w:gridCol w:w="109"/>
        <w:gridCol w:w="109"/>
        <w:gridCol w:w="109"/>
        <w:gridCol w:w="109"/>
        <w:gridCol w:w="165"/>
        <w:gridCol w:w="166"/>
        <w:gridCol w:w="241"/>
        <w:gridCol w:w="109"/>
        <w:gridCol w:w="109"/>
        <w:gridCol w:w="109"/>
        <w:gridCol w:w="333"/>
        <w:gridCol w:w="313"/>
        <w:gridCol w:w="247"/>
        <w:gridCol w:w="111"/>
        <w:gridCol w:w="111"/>
        <w:gridCol w:w="111"/>
        <w:gridCol w:w="379"/>
        <w:gridCol w:w="357"/>
        <w:gridCol w:w="247"/>
        <w:gridCol w:w="109"/>
        <w:gridCol w:w="109"/>
        <w:gridCol w:w="109"/>
        <w:gridCol w:w="196"/>
        <w:gridCol w:w="662"/>
        <w:gridCol w:w="109"/>
        <w:gridCol w:w="109"/>
        <w:gridCol w:w="109"/>
        <w:gridCol w:w="109"/>
        <w:gridCol w:w="173"/>
        <w:gridCol w:w="173"/>
        <w:gridCol w:w="296"/>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Change</w:t>
            </w:r>
            <w:r>
              <w:rPr>
                <w:color w:val="000000"/>
              </w:rPr>
              <w:t xml:space="preserve"> </w:t>
            </w:r>
          </w:p>
        </w:tc>
      </w:tr>
      <w:tr>
        <w:trPr/>
        <w:tc>
          <w:tcPr>
            <w:tcW w:w="8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4"/>
              </w:rPr>
              <w:t>%</w:t>
            </w:r>
            <w:r>
              <w:rPr>
                <w:color w:val="000000"/>
              </w:rPr>
              <w:t xml:space="preserve"> </w:t>
            </w:r>
          </w:p>
        </w:tc>
      </w:tr>
      <w:tr>
        <w:trPr/>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97,639 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108,242 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50,044 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Product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22,054 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58,198 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19,599 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22,114 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Product revenue for the three and nine months ended September 30, 2025 decreased by 4% and 10%, respectively, as compared to the three and nine months ended September 30, 2024. Product cost of sales for the three months ended September 30, 2025 increased by 1%, due to higher overhead, material, and tariff costs, and for the nine months ended September 30, 2025 decreased 4%, as compared to the same period in 2024 due to lower material costs on lower volume. Product gross profit for the three and nine months ended September 30, 2025 decreased 8% and 15%, respectively, as compared to the three and nine months ended September 30, 2024. The lower product gross profit margins in the three months ended September 30, 2025 compared to the three months ended September 30, 2024 were driven primarily by higher overhead costs associated with a site transition and higher tariff costs. The lower product gross margins in the nine months ended September 30, 2025 compared to the nine months ended September 30, 2024 were driven primarily by lower product revenue resulting in lower fixed cost absorption, higher overhead associated with a manufacturing site transition and increased tariff costs.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Service revenue for the three and nine months ended September 30, 2025 increased 19% and 20%, respectively, as compared to the three and nine months ended September 30, 2024. Service cost of sales for the three and nine months ended September 30, 2025 increased by 40% and 27%, respectively,</w:t>
      </w:r>
      <w:r>
        <w:rPr>
          <w:color w:val="000000"/>
        </w:rPr>
        <w:t xml:space="preserve"> </w:t>
      </w:r>
      <w:r>
        <w:rPr>
          <w:rFonts w:ascii="Times New Roman;serif" w:hAnsi="Times New Roman;serif"/>
          <w:b w:val="false"/>
          <w:color w:val="000000"/>
          <w:sz w:val="20"/>
        </w:rPr>
        <w:t>as compared to the same period in 2024. Service gross profit for the three and nine months ended September 30, 2025 increased 3% and 15%, respectively, as compared to the three and nine months ended September 30, 2024. In the three and nine months ended September 30, 2025, service gross margins declined compared to the three and nine months ended September 30, 2024 due to higher service labor and travel costs resulting from an increased field service headcount required to service a growing installed base of instruments, and higher material costs.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10205" w:type="dxa"/>
        <w:jc w:val="left"/>
        <w:tblInd w:w="0" w:type="dxa"/>
        <w:tblLayout w:type="fixed"/>
        <w:tblCellMar>
          <w:top w:w="28" w:type="dxa"/>
          <w:left w:w="28" w:type="dxa"/>
          <w:bottom w:w="28" w:type="dxa"/>
          <w:right w:w="28" w:type="dxa"/>
        </w:tblCellMar>
      </w:tblPr>
      <w:tblGrid>
        <w:gridCol w:w="580"/>
        <w:gridCol w:w="335"/>
        <w:gridCol w:w="336"/>
        <w:gridCol w:w="109"/>
        <w:gridCol w:w="109"/>
        <w:gridCol w:w="109"/>
        <w:gridCol w:w="198"/>
        <w:gridCol w:w="563"/>
        <w:gridCol w:w="110"/>
        <w:gridCol w:w="110"/>
        <w:gridCol w:w="110"/>
        <w:gridCol w:w="110"/>
        <w:gridCol w:w="198"/>
        <w:gridCol w:w="563"/>
        <w:gridCol w:w="110"/>
        <w:gridCol w:w="109"/>
        <w:gridCol w:w="109"/>
        <w:gridCol w:w="109"/>
        <w:gridCol w:w="196"/>
        <w:gridCol w:w="438"/>
        <w:gridCol w:w="109"/>
        <w:gridCol w:w="109"/>
        <w:gridCol w:w="109"/>
        <w:gridCol w:w="109"/>
        <w:gridCol w:w="129"/>
        <w:gridCol w:w="129"/>
        <w:gridCol w:w="241"/>
        <w:gridCol w:w="109"/>
        <w:gridCol w:w="109"/>
        <w:gridCol w:w="109"/>
        <w:gridCol w:w="197"/>
        <w:gridCol w:w="650"/>
        <w:gridCol w:w="109"/>
        <w:gridCol w:w="109"/>
        <w:gridCol w:w="109"/>
        <w:gridCol w:w="109"/>
        <w:gridCol w:w="197"/>
        <w:gridCol w:w="650"/>
        <w:gridCol w:w="109"/>
        <w:gridCol w:w="109"/>
        <w:gridCol w:w="109"/>
        <w:gridCol w:w="109"/>
        <w:gridCol w:w="196"/>
        <w:gridCol w:w="573"/>
        <w:gridCol w:w="109"/>
        <w:gridCol w:w="109"/>
        <w:gridCol w:w="109"/>
        <w:gridCol w:w="109"/>
        <w:gridCol w:w="129"/>
        <w:gridCol w:w="129"/>
        <w:gridCol w:w="303"/>
      </w:tblGrid>
      <w:tr>
        <w:trPr/>
        <w:tc>
          <w:tcPr>
            <w:tcW w:w="5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20" w:after="283"/>
        <w:ind w:left="0" w:right="0" w:firstLine="126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were $9.0 million and $27.5 million for the three and nine months ended September 30, 2025, respectively, as compared to $9.9 million and $29.7 million for the three and nine months ended September 30, 2024, respectively. The decrease in research and development expenses for both the three and nine months ended September 30, 2025 compared to research and development expenses for the three and nine months ended September 30, 2024 was primarily due to lower compensation expenses from lower headcount and lower outside services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4485"/>
                <wp:effectExtent l="0" t="0" r="0" b="0"/>
                <wp:wrapNone/>
                <wp:docPr id="43" name="Frame4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Sales and marketing </w:t>
      </w:r>
    </w:p>
    <w:tbl>
      <w:tblPr>
        <w:tblW w:w="10205" w:type="dxa"/>
        <w:jc w:val="left"/>
        <w:tblInd w:w="0" w:type="dxa"/>
        <w:tblLayout w:type="fixed"/>
        <w:tblCellMar>
          <w:top w:w="28" w:type="dxa"/>
          <w:left w:w="28" w:type="dxa"/>
          <w:bottom w:w="28" w:type="dxa"/>
          <w:right w:w="28" w:type="dxa"/>
        </w:tblCellMar>
      </w:tblPr>
      <w:tblGrid>
        <w:gridCol w:w="417"/>
        <w:gridCol w:w="367"/>
        <w:gridCol w:w="368"/>
        <w:gridCol w:w="109"/>
        <w:gridCol w:w="109"/>
        <w:gridCol w:w="109"/>
        <w:gridCol w:w="199"/>
        <w:gridCol w:w="658"/>
        <w:gridCol w:w="111"/>
        <w:gridCol w:w="111"/>
        <w:gridCol w:w="111"/>
        <w:gridCol w:w="111"/>
        <w:gridCol w:w="199"/>
        <w:gridCol w:w="658"/>
        <w:gridCol w:w="111"/>
        <w:gridCol w:w="109"/>
        <w:gridCol w:w="109"/>
        <w:gridCol w:w="109"/>
        <w:gridCol w:w="196"/>
        <w:gridCol w:w="442"/>
        <w:gridCol w:w="109"/>
        <w:gridCol w:w="109"/>
        <w:gridCol w:w="109"/>
        <w:gridCol w:w="109"/>
        <w:gridCol w:w="131"/>
        <w:gridCol w:w="131"/>
        <w:gridCol w:w="241"/>
        <w:gridCol w:w="109"/>
        <w:gridCol w:w="109"/>
        <w:gridCol w:w="109"/>
        <w:gridCol w:w="199"/>
        <w:gridCol w:w="657"/>
        <w:gridCol w:w="110"/>
        <w:gridCol w:w="110"/>
        <w:gridCol w:w="110"/>
        <w:gridCol w:w="110"/>
        <w:gridCol w:w="199"/>
        <w:gridCol w:w="657"/>
        <w:gridCol w:w="110"/>
        <w:gridCol w:w="109"/>
        <w:gridCol w:w="109"/>
        <w:gridCol w:w="109"/>
        <w:gridCol w:w="196"/>
        <w:gridCol w:w="442"/>
        <w:gridCol w:w="109"/>
        <w:gridCol w:w="109"/>
        <w:gridCol w:w="109"/>
        <w:gridCol w:w="109"/>
        <w:gridCol w:w="131"/>
        <w:gridCol w:w="131"/>
        <w:gridCol w:w="301"/>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540"/>
        <w:jc w:val="both"/>
        <w:rPr/>
      </w:pPr>
      <w:r>
        <w:rPr>
          <w:rFonts w:ascii="Times New Roman;serif" w:hAnsi="Times New Roman;serif"/>
          <w:b w:val="false"/>
          <w:color w:val="000000"/>
          <w:sz w:val="20"/>
        </w:rPr>
        <w:t>Sales and marketing expenses were $11.7 million and $36.3 million for the three and nine months ended September 30, 2025, respectively, as compared to $12.4 million and $37.2 million</w:t>
      </w:r>
      <w:r>
        <w:rPr>
          <w:color w:val="000000"/>
        </w:rPr>
        <w:t xml:space="preserve"> </w:t>
      </w:r>
      <w:r>
        <w:rPr>
          <w:rFonts w:ascii="Times New Roman;serif" w:hAnsi="Times New Roman;serif"/>
          <w:b w:val="false"/>
          <w:color w:val="000000"/>
          <w:sz w:val="20"/>
        </w:rPr>
        <w:t>for the three and nine months ended September 30, 2024, respectively. The decrease in sales and marketing expenses for both the three and nine months ended September 30, 2025 compared to the three and nine months ended September 30, 2024 was primarily due to lower compensation expenses from lower headcount and lower outside services costs.</w:t>
      </w:r>
    </w:p>
    <w:p>
      <w:pPr>
        <w:pStyle w:val="TextBody"/>
        <w:bidi w:val="0"/>
        <w:spacing w:before="20" w:after="283"/>
        <w:ind w:left="0" w:right="0" w:firstLine="1260"/>
        <w:jc w:val="both"/>
        <w:rPr/>
      </w:pPr>
      <w:r>
        <w:rPr/>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w:t>
      </w:r>
    </w:p>
    <w:tbl>
      <w:tblPr>
        <w:tblW w:w="10622" w:type="dxa"/>
        <w:jc w:val="left"/>
        <w:tblInd w:w="0" w:type="dxa"/>
        <w:tblLayout w:type="fixed"/>
        <w:tblCellMar>
          <w:top w:w="28" w:type="dxa"/>
          <w:left w:w="28" w:type="dxa"/>
          <w:bottom w:w="28" w:type="dxa"/>
          <w:right w:w="28" w:type="dxa"/>
        </w:tblCellMar>
      </w:tblPr>
      <w:tblGrid>
        <w:gridCol w:w="668"/>
        <w:gridCol w:w="311"/>
        <w:gridCol w:w="31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24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286"/>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540"/>
        <w:jc w:val="both"/>
        <w:rPr/>
      </w:pPr>
      <w:r>
        <w:rPr>
          <w:rFonts w:ascii="Times New Roman;serif" w:hAnsi="Times New Roman;serif"/>
          <w:b w:val="false"/>
          <w:color w:val="000000"/>
          <w:sz w:val="20"/>
        </w:rPr>
        <w:t>General and administrative expenses were $16.1 million and $42.6 million for the three and nine months ended September 30, 2025, respectively, as compared to $10.9 million and $34.0 million for the three and nine months ended September 30, 2024, respectively. The increase of $5.2 million and $8.5 million in general and administrative expen</w:t>
      </w:r>
      <w:r>
        <w:rPr>
          <w:rFonts w:ascii="Times New Roman;serif" w:hAnsi="Times New Roman;serif"/>
          <w:b w:val="false"/>
          <w:color w:val="000000"/>
          <w:sz w:val="20"/>
          <w:shd w:fill="FFFFFF" w:val="clear"/>
        </w:rPr>
        <w:t>ses</w:t>
      </w:r>
      <w:r>
        <w:rPr>
          <w:color w:val="000000"/>
        </w:rPr>
        <w:t xml:space="preserve"> </w:t>
      </w:r>
      <w:r>
        <w:rPr>
          <w:rFonts w:ascii="Times New Roman;serif" w:hAnsi="Times New Roman;serif"/>
          <w:b w:val="false"/>
          <w:color w:val="000000"/>
          <w:sz w:val="20"/>
        </w:rPr>
        <w:t xml:space="preserve">for the three and nine months ended September 30, 2025 as compared to the three and nine months ended September 30, 2024, was primarily </w:t>
      </w:r>
      <w:r>
        <w:rPr>
          <w:rFonts w:ascii="Times New Roman;serif" w:hAnsi="Times New Roman;serif"/>
          <w:b w:val="false"/>
          <w:color w:val="000000"/>
          <w:sz w:val="20"/>
          <w:shd w:fill="FFFFFF" w:val="clear"/>
        </w:rPr>
        <w:t>due to four factors: ongoing patent litigation expenses incurred in 2025 but not in 2024, a non-recurring charge of $</w:t>
      </w:r>
      <w:r>
        <w:rPr>
          <w:rFonts w:ascii="Times New Roman;serif" w:hAnsi="Times New Roman;serif"/>
          <w:b w:val="false"/>
          <w:color w:val="000000"/>
          <w:sz w:val="20"/>
        </w:rPr>
        <w:t>0.7</w:t>
      </w:r>
      <w:r>
        <w:rPr>
          <w:color w:val="000000"/>
          <w:shd w:fill="FFFFFF" w:val="clear"/>
        </w:rPr>
        <w:t xml:space="preserve"> </w:t>
      </w:r>
      <w:r>
        <w:rPr>
          <w:rFonts w:ascii="Times New Roman;serif" w:hAnsi="Times New Roman;serif"/>
          <w:b w:val="false"/>
          <w:color w:val="000000"/>
          <w:sz w:val="20"/>
          <w:shd w:fill="FFFFFF" w:val="clear"/>
        </w:rPr>
        <w:t xml:space="preserve">million related to the write-off of deferred offering costs for a 2022 “at-the-market” offering program that expired as of </w:t>
      </w:r>
      <w:r>
        <w:rPr>
          <w:rFonts w:ascii="Times New Roman;serif" w:hAnsi="Times New Roman;serif"/>
          <w:b w:val="false"/>
          <w:color w:val="000000"/>
          <w:sz w:val="20"/>
        </w:rPr>
        <w:t>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are focused on controlling our general and administrative expenses, these may increase in absolute dollars in future periods to provide the infrastructure necessary to support the growth of the business.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tbl>
      <w:tblPr>
        <w:tblW w:w="10205" w:type="dxa"/>
        <w:jc w:val="left"/>
        <w:tblInd w:w="0" w:type="dxa"/>
        <w:tblLayout w:type="fixed"/>
        <w:tblCellMar>
          <w:top w:w="28" w:type="dxa"/>
          <w:left w:w="28" w:type="dxa"/>
          <w:bottom w:w="28" w:type="dxa"/>
          <w:right w:w="28" w:type="dxa"/>
        </w:tblCellMar>
      </w:tblPr>
      <w:tblGrid>
        <w:gridCol w:w="490"/>
        <w:gridCol w:w="432"/>
        <w:gridCol w:w="433"/>
        <w:gridCol w:w="109"/>
        <w:gridCol w:w="109"/>
        <w:gridCol w:w="109"/>
        <w:gridCol w:w="212"/>
        <w:gridCol w:w="492"/>
        <w:gridCol w:w="118"/>
        <w:gridCol w:w="118"/>
        <w:gridCol w:w="118"/>
        <w:gridCol w:w="118"/>
        <w:gridCol w:w="212"/>
        <w:gridCol w:w="492"/>
        <w:gridCol w:w="118"/>
        <w:gridCol w:w="109"/>
        <w:gridCol w:w="109"/>
        <w:gridCol w:w="109"/>
        <w:gridCol w:w="196"/>
        <w:gridCol w:w="449"/>
        <w:gridCol w:w="109"/>
        <w:gridCol w:w="109"/>
        <w:gridCol w:w="109"/>
        <w:gridCol w:w="109"/>
        <w:gridCol w:w="210"/>
        <w:gridCol w:w="211"/>
        <w:gridCol w:w="241"/>
        <w:gridCol w:w="109"/>
        <w:gridCol w:w="109"/>
        <w:gridCol w:w="109"/>
        <w:gridCol w:w="207"/>
        <w:gridCol w:w="622"/>
        <w:gridCol w:w="115"/>
        <w:gridCol w:w="115"/>
        <w:gridCol w:w="115"/>
        <w:gridCol w:w="115"/>
        <w:gridCol w:w="207"/>
        <w:gridCol w:w="479"/>
        <w:gridCol w:w="115"/>
        <w:gridCol w:w="109"/>
        <w:gridCol w:w="109"/>
        <w:gridCol w:w="109"/>
        <w:gridCol w:w="196"/>
        <w:gridCol w:w="449"/>
        <w:gridCol w:w="109"/>
        <w:gridCol w:w="109"/>
        <w:gridCol w:w="109"/>
        <w:gridCol w:w="109"/>
        <w:gridCol w:w="165"/>
        <w:gridCol w:w="166"/>
        <w:gridCol w:w="299"/>
      </w:tblGrid>
      <w:tr>
        <w:trPr/>
        <w:tc>
          <w:tcPr>
            <w:tcW w:w="4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540"/>
        <w:jc w:val="both"/>
        <w:rPr/>
      </w:pPr>
      <w:r>
        <w:rPr>
          <w:rFonts w:ascii="Times New Roman;serif" w:hAnsi="Times New Roman;serif"/>
          <w:b w:val="false"/>
          <w:color w:val="000000"/>
          <w:sz w:val="20"/>
        </w:rPr>
        <w:t xml:space="preserve">Interest expense was $0.5 million and $1.2 million for the three and nine months ended September 30, 2025, respectively, as compared to $0.1 million and $0.7 million for the three and nine months ended September 30, 2024, respectively. </w:t>
      </w:r>
      <w:r>
        <w:rPr>
          <w:rFonts w:ascii="Times New Roman;serif" w:hAnsi="Times New Roman;serif"/>
          <w:b w:val="false"/>
          <w:color w:val="000000"/>
          <w:sz w:val="20"/>
          <w:shd w:fill="FFFFFF" w:val="clear"/>
        </w:rPr>
        <w:t xml:space="preserve">The increase in interest expense for the </w:t>
      </w:r>
      <w:r>
        <w:rPr>
          <w:rFonts w:ascii="Times New Roman;serif" w:hAnsi="Times New Roman;serif"/>
          <w:b w:val="false"/>
          <w:color w:val="000000"/>
          <w:sz w:val="20"/>
        </w:rPr>
        <w:t>three and nine months ended September 30, 2025 were</w:t>
      </w:r>
      <w:r>
        <w:rPr>
          <w:color w:val="000000"/>
          <w:shd w:fill="FFFFFF" w:val="clear"/>
        </w:rPr>
        <w:t xml:space="preserve"> </w:t>
      </w:r>
      <w:r>
        <w:rPr>
          <w:rFonts w:ascii="Times New Roman;serif" w:hAnsi="Times New Roman;serif"/>
          <w:b w:val="false"/>
          <w:color w:val="000000"/>
          <w:sz w:val="20"/>
          <w:shd w:fill="FFFFFF" w:val="clear"/>
        </w:rPr>
        <w:t xml:space="preserve">mainly due to two factors: (i) reductions in interest expense in the </w:t>
      </w:r>
      <w:r>
        <w:rPr>
          <w:rFonts w:ascii="Times New Roman;serif" w:hAnsi="Times New Roman;serif"/>
          <w:b w:val="false"/>
          <w:color w:val="000000"/>
          <w:sz w:val="20"/>
        </w:rPr>
        <w:t xml:space="preserve">three and nine months ended September 30, 2024 to the interest accrual on the estimated </w:t>
      </w:r>
      <w:r>
        <w:rPr>
          <w:rFonts w:ascii="Times New Roman;serif" w:hAnsi="Times New Roman;serif"/>
          <w:b w:val="false"/>
          <w:color w:val="000000"/>
          <w:sz w:val="20"/>
          <w:shd w:fill="FFFFFF" w:val="clear"/>
        </w:rPr>
        <w:t xml:space="preserve">Becton, Dickinson and Company (“BD”) settlement liability to the accrual on actual liability based on sales of the relevant products in the quarter; (ii) increase in interest expense in the </w:t>
      </w:r>
      <w:r>
        <w:rPr>
          <w:rFonts w:ascii="Times New Roman;serif" w:hAnsi="Times New Roman;serif"/>
          <w:b w:val="false"/>
          <w:color w:val="000000"/>
          <w:sz w:val="20"/>
        </w:rPr>
        <w:t>three and nine months ended September 30, 2025 to reflect provisions for various state sales tax audit liabilities.</w:t>
      </w:r>
      <w:r>
        <w:rPr>
          <w:color w:val="000000"/>
          <w:shd w:fill="FFFFFF" w:val="clear"/>
        </w:rPr>
        <w:t xml:space="preserve"> </w:t>
      </w:r>
      <w:r>
        <w:rPr>
          <w:rFonts w:ascii="Times New Roman;serif" w:hAnsi="Times New Roman;serif"/>
          <w:b w:val="false"/>
          <w:color w:val="000000"/>
          <w:sz w:val="20"/>
        </w:rPr>
        <w:t>See Note 11 to our unaudited interim consolidated financial statements included elsewhere in this Quarterly Report on Form 10-Q for further details.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tbl>
      <w:tblPr>
        <w:tblW w:w="10205" w:type="dxa"/>
        <w:jc w:val="left"/>
        <w:tblInd w:w="0" w:type="dxa"/>
        <w:tblLayout w:type="fixed"/>
        <w:tblCellMar>
          <w:top w:w="28" w:type="dxa"/>
          <w:left w:w="28" w:type="dxa"/>
          <w:bottom w:w="28" w:type="dxa"/>
          <w:right w:w="28" w:type="dxa"/>
        </w:tblCellMar>
      </w:tblPr>
      <w:tblGrid>
        <w:gridCol w:w="441"/>
        <w:gridCol w:w="388"/>
        <w:gridCol w:w="389"/>
        <w:gridCol w:w="109"/>
        <w:gridCol w:w="109"/>
        <w:gridCol w:w="109"/>
        <w:gridCol w:w="207"/>
        <w:gridCol w:w="444"/>
        <w:gridCol w:w="115"/>
        <w:gridCol w:w="115"/>
        <w:gridCol w:w="115"/>
        <w:gridCol w:w="115"/>
        <w:gridCol w:w="207"/>
        <w:gridCol w:w="587"/>
        <w:gridCol w:w="115"/>
        <w:gridCol w:w="109"/>
        <w:gridCol w:w="109"/>
        <w:gridCol w:w="109"/>
        <w:gridCol w:w="196"/>
        <w:gridCol w:w="444"/>
        <w:gridCol w:w="109"/>
        <w:gridCol w:w="109"/>
        <w:gridCol w:w="109"/>
        <w:gridCol w:w="109"/>
        <w:gridCol w:w="177"/>
        <w:gridCol w:w="177"/>
        <w:gridCol w:w="241"/>
        <w:gridCol w:w="109"/>
        <w:gridCol w:w="109"/>
        <w:gridCol w:w="109"/>
        <w:gridCol w:w="203"/>
        <w:gridCol w:w="578"/>
        <w:gridCol w:w="113"/>
        <w:gridCol w:w="113"/>
        <w:gridCol w:w="113"/>
        <w:gridCol w:w="113"/>
        <w:gridCol w:w="203"/>
        <w:gridCol w:w="578"/>
        <w:gridCol w:w="113"/>
        <w:gridCol w:w="109"/>
        <w:gridCol w:w="109"/>
        <w:gridCol w:w="109"/>
        <w:gridCol w:w="196"/>
        <w:gridCol w:w="579"/>
        <w:gridCol w:w="109"/>
        <w:gridCol w:w="109"/>
        <w:gridCol w:w="109"/>
        <w:gridCol w:w="109"/>
        <w:gridCol w:w="177"/>
        <w:gridCol w:w="177"/>
        <w:gridCol w:w="296"/>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2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was $0.6 million and $1.6 million for the three and nine months ended September 30, 2025, respectively, as compared to $1.4 million and $4.2 million for the three and nine months ended September 30, 2024, respectively. The decrease in interest income was the result of lower average balance of cash and cash equivalents and short-term investments as compared to the three and nine months ended September 30, 2024 due to the transfer of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4485"/>
                <wp:effectExtent l="0" t="0" r="0" b="0"/>
                <wp:wrapNone/>
                <wp:docPr id="44" name="Frame4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from cash accounts to marketable securities accounts, the income from which is classified as investment income, included in Other income, net, rather than interest income, and a lower interest rate environment.</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Other income, net </w:t>
      </w:r>
    </w:p>
    <w:tbl>
      <w:tblPr>
        <w:tblW w:w="10205" w:type="dxa"/>
        <w:jc w:val="left"/>
        <w:tblInd w:w="0" w:type="dxa"/>
        <w:tblLayout w:type="fixed"/>
        <w:tblCellMar>
          <w:top w:w="28" w:type="dxa"/>
          <w:left w:w="28" w:type="dxa"/>
          <w:bottom w:w="28" w:type="dxa"/>
          <w:right w:w="28" w:type="dxa"/>
        </w:tblCellMar>
      </w:tblPr>
      <w:tblGrid>
        <w:gridCol w:w="381"/>
        <w:gridCol w:w="335"/>
        <w:gridCol w:w="336"/>
        <w:gridCol w:w="109"/>
        <w:gridCol w:w="109"/>
        <w:gridCol w:w="109"/>
        <w:gridCol w:w="198"/>
        <w:gridCol w:w="563"/>
        <w:gridCol w:w="110"/>
        <w:gridCol w:w="110"/>
        <w:gridCol w:w="110"/>
        <w:gridCol w:w="110"/>
        <w:gridCol w:w="198"/>
        <w:gridCol w:w="563"/>
        <w:gridCol w:w="110"/>
        <w:gridCol w:w="109"/>
        <w:gridCol w:w="109"/>
        <w:gridCol w:w="109"/>
        <w:gridCol w:w="196"/>
        <w:gridCol w:w="573"/>
        <w:gridCol w:w="109"/>
        <w:gridCol w:w="109"/>
        <w:gridCol w:w="109"/>
        <w:gridCol w:w="109"/>
        <w:gridCol w:w="174"/>
        <w:gridCol w:w="174"/>
        <w:gridCol w:w="241"/>
        <w:gridCol w:w="109"/>
        <w:gridCol w:w="109"/>
        <w:gridCol w:w="109"/>
        <w:gridCol w:w="198"/>
        <w:gridCol w:w="563"/>
        <w:gridCol w:w="110"/>
        <w:gridCol w:w="110"/>
        <w:gridCol w:w="110"/>
        <w:gridCol w:w="110"/>
        <w:gridCol w:w="198"/>
        <w:gridCol w:w="563"/>
        <w:gridCol w:w="110"/>
        <w:gridCol w:w="109"/>
        <w:gridCol w:w="109"/>
        <w:gridCol w:w="109"/>
        <w:gridCol w:w="196"/>
        <w:gridCol w:w="556"/>
        <w:gridCol w:w="109"/>
        <w:gridCol w:w="109"/>
        <w:gridCol w:w="109"/>
        <w:gridCol w:w="109"/>
        <w:gridCol w:w="210"/>
        <w:gridCol w:w="211"/>
        <w:gridCol w:w="298"/>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0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20" w:after="283"/>
        <w:ind w:left="0" w:right="0" w:firstLine="1260"/>
        <w:jc w:val="both"/>
        <w:rPr/>
      </w:pPr>
      <w:r>
        <w:rPr/>
      </w:r>
    </w:p>
    <w:p>
      <w:pPr>
        <w:pStyle w:val="TextBody"/>
        <w:bidi w:val="0"/>
        <w:spacing w:lineRule="auto" w:line="288" w:before="20" w:after="283"/>
        <w:ind w:left="0" w:right="0" w:firstLine="540"/>
        <w:jc w:val="both"/>
        <w:rPr/>
      </w:pPr>
      <w:r>
        <w:rPr>
          <w:rFonts w:ascii="Times New Roman;serif" w:hAnsi="Times New Roman;serif"/>
          <w:b w:val="false"/>
          <w:color w:val="000000"/>
          <w:sz w:val="20"/>
        </w:rPr>
        <w:t xml:space="preserve">Other income, net, was $1.3 million and $8.5 million for the three and nine months ended September 30, 2025, respectively, as compared to other income, net of $3.1 million and $4.0 million for the three and nine months ended September 30, 2024, respectively. </w:t>
      </w:r>
      <w:r>
        <w:rPr>
          <w:rFonts w:ascii="Times New Roman;serif" w:hAnsi="Times New Roman;serif"/>
          <w:b w:val="false"/>
          <w:color w:val="000000"/>
          <w:sz w:val="20"/>
          <w:shd w:fill="FFFFFF" w:val="clear"/>
        </w:rPr>
        <w:t xml:space="preserve">The decrease in other income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September 30, 2025 was due to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 xml:space="preserve">million of foreign exchange gains recognized in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September 30, 2024 compared to $</w:t>
      </w:r>
      <w:r>
        <w:rPr>
          <w:rFonts w:ascii="Times New Roman;serif" w:hAnsi="Times New Roman;serif"/>
          <w:b w:val="false"/>
          <w:color w:val="000000"/>
          <w:sz w:val="20"/>
        </w:rPr>
        <w:t>0.9</w:t>
      </w:r>
      <w:r>
        <w:rPr>
          <w:color w:val="000000"/>
          <w:shd w:fill="FFFFFF" w:val="clear"/>
        </w:rPr>
        <w:t xml:space="preserve"> </w:t>
      </w:r>
      <w:r>
        <w:rPr>
          <w:rFonts w:ascii="Times New Roman;serif" w:hAnsi="Times New Roman;serif"/>
          <w:b w:val="false"/>
          <w:color w:val="000000"/>
          <w:sz w:val="20"/>
          <w:shd w:fill="FFFFFF" w:val="clear"/>
        </w:rPr>
        <w:t xml:space="preserve">million of foreign exchange losses recognized in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months ended September 30, 2025. The increase in other income for the nine months ended September 30, 2025 was primarily driven by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million of foreign exchange gains recognized in the nine months ended September 30, 2025, compared to $</w:t>
      </w:r>
      <w:r>
        <w:rPr>
          <w:rFonts w:ascii="Times New Roman;serif" w:hAnsi="Times New Roman;serif"/>
          <w:b w:val="false"/>
          <w:color w:val="000000"/>
          <w:sz w:val="20"/>
        </w:rPr>
        <w:t>1.8</w:t>
      </w:r>
      <w:r>
        <w:rPr>
          <w:color w:val="000000"/>
          <w:shd w:fill="FFFFFF" w:val="clear"/>
        </w:rPr>
        <w:t xml:space="preserve"> </w:t>
      </w:r>
      <w:r>
        <w:rPr>
          <w:rFonts w:ascii="Times New Roman;serif" w:hAnsi="Times New Roman;serif"/>
          <w:b w:val="false"/>
          <w:color w:val="000000"/>
          <w:sz w:val="20"/>
          <w:shd w:fill="FFFFFF" w:val="clear"/>
        </w:rPr>
        <w:t>million of foreign exchange losses recognized in the nine months ended September 30, 2024 and a $</w:t>
      </w:r>
      <w:r>
        <w:rPr>
          <w:rFonts w:ascii="Times New Roman;serif" w:hAnsi="Times New Roman;serif"/>
          <w:b w:val="false"/>
          <w:color w:val="000000"/>
          <w:sz w:val="20"/>
        </w:rPr>
        <w:t>0.6</w:t>
      </w:r>
      <w:r>
        <w:rPr>
          <w:color w:val="000000"/>
          <w:shd w:fill="FFFFFF" w:val="clear"/>
        </w:rPr>
        <w:t xml:space="preserve"> </w:t>
      </w:r>
      <w:r>
        <w:rPr>
          <w:rFonts w:ascii="Times New Roman;serif" w:hAnsi="Times New Roman;serif"/>
          <w:b w:val="false"/>
          <w:color w:val="000000"/>
          <w:sz w:val="20"/>
          <w:shd w:fill="FFFFFF" w:val="clear"/>
        </w:rPr>
        <w:t>million increase in investment income from the movement of cash from interest bearing accounts to investment accounts.</w:t>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Taxes</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00"/>
        <w:gridCol w:w="590"/>
        <w:gridCol w:w="111"/>
        <w:gridCol w:w="111"/>
        <w:gridCol w:w="111"/>
        <w:gridCol w:w="111"/>
        <w:gridCol w:w="200"/>
        <w:gridCol w:w="452"/>
        <w:gridCol w:w="111"/>
        <w:gridCol w:w="109"/>
        <w:gridCol w:w="109"/>
        <w:gridCol w:w="109"/>
        <w:gridCol w:w="196"/>
        <w:gridCol w:w="576"/>
        <w:gridCol w:w="109"/>
        <w:gridCol w:w="109"/>
        <w:gridCol w:w="109"/>
        <w:gridCol w:w="109"/>
        <w:gridCol w:w="210"/>
        <w:gridCol w:w="211"/>
        <w:gridCol w:w="241"/>
        <w:gridCol w:w="109"/>
        <w:gridCol w:w="109"/>
        <w:gridCol w:w="109"/>
        <w:gridCol w:w="200"/>
        <w:gridCol w:w="589"/>
        <w:gridCol w:w="111"/>
        <w:gridCol w:w="111"/>
        <w:gridCol w:w="111"/>
        <w:gridCol w:w="111"/>
        <w:gridCol w:w="200"/>
        <w:gridCol w:w="451"/>
        <w:gridCol w:w="111"/>
        <w:gridCol w:w="109"/>
        <w:gridCol w:w="109"/>
        <w:gridCol w:w="109"/>
        <w:gridCol w:w="196"/>
        <w:gridCol w:w="576"/>
        <w:gridCol w:w="109"/>
        <w:gridCol w:w="109"/>
        <w:gridCol w:w="109"/>
        <w:gridCol w:w="109"/>
        <w:gridCol w:w="210"/>
        <w:gridCol w:w="211"/>
        <w:gridCol w:w="29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shd w:fill="FFFFFF" w:val="clear"/>
        </w:rPr>
        <w:t xml:space="preserve">Benefit from income taxes was $2.3 million and $3.3 million for the three and nine months ended September 30, 2025, respectively, as compared to benefit from income taxes of $0.8 million and $0.4 million for the three and nine months ended September 30, 2024, respectively. The net increase of $1.5 million for the three months ended September 30, 2025 was primarily due to </w:t>
      </w:r>
      <w:r>
        <w:rPr>
          <w:rFonts w:ascii="Times New Roman;serif" w:hAnsi="Times New Roman;serif"/>
          <w:b w:val="false"/>
          <w:color w:val="000000"/>
          <w:sz w:val="20"/>
        </w:rPr>
        <w:t xml:space="preserve">a higher effective tax rate for the three months ended September 30, 2025 caused by a higher worldwide taxable loss for 2025 compared to 2024 and a higher pre-tax loss compared to pre-tax income in the three months ended September 30, 2024. </w:t>
      </w:r>
      <w:r>
        <w:rPr>
          <w:rFonts w:ascii="Times New Roman;serif" w:hAnsi="Times New Roman;serif"/>
          <w:b w:val="false"/>
          <w:color w:val="000000"/>
          <w:sz w:val="20"/>
          <w:shd w:fill="FFFFFF" w:val="clear"/>
        </w:rPr>
        <w:t xml:space="preserve">Benefit from income tax expense was $3.3 million for the nine months ended September 30, 2025, as compared to the benefit from income tax expense of $0.4 million for the nine months ended September 30, 2024. The net increase of $3.0 million for the nine months ended September 30, 2025 was primarily due to a higher effective tax rate </w:t>
      </w:r>
      <w:r>
        <w:rPr>
          <w:rFonts w:ascii="Times New Roman;serif" w:hAnsi="Times New Roman;serif"/>
          <w:b w:val="false"/>
          <w:color w:val="000000"/>
          <w:sz w:val="20"/>
        </w:rPr>
        <w:t xml:space="preserve">resulting from a </w:t>
      </w:r>
      <w:r>
        <w:rPr>
          <w:rFonts w:ascii="Times New Roman;serif" w:hAnsi="Times New Roman;serif"/>
          <w:b w:val="false"/>
          <w:color w:val="000000"/>
          <w:sz w:val="20"/>
          <w:shd w:fill="FFFFFF" w:val="clear"/>
        </w:rPr>
        <w:t>larger projected worldwide taxable loss for 2025 compared to 2024, and a higher pre-tax loss compared to the</w:t>
      </w:r>
      <w:r>
        <w:rPr>
          <w:color w:val="000000"/>
        </w:rPr>
        <w:t xml:space="preserve"> </w:t>
      </w:r>
      <w:r>
        <w:rPr>
          <w:rFonts w:ascii="Times New Roman;serif" w:hAnsi="Times New Roman;serif"/>
          <w:b w:val="false"/>
          <w:color w:val="000000"/>
          <w:sz w:val="20"/>
        </w:rPr>
        <w:t>three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our primary sources of capital have been through sales of our securities and revenue from the sale of our products and services. As of September 30, 2025 and December 31, 2024, we had approximately $261.7 million and $277.9 million, respectively, in cash and cash equivalents and short term investments, which were primarily held in U.S. short-term bank deposit accounts, money market funds, U.S. Treasury notes, Federal agency security notes, and short term commercial paper.</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Funding and material cash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anticipate making additional capital expenditures during the next 12 months, which is expected to primarily include equipment to be used for manufacturing and investment in research and development.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lease certain office facilities under operating lease arrangements that expire on various dates through fiscal year 2029. Under the terms of the leases, we are responsible for certain expenses related to operations,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4485"/>
                <wp:effectExtent l="0" t="0" r="0" b="0"/>
                <wp:wrapNone/>
                <wp:docPr id="45" name="Frame4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repairs and management fees. Future minimum lease payments under non-cancelable operating leases totaled $21.0 million as of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primarily through sales of our securities. In July 2021, we completed our IPO, which resulted in net proceeds to us of approximately $215.7 million. We have also benefited from operating cash flows from the sale of our products and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2022, we entered into a sales agreement (the “2022 Sales Agreement”) with Piper Sandler &amp; Co. (“Piper”) as sales agent to sell from time to time up to $150.0 million of our common stock through an “at-the-market” offering program. The securities in this transaction were offered pursuant to an automatic shelf registration statement on Form S-3ASR (File No. 333-267118) that was filed with the SEC on August 26, 2022 and expired in August 2025. As of the termination of the 2022 Sales Agreement in August 2025, concurrent with the expiration of the automatic shelf registration statement, the Company had not made any sales of common stock pursuant to the 2022 Sales Agreement. Accordingly, $0.7 million in transaction expenses recorded as prepaid offering costs have been expensed and recorded as of September 30, 2025.</w:t>
      </w:r>
    </w:p>
    <w:p>
      <w:pPr>
        <w:pStyle w:val="TextBody"/>
        <w:bidi w:val="0"/>
        <w:spacing w:before="120" w:after="283"/>
        <w:ind w:left="0" w:right="0" w:firstLine="540"/>
        <w:jc w:val="both"/>
        <w:rPr/>
      </w:pPr>
      <w:r>
        <w:rPr/>
      </w:r>
    </w:p>
    <w:p>
      <w:pPr>
        <w:pStyle w:val="TextBody"/>
        <w:bidi w:val="0"/>
        <w:spacing w:lineRule="auto" w:line="288" w:before="120" w:after="283"/>
        <w:ind w:left="0" w:right="0" w:firstLine="5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9246" w:type="dxa"/>
        <w:jc w:val="left"/>
        <w:tblInd w:w="0" w:type="dxa"/>
        <w:tblLayout w:type="fixed"/>
        <w:tblCellMar>
          <w:top w:w="28" w:type="dxa"/>
          <w:left w:w="28" w:type="dxa"/>
          <w:bottom w:w="28" w:type="dxa"/>
          <w:right w:w="28" w:type="dxa"/>
        </w:tblCellMar>
      </w:tblPr>
      <w:tblGrid>
        <w:gridCol w:w="2288"/>
        <w:gridCol w:w="2018"/>
        <w:gridCol w:w="2023"/>
        <w:gridCol w:w="109"/>
        <w:gridCol w:w="109"/>
        <w:gridCol w:w="109"/>
        <w:gridCol w:w="225"/>
        <w:gridCol w:w="740"/>
        <w:gridCol w:w="116"/>
        <w:gridCol w:w="116"/>
        <w:gridCol w:w="116"/>
        <w:gridCol w:w="116"/>
        <w:gridCol w:w="225"/>
        <w:gridCol w:w="772"/>
        <w:gridCol w:w="164"/>
      </w:tblGrid>
      <w:tr>
        <w:trPr/>
        <w:tc>
          <w:tcPr>
            <w:tcW w:w="2288"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3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(19,541)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Net cash</w:t>
      </w:r>
      <w:r>
        <w:rPr>
          <w:color w:val="000000"/>
        </w:rPr>
        <w:t xml:space="preserve"> </w:t>
      </w:r>
      <w:r>
        <w:rPr>
          <w:rFonts w:ascii="Times New Roman;serif" w:hAnsi="Times New Roman;serif"/>
          <w:b w:val="false"/>
          <w:color w:val="000000"/>
          <w:sz w:val="20"/>
        </w:rPr>
        <w:t xml:space="preserve">used in </w:t>
      </w:r>
      <w:r>
        <w:rPr>
          <w:rFonts w:ascii="Times New Roman;serif" w:hAnsi="Times New Roman;serif"/>
          <w:b w:val="false"/>
          <w:color w:val="000000"/>
          <w:sz w:val="20"/>
          <w:shd w:fill="FFFFFF" w:val="clear"/>
        </w:rPr>
        <w:t xml:space="preserve">operating activities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2025, </w:t>
      </w:r>
      <w:r>
        <w:rPr>
          <w:rFonts w:ascii="Times New Roman;serif" w:hAnsi="Times New Roman;serif"/>
          <w:b w:val="false"/>
          <w:color w:val="000000"/>
          <w:sz w:val="20"/>
          <w:shd w:fill="FFFFFF" w:val="clear"/>
        </w:rPr>
        <w:t xml:space="preserve">was $3.92 million. The primary factors affecting our operating cash flows during the period were our </w:t>
      </w:r>
      <w:r>
        <w:rPr>
          <w:rFonts w:ascii="Times New Roman;serif" w:hAnsi="Times New Roman;serif"/>
          <w:b w:val="false"/>
          <w:color w:val="000000"/>
          <w:sz w:val="20"/>
        </w:rPr>
        <w:t xml:space="preserve">net loss of $22.5 million, impacted by our non-cash charges of $19.9 million, primarily consisting of </w:t>
      </w:r>
      <w:r>
        <w:rPr>
          <w:rFonts w:ascii="Times New Roman;serif" w:hAnsi="Times New Roman;serif"/>
          <w:b w:val="false"/>
          <w:color w:val="000000"/>
          <w:sz w:val="20"/>
          <w:shd w:fill="FFFFFF" w:val="clear"/>
        </w:rPr>
        <w:t>stock-based compensat</w:t>
      </w:r>
      <w:r>
        <w:rPr>
          <w:rFonts w:ascii="Times New Roman;serif" w:hAnsi="Times New Roman;serif"/>
          <w:b w:val="false"/>
          <w:color w:val="000000"/>
          <w:sz w:val="20"/>
        </w:rPr>
        <w:t>ion expense of $19.1 million, depreciation and amortization of $5.7 million, amortization of right-of-use assets of $3.2 million, and excess and obsolete inventory of $0.5 million, partially offset by deferred income taxes of $5.0 million and gain on investments accretion and amortization, net of $4.5 million. The cash used in changes in our operating assets and liabilities of $1.3 million were primarily due to an increase of $7.3 million in inventories, a decrease of operating lease liabilities of $3.3 million, a decrease in legal settlement liability of $0.8 million, and an increase in prepaid expenses and other assets of $0.7 million. These amounts were partially offset by cash provided from changes in our operating assets and liabilities of a decrease in trade accounts receivable of $6.5 million, an increase in deferred revenue of $1.9 million, and an increase in trade accounts payable of $1.8 million.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Net</w:t>
      </w:r>
      <w:r>
        <w:rPr>
          <w:color w:val="000000"/>
          <w:shd w:fill="FFFFFF" w:val="clear"/>
        </w:rPr>
        <w:t xml:space="preserve"> </w:t>
      </w:r>
      <w:r>
        <w:rPr>
          <w:rFonts w:ascii="Times New Roman;serif" w:hAnsi="Times New Roman;serif"/>
          <w:b w:val="false"/>
          <w:color w:val="000000"/>
          <w:sz w:val="20"/>
          <w:shd w:fill="FFFFFF" w:val="clear"/>
        </w:rPr>
        <w:t>cash</w:t>
      </w:r>
      <w:r>
        <w:rPr>
          <w:color w:val="000000"/>
        </w:rPr>
        <w:t xml:space="preserve"> </w:t>
      </w:r>
      <w:r>
        <w:rPr>
          <w:rFonts w:ascii="Times New Roman;serif" w:hAnsi="Times New Roman;serif"/>
          <w:b w:val="false"/>
          <w:color w:val="000000"/>
          <w:sz w:val="20"/>
        </w:rPr>
        <w:t xml:space="preserve">provided by </w:t>
      </w:r>
      <w:r>
        <w:rPr>
          <w:rFonts w:ascii="Times New Roman;serif" w:hAnsi="Times New Roman;serif"/>
          <w:b w:val="false"/>
          <w:color w:val="000000"/>
          <w:sz w:val="20"/>
          <w:shd w:fill="FFFFFF" w:val="clear"/>
        </w:rPr>
        <w:t xml:space="preserve">operating activities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2024</w:t>
      </w:r>
      <w:r>
        <w:rPr>
          <w:color w:val="000000"/>
          <w:shd w:fill="FFFFFF" w:val="clear"/>
        </w:rPr>
        <w:t xml:space="preserve"> </w:t>
      </w:r>
      <w:r>
        <w:rPr>
          <w:rFonts w:ascii="Times New Roman;serif" w:hAnsi="Times New Roman;serif"/>
          <w:b w:val="false"/>
          <w:color w:val="000000"/>
          <w:sz w:val="20"/>
          <w:shd w:fill="FFFFFF" w:val="clear"/>
        </w:rPr>
        <w:t xml:space="preserve">was $23.4 million. The primary factors affecting our operating cash flows during the period were our net loss of </w:t>
      </w:r>
      <w:r>
        <w:rPr>
          <w:rFonts w:ascii="Times New Roman;serif" w:hAnsi="Times New Roman;serif"/>
          <w:b w:val="false"/>
          <w:color w:val="000000"/>
          <w:sz w:val="20"/>
        </w:rPr>
        <w:t xml:space="preserve">$15.7 million, impacted by our non-cash charges of $25.8 million, primarily consisting of </w:t>
      </w:r>
      <w:r>
        <w:rPr>
          <w:rFonts w:ascii="Times New Roman;serif" w:hAnsi="Times New Roman;serif"/>
          <w:b w:val="false"/>
          <w:color w:val="000000"/>
          <w:sz w:val="20"/>
          <w:shd w:fill="FFFFFF" w:val="clear"/>
        </w:rPr>
        <w:t>stock-based compensat</w:t>
      </w:r>
      <w:r>
        <w:rPr>
          <w:rFonts w:ascii="Times New Roman;serif" w:hAnsi="Times New Roman;serif"/>
          <w:b w:val="false"/>
          <w:color w:val="000000"/>
          <w:sz w:val="20"/>
        </w:rPr>
        <w:t>ion expense of $19.8 million, depreciation and amortization of $5.4 million, amortization of right-of-use assets of $2.4 million, and excess and obsolete inventory of $1.4 million, partially offset by a gain on investments, accretion and amortization, net of $3.6 million. The cash provided by changes in our operating assets and liabilities of $13.2</w:t>
      </w:r>
      <w:r>
        <w:rPr>
          <w:color w:val="000000"/>
        </w:rPr>
        <w:t xml:space="preserve"> </w:t>
      </w:r>
      <w:r>
        <w:rPr>
          <w:rFonts w:ascii="Times New Roman;serif" w:hAnsi="Times New Roman;serif"/>
          <w:b w:val="false"/>
          <w:color w:val="000000"/>
          <w:sz w:val="20"/>
        </w:rPr>
        <w:t xml:space="preserve">million were primarily due to a decrease of inventories of $12.8 million and a decrease of trade accounts receivable of $3.9 million. These amounts were partially offset by cash used from changes in our operating assets and liabilities of a decrease in accrued expenses and other liabilities of $3.8 million, and an increase in prepaid expenses and other assets of $2.1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4485"/>
                <wp:effectExtent l="0" t="0" r="0" b="0"/>
                <wp:wrapNone/>
                <wp:docPr id="46" name="Frame4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i/>
          <w:color w:val="000000"/>
          <w:sz w:val="20"/>
          <w:shd w:fill="FFFFFF" w:val="clear"/>
        </w:rPr>
        <w:t>I</w:t>
      </w:r>
      <w:r>
        <w:rPr>
          <w:rFonts w:ascii="Times New Roman;serif" w:hAnsi="Times New Roman;serif"/>
          <w:b/>
          <w:i/>
          <w:color w:val="000000"/>
          <w:sz w:val="20"/>
        </w:rPr>
        <w:t xml:space="preserve">nvesting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during the nine months ended September 30, 2025 was $12.0 million driven by proceeds from maturities of marketable securities of $216.1 million, proceeds from sale of property and equipment of $0.1 million, partially offset by purchase of marketable securities of $201.0 million, and purchase of property and equipment of approximately $3.2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nine months ended September 30, 2024 was $19.5 million driven by purchases of marketable securities of $166.8 million, and the purchase of property and equipment of approximately $2.6 million. This was partially offset by the proceeds from maturities of marketable securities of $150.0 million.</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nine months ended September 30, 2025 was $12.2 million, driven by the payments for repurchase of shares of $15.1 million and repayment of loan of $1.8 million, partially offset by the proceeds from a line of credit of $4.2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during the nine months ended September 30, 2024 was $12.2 million, driven by the payments for the repurchase of share of $14.6 million. This was partially offset by the proceeds from a line of credit of $1.4 million, proceeds from our Employee Stock Purchase Plan of $1.0 million, and the proceeds from the issuance of common stock under our equity incentive plans of $0.9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there were no material changes to our contractual obligations and commitments from those described under “Management’s Discussion and Analysis of Financial Condition” which is contained in our Form 10-K and filed with the SEC on February 28, 2025.</w:t>
      </w:r>
    </w:p>
    <w:p>
      <w:pPr>
        <w:pStyle w:val="TextBody"/>
        <w:bidi w:val="0"/>
        <w:spacing w:before="120" w:after="283"/>
        <w:ind w:left="0" w:right="0" w:firstLine="55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120" w:after="283"/>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included in our Annual Report on Form 10-K filed with the SEC on </w:t>
      </w:r>
      <w:r>
        <w:rPr>
          <w:rFonts w:ascii="Times New Roman;serif" w:hAnsi="Times New Roman;serif"/>
          <w:b w:val="false"/>
          <w:color w:val="000000"/>
          <w:sz w:val="20"/>
        </w:rPr>
        <w:t>February 28, 2025</w:t>
      </w:r>
      <w:r>
        <w:rPr>
          <w:rFonts w:ascii="Times New Roman;serif" w:hAnsi="Times New Roman;serif"/>
          <w:b w:val="false"/>
          <w:color w:val="000000"/>
          <w:sz w:val="20"/>
          <w:shd w:fill="FFFFFF" w:val="clear"/>
        </w:rPr>
        <w:t xml:space="preserve">. There were no material changes to our critical accounting policies during the three months ended </w:t>
      </w:r>
      <w:r>
        <w:rPr>
          <w:rFonts w:ascii="Times New Roman;serif" w:hAnsi="Times New Roman;serif"/>
          <w:b w:val="false"/>
          <w:color w:val="000000"/>
          <w:sz w:val="20"/>
        </w:rPr>
        <w:t>September 30, 2025.</w:t>
      </w:r>
    </w:p>
    <w:p>
      <w:pPr>
        <w:pStyle w:val="TextBody"/>
        <w:bidi w:val="0"/>
        <w:spacing w:before="120" w:after="283"/>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1"/>
        <w:jc w:val="both"/>
        <w:rPr>
          <w:rFonts w:ascii="Times New Roman;serif" w:hAnsi="Times New Roman;serif"/>
          <w:b/>
          <w:color w:val="000000"/>
          <w:sz w:val="20"/>
        </w:rPr>
      </w:pPr>
      <w:r>
        <w:rPr>
          <w:rFonts w:ascii="Times New Roman;serif" w:hAnsi="Times New Roman;serif"/>
          <w:b/>
          <w:color w:val="000000"/>
          <w:sz w:val="20"/>
        </w:rPr>
        <w:t xml:space="preserve">Recently adopted accounting pronouncements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Information with respect to this item may be found in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in our notes to unaudited interim consolidated financial statements included in Part I, Item 1, of this Quarterly Report on Form 10-Q, which information is incorporated herein by reference.</w:t>
      </w:r>
    </w:p>
    <w:p>
      <w:pPr>
        <w:pStyle w:val="TextBody"/>
        <w:bidi w:val="0"/>
        <w:spacing w:before="120" w:after="283"/>
        <w:ind w:left="0" w:right="0" w:firstLine="55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4485"/>
                <wp:effectExtent l="0" t="0" r="0" b="0"/>
                <wp:wrapNone/>
                <wp:docPr id="47" name="Frame4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i/>
          <w:color w:val="000000"/>
          <w:sz w:val="20"/>
        </w:rPr>
        <w:t>Interest rate risk</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risk inherent in our financial instruments and in our financial condition represents the potential loss arising from adverse changes in interest rates or exchange rates. As of September 30, 2025, we had approximately $262 million in cash and cash equivalents and short-term investments, which were primarily held in U.S. short-term bank deposit accounts, money market funds, U.S. Treasury notes, Federal agency security notes, and short-term commercial paper. The primary objective of our investment is to preserve principal and provide liquidity. These money market funds and bank deposits generate interest income at variable rates.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therefore do not believe we are exposed to, nor do we anticipate being in the near future exposed to, material risk due to changes in interest rates because of the short-term nature of our cash and cash equivalents.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believe that either inflation or foreign currency risk had a material effect on our business, financial condition, or results of operations during the periods presented. </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w:t>
      </w:r>
      <w:r>
        <w:rPr>
          <w:rFonts w:ascii="Times New Roman;serif" w:hAnsi="Times New Roman;serif"/>
          <w:b w:val="false"/>
          <w:color w:val="000000"/>
          <w:sz w:val="20"/>
          <w:shd w:fill="FFFFFF" w:val="clear"/>
        </w:rPr>
        <w:t>as a result of the material weaknesses in our internal controls, our disclosure controls and procedures were not effective as of</w:t>
      </w:r>
      <w:r>
        <w:rPr>
          <w:color w:val="000000"/>
        </w:rPr>
        <w:t xml:space="preserve"> </w:t>
      </w:r>
      <w:r>
        <w:rPr>
          <w:rFonts w:ascii="Times New Roman;serif" w:hAnsi="Times New Roman;serif"/>
          <w:b w:val="false"/>
          <w:color w:val="000000"/>
          <w:sz w:val="20"/>
        </w:rPr>
        <w:t>September 30, 2025.</w:t>
      </w:r>
    </w:p>
    <w:p>
      <w:pPr>
        <w:pStyle w:val="TextBody"/>
        <w:bidi w:val="0"/>
        <w:spacing w:before="120" w:after="283"/>
        <w:ind w:left="0" w:right="0" w:firstLine="1260"/>
        <w:jc w:val="both"/>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Material Weaknesses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Control environment – Management did not maintain an effective control environment based on the criteria established in the COSO framework and identified deficiencies in the principles associated with the control environment of the COSO framework. Specifically, the Company’s resources within its accounting and IT function require additional time to perform their assigned responsibilities for a sufficient period of time to evidence an effective control environment.</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4485"/>
                <wp:effectExtent l="0" t="0" r="0" b="0"/>
                <wp:wrapNone/>
                <wp:docPr id="48" name="Frame4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Remediation Plan and Status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the nine months ended September 30, 2025, we have executed, and we will continue to execute the following steps intended to remediate the material weaknesses described above and strengthen our internal control over financial reporting: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have augmented our workforce with qualified personnel in both our accounting and information technology functions. We have appointed personnel that are qualified to assume responsibility for the design and operation of internal control over financial reporting and monitor the progress for remediation.</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are continuing to revise and improve the design of our controls, implement reviews and monitor the effectiveness of our internal control environment with external consultants with subject matter expertise, including GITCs.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are committed to an ongoing process to revise and implement new controls and update documentation.</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have expanded, and will continue to expand, education and training, enforce accountability, and strengthen supervisory reviews by our management.</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have focused, and will continue to focus, on control execution and monitoring internal controls within our revenue and inventory processes.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are committed to further strengthen GITCs related to financial accounting and reporting systems, including implementing monitoring controls as appropriate. We invested in redesigning of our IT systems in 2024 through early 2025 to get those systems in compliance.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devoted, and will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quarter ended September 30, 2025 that materially affected, or were reasonably likely to materially affect, our internal control over financial reporting.</w:t>
      </w:r>
    </w:p>
    <w:p>
      <w:pPr>
        <w:pStyle w:val="TextBody"/>
        <w:bidi w:val="0"/>
        <w:spacing w:before="120" w:after="283"/>
        <w:ind w:left="0" w:right="0" w:firstLine="12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legal proceedings and claims. See Note 18 to our unaudited interim consolidated financial statements included elsewhere in this Quarterly Report on Form 10-Q for information regarding ongoing legal proceedings.</w:t>
      </w:r>
    </w:p>
    <w:p>
      <w:pPr>
        <w:pStyle w:val="TextBody"/>
        <w:bidi w:val="0"/>
        <w:spacing w:before="120" w:after="283"/>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4485"/>
                <wp:effectExtent l="0" t="0" r="0" b="0"/>
                <wp:wrapNone/>
                <wp:docPr id="49" name="Frame4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4485"/>
                <wp:effectExtent l="0" t="0" r="0" b="0"/>
                <wp:wrapNone/>
                <wp:docPr id="50" name="Frame5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are highly dependent on a limited number of product offerings. Our revenue has been primarily generated from sales of our core Cytek Aurora, Cytek Aurora Evo, Northern Lights and Cytek Aurora cell sorter (“Cytek Aurora CS”) systems, which require a substantial sales cycle and are prone to quarterly fluctuations in revenue.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currently rely on single source suppliers and, in some cases, sole source suppliers, for certain components and materials used in our systems and, other than our agreement with Coherent NA, Inc. and certain of its affiliates (collectively, “Coherent”), we do not currently have long-term supply contracts with our sole and single source suppliers of key components. As a result, we may not be able to find replacements or immediately transition to alternative suppliers, which could have an adverse effect on our business, financial condition and results of operations.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results of operations will be harmed if we are unable to accurately forecast customer demand for our products and manage our inventory.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International operations and expansion of our international business expose us to business, regulatory, political, operational, financial and economic risks associated with doing business outside of the United States.</w:t>
      </w:r>
    </w:p>
    <w:p>
      <w:pPr>
        <w:pStyle w:val="TextBody"/>
        <w:bidi w:val="0"/>
        <w:spacing w:before="0" w:after="0"/>
        <w:ind w:left="0" w:right="0" w:hanging="180"/>
        <w:jc w:val="left"/>
        <w:rPr/>
      </w:pPr>
      <w:r>
        <w:rPr/>
      </w:r>
    </w:p>
    <w:p>
      <w:pPr>
        <w:pStyle w:val="TextBody"/>
        <w:bidi w:val="0"/>
        <w:spacing w:lineRule="auto" w:line="268" w:before="0" w:after="0"/>
        <w:ind w:left="0" w:right="0" w:hanging="540"/>
        <w:jc w:val="both"/>
        <w:rPr/>
      </w:pPr>
      <w:r>
        <w:rPr>
          <w:color w:val="000000"/>
        </w:rPr>
        <w:t>•</w:t>
      </w:r>
      <w:r>
        <w:rPr>
          <w:rFonts w:ascii="Times New Roman;serif" w:hAnsi="Times New Roman;serif"/>
          <w:b w:val="false"/>
          <w:color w:val="000000"/>
          <w:sz w:val="20"/>
        </w:rPr>
        <w:t xml:space="preserve">Tariffs or other government trade policies may materially adversely affect our business and results of operations, including by reducing demand for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have limited experience manufacturing our products, and if we are unable to manufacture our products in high-quality commercial quantities successfully and consistently to meet demand, our growth will be limited.</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future success is dependent upon our ability to increase penetration in our existing markets and expand into adjacent markets.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business is dependent on adoption of our products by academic and government institutions, clinical research organizations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Our business currently depends significantly on research and development spending by academic and government-owned institutions, a reduction in which could limit demand for our solutions and adversely affect our business and operating results.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Our future success depends on our ability to develop and successfully introduce new and enhanced products that meet the needs of our customers.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If we are unable to successfully develop new products, adapt to rapid and significant technological change, respond to introductions of new products by competitors, make strategic and operational decisions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4485"/>
                <wp:effectExtent l="0" t="0" r="0" b="0"/>
                <wp:wrapNone/>
                <wp:docPr id="51" name="Frame5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prioritize certain markets, technology offerings or partnerships, and develop and capitalize on markets, technologies or partnerships, our business could suffer.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New product development involves a lengthy and complex process, and we may be unable to develop or commercialize products on a timely basis, or at all.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may acquire other businesses or form other joint ventures or make investments in other companies or technologies that could negatively affect our operating results, dilute our stockholders’ ownership, increase our debt or cause us to incur significant expense.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If we are unable to successfully expand our commercial operations, including hiring additional qualified sales representatives, technical applications specialists and customer support staff, our business may be adversely affected.</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We may need to raise additional capital to fund our existing operations, develop our products and/or expand our operations.</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Our products may become subject to more onerous regulation by the U.S. Food and Drug Administration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Concentration of ownership of our common stock among our executive officers, directors, principal stockholders and their respective affiliates may prevent new investors from influencing significant corporate decisions. Based on shares outstanding as of September 30, 2025, our executive officers, directors, holders of 5% or more of our common stock and their respective affiliates (based on filings with the U.S. Securities and Exchange Commission (the “SEC”)), in the aggregate, own approximately</w:t>
      </w:r>
      <w:r>
        <w:rPr>
          <w:color w:val="000000"/>
          <w:shd w:fill="FFFFFF" w:val="clear"/>
        </w:rPr>
        <w:t xml:space="preserve"> </w:t>
      </w:r>
      <w:r>
        <w:rPr>
          <w:rFonts w:ascii="Times New Roman;serif" w:hAnsi="Times New Roman;serif"/>
          <w:b w:val="false"/>
          <w:color w:val="000000"/>
          <w:sz w:val="20"/>
        </w:rPr>
        <w:t xml:space="preserve">39.2% of our common stock. These stockholders, acting together, will be able to significantly influence all matters requiring stockholder approval, including the election and removal of directors and any merger or other significant corporate transaction.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4485"/>
                <wp:effectExtent l="0" t="0" r="0" b="0"/>
                <wp:wrapNone/>
                <wp:docPr id="52" name="Frame5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Business and Strategy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 limited operating history and may encounter unforeseen expenses, difficulties, complications, delays and other known and unknown obstacles. We launched our first core commercial product, the Cytek Aurora system, in June 2017. Our Cytek Northern Lights system was commercially launched in October 2018, our Cytek Aurora CS system was first commercially shipped in June 2021, and we launched our Cytek Aurora Evo system in May 2025.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a limited number of product offerings. Our revenue has been primarily generated from sales of our core Cytek Aurora, Northern Lights, Cytek Aurora CS, and Cytek Aurora Evo systems, which require a substantial sales cycle and are prone to quarterly fluctuations in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of the Cytek Aurora, Northern Lights, Cytek Aurora CS, and Cytek Aurora Evo systems together accounted for a substantial portion of our revenue for the periods presented in this Quarterly Report on Form 10-Q. We expect that, for at least the foreseeable future, sales of our Cytek Aurora, Northern Lights, Cytek Aurora CS, and Cytek Aurora Evo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Cytek Aurora CS, and Cytek Aurora Evo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sourced and will continue to source certain components of the Cytek Aurora, Cytek Northern Lights, Cytek Aurora CS and Cytek Aurora Evo systems from a limited number of suppliers and, in some cases, sole source suppliers. Key components in our products that are supplied by sole or single source suppliers include certain lasers and semiconductors that are used in our optical, electrical and fluidic subassemblies. On August 25, 2021, we and Cytek (Wuxi) Biosciences Co., Ltd, our Wuxi, China subsidiary (“Cytek Wuxi”), entered into a Supply Agreement with Coherent, which was amended on August 12, 2025 by Contract Amendment No. 1 (as amended, the “Coherent Agreement”) to extend the term, update pricing, and add our Singapore subsidiary, Cytek Biosciences Pte. Ltd. (“Cytek Singapore”), as a party to the agreement. Pursuant to the Coherent Agreement, Coherent has agreed to sell and supply to us, Cytek Wuxi, and Cytek Singapore, on a non-exclusive basis, laser products manufactured by Coherent. We, Cytek Wuxi, and Cytek Singapore provide Coherent with rolling forecasts of our anticipated orders, which are non-binding. Purchase orders submitted by us, Cytek Wuxi, and Cytek Singapore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4485"/>
                <wp:effectExtent l="0" t="0" r="0" b="0"/>
                <wp:wrapNone/>
                <wp:docPr id="53" name="Frame5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Supply interruptions have in the past arisen and could arise in the future as a result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results of operations will be harmed if we are unable to accurately forecast customer demand for our products and manage our inventory.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International operations and expansion of our international business expose us to business, regulatory, political, operational, financial and economic risks associated with doing business outside of the United States.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4485"/>
                <wp:effectExtent l="0" t="0" r="0" b="0"/>
                <wp:wrapNone/>
                <wp:docPr id="54" name="Frame5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manufacturing operations in the United States, China and Singapore. Doing business internationally involves a number of risks, including: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multiple, conflicting and changing laws and regulations such as privacy regulations, tax laws, export and import restrictions, tariffs, economic sanctions and embargoes, employment laws, regulatory requirements and other governmental approvals, permits and licenses;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failure by us or our distributors to obtain approvals to conduct our business in various countries;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differing intellectual property rights;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complexities and difficulties in obtaining intellectual property protection, enforcing our intellectual property and defending against third-party intellectual property claims;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difficulties in staffing and managing foreign operations;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logistics and regulations associated with shipping systems and parts and components for our products, as well as transportation delays;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travel restrictions that limit the ability of marketing, presales, sales, services and support teams to service customers;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financial risks, such as longer payment cycles, difficulty collecting accounts receivable, the impact of local and regional financial crises on demand and payment for our products and exposure to foreign currency exchange rate fluctuations;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international trade disputes that could result in tariffs and other protective measures;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natural disasters, political and economic instability, including wars, terrorism and political unrest such as the ongoing war in Ukraine, conflict in the Middle East, outbreak of disease, boycotts, curtailment of trade and other business restrictions; and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regulatory and compliance risks that relate to maintaining accurate information and control over sales and distributors’ activities that may fall within the purview of the U.S. Foreign Corrupt Practices Act (the “FCPA”), its books and records provisions, or its anti-bribery provisions.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 For more information, please see “Risks Related to Government Regulation and Our Industry” below.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Tariffs or other government trade policies may materially adversely affect our business and results of operations, including by reducing demand for our products.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In 2025, the U.S. government announced substantial new tariffs affecting a wide range of products and jurisdictions and has indicated an intention to continue developing new trade policies. In response, certain foreign governments have announced or implemented retaliatory tariffs against U.S. goods and other non-tariff protectionist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These developments have created a dynamic and unpredictable trade landscape, which may adversely impact our business, results of operations, financial condition and prospects.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imposition of tariffs and trade restrictions as a result of international trade disputes or changes in trade policies may adversely affect our sales and profitability. For example, our components are subject to the tariffs imposed in 2025, which may increase our manufacturing costs and could make our products less competitive than those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4485"/>
                <wp:effectExtent l="0" t="0" r="0" b="0"/>
                <wp:wrapNone/>
                <wp:docPr id="55" name="Frame5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contract manufacturing organizations may become subject to trade restrictions, sanctions, other regulatory requirements, or proposed legislation by the U.S. government, which could restrict or even prohibit our ability to work with such entities, thereby potentially disrupting the 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complexity of announced or future tariffs may also increase the risk that we or our customers or suppliers may be subject to civil or criminal enforcement actions in the United States or foreign jurisdictions related to compliance with trade regulations.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this Quarterly Report on Form 10-Q.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governmental export controls and sanctions programs that could impair our ability to compete in international markets due to licensing requirements and subject us to liability if we are not in compliance with applicable laws.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the U.S. government announced new license requirements that impact exports of certain products and technology, including high-parameter and spectral flow cytometers and cell sorters and certain mass spectrometry equipment to certain countries, including China, which may have a significant negative impact on our sales, manufacturing and research and development activities. The impact of the new license requirements is difficult to quantify, and it may be challenging for us to manage our international operations and accurately forecast our operating results due to these requirements. For more information, please see “Our results of operations will be harmed if we are unable to accurately forecast customer demand for our products and manage our inventory” above.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limited experience manufacturing our products and if we are unable to manufacture our products in high-quality commercial quantities successfully and consistently to meet demand, our growth will be limited.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have limited experience manufacturing our products. We currently manufacture instruments and reagents at our manufacturing facilities in Fremont, California and Wuxi, China, instruments at our facilities in Seattle, Washington</w:t>
      </w:r>
      <w:r>
        <w:rPr>
          <w:color w:val="000000"/>
          <w:shd w:fill="FFFFFF" w:val="clear"/>
        </w:rPr>
        <w:t xml:space="preserve"> </w:t>
      </w:r>
      <w:r>
        <w:rPr>
          <w:rFonts w:ascii="Times New Roman;serif" w:hAnsi="Times New Roman;serif"/>
          <w:b w:val="false"/>
          <w:color w:val="000000"/>
          <w:sz w:val="20"/>
          <w:shd w:fill="FFFFFF" w:val="clear"/>
        </w:rPr>
        <w:t>and Singapore</w:t>
      </w:r>
      <w:r>
        <w:rPr>
          <w:rFonts w:ascii="Times New Roman;serif" w:hAnsi="Times New Roman;serif"/>
          <w:b w:val="false"/>
          <w:color w:val="000000"/>
          <w:sz w:val="20"/>
        </w:rPr>
        <w:t xml:space="preserve">,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4485"/>
                <wp:effectExtent l="0" t="0" r="0" b="0"/>
                <wp:wrapNone/>
                <wp:docPr id="56" name="Frame5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approvals. We may not successfully complete any required increase to existing manufacturing capacity in a timely manner,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 </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future success is dependent upon our ability to increase penetration in our existing markets and expand into adjacent markets.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 base includes academic and government institutions, pharmaceutical and biotechnology companies, clinical research organizations and clinical laboratories focused on cell analysis. Approximately 34% and 41% of our revenue came from sales to academic and government-owned institutions and 66% and 59% of our revenue came from sales to pharmaceutical and biotechnology companies, distributors and CROs in the three months ended September 30, 2025 and 2024,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or approval of a pre-market approval application from the FDA. Our failure to further expand in adjacent markets and attract new customers could adversely affect our ability to improve our operating results.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business is dependent on adoption of our products by academic and government institutions, CROs, pharmaceutical companies and clinical laboratories for their research and development activities focused on cell analysis. If academic and government institutions, CROs, pharmaceutical companies and clinical laboratories are unwilling to change current practices to adopt our products, it will negatively affect our business, financial condition, prospects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strategy to grow our revenue is to take a stepwise approach to market our products across key stakeholders in flow cytometry and cell analysis, such as academic and government institutions, CROs, pharmaceutical companies and clinical laboratories. While the number of customers using our products has increased in recent years, many academic and government institutions, CROs, pharmaceutical companies and clinical laboratories have not yet adopted our products, and such institutions and companies may choose not to adopt our products for a number of reasons,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inadequate recruiting or training of talented sales force in existing and new markets to facilitate outreach and further adoption and awareness of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lack of experience with our products for cell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4485"/>
                <wp:effectExtent l="0" t="0" r="0" b="0"/>
                <wp:wrapNone/>
                <wp:docPr id="57" name="Frame5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perceived inadequacy of evidence supporting benefits or cost-effectiveness of our products over existing alternatives;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liability risks generally associated with the use of new products and processes;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the training required to use new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a decrease or delay in the research and development activities using our products;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competing products and alternatives; and </w:t>
      </w:r>
    </w:p>
    <w:p>
      <w:pPr>
        <w:pStyle w:val="TextBody"/>
        <w:bidi w:val="0"/>
        <w:spacing w:lineRule="auto" w:line="276" w:before="120" w:after="283"/>
        <w:ind w:left="0" w:right="0" w:hanging="540"/>
        <w:jc w:val="both"/>
        <w:rPr/>
      </w:pPr>
      <w:r>
        <w:rPr>
          <w:color w:val="000000"/>
        </w:rPr>
        <w:t>•</w:t>
      </w:r>
      <w:r>
        <w:rPr>
          <w:rFonts w:ascii="Times New Roman;serif" w:hAnsi="Times New Roman;serif"/>
          <w:b w:val="false"/>
          <w:color w:val="000000"/>
          <w:sz w:val="20"/>
        </w:rPr>
        <w:t xml:space="preserve">introduction of other novel alternative products for cell analysis.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educating notable industry key opinion leaders, representatives of academic and government institutions, CROs, pharmaceutical companies and clinical laboratories about the merits and benefits of our products for flow cytometry and cell analysis is one of the key elements to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business currently depends significantly on research and development spending by academic and government-owned institutions, a reduction in which could limit demand for our solutions and adversely affect our business and operating results.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34% and 41% of our revenue came from sales to academic and government-owned institutions in the three months ended September 30, 2025 and 2024,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 </w:t>
      </w:r>
    </w:p>
    <w:p>
      <w:pPr>
        <w:pStyle w:val="TextBody"/>
        <w:bidi w:val="0"/>
        <w:spacing w:lineRule="auto" w:line="268" w:before="0" w:after="0"/>
        <w:ind w:left="0" w:right="0" w:hanging="540"/>
        <w:jc w:val="both"/>
        <w:rPr/>
      </w:pPr>
      <w:r>
        <w:rPr>
          <w:color w:val="000000"/>
        </w:rPr>
        <w:t>•</w:t>
      </w:r>
      <w:r>
        <w:rPr>
          <w:rFonts w:ascii="Times New Roman;serif" w:hAnsi="Times New Roman;serif"/>
          <w:b w:val="false"/>
          <w:color w:val="000000"/>
          <w:sz w:val="20"/>
        </w:rPr>
        <w:t xml:space="preserve">decreases in government funding of research and development, including any reductions in funding to the U.S. National Institutes of Health (“NIH”);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to programs that provide funding to research laboratories, hospitals and related institutions, including changes in the amount of funds allocated to different areas of research or changes that have the effect of increasing the length of the funding process;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macroeconomic conditions and the political climate;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scientists’ and customers’ opinions of the utility of new products or services;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regulatory environment;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differences in budgetary cycles;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competitor product offerings or pricing;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market-driven pressures to consolidate operations and reduce costs;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market acceptance of relatively new technologies, such as ours.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various state, federal and foreign agencies that have traditionally provided grants and other funding for basic research, research and development, and clinical testing have been and may be subject to further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Recent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For example, the Trump Administration is seeking to reduce research funding by the NIH for medical research. If the funding is reduced for studies related to the medical indications on which we are focused or on which researchers were or may have been considering applying for federal grants, our research and development initiatives could be delayed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4485"/>
                <wp:effectExtent l="0" t="0" r="0" b="0"/>
                <wp:wrapNone/>
                <wp:docPr id="58" name="Frame5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otherwise affected. There is no guarantee that NIH appropriations will not decrease or halt in the future. A decrease in the amount of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The market for cell analysis technologies and life sciences tools, including flow cytometry, is highly competitive, and if we cannot compete successfully with our competitors, we may be unable to increase or sustain our revenue, or achieve and sustain profitability.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face significant competition in the cell analysis and life sciences tools markets. We currently compete with both established and early stage life sciences and in vitro diagnostics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and potential competitors may enjoy a number of competitive advantages over us,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longer operating histories;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larger customer bases;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brand recognition and market penetration;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financial resources and capabilities;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technological and research and development resources;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larger quality assurance and regulatory staff;</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larger intellectual property portfolios;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better system reliability and robustness;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greater selling and marketing capabilities;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better established, larger scale and lower cost manufacturing capabilities.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4485"/>
                <wp:effectExtent l="0" t="0" r="0" b="0"/>
                <wp:wrapNone/>
                <wp:docPr id="59" name="Frame5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future success depends on our ability to develop and successfully introduce new and enhanced products that meet the needs of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or adequately predict our customers’ needs or otherwise fail to obtain desired levels of market acceptance, our business may suffer and our operating results could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4485"/>
                <wp:effectExtent l="0" t="0" r="0" b="0"/>
                <wp:wrapNone/>
                <wp:docPr id="60" name="Frame6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subsequently also prove to be suboptimal and could cause us to miss valuable opportunities. In particular, if we are unable to accelerate adoption of our Full Spectrum Profiling (“FSP”) solutions, it could slow or stop our business growth and negatively impact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New product development involves a lengthy and complex process and we may be unable to develop or commercialize products on a timely basis,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conduct substantial research and development;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obtain necessary regulatory approval;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further develop and scale our laboratory, engineering and manufacturing processes to accommodate different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source and enter into agreements with new suppliers;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further develop and scale our infrastructure.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processes involve a high degree of risk, and these efforts may be delayed or fail for many reasons, including failure of the product to perform as expected and failure to reliably demonstrate the advantages of the product.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on our ability to provide reliable, high-quality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Our customers may discover defects in our products after the products have been fully installed and operated. In addition, some of our products include components from other vendors, which may contain latent</w:t>
      </w:r>
      <w:r>
        <w:rPr>
          <w:color w:val="000000"/>
        </w:rPr>
        <w:t xml:space="preserve"> </w:t>
      </w:r>
      <w:r>
        <w:rPr>
          <w:rFonts w:ascii="Times New Roman;serif" w:hAnsi="Times New Roman;serif"/>
          <w:b w:val="false"/>
          <w:color w:val="000000"/>
          <w:sz w:val="20"/>
        </w:rPr>
        <w:t xml:space="preserve">defects. As a result, should problems occur, it may be difficult to identify the source of the problem. If we are unable to identify and fix defects or other problems, we could experience, among other things: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loss of customers or orders;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increased costs of warranty expenses;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damage to our brand reputation;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failure to attract new customers;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diversion of development, engineering and manufacturing resources;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regulatory actions by governmental authorities;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4485"/>
                <wp:effectExtent l="0" t="0" r="0" b="0"/>
                <wp:wrapNone/>
                <wp:docPr id="61" name="Frame6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legal actions by our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September 30, 2025, we had accrued approximately $1.5 million in expenses relating to product warranty accruals. Substantial amounts of warranty claims could have an adverse effect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pursue acquisitions of businesses and assets. For example, in February 2023, we entered into an asset purchase agreement with Luminex Corporation (“Luminex”) and acquired certain assets related to the flow cytometry and imaging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Shipping is a critical part of our business and any changes in our shipping arrangements or damages or losses sustained during shipping could adversely affect our business, financial condition, results of operations and prospects.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Wuxi, China</w:t>
      </w:r>
      <w:r>
        <w:rPr>
          <w:rFonts w:ascii="Times New Roman;serif" w:hAnsi="Times New Roman;serif"/>
          <w:b w:val="false"/>
          <w:color w:val="000000"/>
          <w:sz w:val="20"/>
          <w:shd w:fill="FFFFFF" w:val="clear"/>
        </w:rPr>
        <w:t>; and Singapore r</w:t>
      </w:r>
      <w:r>
        <w:rPr>
          <w:rFonts w:ascii="Times New Roman;serif" w:hAnsi="Times New Roman;serif"/>
          <w:b w:val="false"/>
          <w:color w:val="000000"/>
          <w:sz w:val="20"/>
        </w:rPr>
        <w:t xml:space="preserve">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4485"/>
                <wp:effectExtent l="0" t="0" r="0" b="0"/>
                <wp:wrapNone/>
                <wp:docPr id="62" name="Frame6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successfully expand our commercial operations, including hiring additional qualified sales representatives, technical applications specialists and customer support staff, our business may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sales will depend, in large part, on our ability to develop and substantially expand our sales infrastructure, particularly as we enter into new markets, roll 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CROs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significant base of peer-reviewed publications to showcase and validate the importance and application of our technology in academic and clinical research settings. As of September 30, 2025, there have been more than 3,200 peer-reviewed articles published relating to our FSP products since our first commercial launch in 2017,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highly dependent on our senior management team and key personnel and our business could be harmed if we are unable to attract and retain personnel necessary for our success.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our senior management team and key personnel. Our success will depend on our ability to retain senior management and to attract and retain qualified personnel in the future, including sales, marketing, scientific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4485"/>
                <wp:effectExtent l="0" t="0" r="0" b="0"/>
                <wp:wrapNone/>
                <wp:docPr id="63" name="Frame6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has significantly appreciated in value, or if the exercise prices of the options that they hold are significantly below the market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As of September 30, 2025, we had 692</w:t>
      </w:r>
      <w:r>
        <w:rPr>
          <w:color w:val="000000"/>
          <w:shd w:fill="FFFFFF" w:val="clear"/>
        </w:rPr>
        <w:t xml:space="preserve"> </w:t>
      </w:r>
      <w:r>
        <w:rPr>
          <w:rFonts w:ascii="Times New Roman;serif" w:hAnsi="Times New Roman;serif"/>
          <w:b w:val="false"/>
          <w:color w:val="000000"/>
          <w:sz w:val="20"/>
        </w:rPr>
        <w:t xml:space="preserve">full-time employees. As our sales and marketing strategies develop, we expect to need additional managerial, operational, sales, marketing, financial and other personnel. Future growth would impose significant added responsibilities on members of management,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identifying, recruiting, integrating, maintaining and motivating additional employees;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managing our internal development efforts effectively, while complying with our contractual obligations to contractors and other third parties;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improving our operational, financial and management controls, reporting systems and procedures.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identified material weaknesses in our internal control over financial reporting. If we are unable to remediate these material weaknesses, or if we identify additional material weaknesses in the future or otherwise fail to maintain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4485"/>
                <wp:effectExtent l="0" t="0" r="0" b="0"/>
                <wp:wrapNone/>
                <wp:docPr id="64" name="Frame6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effective system of internal controls, we may not be able to accurately or timely report our financial condition or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financial statement close process for the year ended December 31, 2024, we identified deficiencies in the control environment and control activities components of the Committee of Sponsoring Organizations (“COSO”) framework that constitute material weaknesses, either individually or in the aggregate. These included deficiencies in the control environment, as well as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See the section titled “Item 4. Controls and Procedures” for additional information.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These deficiencies could result in additional material misstatements to our consolidated financial statements that could not be prevented or detected on a timely basis.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t>
      </w:r>
      <w:r>
        <w:rPr>
          <w:rFonts w:ascii="Times New Roman;serif" w:hAnsi="Times New Roman;serif"/>
          <w:b w:val="false"/>
          <w:color w:val="000000"/>
          <w:sz w:val="20"/>
          <w:shd w:fill="FFFFFF" w:val="clear"/>
        </w:rPr>
        <w:t>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additional time to complete our financial closing procedures as of the end of period ending December 31, 2023 due to a lack of internal accounting resources, resulting in a delay in obtaining and compiling required information. Accordingly, we were not able to complete the preparation, review and filing of our Quarterly Report on Form 10-Q for the quarter ended September 30, 2023, and our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 statements with respect to such Annual Report.</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need to raise additional capital to fund our existing operations, develop our products and/or expand our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present and future funding requirements will depend on many factors, some of which are beyond our control,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achieve and maintain revenue growth;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 of expanding our operations, including our sales and marketing efforts;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rate of progress in launching and commercializing new products, and the cost of the sales and marketing activities associated with, establishing adoption of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4485"/>
                <wp:effectExtent l="0" t="0" r="0" b="0"/>
                <wp:wrapNone/>
                <wp:docPr id="65" name="Frame6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rate of progress in, and cost of research and development activities associated with, products in research and development;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effect of competing technological and market developments;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potential cost of and delays in product development as a result of any regulatory oversight applicable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costs associated with any product recall that may occur;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costs related to domestic and international expansion;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costs of attaining, defending and enforcing our intellectual property rights;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terms and timing of any other collaborative, licensing and other arrangements that we may establish.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conflict in the Middle East</w:t>
      </w:r>
      <w:r>
        <w:rPr>
          <w:rFonts w:ascii="Times New Roman;serif" w:hAnsi="Times New Roman;serif"/>
          <w:b w:val="false"/>
          <w:color w:val="000000"/>
          <w:sz w:val="20"/>
          <w:shd w:fill="FFFFFF" w:val="clear"/>
        </w:rPr>
        <w:t xml:space="preserve">, government actions implemented as a result of either of the foregoing, as </w:t>
      </w:r>
      <w:r>
        <w:rPr>
          <w:rFonts w:ascii="Times New Roman;serif" w:hAnsi="Times New Roman;serif"/>
          <w:b w:val="false"/>
          <w:color w:val="000000"/>
          <w:sz w:val="20"/>
        </w:rPr>
        <w:t xml:space="preserve">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level of demand for any of our products, which may vary significantly;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timing and cost of, and level of investment in, research, development, manufacturing, regulatory approval and commercialization activities relating to our products, which may change from time to time;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size, seasonality and customer mix of the cell analysis market;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sales and marketing efforts and expenses;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rate at which we grow our sales force and the speed at which newly hired salespeople become effective;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productivity of our sales force;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effectiveness of our distribution partners in selling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positive or negative coverage in the media or publications of our products or competitive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cost of manufacturing our products, which may vary depending on the quantity of production and the terms of our arrangements with our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4485"/>
                <wp:effectExtent l="0" t="0" r="0" b="0"/>
                <wp:wrapNone/>
                <wp:docPr id="66" name="Frame6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degree of competition in our industry and any change in the competitive landscape of our industry, including the introduction of new products or enhancements or technologies by us or others in the cell analysis market and competition-related pricing pressures;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governmental regulations or in the status of our regulatory approvals or applications;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future accounting pronouncements or changes in our accounting policies;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economic conditions, both domestically and internationally, as well as economic conditions specifically affecting the industry in which we do business, including those related to widespread health crises;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global financial crises and economic downturns, including those caused by widespread public health crises;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economic factors, including changes in inflation, interest rates, foreign currency rates, liquidity concerns at, and failures of, banks and other financial institutions and the potential effect of such factors on revenues and expenses;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market conditions and other factors, including factors unrelated to our operating performance or the operating performance of our competitors.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sizes of the markets for our products may be smaller than we estimate.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have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total addressable market for our products is even more difficult to predict.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were to be sued for product liability, we could face substantial liabilities that exceed our resources, limit sales of our existing products and limit commercialization of any products that we may develop.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4485"/>
                <wp:effectExtent l="0" t="0" r="0" b="0"/>
                <wp:wrapNone/>
                <wp:docPr id="67" name="Frame6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will incur substantial liabilities and reputational harm. In addition, regardless of merit or eventual outcome, product liability claims may result in: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substantial litigation costs;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distraction of management’s attention from our primary business;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inability to commercialize our products or new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decreased demand for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damage to our business reputation;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product recalls or withdrawals from the market;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loss of sales; or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termination of existing agreements by our partners and potential partners failing to partner with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Litigation and other legal proceedings may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See Note 18 to our consolidated financial statements included elsewhere in this Quarterly Report on Form 10-Q for information regarding ongoing legal proceedings.</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the third parties with whom we work,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rely upon third parties (such as service providers) for our data processing–related activities and share or receive Sensitive Information with or from third parties.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4485"/>
                <wp:effectExtent l="0" t="0" r="0" b="0"/>
                <wp:wrapNone/>
                <wp:docPr id="68" name="Frame6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actors for geopolitical reasons and in conjunction with military conflicts and defense activities. During times of war and other major conflicts, we and the third parties with whom we work are vulnerable to a heightened risk of these attacks, including cyber-attacks, that could materially disrupt our systems and operations, supply chain, and ability to produce, sell and distribute our goods and services.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w:t>
      </w:r>
      <w:r>
        <w:rPr>
          <w:rFonts w:ascii="Times New Roman;serif" w:hAnsi="Times New Roman;serif"/>
          <w:b w:val="false"/>
          <w:color w:val="000000"/>
          <w:sz w:val="20"/>
          <w:shd w:fill="FFFFFF" w:val="clear"/>
        </w:rPr>
        <w:t>),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w:t>
      </w:r>
      <w:r>
        <w:rPr>
          <w:color w:val="000000"/>
        </w:rPr>
        <w:t>“</w:t>
      </w:r>
      <w:r>
        <w:rPr>
          <w:rFonts w:ascii="Times New Roman;serif" w:hAnsi="Times New Roman;serif"/>
          <w:b w:val="false"/>
          <w:color w:val="000000"/>
          <w:sz w:val="20"/>
          <w:shd w:fill="FFFFFF" w:val="clear"/>
        </w:rPr>
        <w:t xml:space="preserve">AI </w:t>
      </w:r>
      <w:r>
        <w:rPr>
          <w:color w:val="000000"/>
        </w:rPr>
        <w:t>”</w:t>
      </w:r>
      <w:r>
        <w:rPr>
          <w:rFonts w:ascii="Times New Roman;serif" w:hAnsi="Times New Roman;serif"/>
          <w:b w:val="false"/>
          <w:color w:val="000000"/>
          <w:sz w:val="20"/>
          <w:shd w:fill="FFFFFF" w:val="clear"/>
        </w:rPr>
        <w:t>),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w:t>
      </w:r>
      <w:r>
        <w:rPr>
          <w:rFonts w:ascii="Times New Roman;serif" w:hAnsi="Times New Roman;serif"/>
          <w:b w:val="false"/>
          <w:color w:val="000000"/>
          <w:sz w:val="20"/>
        </w:rPr>
        <w:t>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 increased risks to our information technology systems and data when utilizing network connections, computers, and devices outside our premises or network.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may be, and in certain cases has been,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AI technologies.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with whom we work), but have not, and we may not in the future, detect, mitigate,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previously identified or similar threats could cause (and have in the past caused) a security incident or other interruption that could result, and in certain cases in the past has resulted,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and services. We expend significant resources and may modify our business activities in an effort to protect against security incidents. Certain data privacy and security obligations may require us to implement and maintain specific security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4485"/>
                <wp:effectExtent l="0" t="0" r="0" b="0"/>
                <wp:wrapNone/>
                <wp:docPr id="69" name="Frame6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industry-standard or reasonable security measures to protect our information technology systems and Sensitive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Applicable data privacy and security obligations may require us, or we may voluntarily choose, to notify relevant stakeholders of security incidents, including affected individuals, customers, regulators and investors, or to take other actions, such as providing credit monitoring and identity theft protections services. Such disclosures and related actions can be costly, and the disclosures or the failure to comply with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material consequences may cause customers to stop using our products and services, deter new customers from purchasing our products and services, and negatively impact our ability to grow and operate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Business disruptions could seriously harm our future revenue and financial condition and increase our costs and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manufacture our products at our manufacturing facilities located in Fremont and San Diego, California; Seattle, Washington; Wuxi, China</w:t>
      </w:r>
      <w:r>
        <w:rPr>
          <w:rFonts w:ascii="Times New Roman;serif" w:hAnsi="Times New Roman;serif"/>
          <w:b w:val="false"/>
          <w:color w:val="000000"/>
          <w:sz w:val="20"/>
          <w:shd w:fill="FFFFFF" w:val="clear"/>
        </w:rPr>
        <w:t>; and Singapore;</w:t>
      </w:r>
      <w:r>
        <w:rPr>
          <w:color w:val="000000"/>
        </w:rPr>
        <w:t xml:space="preserve"> </w:t>
      </w:r>
      <w:r>
        <w:rPr>
          <w:rFonts w:ascii="Times New Roman;serif" w:hAnsi="Times New Roman;serif"/>
          <w:b w:val="false"/>
          <w:color w:val="000000"/>
          <w:sz w:val="20"/>
        </w:rPr>
        <w:t xml:space="preserve">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4485"/>
                <wp:effectExtent l="0" t="0" r="0" b="0"/>
                <wp:wrapNone/>
                <wp:docPr id="70" name="Frame7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Operating as a public company may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because our product contains metals and electronic components which are purchased from third-party vendors, we are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(the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foreign currency exchange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4485"/>
                <wp:effectExtent l="0" t="0" r="0" b="0"/>
                <wp:wrapNone/>
                <wp:docPr id="71" name="Frame7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impact resulting from unfavorable changes in foreign currency exchange rates. We cannot predict with any certainty changes in foreign currency exchange rates or the degree to which we can mitigate these risks.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Government Regulation and Our Industry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our Northern Lights CLC system is available for clinical use in only China and the European Union. Our Cytek Aurora, Cytek Northern Lights and Cytek Aurora Evo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growth strategy, we plan to seek approval to offer our Cytek Aurora and Northern Lights systems for clinical use in the United States and/or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and our suppliers are subject to ongoing regulatory obligations and continued regulatory review, which may result in significant additional expense and subject us to penalties if we fail to comply with applicable regulatory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4485"/>
                <wp:effectExtent l="0" t="0" r="0" b="0"/>
                <wp:wrapNone/>
                <wp:docPr id="72" name="Frame7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failure to timely and adequately respond to any adverse inspectional observations or product safety issues, could result in, among other things, any of the following enforcement actions: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untitled letters, warning letters, fines, injunctions, consent decrees and civil penalties;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unanticipated expenditures to address or defend such actions;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customer notifications for repair, replacement or refunds;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recall, detention or seizure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operating restrictions or partial suspension or total shutdown of production;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refusing or delaying our requests for 510(k) clearance or PMA approval of new products or modified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withdrawal of 510(k) clearances on PMA approvals that have already been granted;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refusal to grant export approval for our products; or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criminal prosecution.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4485"/>
                <wp:effectExtent l="0" t="0" r="0" b="0"/>
                <wp:wrapNone/>
                <wp:docPr id="73" name="Frame7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and the third parties with whom we work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(the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allows for statutory fines for noncompliance (up to $7,988 per intentional violation) and allows private litigants affected by certain data breaches to recover significant statutory damages. The CCPA and other U.S. comprehensive privacy laws exempt some data processed in the context of clinical trials, but these developments increase compliance costs and potential liability with respect to other personal information we maintain about residents in these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with whom we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4485"/>
                <wp:effectExtent l="0" t="0" r="0" b="0"/>
                <wp:wrapNone/>
                <wp:docPr id="74" name="Frame7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causes us to incur substantial operational costs and may require us to change our business practices, and could lead to material fines, penalties and liability.</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restricts the transfer of personal information to the United States and other countries that are viewed by some regulators to not generally provide an adequate level of data privacy and security. Although there are currently various mechanisms that can be used to transfer personal information from the EEA and UK to the United States in compliance with law, such as the EEA standard contractual clauses, the UK’s International Data Transfer Agreement / 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Department of Justice has issued a rule 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and personnel use generative AI and/or automated decision-making technologies to perform their work, and the disclosure and use of personal information in AI technologies is subject to various privacy laws and other privacy obligations. Governments have passed and are likely to pass additional laws regulating AI and/or automated decision-making technologies. Our use of such technologies could result in additional compliance costs, regulatory investigations and actions, and consumer lawsuits. If we are unable to use AI and/or automated decision-making technologies, it could make our business less efficient and result in competitive disadvantages. We also use AI and machine learning (“ML”) to assist us in making certain decisions, which is regulated by certain privacy laws. Due to inaccuracies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4485"/>
                <wp:effectExtent l="0" t="0" r="0" b="0"/>
                <wp:wrapNone/>
                <wp:docPr id="75" name="Frame7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impact our compliance posture and business operations. If we or the third parties with whom we work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U.S. and certain foreign anti-corruption and anti-money laundering laws and regulations. We can face criminal liability and other serious consequences for violations, which can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4485"/>
                <wp:effectExtent l="0" t="0" r="0" b="0"/>
                <wp:wrapNone/>
                <wp:docPr id="76" name="Frame7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Disruptions at the FDA, the SEC, and other government agencies and regulatory authorities from funding cuts, personnel losses, regulatory reform, government shutdowns, and other developments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ability of the FDA and comparable foreign regulatory authorities to review and approve new products can be affected by a variety of factors, including government budget and funding levels, their ability to hire and retain key personnel and accept the payment of user fees, and statutory, regulatory, and policy changes. Average review times at the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 the last several years, the U.S. government has shut down several times, including the ongoing government shutdown that began on October 1, 2025 and the government shutdown that lasted from December 22, 2018 to January 25, 2019, and certain regulatory agencies, such as the FDA and the SEC, have had to furlough critical employees and stop critical activities. Even the threat of a government shutdown or prolonged budget negotiation uncertainty may adversely affect the broader U.S. economy, investor confidence, and capital markets. Such conditions could negatively impact the liquidity or trading volume of our securities and our customers’ ability to finance and/or purchase our products. Accordingly, a federal government shutdown—or uncertainty regarding the continuity of government operations—could have a material adverse effect on our business, results of operations, and stock price.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comply with U.S. federal and state fraud and abuse and other healthcare laws and regulations, including those relating to kickbacks and false claims, we could face substantial penalties and our business operations and financial condition could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federal civil False Claims Act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4485"/>
                <wp:effectExtent l="0" t="0" r="0" b="0"/>
                <wp:wrapNone/>
                <wp:docPr id="77" name="Frame7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HIPAA, as amended by HITECH,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various state laws govern the privacy and security of personal information, including the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4485"/>
                <wp:effectExtent l="0" t="0" r="0" b="0"/>
                <wp:wrapNone/>
                <wp:docPr id="78" name="Frame7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consultants, commercial partners and vendors may engage in misconduct or other improper activities, including noncompliance with regulatory standards and requirements,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4485"/>
                <wp:effectExtent l="0" t="0" r="0" b="0"/>
                <wp:wrapNone/>
                <wp:docPr id="79" name="Frame7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negating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Changes in either the patent laws or their interpretation in the United States and other countries may diminish our ability to protect our inventions and to</w:t>
      </w:r>
      <w:r>
        <w:rPr>
          <w:color w:val="000000"/>
        </w:rPr>
        <w:t xml:space="preserve"> </w:t>
      </w:r>
      <w:r>
        <w:rPr>
          <w:rFonts w:ascii="Times New Roman;serif" w:hAnsi="Times New Roman;serif"/>
          <w:b w:val="false"/>
          <w:color w:val="000000"/>
          <w:sz w:val="20"/>
        </w:rPr>
        <w:t xml:space="preserve">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Including rights acquired in connection with the FCI Acquisition, as of September 30, 2025, we own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 xml:space="preserve">issued U.S. utility patents, </w:t>
      </w:r>
      <w:r>
        <w:rPr>
          <w:rFonts w:ascii="Times New Roman;serif" w:hAnsi="Times New Roman;serif"/>
          <w:b w:val="false"/>
          <w:color w:val="000000"/>
          <w:sz w:val="20"/>
        </w:rPr>
        <w:t>ten</w:t>
      </w:r>
      <w:r>
        <w:rPr>
          <w:color w:val="000000"/>
          <w:shd w:fill="FFFFFF" w:val="clear"/>
        </w:rPr>
        <w:t xml:space="preserve"> </w:t>
      </w:r>
      <w:r>
        <w:rPr>
          <w:rFonts w:ascii="Times New Roman;serif" w:hAnsi="Times New Roman;serif"/>
          <w:b w:val="false"/>
          <w:color w:val="000000"/>
          <w:sz w:val="20"/>
          <w:shd w:fill="FFFFFF" w:val="clear"/>
        </w:rPr>
        <w:t xml:space="preserve">issued Japan utility patents, </w:t>
      </w:r>
      <w:r>
        <w:rPr>
          <w:rFonts w:ascii="Times New Roman;serif" w:hAnsi="Times New Roman;serif"/>
          <w:b w:val="false"/>
          <w:color w:val="000000"/>
          <w:sz w:val="20"/>
        </w:rPr>
        <w:t>seven</w:t>
      </w:r>
      <w:r>
        <w:rPr>
          <w:color w:val="000000"/>
          <w:shd w:fill="FFFFFF" w:val="clear"/>
        </w:rPr>
        <w:t xml:space="preserve"> </w:t>
      </w:r>
      <w:r>
        <w:rPr>
          <w:rFonts w:ascii="Times New Roman;serif" w:hAnsi="Times New Roman;serif"/>
          <w:b w:val="false"/>
          <w:color w:val="000000"/>
          <w:sz w:val="20"/>
          <w:shd w:fill="FFFFFF" w:val="clear"/>
        </w:rPr>
        <w:t xml:space="preserve">issued European utility patents, </w:t>
      </w:r>
      <w:r>
        <w:rPr>
          <w:rFonts w:ascii="Times New Roman;serif" w:hAnsi="Times New Roman;serif"/>
          <w:b w:val="false"/>
          <w:color w:val="000000"/>
          <w:sz w:val="20"/>
        </w:rPr>
        <w:t>four</w:t>
      </w:r>
      <w:r>
        <w:rPr>
          <w:color w:val="000000"/>
          <w:shd w:fill="FFFFFF" w:val="clear"/>
        </w:rPr>
        <w:t xml:space="preserve"> </w:t>
      </w:r>
      <w:r>
        <w:rPr>
          <w:rFonts w:ascii="Times New Roman;serif" w:hAnsi="Times New Roman;serif"/>
          <w:b w:val="false"/>
          <w:color w:val="000000"/>
          <w:sz w:val="20"/>
          <w:shd w:fill="FFFFFF" w:val="clear"/>
        </w:rPr>
        <w:t xml:space="preserve">issued China utility patents,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Canada utility patent,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India utility patent,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 xml:space="preserve">Australian utility patents, and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Singapore utility patents. We have </w:t>
      </w:r>
      <w:r>
        <w:rPr>
          <w:rFonts w:ascii="Times New Roman;serif" w:hAnsi="Times New Roman;serif"/>
          <w:b w:val="false"/>
          <w:color w:val="000000"/>
          <w:sz w:val="20"/>
        </w:rPr>
        <w:t>73</w:t>
      </w:r>
      <w:r>
        <w:rPr>
          <w:color w:val="000000"/>
          <w:shd w:fill="FFFFFF" w:val="clear"/>
        </w:rPr>
        <w:t xml:space="preserve"> </w:t>
      </w:r>
      <w:r>
        <w:rPr>
          <w:rFonts w:ascii="Times New Roman;serif" w:hAnsi="Times New Roman;serif"/>
          <w:b w:val="false"/>
          <w:color w:val="000000"/>
          <w:sz w:val="20"/>
          <w:shd w:fill="FFFFFF" w:val="clear"/>
        </w:rPr>
        <w:t xml:space="preserve">pending utility patent applications, including </w:t>
      </w:r>
      <w:r>
        <w:rPr>
          <w:rFonts w:ascii="Times New Roman;serif" w:hAnsi="Times New Roman;serif"/>
          <w:b w:val="false"/>
          <w:color w:val="000000"/>
          <w:sz w:val="20"/>
        </w:rPr>
        <w:t>46</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the United States,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international utility patent applications, </w:t>
      </w:r>
      <w:r>
        <w:rPr>
          <w:rFonts w:ascii="Times New Roman;serif" w:hAnsi="Times New Roman;serif"/>
          <w:b w:val="false"/>
          <w:color w:val="000000"/>
          <w:sz w:val="20"/>
        </w:rPr>
        <w:t>ten</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the European Union,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China, and </w:t>
      </w:r>
      <w:r>
        <w:rPr>
          <w:rFonts w:ascii="Times New Roman;serif" w:hAnsi="Times New Roman;serif"/>
          <w:b w:val="false"/>
          <w:color w:val="000000"/>
          <w:sz w:val="20"/>
        </w:rPr>
        <w:t>five</w:t>
      </w:r>
      <w:r>
        <w:rPr>
          <w:color w:val="000000"/>
          <w:shd w:fill="FFFFFF" w:val="clear"/>
        </w:rPr>
        <w:t xml:space="preserve"> </w:t>
      </w:r>
      <w:r>
        <w:rPr>
          <w:rFonts w:ascii="Times New Roman;serif" w:hAnsi="Times New Roman;serif"/>
          <w:b w:val="false"/>
          <w:color w:val="000000"/>
          <w:sz w:val="20"/>
          <w:shd w:fill="FFFFFF" w:val="clear"/>
        </w:rPr>
        <w:t xml:space="preserve">utility patent applications in Japan. Assuming all maintenance fees are paid, the U.S. issued patents are expected to naturally expire between years 2025 and 2038. Additionally, patents covering intellectual property relating to design specific technologies invented by our researchers in Shanghai and Wuxi, China are filed in China and owned by our China subsidiaries, respectively. As of September 30, 2025, our Shanghai subsidiary owns </w:t>
      </w:r>
      <w:r>
        <w:rPr>
          <w:rFonts w:ascii="Times New Roman;serif" w:hAnsi="Times New Roman;serif"/>
          <w:b w:val="false"/>
          <w:color w:val="000000"/>
          <w:sz w:val="20"/>
        </w:rPr>
        <w:t>12</w:t>
      </w:r>
      <w:r>
        <w:rPr>
          <w:color w:val="000000"/>
          <w:shd w:fill="FFFFFF" w:val="clear"/>
        </w:rPr>
        <w:t xml:space="preserve"> </w:t>
      </w:r>
      <w:r>
        <w:rPr>
          <w:rFonts w:ascii="Times New Roman;serif" w:hAnsi="Times New Roman;serif"/>
          <w:b w:val="false"/>
          <w:color w:val="000000"/>
          <w:sz w:val="20"/>
          <w:shd w:fill="FFFFFF" w:val="clear"/>
        </w:rPr>
        <w:t xml:space="preserve">issued utility patents and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 xml:space="preserve">issued invention patents and has </w:t>
      </w:r>
      <w:r>
        <w:rPr>
          <w:rFonts w:ascii="Times New Roman;serif" w:hAnsi="Times New Roman;serif"/>
          <w:b w:val="false"/>
          <w:color w:val="000000"/>
          <w:sz w:val="20"/>
        </w:rPr>
        <w:t>two</w:t>
      </w:r>
      <w:r>
        <w:rPr>
          <w:color w:val="000000"/>
          <w:shd w:fill="FFFFFF" w:val="clear"/>
        </w:rPr>
        <w:t xml:space="preserve"> </w:t>
      </w:r>
      <w:r>
        <w:rPr>
          <w:rFonts w:ascii="Times New Roman;serif" w:hAnsi="Times New Roman;serif"/>
          <w:b w:val="false"/>
          <w:color w:val="000000"/>
          <w:sz w:val="20"/>
          <w:shd w:fill="FFFFFF" w:val="clear"/>
        </w:rPr>
        <w:t xml:space="preserve">pending invention patent applications, and our Wuxi subsidiary owns </w:t>
      </w:r>
      <w:r>
        <w:rPr>
          <w:rFonts w:ascii="Times New Roman;serif" w:hAnsi="Times New Roman;serif"/>
          <w:b w:val="false"/>
          <w:color w:val="000000"/>
          <w:sz w:val="20"/>
        </w:rPr>
        <w:t>42</w:t>
      </w:r>
      <w:r>
        <w:rPr>
          <w:color w:val="000000"/>
          <w:shd w:fill="FFFFFF" w:val="clear"/>
        </w:rPr>
        <w:t xml:space="preserve"> </w:t>
      </w:r>
      <w:r>
        <w:rPr>
          <w:rFonts w:ascii="Times New Roman;serif" w:hAnsi="Times New Roman;serif"/>
          <w:b w:val="false"/>
          <w:color w:val="000000"/>
          <w:sz w:val="20"/>
          <w:shd w:fill="FFFFFF" w:val="clear"/>
        </w:rPr>
        <w:t xml:space="preserve">issued utility patents and </w:t>
      </w:r>
      <w:r>
        <w:rPr>
          <w:rFonts w:ascii="Times New Roman;serif" w:hAnsi="Times New Roman;serif"/>
          <w:b w:val="false"/>
          <w:color w:val="000000"/>
          <w:sz w:val="20"/>
        </w:rPr>
        <w:t>one</w:t>
      </w:r>
      <w:r>
        <w:rPr>
          <w:color w:val="000000"/>
          <w:shd w:fill="FFFFFF" w:val="clear"/>
        </w:rPr>
        <w:t xml:space="preserve"> </w:t>
      </w:r>
      <w:r>
        <w:rPr>
          <w:rFonts w:ascii="Times New Roman;serif" w:hAnsi="Times New Roman;serif"/>
          <w:b w:val="false"/>
          <w:color w:val="000000"/>
          <w:sz w:val="20"/>
          <w:shd w:fill="FFFFFF" w:val="clear"/>
        </w:rPr>
        <w:t xml:space="preserve">issued invention patent and has </w:t>
      </w:r>
      <w:r>
        <w:rPr>
          <w:rFonts w:ascii="Times New Roman;serif" w:hAnsi="Times New Roman;serif"/>
          <w:b w:val="false"/>
          <w:color w:val="000000"/>
          <w:sz w:val="20"/>
        </w:rPr>
        <w:t>five</w:t>
      </w:r>
      <w:r>
        <w:rPr>
          <w:color w:val="000000"/>
          <w:shd w:fill="FFFFFF" w:val="clear"/>
        </w:rPr>
        <w:t xml:space="preserve"> </w:t>
      </w:r>
      <w:r>
        <w:rPr>
          <w:rFonts w:ascii="Times New Roman;serif" w:hAnsi="Times New Roman;serif"/>
          <w:b w:val="false"/>
          <w:color w:val="000000"/>
          <w:sz w:val="20"/>
          <w:shd w:fill="FFFFFF" w:val="clear"/>
        </w:rPr>
        <w:t xml:space="preserve">pending utility patent applications and </w:t>
      </w:r>
      <w:r>
        <w:rPr>
          <w:rFonts w:ascii="Times New Roman;serif" w:hAnsi="Times New Roman;serif"/>
          <w:b w:val="false"/>
          <w:color w:val="000000"/>
          <w:sz w:val="20"/>
        </w:rPr>
        <w:t>eight</w:t>
      </w:r>
      <w:r>
        <w:rPr>
          <w:color w:val="000000"/>
          <w:shd w:fill="FFFFFF" w:val="clear"/>
        </w:rPr>
        <w:t xml:space="preserve"> </w:t>
      </w:r>
      <w:r>
        <w:rPr>
          <w:rFonts w:ascii="Times New Roman;serif" w:hAnsi="Times New Roman;serif"/>
          <w:b w:val="false"/>
          <w:color w:val="000000"/>
          <w:sz w:val="20"/>
          <w:shd w:fill="FFFFFF" w:val="clear"/>
        </w:rPr>
        <w:t>pending invention patent applications.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proceedings can be uncertain, and any attempt by us to enforce our patent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4485"/>
                <wp:effectExtent l="0" t="0" r="0" b="0"/>
                <wp:wrapNone/>
                <wp:docPr id="80" name="Frame8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are successfully issued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4485"/>
                <wp:effectExtent l="0" t="0" r="0" b="0"/>
                <wp:wrapNone/>
                <wp:docPr id="81" name="Frame8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patents and patent applications may in the future be jointly 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Patents covering our current, and any future, products or our technologies could be found invalid or unenforceable if challenged in court or before administrative bodies in the United States or abroad,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4485"/>
                <wp:effectExtent l="0" t="0" r="0" b="0"/>
                <wp:wrapNone/>
                <wp:docPr id="82" name="Frame8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invalidity and unenforceability is unpredictable. With respect to the validity question, for example, we cannot be certain that there is no invalidating prior art, of which we and the patent examiner were unaware during prosecution. If a defendant or other third 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rely substantially on our trademarks and trade names. If our trademarks and trade names are not adequately protected, then we may not be able to build name recognition in our markets of interest and our business may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4485"/>
                <wp:effectExtent l="0" t="0" r="0" b="0"/>
                <wp:wrapNone/>
                <wp:docPr id="83" name="Frame8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in U.S. patent law could diminish the value of patents in general, thereby impairing our ability to protect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 party was the first to invent the claimed invention. A third party that files a patent application in the USPTO after March 15,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Third-party claims of intellectual property infringement, misappropriation or other violation against us, the joint-owners of our intellectual property, or our collaborators may prevent or delay the sale and marketing of our current and any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have been and, in the future, could become subject to intellectual property-related litigation and proceedings relating to our or third-party intellectual property and proprietary rights. See Note 18 to our consolidated financial statements included elsewhere in this Quarterly Report on Form 10-Q for further details regarding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4485"/>
                <wp:effectExtent l="0" t="0" r="0" b="0"/>
                <wp:wrapNone/>
                <wp:docPr id="84" name="Frame8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and laboratory equipment industries are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any third 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4485"/>
                <wp:effectExtent l="0" t="0" r="0" b="0"/>
                <wp:wrapNone/>
                <wp:docPr id="85" name="Frame85"/>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and other intellectual property rights, which could be expensive, time-consuming and unsuccessful.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our patents, or the patents of any future licensing partners. In addition, we have been and may in the future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is common in the life sciences industry, our employees, consultants and advisors may be currently or previously employed or engaged at universities or other life sciences companies, including our competitors and potential competitors.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4485"/>
                <wp:effectExtent l="0" t="0" r="0" b="0"/>
                <wp:wrapNone/>
                <wp:docPr id="86" name="Frame86"/>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Failure of a key information technology system, process, or site could have an adverse effect on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are and have been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4485"/>
                <wp:effectExtent l="0" t="0" r="0" b="0"/>
                <wp:wrapNone/>
                <wp:docPr id="87" name="Frame8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that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use of open source software could compromise our ability to offer our services and subject us to possible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open source software in connection with the software integrated in our instruments as well as our Cytek Cloud software.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stock price may continue to be volatile, and our stockholders may not be able to resell shares of our common stock at or above the price they paid.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degree and rate of market adoption of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variance in our financial performance from expectations of securities analysts or investors;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actual or anticipated fluctuations in our financial condition and results of operations, including as a result of anticipated or unanticipated demand based on seasonal factors;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our projected operating and financial results;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developments or disputes concerning our intellectual property or other proprietary rights;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significant lawsuits, including patent or stockholder litigation;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negative publicity associated with issues related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senior management or key personnel;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future sales of our common stock or other securities, by us or our stockholders, as well as the anticipation of lock-up releases;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trading volume of our common stock;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obtain and maintain regulatory approvals for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laws or regulations applicable to our products;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adverse developments concerning any of our third-party distribution partners and suppliers, including our single and sole-source suppliers;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announcements by us or our competitors of significant business developments, acquisitions, or new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4485"/>
                <wp:effectExtent l="0" t="0" r="0" b="0"/>
                <wp:wrapNone/>
                <wp:docPr id="88" name="Frame88"/>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inability to engage additional distribution partners and establish collaborations, if needed;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performance or news releases by other companies in our industry, including about adverse developments related to safety, effectiveness, accuracy and usability of their products, reputational concerns, regulatory compliance, and product recalls;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general economic, regulatory and market conditions, including economic recessions or slowdowns, the ongoing war in Ukraine, conflict in the Middle East, and the general inflationary environment;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other events or factors, many of which are beyond our control.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broad discretion in the use of our cash and may invest or spend the funds in ways with which you do not agree and in ways that may not yield a return.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Substantial future sales of shares of our common stock or securities convertible into our common stock will result in additional dilution of the percentage of ownership of our stockholders and could cause the market price of our common stock to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Concentration of ownership of our common stock among our executive officers, directors and principal stockholders and their respective affiliates may prevent new investors from influencing significant corporate decisions.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Based on the number of shares of common stock outstanding as of September 30, 2025, our executive officers, directors, holders of 5% or more of our common stock and their respective affiliates (based on filings with the SEC), in the aggregate, own approximately</w:t>
      </w:r>
      <w:r>
        <w:rPr>
          <w:color w:val="000000"/>
          <w:shd w:fill="FFFFFF" w:val="clear"/>
        </w:rPr>
        <w:t xml:space="preserve"> </w:t>
      </w:r>
      <w:r>
        <w:rPr>
          <w:rFonts w:ascii="Times New Roman;serif" w:hAnsi="Times New Roman;serif"/>
          <w:b w:val="false"/>
          <w:color w:val="000000"/>
          <w:sz w:val="20"/>
        </w:rPr>
        <w:t xml:space="preserve">39.2%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of our shares and have held their shares for a longer period, they may be more interested in selling our company to an acquirer than other investors, or they may want us to pursue strategies that deviate from the interests of other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4485"/>
                <wp:effectExtent l="0" t="0" r="0" b="0"/>
                <wp:wrapNone/>
                <wp:docPr id="89" name="Frame89"/>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do not intend to pay dividends for the foreseeable future and, as a result, your ability to achieve a return on your investment will depend on appreciation in the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disclosure controls and procedures may not prevent or detect all errors or acts of fraud.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Anti-takeover provisions under our charter documents and Delaware law could delay or prevent a change of control which could limit the market price of our common stock and may prevent or frustrate attempts by our stockholders to replace or remove our current management.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prohibition on stockholder action through written consent, which requires that all stockholder actions be taken at a meeting of our stockholders;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requirement that special meetings of stockholders be called only by the chairman of the board of directors, the chief executive officer, the president, or by a majority of the total number of authorized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advance notice requirements for stockholder proposals and nominations for election to our board of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change-of-control transaction or changes in our board of directors could cause the market price of our common stock to decline.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amended and restated certificate of incorporation and amended and restated bylaws provide that the Court of Chancery of the State of Delaware will be the exclusive forum for substantially all disputes between us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4485"/>
                <wp:effectExtent l="0" t="0" r="0" b="0"/>
                <wp:wrapNone/>
                <wp:docPr id="90" name="Frame90"/>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stockholders, which could limit our stockholders’ ability to obtain a favorable judicial forum for disputes with us or our directors, officers or employees.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choice-of-forum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General Risk Factors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4485"/>
                <wp:effectExtent l="0" t="0" r="0" b="0"/>
                <wp:wrapNone/>
                <wp:docPr id="91" name="Frame91"/>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could be subject to securities class action litigation.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We have incurred and will continue to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have devoted and will continue to devote a substantial amount of time to compliance with these requirements. Moreover, these rules and regulations increase our legal and financial compliance costs and make some activities more time-consuming and costly. The additional costs we incur as a public company could negatively affect our business, financial condition and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failure to meet Nasdaq’s continued listing requirements could result in a delisting of our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publish unfavorable or inaccurate research about our business, our common stock price and trading volume could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ability to use our net operating losses (“NOLs”) to offset future taxable income may be subject to certain limitations.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In addition, there may be other limitations under state law on our ability to utilize NOLs, including temporary suspensions or other limitations on the use of NOLs to offset taxable income. We determined that an ownership change occurred on September 7, 2018, October 23, 2020, and in connection with our initial public offering on July 23, 2021.</w:t>
      </w:r>
      <w:r>
        <w:rPr>
          <w:color w:val="000000"/>
          <w:shd w:fill="FFFFFF" w:val="clear"/>
        </w:rPr>
        <w:t xml:space="preserve"> </w:t>
      </w:r>
      <w:r>
        <w:rPr>
          <w:rFonts w:ascii="Times New Roman;serif" w:hAnsi="Times New Roman;serif"/>
          <w:b w:val="false"/>
          <w:color w:val="000000"/>
          <w:sz w:val="20"/>
          <w:shd w:fill="FFFFFF" w:val="clear"/>
        </w:rPr>
        <w:t>I</w:t>
      </w:r>
      <w:r>
        <w:rPr>
          <w:rFonts w:ascii="Times New Roman;serif" w:hAnsi="Times New Roman;serif"/>
          <w:b w:val="false"/>
          <w:color w:val="000000"/>
          <w:sz w:val="20"/>
        </w:rPr>
        <w:t xml:space="preserve">n addition, we may in the future experience ownership changes, as a result of changes in our stock ownership (some of which are not in our control). If an ownership change occurs, our ability to utilize our NOL carryforwards and other tax attributes to reduce future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4485"/>
                <wp:effectExtent l="0" t="0" r="0" b="0"/>
                <wp:wrapNone/>
                <wp:docPr id="92" name="Frame92"/>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liabilities may be limited. Many states have provisions similar to Code Section 382. Annual limitations may result in the expiration of the state net operating loss carryforwards before utilization.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in our effective tax rate or tax liability may have an adverse effect on our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could increase due to several factors, including: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the relative amounts of income before taxes in the various jurisdictions in which we operate that have differing statutory tax rates;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in tax laws, tax treaties, and regulations or the interpretation of them;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outcome of current and future tax audits, examinations, or administrative appeals; and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limitations or adverse findings regarding our ability to do business in some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tax law and regulations may have a material adverse effect on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For instance, legislation commonly referred to as the One Big Beautiful Bill Act (the “OBBBA”), enacted on July 4, 2025, makes significant changes to the U.S. tax laws. For example, for tax years beginning after December 31, 2024, the OBBBA restores the tax deductibility of domestic research and experimental expenditures in the year incurred, which expenses had been required under the 2017 Tax Cuts and Jobs Act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We continue to evaluate the impact of the OBBBA on our consolidated financial statements, including the effects on our deferred tax assets and liabilities. The provisions of the OBBBA provide that the Company is no longer required to capitalize domestic research and development expenses in 2025, which has resulted in the Company forecasting a taxable loss for the fiscal year and a corresponding elimination of taxpayer favorable permanent deductions for Global Intangible Low-Taxed Income and Foreign Derived Intangible Income, causing an increase in the effective tax rate. In addition, there will be an impact in future years due to changes in these two deductions that are not expected to have a material impact to the Company. We urge investors to consult with their legal and tax advisers regarding the implication of potential changes in tax laws on an investment in our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Changes and uncertainties in the tax system in the countries in which we have operations, could materially adversely affect our financial condition and results of operations, and reduce net returns to our shareholders.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4485"/>
                <wp:effectExtent l="0" t="0" r="0" b="0"/>
                <wp:wrapNone/>
                <wp:docPr id="93" name="Frame93"/>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2021, we issued and sold an aggregate of 13,949,401 shares of common stock in connection with our initial public offering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540"/>
        <w:jc w:val="left"/>
        <w:rPr/>
      </w:pPr>
      <w:r>
        <w:rPr>
          <w:rFonts w:ascii="Times New Roman;serif" w:hAnsi="Times New Roman;serif"/>
          <w:b w:val="false"/>
          <w:color w:val="000000"/>
          <w:sz w:val="20"/>
        </w:rPr>
        <w:t>None.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4485"/>
                <wp:effectExtent l="0" t="0" r="0" b="0"/>
                <wp:wrapNone/>
                <wp:docPr id="94" name="Frame94"/>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7"/>
        <w:gridCol w:w="260"/>
        <w:gridCol w:w="261"/>
        <w:gridCol w:w="109"/>
        <w:gridCol w:w="109"/>
        <w:gridCol w:w="109"/>
        <w:gridCol w:w="1787"/>
        <w:gridCol w:w="1648"/>
        <w:gridCol w:w="1665"/>
        <w:gridCol w:w="109"/>
        <w:gridCol w:w="109"/>
        <w:gridCol w:w="109"/>
        <w:gridCol w:w="195"/>
        <w:gridCol w:w="195"/>
        <w:gridCol w:w="196"/>
        <w:gridCol w:w="267"/>
        <w:gridCol w:w="267"/>
        <w:gridCol w:w="154"/>
        <w:gridCol w:w="245"/>
        <w:gridCol w:w="245"/>
        <w:gridCol w:w="246"/>
        <w:gridCol w:w="228"/>
        <w:gridCol w:w="228"/>
        <w:gridCol w:w="229"/>
        <w:gridCol w:w="272"/>
        <w:gridCol w:w="272"/>
        <w:gridCol w:w="394"/>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93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Filed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hyperlink r:id="rId3">
              <w:r>
                <w:rPr>
                  <w:rStyle w:val="InternetLink"/>
                  <w:rFonts w:ascii="Times New Roman;serif" w:hAnsi="Times New Roman;serif"/>
                  <w:b w:val="false"/>
                  <w:color w:val="0000FF"/>
                  <w:sz w:val="20"/>
                  <w:u w:val="single"/>
                </w:rPr>
                <w:t>001-40632</w:t>
              </w:r>
            </w:hyperlink>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3.1</w:t>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07/27/2021</w:t>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88" w:type="dxa"/>
            <w:gridSpan w:val="3"/>
            <w:tcBorders/>
            <w:tcMar>
              <w:top w:w="0" w:type="dxa"/>
              <w:left w:w="0" w:type="dxa"/>
              <w:bottom w:w="0" w:type="dxa"/>
              <w:right w:w="0" w:type="dxa"/>
            </w:tcMar>
            <w:vAlign w:val="center"/>
          </w:tcPr>
          <w:p>
            <w:pPr>
              <w:pStyle w:val="TableContents"/>
              <w:bidi w:val="0"/>
              <w:spacing w:lineRule="auto" w:line="276" w:before="0" w:after="0"/>
              <w:jc w:val="center"/>
              <w:rPr/>
            </w:pPr>
            <w:hyperlink r:id="rId5">
              <w:r>
                <w:rPr>
                  <w:rStyle w:val="InternetLink"/>
                  <w:rFonts w:ascii="Times New Roman;serif" w:hAnsi="Times New Roman;serif"/>
                  <w:b w:val="false"/>
                  <w:color w:val="0000FF"/>
                  <w:sz w:val="20"/>
                  <w:u w:val="single"/>
                </w:rPr>
                <w:t>001-40632</w:t>
              </w:r>
            </w:hyperlink>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FF"/>
                <w:sz w:val="20"/>
                <w:u w:val="single"/>
              </w:rPr>
            </w:pPr>
            <w:r>
              <w:rPr>
                <w:rFonts w:ascii="Times New Roman;serif" w:hAnsi="Times New Roman;serif"/>
                <w:b w:val="false"/>
                <w:color w:val="0000FF"/>
                <w:sz w:val="20"/>
                <w:u w:val="single"/>
              </w:rPr>
              <w:t>3.2</w:t>
            </w:r>
          </w:p>
        </w:tc>
        <w:tc>
          <w:tcPr>
            <w:tcW w:w="68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07/27/2021</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101-contractamendme.htm">
              <w:r>
                <w:rPr>
                  <w:rStyle w:val="InternetLink"/>
                  <w:rFonts w:ascii="Times New Roman;serif" w:hAnsi="Times New Roman;serif"/>
                  <w:b w:val="false"/>
                  <w:color w:val="000080"/>
                  <w:sz w:val="20"/>
                  <w:u w:val="single"/>
                </w:rPr>
                <w:t>Contract Amendment N</w:t>
              </w:r>
            </w:hyperlink>
            <w:hyperlink w:anchor="exhibit101-contractamendme.htm">
              <w:r>
                <w:rPr>
                  <w:rStyle w:val="InternetLink"/>
                  <w:rFonts w:ascii="Times New Roman;serif" w:hAnsi="Times New Roman;serif"/>
                  <w:b w:val="false"/>
                  <w:color w:val="000080"/>
                  <w:sz w:val="20"/>
                  <w:u w:val="single"/>
                </w:rPr>
                <w:t>o</w:t>
              </w:r>
            </w:hyperlink>
            <w:hyperlink w:anchor="exhibit101-contractamendme.htm">
              <w:r>
                <w:rPr>
                  <w:rStyle w:val="InternetLink"/>
                  <w:rFonts w:ascii="Times New Roman;serif" w:hAnsi="Times New Roman;serif"/>
                  <w:b w:val="false"/>
                  <w:color w:val="000080"/>
                  <w:sz w:val="20"/>
                  <w:u w:val="single"/>
                </w:rPr>
                <w:t>.</w:t>
              </w:r>
            </w:hyperlink>
            <w:hyperlink w:anchor="exhibit101-contractamendme.htm">
              <w:r>
                <w:rPr>
                  <w:rStyle w:val="InternetLink"/>
                  <w:rFonts w:ascii="Times New Roman;serif" w:hAnsi="Times New Roman;serif"/>
                  <w:b w:val="false"/>
                  <w:color w:val="000080"/>
                  <w:sz w:val="20"/>
                  <w:u w:val="single"/>
                </w:rPr>
                <w:t xml:space="preserve"> 1 to Supply Agreement among the Registrant, Cytek </w:t>
              </w:r>
            </w:hyperlink>
            <w:hyperlink w:anchor="exhibit101-contractamendme.htm">
              <w:r>
                <w:rPr>
                  <w:rStyle w:val="InternetLink"/>
                  <w:rFonts w:ascii="Times New Roman;serif" w:hAnsi="Times New Roman;serif"/>
                  <w:b w:val="false"/>
                  <w:color w:val="000080"/>
                  <w:sz w:val="20"/>
                  <w:u w:val="single"/>
                </w:rPr>
                <w:t xml:space="preserve">(Wuxi) Biosciences Co., Ltd, a China subsidiary of Cytek Biosciences, Inc., Cytek </w:t>
              </w:r>
            </w:hyperlink>
            <w:hyperlink w:anchor="exhibit101-contractamendme.htm">
              <w:r>
                <w:rPr>
                  <w:rStyle w:val="InternetLink"/>
                  <w:rFonts w:ascii="Times New Roman;serif" w:hAnsi="Times New Roman;serif"/>
                  <w:b w:val="false"/>
                  <w:color w:val="000080"/>
                  <w:sz w:val="20"/>
                  <w:u w:val="single"/>
                </w:rPr>
                <w:t>Bi</w:t>
              </w:r>
            </w:hyperlink>
            <w:hyperlink w:anchor="exhibit101-contractamendme.htm">
              <w:r>
                <w:rPr>
                  <w:rStyle w:val="InternetLink"/>
                  <w:rFonts w:ascii="Times New Roman;serif" w:hAnsi="Times New Roman;serif"/>
                  <w:b w:val="false"/>
                  <w:color w:val="000080"/>
                  <w:sz w:val="20"/>
                  <w:u w:val="single"/>
                </w:rPr>
                <w:t>osciences Pte</w:t>
              </w:r>
            </w:hyperlink>
            <w:hyperlink w:anchor="exhibit101-contractamendme.htm">
              <w:r>
                <w:rPr>
                  <w:rStyle w:val="InternetLink"/>
                  <w:rFonts w:ascii="Times New Roman;serif" w:hAnsi="Times New Roman;serif"/>
                  <w:b w:val="false"/>
                  <w:color w:val="000080"/>
                  <w:sz w:val="20"/>
                  <w:u w:val="single"/>
                </w:rPr>
                <w:t>. Ltd.</w:t>
              </w:r>
            </w:hyperlink>
            <w:hyperlink w:anchor="exhibit101-contractamendme.htm">
              <w:r>
                <w:rPr>
                  <w:rStyle w:val="InternetLink"/>
                  <w:rFonts w:ascii="Times New Roman;serif" w:hAnsi="Times New Roman;serif"/>
                  <w:b w:val="false"/>
                  <w:color w:val="000080"/>
                  <w:sz w:val="20"/>
                  <w:u w:val="single"/>
                </w:rPr>
                <w:t>, a Singapore subsidiary of Cytek Biosciences</w:t>
              </w:r>
            </w:hyperlink>
            <w:hyperlink w:anchor="exhibit101-contractamendme.htm">
              <w:r>
                <w:rPr>
                  <w:rStyle w:val="InternetLink"/>
                  <w:rFonts w:ascii="Times New Roman;serif" w:hAnsi="Times New Roman;serif"/>
                  <w:b w:val="false"/>
                  <w:color w:val="000080"/>
                  <w:sz w:val="20"/>
                  <w:u w:val="single"/>
                </w:rPr>
                <w:t>, In</w:t>
              </w:r>
            </w:hyperlink>
            <w:hyperlink w:anchor="exhibit101-contractamendme.htm">
              <w:r>
                <w:rPr>
                  <w:rStyle w:val="InternetLink"/>
                  <w:rFonts w:ascii="Times New Roman;serif" w:hAnsi="Times New Roman;serif"/>
                  <w:b w:val="false"/>
                  <w:color w:val="000080"/>
                  <w:sz w:val="20"/>
                  <w:u w:val="single"/>
                </w:rPr>
                <w:t xml:space="preserve">c., and </w:t>
              </w:r>
            </w:hyperlink>
            <w:hyperlink w:anchor="exhibit101-contractamendme.htm">
              <w:r>
                <w:rPr>
                  <w:rStyle w:val="InternetLink"/>
                  <w:rFonts w:ascii="Times New Roman;serif" w:hAnsi="Times New Roman;serif"/>
                  <w:b w:val="false"/>
                  <w:color w:val="000080"/>
                  <w:sz w:val="20"/>
                  <w:u w:val="single"/>
                </w:rPr>
                <w:t xml:space="preserve">Coherent NA, Inc. and </w:t>
              </w:r>
            </w:hyperlink>
            <w:hyperlink w:anchor="exhibit101-contractamendme.htm">
              <w:r>
                <w:rPr>
                  <w:rStyle w:val="InternetLink"/>
                  <w:rFonts w:ascii="Times New Roman;serif" w:hAnsi="Times New Roman;serif"/>
                  <w:b w:val="false"/>
                  <w:color w:val="000080"/>
                  <w:sz w:val="20"/>
                  <w:u w:val="single"/>
                </w:rPr>
                <w:t xml:space="preserve">certain of </w:t>
              </w:r>
            </w:hyperlink>
            <w:hyperlink w:anchor="exhibit101-contractamendme.htm">
              <w:r>
                <w:rPr>
                  <w:rStyle w:val="InternetLink"/>
                  <w:rFonts w:ascii="Times New Roman;serif" w:hAnsi="Times New Roman;serif"/>
                  <w:b w:val="false"/>
                  <w:color w:val="000080"/>
                  <w:sz w:val="20"/>
                  <w:u w:val="single"/>
                </w:rPr>
                <w:t>its affiliat</w:t>
              </w:r>
            </w:hyperlink>
            <w:hyperlink w:anchor="exhibit101-contractamendme.htm">
              <w:r>
                <w:rPr>
                  <w:rStyle w:val="InternetLink"/>
                  <w:rFonts w:ascii="Times New Roman;serif" w:hAnsi="Times New Roman;serif"/>
                  <w:b w:val="false"/>
                  <w:color w:val="000080"/>
                  <w:sz w:val="20"/>
                  <w:u w:val="single"/>
                </w:rPr>
                <w:t>es, dated August 12,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50930exx311.htm">
              <w:r>
                <w:rPr>
                  <w:rStyle w:val="InternetLink"/>
                  <w:rFonts w:ascii="Times New Roman;serif" w:hAnsi="Times New Roman;serif"/>
                  <w:b w:val="false"/>
                  <w:color w:val="0000FF"/>
                  <w:sz w:val="20"/>
                  <w:u w:val="single"/>
                </w:rPr>
                <w:t>Certification of Principal Executive Officer required by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50930exx312.htm">
              <w:r>
                <w:rPr>
                  <w:rStyle w:val="InternetLink"/>
                  <w:rFonts w:ascii="Times New Roman;serif" w:hAnsi="Times New Roman;serif"/>
                  <w:b w:val="false"/>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50930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tkb-20250930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Pursuant to Item 601(b)(10) of Regulation S-K, portions of this exhibit have been omitted, as the Registrant has determined that the omitted information is both (i) not material and (ii) the type that the Registrant treats as private and confidential.</w:t>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pStyle w:val="TextBody"/>
        <w:bidi w:val="0"/>
        <w:spacing w:before="120" w:after="283"/>
        <w:ind w:left="0" w:right="0" w:firstLine="180"/>
        <w:jc w:val="both"/>
        <w:rPr/>
      </w:pPr>
      <w:r>
        <w:rPr/>
      </w:r>
    </w:p>
    <w:p>
      <w:pPr>
        <w:pStyle w:val="TextBody"/>
        <w:bidi w:val="0"/>
        <w:spacing w:before="120" w:after="283"/>
        <w:ind w:left="0" w:right="0" w:hanging="180"/>
        <w:jc w:val="left"/>
        <w:rPr/>
      </w:pPr>
      <w:r>
        <w:rPr/>
      </w:r>
    </w:p>
    <w:p>
      <w:pPr>
        <w:pStyle w:val="TextBody"/>
        <w:bidi w:val="0"/>
        <w:spacing w:before="120" w:after="283"/>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76" w:before="0" w:after="0"/>
        <w:jc w:val="left"/>
        <w:rPr/>
      </w:pPr>
      <w:hyperlink w:anchor="ib943a519d6ac48cfab49cefe6a8fd93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5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6931" w:type="dxa"/>
        <w:jc w:val="left"/>
        <w:tblInd w:w="0" w:type="dxa"/>
        <w:tblLayout w:type="fixed"/>
        <w:tblCellMar>
          <w:top w:w="28" w:type="dxa"/>
          <w:left w:w="28" w:type="dxa"/>
          <w:bottom w:w="28" w:type="dxa"/>
          <w:right w:w="28" w:type="dxa"/>
        </w:tblCellMar>
      </w:tblPr>
      <w:tblGrid>
        <w:gridCol w:w="759"/>
        <w:gridCol w:w="668"/>
        <w:gridCol w:w="672"/>
        <w:gridCol w:w="321"/>
        <w:gridCol w:w="321"/>
        <w:gridCol w:w="321"/>
        <w:gridCol w:w="1126"/>
        <w:gridCol w:w="1126"/>
        <w:gridCol w:w="161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Cytek Biosciences,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Wenbin Jiang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9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/s/ William McCombe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William McCombe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724025" cy="638175"/>
            <wp:effectExtent l="0" t="0" r="0" b="0"/>
            <wp:docPr id="9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 descr=""/>
                    <pic:cNvPicPr>
                      <a:picLocks noChangeAspect="1" noChangeArrowheads="1"/>
                    </pic:cNvPicPr>
                  </pic:nvPicPr>
                  <pic:blipFill>
                    <a:blip r:embed="rId6"/>
                    <a:stretch>
                      <a:fillRect/>
                    </a:stretch>
                  </pic:blipFill>
                  <pic:spPr bwMode="auto">
                    <a:xfrm>
                      <a:off x="0" y="0"/>
                      <a:ext cx="1724025" cy="638175"/>
                    </a:xfrm>
                    <a:prstGeom prst="rect">
                      <a:avLst/>
                    </a:prstGeom>
                  </pic:spPr>
                </pic:pic>
              </a:graphicData>
            </a:graphic>
          </wp:inline>
        </w:drawing>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4485"/>
                <wp:effectExtent l="0" t="0" r="0" b="0"/>
                <wp:wrapNone/>
                <wp:docPr id="98" name="Frame97"/>
                <a:graphic xmlns:a="http://schemas.openxmlformats.org/drawingml/2006/main">
                  <a:graphicData uri="http://schemas.microsoft.com/office/word/2010/wordprocessingShape">
                    <wps:wsp>
                      <wps:cNvSpPr txBox="1"/>
                      <wps:spPr>
                        <a:xfrm>
                          <a:off x="0" y="0"/>
                          <a:ext cx="6480175" cy="324485"/>
                        </a:xfrm>
                        <a:prstGeom prst="rect"/>
                        <a:solidFill>
                          <a:srgbClr val="FFFFFF"/>
                        </a:solidFill>
                      </wps:spPr>
                      <wps:txb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8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 Certain confidential information contained in this document, marked by brackets, has been omitted because it is both (i) not material and (ii) the type that the registrant treats as private or confidential.</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CONTRACT AMENDMENT NO. 1</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THIS CONTRACT AMENDMENT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effective as of the last dated signature below (the “</w:t>
      </w:r>
      <w:r>
        <w:rPr>
          <w:rFonts w:ascii="Times New Roman;serif" w:hAnsi="Times New Roman;serif"/>
          <w:b/>
          <w:color w:val="000000"/>
          <w:sz w:val="24"/>
        </w:rPr>
        <w:t>Amendment</w:t>
      </w:r>
      <w:r>
        <w:rPr>
          <w:color w:val="000000"/>
        </w:rPr>
        <w:t xml:space="preserv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among Coherent NA, Inc., a Delaware corporation with offices at 5100 Patrick Henry Drive, Santa Clara, CA 95054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Cytek Biosciences, Inc., a Delaware corporation with offices at 47215 Lakeview Boulevard, Fremont, CA 94538, Cytek (Wuxi) Biosciences Co., Ltd, a China subsidiary of Cytek Biosciences, Inc., with offices at 6-5 Jingxian Road, Xinwu District, Wuxi, Jiangsu Province, China, and Cytek Biosciences Pte. Ltd., a Singapore subsidiary of Cytek Biosciences, Inc., with offices at 1 North Coast Avenue #04-01, 1 North Coast, Singapore 737663 (together with Cytek Biosciences, Inc. and Cytek (Wuxi) Biosciences Co., Ltd,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 Seller and Buyer may be referred to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jointly as the “</w:t>
      </w:r>
      <w:r>
        <w:rPr>
          <w:rFonts w:ascii="Times New Roman;serif" w:hAnsi="Times New Roman;serif"/>
          <w:b/>
          <w:color w:val="000000"/>
          <w:sz w:val="24"/>
        </w:rPr>
        <w:t>Parties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BACKGROUND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the Parties entered an Agreement dated August 25, 2021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pursuant to which Buyer may procure certain products from Seller; and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WHEREAS</w:t>
      </w:r>
      <w:r>
        <w:rPr>
          <w:rFonts w:ascii="Times New Roman;serif" w:hAnsi="Times New Roman;serif"/>
          <w:b w:val="false"/>
          <w:color w:val="000000"/>
          <w:sz w:val="24"/>
        </w:rPr>
        <w:t>, the Parties wish to execute this Amendment to update the list of products which Buyer may procure from Seller under the Agreement and to make certain other changes.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NOW, THEREFORE</w:t>
      </w:r>
      <w:r>
        <w:rPr>
          <w:rFonts w:ascii="Times New Roman;serif" w:hAnsi="Times New Roman;serif"/>
          <w:b w:val="false"/>
          <w:color w:val="000000"/>
          <w:sz w:val="24"/>
        </w:rPr>
        <w:t>, in exchange for the mutual covenants and promises contained herein and other good and valuable consideration, the receipt and sufficiency of which is hereby acknowledged, the Parties hereby agree as follows.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Introductory Paragraph</w:t>
      </w:r>
      <w:r>
        <w:rPr>
          <w:rFonts w:ascii="Times New Roman;serif" w:hAnsi="Times New Roman;serif"/>
          <w:b w:val="false"/>
          <w:color w:val="000000"/>
          <w:sz w:val="24"/>
        </w:rPr>
        <w:t xml:space="preserve">. Subsection (1) of the first paragraph in the introductory section of the Agreement shall be deleted in its entirety and replaced with the following paragraph to reflect certain Buyer entity changes: </w:t>
      </w:r>
    </w:p>
    <w:p>
      <w:pPr>
        <w:pStyle w:val="TextBody"/>
        <w:bidi w:val="0"/>
        <w:spacing w:before="0" w:after="0"/>
        <w:jc w:val="both"/>
        <w:rPr/>
      </w:pPr>
      <w:r>
        <w:rPr/>
      </w:r>
    </w:p>
    <w:p>
      <w:pPr>
        <w:pStyle w:val="TextBody"/>
        <w:bidi w:val="0"/>
        <w:spacing w:lineRule="auto" w:line="276" w:before="0" w:after="0"/>
        <w:ind w:left="0" w:right="0" w:hanging="432"/>
        <w:jc w:val="left"/>
        <w:rPr/>
      </w:pPr>
      <w:r>
        <w:rPr>
          <w:rFonts w:ascii="Times New Roman;serif" w:hAnsi="Times New Roman;serif"/>
          <w:b w:val="false"/>
          <w:color w:val="000000"/>
          <w:sz w:val="24"/>
        </w:rPr>
        <w:t xml:space="preserve">(1) </w:t>
      </w:r>
      <w:r>
        <w:rPr>
          <w:rFonts w:ascii="Times New Roman;serif" w:hAnsi="Times New Roman;serif"/>
          <w:b/>
          <w:color w:val="000000"/>
          <w:sz w:val="24"/>
        </w:rPr>
        <w:t xml:space="preserve">Cytek Biosciences, Inc., </w:t>
      </w:r>
      <w:r>
        <w:rPr>
          <w:rFonts w:ascii="Times New Roman;serif" w:hAnsi="Times New Roman;serif"/>
          <w:b w:val="false"/>
          <w:color w:val="000000"/>
          <w:sz w:val="24"/>
        </w:rPr>
        <w:t xml:space="preserve">a Delaware corporation having a place of business at 47215 Lakeview Boulevard, Fremont, CA 94538, </w:t>
      </w:r>
      <w:r>
        <w:rPr>
          <w:rFonts w:ascii="Times New Roman;serif" w:hAnsi="Times New Roman;serif"/>
          <w:b/>
          <w:color w:val="000000"/>
          <w:sz w:val="24"/>
        </w:rPr>
        <w:t>Cytek (Wuxi) Biosciences Co., Ltd</w:t>
      </w:r>
      <w:r>
        <w:rPr>
          <w:rFonts w:ascii="Times New Roman;serif" w:hAnsi="Times New Roman;serif"/>
          <w:b w:val="false"/>
          <w:color w:val="000000"/>
          <w:sz w:val="24"/>
        </w:rPr>
        <w:t xml:space="preserve">, a China subsidiary of Cytek Biosciences, Inc. having a place of business at 6-5 Jingxian Road, Xinwu District, Wuxi, Jiangsu Province, China, and </w:t>
      </w:r>
      <w:r>
        <w:rPr>
          <w:rFonts w:ascii="Times New Roman;serif" w:hAnsi="Times New Roman;serif"/>
          <w:b/>
          <w:color w:val="000000"/>
          <w:sz w:val="24"/>
        </w:rPr>
        <w:t>Cytek Biosciences Pte. Ltd.</w:t>
      </w:r>
      <w:r>
        <w:rPr>
          <w:rFonts w:ascii="Times New Roman;serif" w:hAnsi="Times New Roman;serif"/>
          <w:b w:val="false"/>
          <w:color w:val="000000"/>
          <w:sz w:val="24"/>
        </w:rPr>
        <w:t>, a Singapore subsidiary of Cytek Biosciences, Inc., with offices at 1 North Coast Avenue #04-01, 1 North Coast, Singapore 737663 (together with Cytek Biosciences, Inc. and Cytek (Wuxi) Biosciences Co., Ltd, “</w:t>
      </w:r>
      <w:r>
        <w:rPr>
          <w:rFonts w:ascii="Times New Roman;serif" w:hAnsi="Times New Roman;serif"/>
          <w:b/>
          <w:color w:val="000000"/>
          <w:sz w:val="24"/>
        </w:rPr>
        <w:t>Buyer</w:t>
      </w:r>
      <w:r>
        <w:rPr>
          <w:color w:val="000000"/>
        </w:rPr>
        <w:t>”</w:t>
      </w:r>
      <w:r>
        <w:rPr>
          <w:rFonts w:ascii="Times New Roman;serif" w:hAnsi="Times New Roman;serif"/>
          <w:b w:val="false"/>
          <w:color w:val="000000"/>
          <w:sz w:val="24"/>
        </w:rPr>
        <w:t>); and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Global Changes</w:t>
      </w:r>
      <w:r>
        <w:rPr>
          <w:rFonts w:ascii="Times New Roman;serif" w:hAnsi="Times New Roman;serif"/>
          <w:b w:val="false"/>
          <w:color w:val="000000"/>
          <w:sz w:val="24"/>
        </w:rPr>
        <w:t>. All instances in the Agreement of the defined term “Cytek Biosciences, Inc.” shall be replaced with references to “Buyer” instead.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Introductory Paragraph</w:t>
      </w:r>
      <w:r>
        <w:rPr>
          <w:rFonts w:ascii="Times New Roman;serif" w:hAnsi="Times New Roman;serif"/>
          <w:b w:val="false"/>
          <w:color w:val="000000"/>
          <w:sz w:val="24"/>
        </w:rPr>
        <w:t xml:space="preserve">. Subsection (2) of the first paragraph in the introductory section of the Agreement shall be deleted in its entirety and replaced with the following paragraph to reflect certain Seller entity changes: </w:t>
      </w:r>
    </w:p>
    <w:p>
      <w:pPr>
        <w:pStyle w:val="TextBody"/>
        <w:bidi w:val="0"/>
        <w:jc w:val="both"/>
        <w:rPr/>
      </w:pPr>
      <w:r>
        <w:rPr/>
      </w:r>
    </w:p>
    <w:p>
      <w:pPr>
        <w:pStyle w:val="TextBody"/>
        <w:bidi w:val="0"/>
        <w:spacing w:before="0" w:after="0"/>
        <w:jc w:val="left"/>
        <w:rPr/>
      </w:pPr>
      <w:r>
        <w:rPr/>
        <w:drawing>
          <wp:inline distT="0" distB="0" distL="0" distR="0">
            <wp:extent cx="1724025" cy="638175"/>
            <wp:effectExtent l="0" t="0" r="0" b="0"/>
            <wp:docPr id="9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 descr=""/>
                    <pic:cNvPicPr>
                      <a:picLocks noChangeAspect="1" noChangeArrowheads="1"/>
                    </pic:cNvPicPr>
                  </pic:nvPicPr>
                  <pic:blipFill>
                    <a:blip r:embed="rId7"/>
                    <a:stretch>
                      <a:fillRect/>
                    </a:stretch>
                  </pic:blipFill>
                  <pic:spPr bwMode="auto">
                    <a:xfrm>
                      <a:off x="0" y="0"/>
                      <a:ext cx="1724025" cy="638175"/>
                    </a:xfrm>
                    <a:prstGeom prst="rect">
                      <a:avLst/>
                    </a:prstGeom>
                  </pic:spPr>
                </pic:pic>
              </a:graphicData>
            </a:graphic>
          </wp:inline>
        </w:drawing>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10515"/>
                <wp:effectExtent l="0" t="0" r="0" b="0"/>
                <wp:wrapNone/>
                <wp:docPr id="100" name="Frame98"/>
                <a:graphic xmlns:a="http://schemas.openxmlformats.org/drawingml/2006/main">
                  <a:graphicData uri="http://schemas.microsoft.com/office/word/2010/wordprocessingShape">
                    <wps:wsp>
                      <wps:cNvSpPr txBox="1"/>
                      <wps:spPr>
                        <a:xfrm>
                          <a:off x="0" y="0"/>
                          <a:ext cx="6480175" cy="31051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p>
                  </w:txbxContent>
                </v:textbox>
                <w10:wrap type="none"/>
              </v:rect>
            </w:pict>
          </mc:Fallback>
        </mc:AlternateContent>
      </w:r>
    </w:p>
    <w:p>
      <w:pPr>
        <w:pStyle w:val="TextBody"/>
        <w:bidi w:val="0"/>
        <w:spacing w:lineRule="auto" w:line="268" w:before="0" w:after="0"/>
        <w:ind w:left="0" w:right="0" w:hanging="432"/>
        <w:jc w:val="left"/>
        <w:rPr/>
      </w:pPr>
      <w:r>
        <w:rPr>
          <w:rFonts w:ascii="Times New Roman;serif" w:hAnsi="Times New Roman;serif"/>
          <w:b w:val="false"/>
          <w:color w:val="000000"/>
          <w:sz w:val="24"/>
        </w:rPr>
        <w:t>(2) Coherent NA, Inc., a Delaware corporation having its registered office at 5100 Patrick Henry Drive, Santa Clara, CA 95054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Introductory Paragraph</w:t>
      </w:r>
      <w:r>
        <w:rPr>
          <w:rFonts w:ascii="Times New Roman;serif" w:hAnsi="Times New Roman;serif"/>
          <w:b w:val="false"/>
          <w:color w:val="000000"/>
          <w:sz w:val="24"/>
        </w:rPr>
        <w:t xml:space="preserve">. The second paragraph in the introductory section of the Agreement shall be deleted in its entirety and replaced with the following paragraph: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to the Parties specified above, (i) Coherent Asia, Inc., a California corporation having its registered office at 5100 Patrick Henry Drive, Santa Clara, CA 95054, (ii) Coherent (Beijing) Commercial Company Ltd., a PRC corporation having its registered office at Room 1006-1009, Raycom Info Park Tower B, No. 2 Kexueyuan South Road, Haidian District, Beijing 100190, China, (iii) Coherent China, Inc., a PRC corporation having its registered office at Floors 1 to 4, North Building, Building 1, Lot C1 (Fuzhou Software Park Jin'an Branch), Fuxing Economic Development Zone, No. 318 Fuguang Road, Jin'an District, Fuzhou City, Fujian Province, China, (iv) Coherent Hong Kong, a Hong Kong corporation having its registered office at Unit 1402, 14th Floor, Henley Building, No. 5 Queen’s Road Central, Hong Kong, 430206, China, and (v) Coherent Singapore Pte Ltd, a Singapore corporation having its registered office at 1 Kallang Sector #07-06, Kallang, 349276, Singapore, shall be party to this Agreement in a limited capacity solely to receive Orders and payments hereunder. For the avoidance of doubt and notwithstanding the foregoing, Coherent NA, Inc. is the primary party to this Agreement for Seller.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Section 3</w:t>
      </w:r>
      <w:r>
        <w:rPr>
          <w:rFonts w:ascii="Times New Roman;serif" w:hAnsi="Times New Roman;serif"/>
          <w:b w:val="false"/>
          <w:color w:val="000000"/>
          <w:sz w:val="24"/>
        </w:rPr>
        <w:t>. Section 3 of the Agreement shall be deleted in its entirety and replaced with the following paragraphs:</w:t>
      </w:r>
    </w:p>
    <w:p>
      <w:pPr>
        <w:pStyle w:val="TextBody"/>
        <w:bidi w:val="0"/>
        <w:spacing w:before="0" w:after="0"/>
        <w:jc w:val="left"/>
        <w:rPr/>
      </w:pPr>
      <w:r>
        <w:rPr/>
      </w:r>
    </w:p>
    <w:p>
      <w:pPr>
        <w:pStyle w:val="TextBody"/>
        <w:bidi w:val="0"/>
        <w:spacing w:lineRule="auto" w:line="268" w:before="0" w:after="0"/>
        <w:ind w:left="0" w:right="0" w:hanging="432"/>
        <w:jc w:val="both"/>
        <w:rPr/>
      </w:pPr>
      <w:r>
        <w:rPr>
          <w:rFonts w:ascii="Times New Roman;serif" w:hAnsi="Times New Roman;serif"/>
          <w:b w:val="false"/>
          <w:color w:val="000000"/>
          <w:sz w:val="24"/>
        </w:rPr>
        <w:t>3.1 The price (“</w:t>
      </w:r>
      <w:r>
        <w:rPr>
          <w:rFonts w:ascii="Times New Roman;serif" w:hAnsi="Times New Roman;serif"/>
          <w:b/>
          <w:i/>
          <w:color w:val="000000"/>
          <w:sz w:val="24"/>
        </w:rPr>
        <w:t>Price</w:t>
      </w:r>
      <w:r>
        <w:rPr>
          <w:color w:val="000000"/>
        </w:rPr>
        <w:t>”</w:t>
      </w:r>
      <w:r>
        <w:rPr>
          <w:rFonts w:ascii="Times New Roman;serif" w:hAnsi="Times New Roman;serif"/>
          <w:b w:val="false"/>
          <w:color w:val="000000"/>
          <w:sz w:val="24"/>
        </w:rPr>
        <w:t xml:space="preserve">) for the Products is specified in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hereof and Orders shall be issued as follows: [*] </w:t>
      </w:r>
    </w:p>
    <w:p>
      <w:pPr>
        <w:pStyle w:val="TextBody"/>
        <w:bidi w:val="0"/>
        <w:spacing w:before="0" w:after="0"/>
        <w:ind w:left="0" w:right="0" w:hanging="432"/>
        <w:jc w:val="both"/>
        <w:rPr/>
      </w:pPr>
      <w:r>
        <w:rPr/>
      </w:r>
    </w:p>
    <w:tbl>
      <w:tblPr>
        <w:tblW w:w="8864" w:type="dxa"/>
        <w:jc w:val="left"/>
        <w:tblInd w:w="0" w:type="dxa"/>
        <w:tblLayout w:type="fixed"/>
        <w:tblCellMar>
          <w:top w:w="28" w:type="dxa"/>
          <w:left w:w="28" w:type="dxa"/>
          <w:bottom w:w="28" w:type="dxa"/>
          <w:right w:w="28" w:type="dxa"/>
        </w:tblCellMar>
      </w:tblPr>
      <w:tblGrid>
        <w:gridCol w:w="1617"/>
        <w:gridCol w:w="1416"/>
        <w:gridCol w:w="1437"/>
        <w:gridCol w:w="624"/>
        <w:gridCol w:w="624"/>
        <w:gridCol w:w="626"/>
        <w:gridCol w:w="350"/>
        <w:gridCol w:w="350"/>
        <w:gridCol w:w="351"/>
        <w:gridCol w:w="430"/>
        <w:gridCol w:w="430"/>
        <w:gridCol w:w="609"/>
      </w:tblGrid>
      <w:tr>
        <w:trPr/>
        <w:tc>
          <w:tcPr>
            <w:tcW w:w="161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left w:val="single" w:sz="8" w:space="0" w:color="000000"/>
            </w:tcBorders>
            <w:shd w:fill="E8E8E8"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Entity</w:t>
            </w:r>
          </w:p>
        </w:tc>
        <w:tc>
          <w:tcPr>
            <w:tcW w:w="1874" w:type="dxa"/>
            <w:gridSpan w:val="3"/>
            <w:tcBorders>
              <w:top w:val="single" w:sz="8" w:space="0" w:color="000000"/>
              <w:left w:val="single" w:sz="8" w:space="0" w:color="000000"/>
            </w:tcBorders>
            <w:shd w:fill="E8E8E8"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Delivery Location</w:t>
            </w:r>
          </w:p>
        </w:tc>
        <w:tc>
          <w:tcPr>
            <w:tcW w:w="1051" w:type="dxa"/>
            <w:gridSpan w:val="3"/>
            <w:tcBorders>
              <w:top w:val="single" w:sz="8" w:space="0" w:color="000000"/>
              <w:left w:val="single" w:sz="8" w:space="0" w:color="000000"/>
            </w:tcBorders>
            <w:shd w:fill="E8E8E8"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Currency</w:t>
            </w:r>
          </w:p>
        </w:tc>
        <w:tc>
          <w:tcPr>
            <w:tcW w:w="1469" w:type="dxa"/>
            <w:gridSpan w:val="3"/>
            <w:tcBorders>
              <w:top w:val="single" w:sz="8" w:space="0" w:color="000000"/>
              <w:left w:val="single" w:sz="8" w:space="0" w:color="000000"/>
              <w:right w:val="single" w:sz="8" w:space="0" w:color="000000"/>
            </w:tcBorders>
            <w:shd w:fill="E8E8E8" w:val="clear"/>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Incoterms [*]</w:t>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Coherent NA, Inc.</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4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Coherent Asia, Inc.</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4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Coherent (Beijing) Commercial Company Ltd.</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4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Coherent China, Inc.</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4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4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Coherent Singapore Pte Ltd</w:t>
            </w:r>
          </w:p>
        </w:tc>
        <w:tc>
          <w:tcPr>
            <w:tcW w:w="18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4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4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Coherent Hong Kong Limited</w:t>
            </w:r>
          </w:p>
        </w:tc>
        <w:tc>
          <w:tcPr>
            <w:tcW w:w="18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4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the incoterms specified in the table above, the Price excludes [*], which shall be included as a line item in Seller’s quote, and [*] and [*], if any, and Seller shall invoice Buyer for such charges. Notwithstanding anything to the contrary in this Agreement, if any tariffs, duties, or related import/export costs applicable to the Products [*] shall be responsible for covering the additional costs. The additional costs shall be invoiced to and payable by Buyer in accordance with the payment terms of this Agreement.</w:t>
      </w:r>
    </w:p>
    <w:p>
      <w:pPr>
        <w:pStyle w:val="TextBody"/>
        <w:bidi w:val="0"/>
        <w:jc w:val="both"/>
        <w:rPr/>
      </w:pPr>
      <w:r>
        <w:rPr/>
      </w:r>
    </w:p>
    <w:p>
      <w:pPr>
        <w:pStyle w:val="TextBody"/>
        <w:bidi w:val="0"/>
        <w:spacing w:before="0" w:after="0"/>
        <w:jc w:val="left"/>
        <w:rPr/>
      </w:pPr>
      <w:r>
        <w:rPr/>
        <w:drawing>
          <wp:inline distT="0" distB="0" distL="0" distR="0">
            <wp:extent cx="1724025" cy="638175"/>
            <wp:effectExtent l="0" t="0" r="0" b="0"/>
            <wp:docPr id="1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 descr=""/>
                    <pic:cNvPicPr>
                      <a:picLocks noChangeAspect="1" noChangeArrowheads="1"/>
                    </pic:cNvPicPr>
                  </pic:nvPicPr>
                  <pic:blipFill>
                    <a:blip r:embed="rId8"/>
                    <a:stretch>
                      <a:fillRect/>
                    </a:stretch>
                  </pic:blipFill>
                  <pic:spPr bwMode="auto">
                    <a:xfrm>
                      <a:off x="0" y="0"/>
                      <a:ext cx="1724025" cy="638175"/>
                    </a:xfrm>
                    <a:prstGeom prst="rect">
                      <a:avLst/>
                    </a:prstGeom>
                  </pic:spPr>
                </pic:pic>
              </a:graphicData>
            </a:graphic>
          </wp:inline>
        </w:drawing>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10515"/>
                <wp:effectExtent l="0" t="0" r="0" b="0"/>
                <wp:wrapNone/>
                <wp:docPr id="102" name="Frame99"/>
                <a:graphic xmlns:a="http://schemas.openxmlformats.org/drawingml/2006/main">
                  <a:graphicData uri="http://schemas.microsoft.com/office/word/2010/wordprocessingShape">
                    <wps:wsp>
                      <wps:cNvSpPr txBox="1"/>
                      <wps:spPr>
                        <a:xfrm>
                          <a:off x="0" y="0"/>
                          <a:ext cx="6480175" cy="31051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3.2 The Price remains fixed for the Term and Extension Term (each as defined in Section 16.1). Thereafter, Seller reserves the right to adjust the Price at the start of each Additional Extension Term (as defined in Section 16.1) by providing Buyer with written notice at least [*] ([*]) [*] prior to the start of the applicable Additional Extension Term. In such event and notwithstanding any provision in the Agreement to the contrary, Buyer shall have the right to decline renewal of the Agreement by providing Seller with written notice [*] ([*]) days prior to the start of the applicable new Additional Extension Term.</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Section 5.1</w:t>
      </w:r>
      <w:r>
        <w:rPr>
          <w:rFonts w:ascii="Times New Roman;serif" w:hAnsi="Times New Roman;serif"/>
          <w:b w:val="false"/>
          <w:color w:val="000000"/>
          <w:sz w:val="24"/>
        </w:rPr>
        <w:t>. Section 5.1 of the Agreement shall be deleted in its entirety and replaced with the following paragraph:</w:t>
      </w:r>
    </w:p>
    <w:p>
      <w:pPr>
        <w:pStyle w:val="TextBody"/>
        <w:bidi w:val="0"/>
        <w:spacing w:before="0" w:after="0"/>
        <w:jc w:val="left"/>
        <w:rPr/>
      </w:pPr>
      <w:r>
        <w:rPr/>
      </w:r>
    </w:p>
    <w:p>
      <w:pPr>
        <w:pStyle w:val="TextBody"/>
        <w:bidi w:val="0"/>
        <w:spacing w:lineRule="auto" w:line="268" w:before="0" w:after="0"/>
        <w:ind w:left="0" w:right="0" w:hanging="432"/>
        <w:jc w:val="both"/>
        <w:rPr>
          <w:rFonts w:ascii="Times New Roman;serif" w:hAnsi="Times New Roman;serif"/>
          <w:b w:val="false"/>
          <w:color w:val="000000"/>
          <w:sz w:val="24"/>
        </w:rPr>
      </w:pPr>
      <w:r>
        <w:rPr>
          <w:rFonts w:ascii="Times New Roman;serif" w:hAnsi="Times New Roman;serif"/>
          <w:b w:val="false"/>
          <w:color w:val="000000"/>
          <w:sz w:val="24"/>
        </w:rPr>
        <w:t xml:space="preserve">5.1 (a) Buyer may request to [*] for any Order by providing [*] ([*]) [*] prior written notice to Seller, provided that any such request is subject to [*].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 Notwithstanding the above subsection (a), Buyer may, [*] with [*] ([*]) [*] notice but with no more than [*] ([*%]) [*] of the previously scheduled backlog for part number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 Notwithstanding the above subsection (a), Buyer may, [*] with [*] ([*]) [*] notice but with no more than [*] ([*%]) [*] of the previously scheduled backlog for part number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Extension</w:t>
      </w:r>
      <w:r>
        <w:rPr>
          <w:rFonts w:ascii="Times New Roman;serif" w:hAnsi="Times New Roman;serif"/>
          <w:b w:val="false"/>
          <w:color w:val="000000"/>
          <w:sz w:val="24"/>
        </w:rPr>
        <w:t xml:space="preserve">. As required by the last paragraph of Section 16.1 of the Agreement, the Parties hereby confirm their mutual agreement to renew the Agreement for an Additional Extension Term, which shall begin on August 25, 2025.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Schedule 1</w:t>
      </w:r>
      <w:r>
        <w:rPr>
          <w:rFonts w:ascii="Times New Roman;serif" w:hAnsi="Times New Roman;serif"/>
          <w:b w:val="false"/>
          <w:color w:val="000000"/>
          <w:sz w:val="24"/>
        </w:rPr>
        <w:t xml:space="preserve">. Schedule 1 of the Agreement is hereby deleted in its entirety and replaced with Schedule 1 attached hereto as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to this Amendment. For the avoidance of doubt, the pricing in this new Schedule 1 shall be effective as of the Amendment Effective Date and remain fixed for the above referenced Additional Extension Term.</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 Other Changes</w:t>
      </w:r>
      <w:r>
        <w:rPr>
          <w:rFonts w:ascii="Times New Roman;serif" w:hAnsi="Times New Roman;serif"/>
          <w:b w:val="false"/>
          <w:color w:val="000000"/>
          <w:sz w:val="24"/>
        </w:rPr>
        <w:t xml:space="preserve">. Except as otherwise expressly stated in this Amendment, no changes or amendments are made to the Agreement, and, unless otherwise agreed to in a signed writing executed by duly-authorized representatives of both Parties, all other terms and conditions set forth in the Agreement shall remain binding and enforceable until expiration or termination thereof.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Pages Follow]</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drawing>
          <wp:inline distT="0" distB="0" distL="0" distR="0">
            <wp:extent cx="1724025" cy="638175"/>
            <wp:effectExtent l="0" t="0" r="0" b="0"/>
            <wp:docPr id="10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 descr=""/>
                    <pic:cNvPicPr>
                      <a:picLocks noChangeAspect="1" noChangeArrowheads="1"/>
                    </pic:cNvPicPr>
                  </pic:nvPicPr>
                  <pic:blipFill>
                    <a:blip r:embed="rId9"/>
                    <a:stretch>
                      <a:fillRect/>
                    </a:stretch>
                  </pic:blipFill>
                  <pic:spPr bwMode="auto">
                    <a:xfrm>
                      <a:off x="0" y="0"/>
                      <a:ext cx="1724025" cy="638175"/>
                    </a:xfrm>
                    <a:prstGeom prst="rect">
                      <a:avLst/>
                    </a:prstGeom>
                  </pic:spPr>
                </pic:pic>
              </a:graphicData>
            </a:graphic>
          </wp:inline>
        </w:drawing>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10515"/>
                <wp:effectExtent l="0" t="0" r="0" b="0"/>
                <wp:wrapNone/>
                <wp:docPr id="104" name="Frame100"/>
                <a:graphic xmlns:a="http://schemas.openxmlformats.org/drawingml/2006/main">
                  <a:graphicData uri="http://schemas.microsoft.com/office/word/2010/wordprocessingShape">
                    <wps:wsp>
                      <wps:cNvSpPr txBox="1"/>
                      <wps:spPr>
                        <a:xfrm>
                          <a:off x="0" y="0"/>
                          <a:ext cx="6480175" cy="31051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color w:val="000000"/>
          <w:sz w:val="24"/>
        </w:rPr>
        <w:t>IN WITNESS WHEREOF</w:t>
      </w:r>
      <w:r>
        <w:rPr>
          <w:rFonts w:ascii="Times New Roman;serif" w:hAnsi="Times New Roman;serif"/>
          <w:b w:val="false"/>
          <w:color w:val="000000"/>
          <w:sz w:val="24"/>
        </w:rPr>
        <w:t xml:space="preserve">, the Parties, intending to be legally bound by the foregoing, have caused this Amendment to be executed by their duly-authorized representatives.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Cytek Biosciences, Inc.</w:t>
      </w:r>
      <w:r>
        <w:rPr>
          <w:color w:val="000000"/>
        </w:rPr>
        <w:t xml:space="preserve"> </w:t>
      </w:r>
      <w:r>
        <w:rPr>
          <w:rFonts w:ascii="Times New Roman;serif" w:hAnsi="Times New Roman;serif"/>
          <w:b/>
          <w:color w:val="000000"/>
          <w:sz w:val="24"/>
        </w:rPr>
        <w:t>Coherent NA, Inc.</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Valerie Barnett</w:t>
      </w:r>
      <w:r>
        <w:rPr>
          <w:color w:val="000000"/>
        </w:rPr>
        <w:t xml:space="preserve">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Rob Lingscheit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Valerie Barnett Name: Rob Lingscheit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Legal Officer Title: VP of Sales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 8/11/2025 Date: 8/05/2025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Cytek (Wuxi) Biosciences Co., Ltd</w:t>
      </w:r>
      <w:r>
        <w:rPr>
          <w:color w:val="000000"/>
        </w:rPr>
        <w:t xml:space="preserve"> </w:t>
      </w:r>
      <w:r>
        <w:rPr>
          <w:rFonts w:ascii="Times New Roman;serif" w:hAnsi="Times New Roman;serif"/>
          <w:b/>
          <w:color w:val="000000"/>
          <w:sz w:val="24"/>
        </w:rPr>
        <w:t>Coherent Asia, Inc.</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Long (Eric) Chen</w:t>
      </w:r>
      <w:r>
        <w:rPr>
          <w:color w:val="000000"/>
        </w:rPr>
        <w:t xml:space="preserve">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Aaron Wax</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Long (Eric) Chen Name: Aaron Wax</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Manager Title: Authorized Signatory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 8/11/2025 Date: 8/12/2025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Cytek Biosciences Pte. Ltd.</w:t>
      </w:r>
      <w:r>
        <w:rPr>
          <w:rFonts w:ascii="Times New Roman;serif" w:hAnsi="Times New Roman;serif"/>
          <w:b w:val="false"/>
          <w:color w:val="FFFFFF"/>
          <w:sz w:val="24"/>
        </w:rPr>
        <w:t xml:space="preserve">______ </w:t>
      </w:r>
      <w:r>
        <w:rPr>
          <w:rFonts w:ascii="Times New Roman;serif" w:hAnsi="Times New Roman;serif"/>
          <w:b/>
          <w:color w:val="000000"/>
          <w:sz w:val="24"/>
        </w:rPr>
        <w:t>Coherent (Beijing) Commercial Company Ltd.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Philippe Busque</w:t>
      </w:r>
      <w:r>
        <w:rPr>
          <w:color w:val="000000"/>
        </w:rPr>
        <w:t xml:space="preserve">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Gary Kapusta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Philippe Busque Name: Gary Kapusta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 Global Sales Title: EVP,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Date: 8/11/2025 Date: 8/06/2025</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Continue on Next Page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FFFFFF"/>
          <w:sz w:val="24"/>
        </w:rPr>
      </w:pPr>
      <w:r>
        <w:rPr>
          <w:rFonts w:ascii="Times New Roman;serif" w:hAnsi="Times New Roman;serif"/>
          <w:b/>
          <w:color w:val="FFFFFF"/>
          <w:sz w:val="24"/>
        </w:rPr>
        <w:t xml:space="preserve">______________________________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drawing>
          <wp:inline distT="0" distB="0" distL="0" distR="0">
            <wp:extent cx="1724025" cy="638175"/>
            <wp:effectExtent l="0" t="0" r="0" b="0"/>
            <wp:docPr id="1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 descr=""/>
                    <pic:cNvPicPr>
                      <a:picLocks noChangeAspect="1" noChangeArrowheads="1"/>
                    </pic:cNvPicPr>
                  </pic:nvPicPr>
                  <pic:blipFill>
                    <a:blip r:embed="rId10"/>
                    <a:stretch>
                      <a:fillRect/>
                    </a:stretch>
                  </pic:blipFill>
                  <pic:spPr bwMode="auto">
                    <a:xfrm>
                      <a:off x="0" y="0"/>
                      <a:ext cx="1724025" cy="638175"/>
                    </a:xfrm>
                    <a:prstGeom prst="rect">
                      <a:avLst/>
                    </a:prstGeom>
                  </pic:spPr>
                </pic:pic>
              </a:graphicData>
            </a:graphic>
          </wp:inline>
        </w:drawing>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10515"/>
                <wp:effectExtent l="0" t="0" r="0" b="0"/>
                <wp:wrapNone/>
                <wp:docPr id="106" name="Frame101"/>
                <a:graphic xmlns:a="http://schemas.openxmlformats.org/drawingml/2006/main">
                  <a:graphicData uri="http://schemas.microsoft.com/office/word/2010/wordprocessingShape">
                    <wps:wsp>
                      <wps:cNvSpPr txBox="1"/>
                      <wps:spPr>
                        <a:xfrm>
                          <a:off x="0" y="0"/>
                          <a:ext cx="6480175" cy="31051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FFFFFF"/>
          <w:sz w:val="24"/>
        </w:rPr>
      </w:pPr>
      <w:r>
        <w:rPr>
          <w:rFonts w:ascii="Times New Roman;serif" w:hAnsi="Times New Roman;serif"/>
          <w:b/>
          <w:color w:val="FFFFFF"/>
          <w:sz w:val="24"/>
        </w:rPr>
        <w:t xml:space="preserve">______________________________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Coherent China, Inc.</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Gary Kapusta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Name: Gary Kapusta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Title: EVP, Operations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Date: 8/06/2025</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FFFFFF"/>
          <w:sz w:val="24"/>
        </w:rPr>
        <w:t xml:space="preserve">______________________________ </w:t>
      </w:r>
      <w:r>
        <w:rPr>
          <w:rFonts w:ascii="Times New Roman;serif" w:hAnsi="Times New Roman;serif"/>
          <w:b/>
          <w:color w:val="000000"/>
          <w:sz w:val="24"/>
        </w:rPr>
        <w:t>Coherent Hong Kong</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Marie Martin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Name: Marie Martin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Title: Chief Compliance Officer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Date: 8/06/2025</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FFFFFF"/>
          <w:sz w:val="24"/>
        </w:rPr>
        <w:t xml:space="preserve">______________________________ </w:t>
      </w:r>
      <w:r>
        <w:rPr>
          <w:rFonts w:ascii="Times New Roman;serif" w:hAnsi="Times New Roman;serif"/>
          <w:b/>
          <w:color w:val="000000"/>
          <w:sz w:val="24"/>
        </w:rPr>
        <w:t>Coherent Singapore Pte Ltd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Mitchell A. McPeek</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Name: Mitchell A. McPeek</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Title: Director</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FFFFFF"/>
          <w:sz w:val="24"/>
        </w:rPr>
        <w:t xml:space="preserve">______________________________ </w:t>
      </w:r>
      <w:r>
        <w:rPr>
          <w:rFonts w:ascii="Times New Roman;serif" w:hAnsi="Times New Roman;serif"/>
          <w:b w:val="false"/>
          <w:color w:val="000000"/>
          <w:sz w:val="24"/>
        </w:rPr>
        <w:t>Date: 8/05/2025</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drawing>
          <wp:inline distT="0" distB="0" distL="0" distR="0">
            <wp:extent cx="1724025" cy="638175"/>
            <wp:effectExtent l="0" t="0" r="0" b="0"/>
            <wp:docPr id="10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 descr=""/>
                    <pic:cNvPicPr>
                      <a:picLocks noChangeAspect="1" noChangeArrowheads="1"/>
                    </pic:cNvPicPr>
                  </pic:nvPicPr>
                  <pic:blipFill>
                    <a:blip r:embed="rId11"/>
                    <a:stretch>
                      <a:fillRect/>
                    </a:stretch>
                  </pic:blipFill>
                  <pic:spPr bwMode="auto">
                    <a:xfrm>
                      <a:off x="0" y="0"/>
                      <a:ext cx="1724025" cy="638175"/>
                    </a:xfrm>
                    <a:prstGeom prst="rect">
                      <a:avLst/>
                    </a:prstGeom>
                  </pic:spPr>
                </pic:pic>
              </a:graphicData>
            </a:graphic>
          </wp:inline>
        </w:drawing>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10515"/>
                <wp:effectExtent l="0" t="0" r="0" b="0"/>
                <wp:wrapNone/>
                <wp:docPr id="108" name="Frame102"/>
                <a:graphic xmlns:a="http://schemas.openxmlformats.org/drawingml/2006/main">
                  <a:graphicData uri="http://schemas.microsoft.com/office/word/2010/wordprocessingShape">
                    <wps:wsp>
                      <wps:cNvSpPr txBox="1"/>
                      <wps:spPr>
                        <a:xfrm>
                          <a:off x="0" y="0"/>
                          <a:ext cx="6480175" cy="31051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SCHEDULE 1: LIST OF PRODUCTS AND PRICE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10515"/>
                <wp:effectExtent l="0" t="0" r="0" b="0"/>
                <wp:wrapNone/>
                <wp:docPr id="109" name="Frame103"/>
                <a:graphic xmlns:a="http://schemas.openxmlformats.org/drawingml/2006/main">
                  <a:graphicData uri="http://schemas.microsoft.com/office/word/2010/wordprocessingShape">
                    <wps:wsp>
                      <wps:cNvSpPr txBox="1"/>
                      <wps:spPr>
                        <a:xfrm>
                          <a:off x="0" y="0"/>
                          <a:ext cx="6480175" cy="310515"/>
                        </a:xfrm>
                        <a:prstGeom prst="rect"/>
                        <a:solidFill>
                          <a:srgbClr val="FFFFFF"/>
                        </a:solidFill>
                      </wps:spPr>
                      <wps:txb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 Certain confidential information contained in this document, marked by brackets, has been omitted because it is both (i) not material and (ii) the type that the registrant treats as private or confidential.</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Wenbin Jiang, Ph.D., certify that:</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Cytek Biosciences, Inc.;</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40"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109"/>
        <w:gridCol w:w="109"/>
        <w:gridCol w:w="109"/>
        <w:gridCol w:w="936"/>
        <w:gridCol w:w="936"/>
        <w:gridCol w:w="133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color w:val="000000"/>
                <w:sz w:val="20"/>
                <w:u w:val="single"/>
              </w:rPr>
              <w:t>/s/ Wenbin Jiang, Ph.D.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51460"/>
                <wp:effectExtent l="0" t="0" r="0" b="0"/>
                <wp:wrapNone/>
                <wp:docPr id="110" name="Frame10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William McCombe, certify that:</w: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Cytek Biosciences, Inc.;</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17"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705"/>
        <w:gridCol w:w="705"/>
        <w:gridCol w:w="100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McCombe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McCombe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120" w:after="283"/>
        <w:ind w:left="0" w:right="0" w:firstLine="1440"/>
        <w:jc w:val="both"/>
        <w:rPr/>
      </w:pPr>
      <w:r>
        <w:rPr/>
      </w:r>
    </w:p>
    <w:p>
      <w:pPr>
        <w:pStyle w:val="TextBody"/>
        <w:bidi w:val="0"/>
        <w:spacing w:lineRule="auto" w:line="288" w:before="12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Cytek Biosciences, Inc. (the “Company”) for the period ended September 30, 2025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120" w:after="283"/>
        <w:ind w:left="0" w:right="0" w:hanging="117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712" w:type="dxa"/>
        <w:jc w:val="left"/>
        <w:tblInd w:w="0" w:type="dxa"/>
        <w:tblLayout w:type="fixed"/>
        <w:tblCellMar>
          <w:top w:w="28" w:type="dxa"/>
          <w:left w:w="28" w:type="dxa"/>
          <w:bottom w:w="28" w:type="dxa"/>
          <w:right w:w="28" w:type="dxa"/>
        </w:tblCellMar>
      </w:tblPr>
      <w:tblGrid>
        <w:gridCol w:w="759"/>
        <w:gridCol w:w="668"/>
        <w:gridCol w:w="672"/>
        <w:gridCol w:w="134"/>
        <w:gridCol w:w="134"/>
        <w:gridCol w:w="136"/>
        <w:gridCol w:w="936"/>
        <w:gridCol w:w="936"/>
        <w:gridCol w:w="133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Wenbin Jiang, Ph.D.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Wenbin Jiang, Ph.D.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before="120" w:after="283"/>
        <w:ind w:left="0" w:right="0" w:firstLine="1440"/>
        <w:jc w:val="left"/>
        <w:rPr/>
      </w:pPr>
      <w:r>
        <w:rPr/>
      </w:r>
    </w:p>
    <w:p>
      <w:pPr>
        <w:pStyle w:val="TextBody"/>
        <w:bidi w:val="0"/>
        <w:spacing w:lineRule="auto" w:line="288" w:before="12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Cytek Biosciences, Inc. (the “Company”) for the period ended September 30, 2025 as filed with the Securities and Exchange Commission on the date hereof (the “Report”), the undersigned, William McCombe, Chief Financial Officer of the Company, hereby certifies, pursuant to requirements set forth in Rule 13a-14(b) of the Securities Exchange Act of 1934, as amended (the “Exchange Act”), and 18 U.S.C. Section 1350, that to his knowledge:</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12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245" w:type="dxa"/>
        <w:jc w:val="left"/>
        <w:tblInd w:w="0" w:type="dxa"/>
        <w:tblLayout w:type="fixed"/>
        <w:tblCellMar>
          <w:top w:w="28" w:type="dxa"/>
          <w:left w:w="28" w:type="dxa"/>
          <w:bottom w:w="28" w:type="dxa"/>
          <w:right w:w="28" w:type="dxa"/>
        </w:tblCellMar>
      </w:tblPr>
      <w:tblGrid>
        <w:gridCol w:w="124"/>
        <w:gridCol w:w="109"/>
        <w:gridCol w:w="109"/>
        <w:gridCol w:w="694"/>
        <w:gridCol w:w="694"/>
        <w:gridCol w:w="697"/>
        <w:gridCol w:w="134"/>
        <w:gridCol w:w="134"/>
        <w:gridCol w:w="136"/>
        <w:gridCol w:w="374"/>
        <w:gridCol w:w="374"/>
        <w:gridCol w:w="374"/>
        <w:gridCol w:w="374"/>
        <w:gridCol w:w="374"/>
        <w:gridCol w:w="5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McCombe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McCombe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1915/000119312521225716/d183956dex31.htm" TargetMode="External"/><Relationship Id="rId3" Type="http://schemas.openxmlformats.org/officeDocument/2006/relationships/hyperlink" Target="https://www.sec.gov/Archives/edgar/data/1831915/000119312521225716/d183956dex31.htm" TargetMode="External"/><Relationship Id="rId4" Type="http://schemas.openxmlformats.org/officeDocument/2006/relationships/hyperlink" Target="https://www.sec.gov/Archives/edgar/data/1831915/000119312521225716/d183956dex32.htm" TargetMode="External"/><Relationship Id="rId5" Type="http://schemas.openxmlformats.org/officeDocument/2006/relationships/hyperlink" Target="https://www.sec.gov/Archives/edgar/data/1831915/000119312521225716/d183956dex32.htm" TargetMode="External"/><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66227</Words>
  <Characters>372553</Characters>
  <CharactersWithSpaces>436592</CharactersWithSpaces>
  <Paragraphs>4209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