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FORM 10-Q</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8" w:lineRule="exact"/>
        <w:rPr>
          <w:sz w:val="24"/>
          <w:szCs w:val="24"/>
          <w:color w:val="auto"/>
        </w:rPr>
      </w:pPr>
    </w:p>
    <w:p>
      <w:pPr>
        <w:ind w:left="3720" w:right="3740" w:hanging="3712"/>
        <w:spacing w:after="0" w:line="342" w:lineRule="auto"/>
        <w:tabs>
          <w:tab w:leader="none" w:pos="17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2021</w:t>
      </w:r>
    </w:p>
    <w:p>
      <w:pPr>
        <w:ind w:left="5200"/>
        <w:spacing w:after="0"/>
        <w:rPr>
          <w:sz w:val="20"/>
          <w:szCs w:val="20"/>
          <w:color w:val="auto"/>
        </w:rPr>
      </w:pPr>
      <w:r>
        <w:rPr>
          <w:rFonts w:ascii="Arial" w:cs="Arial" w:eastAsia="Arial" w:hAnsi="Arial"/>
          <w:sz w:val="14"/>
          <w:szCs w:val="14"/>
          <w:b w:val="1"/>
          <w:bCs w:val="1"/>
          <w:color w:val="auto"/>
        </w:rPr>
        <w:t>OR</w:t>
      </w:r>
    </w:p>
    <w:p>
      <w:pPr>
        <w:spacing w:after="0" w:line="28" w:lineRule="exact"/>
        <w:rPr>
          <w:sz w:val="24"/>
          <w:szCs w:val="24"/>
          <w:color w:val="auto"/>
        </w:rPr>
      </w:pPr>
    </w:p>
    <w:p>
      <w:pPr>
        <w:ind w:left="180" w:hanging="172"/>
        <w:spacing w:after="0"/>
        <w:tabs>
          <w:tab w:leader="none" w:pos="1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36" w:lineRule="exact"/>
        <w:rPr>
          <w:sz w:val="24"/>
          <w:szCs w:val="24"/>
          <w:color w:val="auto"/>
        </w:rPr>
      </w:pPr>
    </w:p>
    <w:p>
      <w:pPr>
        <w:ind w:left="3420"/>
        <w:spacing w:after="0"/>
        <w:rPr>
          <w:sz w:val="20"/>
          <w:szCs w:val="20"/>
          <w:color w:val="auto"/>
        </w:rPr>
      </w:pPr>
      <w:r>
        <w:rPr>
          <w:rFonts w:ascii="Arial" w:cs="Arial" w:eastAsia="Arial" w:hAnsi="Arial"/>
          <w:sz w:val="13"/>
          <w:szCs w:val="13"/>
          <w:b w:val="1"/>
          <w:bCs w:val="1"/>
          <w:color w:val="auto"/>
        </w:rPr>
        <w:t>For the transition period from ________________ to ________________</w:t>
      </w:r>
    </w:p>
    <w:p>
      <w:pPr>
        <w:spacing w:after="0" w:line="148" w:lineRule="exact"/>
        <w:rPr>
          <w:sz w:val="24"/>
          <w:szCs w:val="24"/>
          <w:color w:val="auto"/>
        </w:rPr>
      </w:pPr>
    </w:p>
    <w:p>
      <w:pPr>
        <w:ind w:left="4160"/>
        <w:spacing w:after="0"/>
        <w:rPr>
          <w:sz w:val="20"/>
          <w:szCs w:val="20"/>
          <w:color w:val="auto"/>
        </w:rPr>
      </w:pPr>
      <w:r>
        <w:rPr>
          <w:rFonts w:ascii="Arial" w:cs="Arial" w:eastAsia="Arial" w:hAnsi="Arial"/>
          <w:sz w:val="14"/>
          <w:szCs w:val="14"/>
          <w:b w:val="1"/>
          <w:bCs w:val="1"/>
          <w:color w:val="auto"/>
        </w:rPr>
        <w:t>Commission File Number: 001-40632</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CYTEK BIOSCIENCES,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576" w:right="339" w:bottom="1440" w:gutter="0" w:footer="0" w:header="0"/>
        </w:sectPr>
      </w:pPr>
    </w:p>
    <w:p>
      <w:pPr>
        <w:spacing w:after="0" w:line="190" w:lineRule="exact"/>
        <w:rPr>
          <w:sz w:val="24"/>
          <w:szCs w:val="24"/>
          <w:color w:val="auto"/>
        </w:rPr>
      </w:pPr>
    </w:p>
    <w:p>
      <w:pPr>
        <w:ind w:left="2840"/>
        <w:spacing w:after="0"/>
        <w:rPr>
          <w:sz w:val="20"/>
          <w:szCs w:val="20"/>
          <w:color w:val="auto"/>
        </w:rPr>
      </w:pPr>
      <w:r>
        <w:rPr>
          <w:rFonts w:ascii="Arial" w:cs="Arial" w:eastAsia="Arial" w:hAnsi="Arial"/>
          <w:sz w:val="14"/>
          <w:szCs w:val="14"/>
          <w:b w:val="1"/>
          <w:bCs w:val="1"/>
          <w:color w:val="auto"/>
        </w:rPr>
        <w:t>Delaware</w:t>
      </w:r>
    </w:p>
    <w:p>
      <w:pPr>
        <w:spacing w:after="0" w:line="55" w:lineRule="exact"/>
        <w:rPr>
          <w:sz w:val="24"/>
          <w:szCs w:val="24"/>
          <w:color w:val="auto"/>
        </w:rPr>
      </w:pPr>
    </w:p>
    <w:p>
      <w:pPr>
        <w:ind w:left="9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37" w:lineRule="exact"/>
        <w:rPr>
          <w:sz w:val="24"/>
          <w:szCs w:val="24"/>
          <w:color w:val="auto"/>
        </w:rPr>
      </w:pPr>
    </w:p>
    <w:p>
      <w:pPr>
        <w:ind w:left="2160"/>
        <w:spacing w:after="0"/>
        <w:rPr>
          <w:sz w:val="20"/>
          <w:szCs w:val="20"/>
          <w:color w:val="auto"/>
        </w:rPr>
      </w:pPr>
      <w:r>
        <w:rPr>
          <w:rFonts w:ascii="Arial" w:cs="Arial" w:eastAsia="Arial" w:hAnsi="Arial"/>
          <w:sz w:val="14"/>
          <w:szCs w:val="14"/>
          <w:b w:val="1"/>
          <w:bCs w:val="1"/>
          <w:color w:val="auto"/>
        </w:rPr>
        <w:t>47215 Lakeview Blvd</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jc w:val="center"/>
        <w:ind w:right="1640"/>
        <w:spacing w:after="0"/>
        <w:rPr>
          <w:sz w:val="20"/>
          <w:szCs w:val="20"/>
          <w:color w:val="auto"/>
        </w:rPr>
      </w:pPr>
      <w:r>
        <w:rPr>
          <w:rFonts w:ascii="Arial" w:cs="Arial" w:eastAsia="Arial" w:hAnsi="Arial"/>
          <w:sz w:val="14"/>
          <w:szCs w:val="14"/>
          <w:b w:val="1"/>
          <w:bCs w:val="1"/>
          <w:color w:val="auto"/>
        </w:rPr>
        <w:t>47-2547526</w:t>
      </w:r>
    </w:p>
    <w:p>
      <w:pPr>
        <w:spacing w:after="0" w:line="55" w:lineRule="exact"/>
        <w:rPr>
          <w:sz w:val="24"/>
          <w:szCs w:val="24"/>
          <w:color w:val="auto"/>
        </w:rPr>
      </w:pPr>
    </w:p>
    <w:p>
      <w:pPr>
        <w:jc w:val="center"/>
        <w:ind w:right="1680"/>
        <w:spacing w:after="0"/>
        <w:rPr>
          <w:sz w:val="20"/>
          <w:szCs w:val="20"/>
          <w:color w:val="auto"/>
        </w:rPr>
      </w:pPr>
      <w:r>
        <w:rPr>
          <w:rFonts w:ascii="Arial" w:cs="Arial" w:eastAsia="Arial" w:hAnsi="Arial"/>
          <w:sz w:val="13"/>
          <w:szCs w:val="13"/>
          <w:b w:val="1"/>
          <w:bCs w:val="1"/>
          <w:color w:val="auto"/>
        </w:rPr>
        <w:t>(I.R.S. Employer Identification No.)</w:t>
      </w:r>
    </w:p>
    <w:p>
      <w:pPr>
        <w:spacing w:after="0" w:line="282" w:lineRule="exact"/>
        <w:rPr>
          <w:sz w:val="24"/>
          <w:szCs w:val="24"/>
          <w:color w:val="auto"/>
        </w:rPr>
      </w:pPr>
    </w:p>
    <w:p>
      <w:pPr>
        <w:sectPr>
          <w:pgSz w:w="11900" w:h="16838" w:orient="portrait"/>
          <w:cols w:equalWidth="0" w:num="2">
            <w:col w:w="6640" w:space="720"/>
            <w:col w:w="3880"/>
          </w:cols>
          <w:pgMar w:left="320" w:top="576" w:right="339" w:bottom="1440" w:gutter="0" w:footer="0" w:header="0"/>
          <w:type w:val="continuous"/>
        </w:sectPr>
      </w:pPr>
    </w:p>
    <w:p>
      <w:pPr>
        <w:ind w:left="2400"/>
        <w:spacing w:after="0"/>
        <w:rPr>
          <w:sz w:val="20"/>
          <w:szCs w:val="20"/>
          <w:color w:val="auto"/>
        </w:rPr>
      </w:pPr>
      <w:r>
        <w:rPr>
          <w:rFonts w:ascii="Arial" w:cs="Arial" w:eastAsia="Arial" w:hAnsi="Arial"/>
          <w:sz w:val="14"/>
          <w:szCs w:val="14"/>
          <w:b w:val="1"/>
          <w:bCs w:val="1"/>
          <w:color w:val="auto"/>
        </w:rPr>
        <w:t>Fremont, California</w:t>
      </w:r>
    </w:p>
    <w:p>
      <w:pPr>
        <w:spacing w:after="0" w:line="55" w:lineRule="exact"/>
        <w:rPr>
          <w:sz w:val="24"/>
          <w:szCs w:val="24"/>
          <w:color w:val="auto"/>
        </w:r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80"/>
        <w:spacing w:after="0"/>
        <w:rPr>
          <w:sz w:val="20"/>
          <w:szCs w:val="20"/>
          <w:color w:val="auto"/>
        </w:rPr>
      </w:pPr>
      <w:r>
        <w:rPr>
          <w:rFonts w:ascii="Arial" w:cs="Arial" w:eastAsia="Arial" w:hAnsi="Arial"/>
          <w:sz w:val="14"/>
          <w:szCs w:val="14"/>
          <w:b w:val="1"/>
          <w:bCs w:val="1"/>
          <w:color w:val="auto"/>
        </w:rPr>
        <w:t>94538</w:t>
      </w:r>
    </w:p>
    <w:p>
      <w:pPr>
        <w:spacing w:after="0" w:line="55" w:lineRule="exact"/>
        <w:rPr>
          <w:sz w:val="24"/>
          <w:szCs w:val="24"/>
          <w:color w:val="auto"/>
        </w:rPr>
      </w:pPr>
    </w:p>
    <w:p>
      <w:pPr>
        <w:jc w:val="center"/>
        <w:ind w:right="2480"/>
        <w:spacing w:after="0"/>
        <w:rPr>
          <w:sz w:val="20"/>
          <w:szCs w:val="20"/>
          <w:color w:val="auto"/>
        </w:rPr>
      </w:pPr>
      <w:r>
        <w:rPr>
          <w:rFonts w:ascii="Arial" w:cs="Arial" w:eastAsia="Arial" w:hAnsi="Arial"/>
          <w:sz w:val="13"/>
          <w:szCs w:val="13"/>
          <w:b w:val="1"/>
          <w:bCs w:val="1"/>
          <w:color w:val="auto"/>
        </w:rPr>
        <w:t>(Zip Code)</w:t>
      </w:r>
    </w:p>
    <w:p>
      <w:pPr>
        <w:spacing w:after="0" w:line="53" w:lineRule="exact"/>
        <w:rPr>
          <w:sz w:val="24"/>
          <w:szCs w:val="24"/>
          <w:color w:val="auto"/>
        </w:rPr>
      </w:pPr>
    </w:p>
    <w:p>
      <w:pPr>
        <w:sectPr>
          <w:pgSz w:w="11900" w:h="16838" w:orient="portrait"/>
          <w:cols w:equalWidth="0" w:num="2">
            <w:col w:w="7380" w:space="720"/>
            <w:col w:w="3140"/>
          </w:cols>
          <w:pgMar w:left="320" w:top="576"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(877) 922-9835</w:t>
      </w:r>
    </w:p>
    <w:p>
      <w:pPr>
        <w:spacing w:after="0" w:line="20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040" w:type="dxa"/>
            <w:vAlign w:val="bottom"/>
          </w:tcPr>
          <w:p>
            <w:pPr>
              <w:ind w:left="98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462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0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47"/>
        </w:trPr>
        <w:tc>
          <w:tcPr>
            <w:tcW w:w="30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r>
      <w:tr>
        <w:trPr>
          <w:trHeight w:val="184"/>
        </w:trPr>
        <w:tc>
          <w:tcPr>
            <w:tcW w:w="3040" w:type="dxa"/>
            <w:vAlign w:val="bottom"/>
          </w:tcPr>
          <w:p>
            <w:pPr>
              <w:ind w:left="20"/>
              <w:spacing w:after="0"/>
              <w:rPr>
                <w:sz w:val="20"/>
                <w:szCs w:val="20"/>
                <w:color w:val="auto"/>
              </w:rPr>
            </w:pPr>
            <w:r>
              <w:rPr>
                <w:rFonts w:ascii="Arial" w:cs="Arial" w:eastAsia="Arial" w:hAnsi="Arial"/>
                <w:sz w:val="14"/>
                <w:szCs w:val="14"/>
                <w:color w:val="auto"/>
              </w:rPr>
              <w:t>Common Stock, $0.001 par value per share</w:t>
            </w:r>
          </w:p>
        </w:tc>
        <w:tc>
          <w:tcPr>
            <w:tcW w:w="120" w:type="dxa"/>
            <w:vAlign w:val="bottom"/>
          </w:tcPr>
          <w:p>
            <w:pPr>
              <w:spacing w:after="0"/>
              <w:rPr>
                <w:sz w:val="16"/>
                <w:szCs w:val="16"/>
                <w:color w:val="auto"/>
              </w:rPr>
            </w:pPr>
          </w:p>
        </w:tc>
        <w:tc>
          <w:tcPr>
            <w:tcW w:w="4620" w:type="dxa"/>
            <w:vAlign w:val="bottom"/>
          </w:tcPr>
          <w:p>
            <w:pPr>
              <w:jc w:val="center"/>
              <w:spacing w:after="0"/>
              <w:rPr>
                <w:sz w:val="20"/>
                <w:szCs w:val="20"/>
                <w:color w:val="auto"/>
              </w:rPr>
            </w:pPr>
            <w:r>
              <w:rPr>
                <w:rFonts w:ascii="Arial" w:cs="Arial" w:eastAsia="Arial" w:hAnsi="Arial"/>
                <w:sz w:val="14"/>
                <w:szCs w:val="14"/>
                <w:color w:val="auto"/>
              </w:rPr>
              <w:t>CTKB</w:t>
            </w:r>
          </w:p>
        </w:tc>
        <w:tc>
          <w:tcPr>
            <w:tcW w:w="10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r>
    </w:tbl>
    <w:p>
      <w:pPr>
        <w:spacing w:after="0" w:line="317" w:lineRule="exact"/>
        <w:rPr>
          <w:sz w:val="24"/>
          <w:szCs w:val="24"/>
          <w:color w:val="auto"/>
        </w:rPr>
      </w:pPr>
    </w:p>
    <w:p>
      <w:pPr>
        <w:jc w:val="both"/>
        <w:ind w:right="20"/>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right="20"/>
        <w:spacing w:after="0" w:line="3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57"/>
        </w:trPr>
        <w:tc>
          <w:tcPr>
            <w:tcW w:w="192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9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spacing w:after="0"/>
              <w:rPr>
                <w:sz w:val="21"/>
                <w:szCs w:val="21"/>
                <w:color w:val="auto"/>
              </w:rPr>
            </w:pPr>
          </w:p>
        </w:tc>
        <w:tc>
          <w:tcPr>
            <w:tcW w:w="300" w:type="dxa"/>
            <w:vAlign w:val="bottom"/>
          </w:tcPr>
          <w:p>
            <w:pPr>
              <w:spacing w:after="0"/>
              <w:rPr>
                <w:sz w:val="21"/>
                <w:szCs w:val="21"/>
                <w:color w:val="auto"/>
              </w:rPr>
            </w:pPr>
          </w:p>
        </w:tc>
      </w:tr>
    </w:tbl>
    <w:p>
      <w:pPr>
        <w:spacing w:after="0" w:line="207" w:lineRule="exact"/>
        <w:rPr>
          <w:sz w:val="24"/>
          <w:szCs w:val="24"/>
          <w:color w:val="auto"/>
        </w:rPr>
      </w:pPr>
    </w:p>
    <w:p>
      <w:pPr>
        <w:ind w:right="20"/>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4"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5, 2021, there were 133,725,908 outstanding shares of the registrant’s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248285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20" w:type="dxa"/>
            <w:vAlign w:val="bottom"/>
            <w:gridSpan w:val="3"/>
          </w:tcPr>
          <w:p>
            <w:pPr>
              <w:ind w:left="120"/>
              <w:spacing w:after="0"/>
              <w:rPr>
                <w:sz w:val="20"/>
                <w:szCs w:val="20"/>
                <w:color w:val="auto"/>
              </w:rPr>
            </w:pPr>
            <w:r>
              <w:rPr>
                <w:rFonts w:ascii="Arial" w:cs="Arial" w:eastAsia="Arial" w:hAnsi="Arial"/>
                <w:sz w:val="14"/>
                <w:szCs w:val="14"/>
                <w:b w:val="1"/>
                <w:bCs w:val="1"/>
                <w:color w:val="auto"/>
              </w:rPr>
              <w:t>Table of Contents</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50"/>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PART I.</w:t>
            </w:r>
          </w:p>
        </w:tc>
        <w:tc>
          <w:tcPr>
            <w:tcW w:w="1800" w:type="dxa"/>
            <w:vAlign w:val="bottom"/>
            <w:tcBorders>
              <w:bottom w:val="single" w:sz="8" w:color="0000FF"/>
            </w:tcBorders>
            <w:gridSpan w:val="9"/>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FINANCIAL INFORMATION</w:t>
              </w:r>
            </w:hyperlink>
          </w:p>
        </w:tc>
        <w:tc>
          <w:tcPr>
            <w:tcW w:w="20" w:type="dxa"/>
            <w:vAlign w:val="bottom"/>
            <w:tcBorders>
              <w:bottom w:val="single" w:sz="8" w:color="0000EE"/>
            </w:tcBorders>
          </w:tcPr>
          <w:p>
            <w:pPr>
              <w:spacing w:after="0"/>
              <w:rPr>
                <w:sz w:val="24"/>
                <w:szCs w:val="24"/>
                <w:color w:val="auto"/>
              </w:rPr>
            </w:pPr>
          </w:p>
        </w:tc>
        <w:tc>
          <w:tcPr>
            <w:tcW w:w="6120" w:type="dxa"/>
            <w:vAlign w:val="bottom"/>
            <w:gridSpan w:val="12"/>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1.</w:t>
            </w:r>
          </w:p>
        </w:tc>
        <w:tc>
          <w:tcPr>
            <w:tcW w:w="7940" w:type="dxa"/>
            <w:vAlign w:val="bottom"/>
            <w:gridSpan w:val="22"/>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Consolidated Financial Statements (Unaudited)</w:t>
              </w:r>
            </w:hyperlink>
          </w:p>
        </w:tc>
        <w:tc>
          <w:tcPr>
            <w:tcW w:w="2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tcBorders>
              <w:top w:val="single" w:sz="8" w:color="0000FF"/>
            </w:tcBorders>
            <w:gridSpan w:val="15"/>
          </w:tcPr>
          <w:p>
            <w:pPr>
              <w:spacing w:after="0"/>
              <w:rPr>
                <w:rFonts w:ascii="Arial" w:cs="Arial" w:eastAsia="Arial" w:hAnsi="Arial"/>
                <w:sz w:val="14"/>
                <w:szCs w:val="14"/>
                <w:color w:val="0000FF"/>
              </w:rPr>
            </w:pPr>
            <w:hyperlink w:anchor="page3">
              <w:r>
                <w:rPr>
                  <w:rFonts w:ascii="Arial" w:cs="Arial" w:eastAsia="Arial" w:hAnsi="Arial"/>
                  <w:sz w:val="14"/>
                  <w:szCs w:val="14"/>
                  <w:color w:val="0000FF"/>
                </w:rPr>
                <w:t>Consolidated Balance Sheets</w:t>
              </w:r>
            </w:hyperlink>
          </w:p>
        </w:tc>
        <w:tc>
          <w:tcPr>
            <w:tcW w:w="5220" w:type="dxa"/>
            <w:vAlign w:val="bottom"/>
            <w:gridSpan w:val="7"/>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00" w:type="dxa"/>
            <w:vAlign w:val="bottom"/>
            <w:tcBorders>
              <w:bottom w:val="single" w:sz="8" w:color="0000FF"/>
            </w:tcBorders>
            <w:gridSpan w:val="18"/>
          </w:tcPr>
          <w:p>
            <w:pPr>
              <w:spacing w:after="0"/>
              <w:rPr>
                <w:rFonts w:ascii="Arial" w:cs="Arial" w:eastAsia="Arial" w:hAnsi="Arial"/>
                <w:sz w:val="14"/>
                <w:szCs w:val="14"/>
                <w:color w:val="0000FF"/>
                <w:w w:val="91"/>
              </w:rPr>
            </w:pPr>
            <w:hyperlink w:anchor="page4">
              <w:r>
                <w:rPr>
                  <w:rFonts w:ascii="Arial" w:cs="Arial" w:eastAsia="Arial" w:hAnsi="Arial"/>
                  <w:sz w:val="14"/>
                  <w:szCs w:val="14"/>
                  <w:color w:val="0000FF"/>
                  <w:w w:val="91"/>
                </w:rPr>
                <w:t>Consolidated Statements of Operations and Comprehensive Income</w:t>
              </w:r>
            </w:hyperlink>
          </w:p>
        </w:tc>
        <w:tc>
          <w:tcPr>
            <w:tcW w:w="20" w:type="dxa"/>
            <w:vAlign w:val="bottom"/>
            <w:tcBorders>
              <w:bottom w:val="single" w:sz="8" w:color="0000EE"/>
            </w:tcBorders>
          </w:tcPr>
          <w:p>
            <w:pPr>
              <w:spacing w:after="0"/>
              <w:rPr>
                <w:sz w:val="24"/>
                <w:szCs w:val="24"/>
                <w:color w:val="auto"/>
              </w:rPr>
            </w:pPr>
          </w:p>
        </w:tc>
        <w:tc>
          <w:tcPr>
            <w:tcW w:w="4020" w:type="dxa"/>
            <w:vAlign w:val="bottom"/>
            <w:gridSpan w:val="3"/>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40" w:type="dxa"/>
            <w:vAlign w:val="bottom"/>
            <w:gridSpan w:val="22"/>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Consolidated Statements of Redeemable Convertible Preferred Stock and Stockholders' Equity (Deficit)</w:t>
              </w:r>
            </w:hyperlink>
          </w:p>
        </w:tc>
        <w:tc>
          <w:tcPr>
            <w:tcW w:w="22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980" w:type="dxa"/>
            <w:vAlign w:val="bottom"/>
            <w:tcBorders>
              <w:top w:val="single" w:sz="8" w:color="0000FF"/>
            </w:tcBorders>
            <w:gridSpan w:val="21"/>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Consolidated Statements of Cash Flows</w:t>
              </w:r>
            </w:hyperlink>
          </w:p>
        </w:tc>
        <w:tc>
          <w:tcPr>
            <w:tcW w:w="19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tcBorders>
              <w:bottom w:val="single" w:sz="8" w:color="0000FF"/>
            </w:tcBorders>
            <w:gridSpan w:val="13"/>
          </w:tcPr>
          <w:p>
            <w:pPr>
              <w:spacing w:after="0"/>
              <w:rPr>
                <w:rFonts w:ascii="Arial" w:cs="Arial" w:eastAsia="Arial" w:hAnsi="Arial"/>
                <w:sz w:val="14"/>
                <w:szCs w:val="14"/>
                <w:color w:val="0000FF"/>
                <w:w w:val="91"/>
              </w:rPr>
            </w:pPr>
            <w:hyperlink w:anchor="page7">
              <w:r>
                <w:rPr>
                  <w:rFonts w:ascii="Arial" w:cs="Arial" w:eastAsia="Arial" w:hAnsi="Arial"/>
                  <w:sz w:val="14"/>
                  <w:szCs w:val="14"/>
                  <w:color w:val="0000FF"/>
                  <w:w w:val="91"/>
                </w:rPr>
                <w:t>Notes to Consolidated Financial Statements</w:t>
              </w:r>
            </w:hyperlink>
          </w:p>
        </w:tc>
        <w:tc>
          <w:tcPr>
            <w:tcW w:w="20" w:type="dxa"/>
            <w:vAlign w:val="bottom"/>
            <w:tcBorders>
              <w:bottom w:val="single" w:sz="8" w:color="0000EE"/>
            </w:tcBorders>
          </w:tcPr>
          <w:p>
            <w:pPr>
              <w:spacing w:after="0"/>
              <w:rPr>
                <w:sz w:val="24"/>
                <w:szCs w:val="24"/>
                <w:color w:val="auto"/>
              </w:rPr>
            </w:pPr>
          </w:p>
        </w:tc>
        <w:tc>
          <w:tcPr>
            <w:tcW w:w="5400" w:type="dxa"/>
            <w:vAlign w:val="bottom"/>
            <w:gridSpan w:val="8"/>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2.</w:t>
            </w:r>
          </w:p>
        </w:tc>
        <w:tc>
          <w:tcPr>
            <w:tcW w:w="5160" w:type="dxa"/>
            <w:vAlign w:val="bottom"/>
            <w:tcBorders>
              <w:bottom w:val="single" w:sz="8" w:color="0000FF"/>
            </w:tcBorders>
            <w:gridSpan w:val="20"/>
          </w:tcPr>
          <w:p>
            <w:pPr>
              <w:spacing w:after="0"/>
              <w:rPr>
                <w:rFonts w:ascii="Arial" w:cs="Arial" w:eastAsia="Arial" w:hAnsi="Arial"/>
                <w:sz w:val="14"/>
                <w:szCs w:val="14"/>
                <w:color w:val="0000FF"/>
                <w:w w:val="93"/>
              </w:rPr>
            </w:pPr>
            <w:hyperlink w:anchor="page22">
              <w:r>
                <w:rPr>
                  <w:rFonts w:ascii="Arial" w:cs="Arial" w:eastAsia="Arial" w:hAnsi="Arial"/>
                  <w:sz w:val="14"/>
                  <w:szCs w:val="14"/>
                  <w:color w:val="0000FF"/>
                  <w:w w:val="93"/>
                </w:rPr>
                <w:t>Management’s Discussion and Analysis of Financial Condition and Results of Operations</w:t>
              </w:r>
            </w:hyperlink>
          </w:p>
        </w:tc>
        <w:tc>
          <w:tcPr>
            <w:tcW w:w="2780" w:type="dxa"/>
            <w:vAlign w:val="bottom"/>
            <w:gridSpan w:val="2"/>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3.</w:t>
            </w:r>
          </w:p>
        </w:tc>
        <w:tc>
          <w:tcPr>
            <w:tcW w:w="3480" w:type="dxa"/>
            <w:vAlign w:val="bottom"/>
            <w:tcBorders>
              <w:bottom w:val="single" w:sz="8" w:color="0000FF"/>
            </w:tcBorders>
            <w:gridSpan w:val="17"/>
          </w:tcPr>
          <w:p>
            <w:pPr>
              <w:spacing w:after="0"/>
              <w:rPr>
                <w:rFonts w:ascii="Arial" w:cs="Arial" w:eastAsia="Arial" w:hAnsi="Arial"/>
                <w:sz w:val="14"/>
                <w:szCs w:val="14"/>
                <w:color w:val="0000FF"/>
                <w:w w:val="94"/>
              </w:rPr>
            </w:pPr>
            <w:hyperlink w:anchor="page32">
              <w:r>
                <w:rPr>
                  <w:rFonts w:ascii="Arial" w:cs="Arial" w:eastAsia="Arial" w:hAnsi="Arial"/>
                  <w:sz w:val="14"/>
                  <w:szCs w:val="14"/>
                  <w:color w:val="0000FF"/>
                  <w:w w:val="94"/>
                </w:rPr>
                <w:t>Quantitative and Qualitative Disclosures About Market Risk</w:t>
              </w:r>
            </w:hyperlink>
          </w:p>
        </w:tc>
        <w:tc>
          <w:tcPr>
            <w:tcW w:w="4460" w:type="dxa"/>
            <w:vAlign w:val="bottom"/>
            <w:gridSpan w:val="5"/>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4.</w:t>
            </w:r>
          </w:p>
        </w:tc>
        <w:tc>
          <w:tcPr>
            <w:tcW w:w="7940" w:type="dxa"/>
            <w:vAlign w:val="bottom"/>
            <w:gridSpan w:val="22"/>
          </w:tcPr>
          <w:p>
            <w:pPr>
              <w:spacing w:after="0"/>
              <w:rPr>
                <w:rFonts w:ascii="Arial" w:cs="Arial" w:eastAsia="Arial" w:hAnsi="Arial"/>
                <w:sz w:val="14"/>
                <w:szCs w:val="14"/>
                <w:color w:val="0000FF"/>
              </w:rPr>
            </w:pPr>
            <w:hyperlink w:anchor="page32">
              <w:r>
                <w:rPr>
                  <w:rFonts w:ascii="Arial" w:cs="Arial" w:eastAsia="Arial" w:hAnsi="Arial"/>
                  <w:sz w:val="14"/>
                  <w:szCs w:val="14"/>
                  <w:color w:val="0000FF"/>
                </w:rPr>
                <w:t>Controls and Procedures</w:t>
              </w:r>
            </w:hyperlink>
          </w:p>
        </w:tc>
        <w:tc>
          <w:tcPr>
            <w:tcW w:w="224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PART II.</w:t>
            </w: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4480" w:type="dxa"/>
            <w:vAlign w:val="bottom"/>
            <w:gridSpan w:val="6"/>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vMerge w:val="continue"/>
          </w:tcPr>
          <w:p>
            <w:pPr>
              <w:spacing w:after="0"/>
              <w:rPr>
                <w:sz w:val="24"/>
                <w:szCs w:val="24"/>
                <w:color w:val="auto"/>
              </w:rPr>
            </w:pPr>
          </w:p>
        </w:tc>
        <w:tc>
          <w:tcPr>
            <w:tcW w:w="7940" w:type="dxa"/>
            <w:vAlign w:val="bottom"/>
            <w:gridSpan w:val="22"/>
          </w:tcPr>
          <w:p>
            <w:pPr>
              <w:spacing w:after="0"/>
              <w:rPr>
                <w:rFonts w:ascii="Arial" w:cs="Arial" w:eastAsia="Arial" w:hAnsi="Arial"/>
                <w:sz w:val="14"/>
                <w:szCs w:val="14"/>
                <w:color w:val="0000FF"/>
              </w:rPr>
            </w:pPr>
            <w:hyperlink w:anchor="page34">
              <w:r>
                <w:rPr>
                  <w:rFonts w:ascii="Arial" w:cs="Arial" w:eastAsia="Arial" w:hAnsi="Arial"/>
                  <w:sz w:val="14"/>
                  <w:szCs w:val="14"/>
                  <w:color w:val="0000FF"/>
                </w:rPr>
                <w:t>OTHER INFORMATION</w:t>
              </w:r>
            </w:hyperlink>
          </w:p>
        </w:tc>
        <w:tc>
          <w:tcPr>
            <w:tcW w:w="22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1.</w:t>
            </w:r>
          </w:p>
        </w:tc>
        <w:tc>
          <w:tcPr>
            <w:tcW w:w="1500" w:type="dxa"/>
            <w:vAlign w:val="bottom"/>
            <w:tcBorders>
              <w:top w:val="single" w:sz="8" w:color="0000FF"/>
            </w:tcBorders>
            <w:gridSpan w:val="7"/>
          </w:tcPr>
          <w:p>
            <w:pPr>
              <w:spacing w:after="0"/>
              <w:rPr>
                <w:rFonts w:ascii="Arial" w:cs="Arial" w:eastAsia="Arial" w:hAnsi="Arial"/>
                <w:sz w:val="14"/>
                <w:szCs w:val="14"/>
                <w:color w:val="0000FF"/>
              </w:rPr>
            </w:pPr>
            <w:hyperlink w:anchor="page34">
              <w:r>
                <w:rPr>
                  <w:rFonts w:ascii="Arial" w:cs="Arial" w:eastAsia="Arial" w:hAnsi="Arial"/>
                  <w:sz w:val="14"/>
                  <w:szCs w:val="14"/>
                  <w:color w:val="0000FF"/>
                </w:rPr>
                <w:t>Legal Proceedings</w:t>
              </w:r>
            </w:hyperlink>
          </w:p>
        </w:tc>
        <w:tc>
          <w:tcPr>
            <w:tcW w:w="6440" w:type="dxa"/>
            <w:vAlign w:val="bottom"/>
            <w:gridSpan w:val="15"/>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317"/>
        </w:trPr>
        <w:tc>
          <w:tcPr>
            <w:tcW w:w="1020" w:type="dxa"/>
            <w:vAlign w:val="bottom"/>
            <w:gridSpan w:val="2"/>
          </w:tcPr>
          <w:p>
            <w:pPr>
              <w:spacing w:after="0"/>
              <w:rPr>
                <w:sz w:val="20"/>
                <w:szCs w:val="20"/>
                <w:color w:val="auto"/>
              </w:rPr>
            </w:pPr>
            <w:r>
              <w:rPr>
                <w:rFonts w:ascii="Arial" w:cs="Arial" w:eastAsia="Arial" w:hAnsi="Arial"/>
                <w:sz w:val="14"/>
                <w:szCs w:val="14"/>
                <w:color w:val="auto"/>
              </w:rPr>
              <w:t>Item 1A.</w:t>
            </w:r>
          </w:p>
        </w:tc>
        <w:tc>
          <w:tcPr>
            <w:tcW w:w="72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89"/>
              </w:rPr>
            </w:pPr>
            <w:hyperlink w:anchor="page34">
              <w:r>
                <w:rPr>
                  <w:rFonts w:ascii="Arial" w:cs="Arial" w:eastAsia="Arial" w:hAnsi="Arial"/>
                  <w:sz w:val="14"/>
                  <w:szCs w:val="14"/>
                  <w:color w:val="0000FF"/>
                  <w:w w:val="89"/>
                </w:rPr>
                <w:t>Risk Factors</w:t>
              </w:r>
            </w:hyperlink>
          </w:p>
        </w:tc>
        <w:tc>
          <w:tcPr>
            <w:tcW w:w="20" w:type="dxa"/>
            <w:vAlign w:val="bottom"/>
            <w:tcBorders>
              <w:top w:val="single" w:sz="8" w:color="0000FF"/>
              <w:bottom w:val="single" w:sz="8" w:color="0000EE"/>
            </w:tcBorders>
          </w:tcPr>
          <w:p>
            <w:pPr>
              <w:spacing w:after="0"/>
              <w:rPr>
                <w:sz w:val="24"/>
                <w:szCs w:val="24"/>
                <w:color w:val="auto"/>
              </w:rPr>
            </w:pPr>
          </w:p>
        </w:tc>
        <w:tc>
          <w:tcPr>
            <w:tcW w:w="320" w:type="dxa"/>
            <w:vAlign w:val="bottom"/>
            <w:tcBorders>
              <w:top w:val="single" w:sz="8" w:color="0000FF"/>
            </w:tcBorders>
            <w:gridSpan w:val="2"/>
          </w:tcPr>
          <w:p>
            <w:pPr>
              <w:spacing w:after="0"/>
              <w:rPr>
                <w:sz w:val="24"/>
                <w:szCs w:val="24"/>
                <w:color w:val="auto"/>
              </w:rPr>
            </w:pPr>
          </w:p>
        </w:tc>
        <w:tc>
          <w:tcPr>
            <w:tcW w:w="6880" w:type="dxa"/>
            <w:vAlign w:val="bottom"/>
            <w:gridSpan w:val="17"/>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2.</w:t>
            </w:r>
          </w:p>
        </w:tc>
        <w:tc>
          <w:tcPr>
            <w:tcW w:w="7940" w:type="dxa"/>
            <w:vAlign w:val="bottom"/>
            <w:gridSpan w:val="22"/>
          </w:tcPr>
          <w:p>
            <w:pPr>
              <w:spacing w:after="0"/>
              <w:rPr>
                <w:rFonts w:ascii="Arial" w:cs="Arial" w:eastAsia="Arial" w:hAnsi="Arial"/>
                <w:sz w:val="14"/>
                <w:szCs w:val="14"/>
                <w:color w:val="0000FF"/>
              </w:rPr>
            </w:pPr>
            <w:hyperlink w:anchor="page63">
              <w:r>
                <w:rPr>
                  <w:rFonts w:ascii="Arial" w:cs="Arial" w:eastAsia="Arial" w:hAnsi="Arial"/>
                  <w:sz w:val="14"/>
                  <w:szCs w:val="14"/>
                  <w:color w:val="0000FF"/>
                </w:rPr>
                <w:t>Unregistered Sales of Equity Securities and Use of Proceeds</w:t>
              </w:r>
            </w:hyperlink>
          </w:p>
        </w:tc>
        <w:tc>
          <w:tcPr>
            <w:tcW w:w="22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3.</w:t>
            </w:r>
          </w:p>
        </w:tc>
        <w:tc>
          <w:tcPr>
            <w:tcW w:w="1860" w:type="dxa"/>
            <w:vAlign w:val="bottom"/>
            <w:tcBorders>
              <w:top w:val="single" w:sz="8" w:color="0000FF"/>
              <w:bottom w:val="single" w:sz="8" w:color="0000FF"/>
            </w:tcBorders>
            <w:gridSpan w:val="11"/>
          </w:tcPr>
          <w:p>
            <w:pPr>
              <w:spacing w:after="0"/>
              <w:rPr>
                <w:rFonts w:ascii="Arial" w:cs="Arial" w:eastAsia="Arial" w:hAnsi="Arial"/>
                <w:sz w:val="14"/>
                <w:szCs w:val="14"/>
                <w:color w:val="0000FF"/>
                <w:w w:val="92"/>
              </w:rPr>
            </w:pPr>
            <w:hyperlink w:anchor="page63">
              <w:r>
                <w:rPr>
                  <w:rFonts w:ascii="Arial" w:cs="Arial" w:eastAsia="Arial" w:hAnsi="Arial"/>
                  <w:sz w:val="14"/>
                  <w:szCs w:val="14"/>
                  <w:color w:val="0000FF"/>
                  <w:w w:val="92"/>
                </w:rPr>
                <w:t>Defaults Upon Senior Securities</w:t>
              </w:r>
            </w:hyperlink>
          </w:p>
        </w:tc>
        <w:tc>
          <w:tcPr>
            <w:tcW w:w="1600" w:type="dxa"/>
            <w:vAlign w:val="bottom"/>
            <w:tcBorders>
              <w:top w:val="single" w:sz="8" w:color="0000FF"/>
            </w:tcBorders>
            <w:gridSpan w:val="5"/>
          </w:tcPr>
          <w:p>
            <w:pPr>
              <w:spacing w:after="0"/>
              <w:rPr>
                <w:sz w:val="24"/>
                <w:szCs w:val="24"/>
                <w:color w:val="auto"/>
              </w:rPr>
            </w:pPr>
          </w:p>
        </w:tc>
        <w:tc>
          <w:tcPr>
            <w:tcW w:w="4480" w:type="dxa"/>
            <w:vAlign w:val="bottom"/>
            <w:gridSpan w:val="6"/>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4.</w:t>
            </w:r>
          </w:p>
        </w:tc>
        <w:tc>
          <w:tcPr>
            <w:tcW w:w="7940" w:type="dxa"/>
            <w:vAlign w:val="bottom"/>
            <w:gridSpan w:val="22"/>
          </w:tcPr>
          <w:p>
            <w:pPr>
              <w:spacing w:after="0"/>
              <w:rPr>
                <w:rFonts w:ascii="Arial" w:cs="Arial" w:eastAsia="Arial" w:hAnsi="Arial"/>
                <w:sz w:val="14"/>
                <w:szCs w:val="14"/>
                <w:color w:val="0000FF"/>
              </w:rPr>
            </w:pPr>
            <w:hyperlink w:anchor="page63">
              <w:r>
                <w:rPr>
                  <w:rFonts w:ascii="Arial" w:cs="Arial" w:eastAsia="Arial" w:hAnsi="Arial"/>
                  <w:sz w:val="14"/>
                  <w:szCs w:val="14"/>
                  <w:color w:val="0000FF"/>
                </w:rPr>
                <w:t>Mine Safety Disclosures</w:t>
              </w:r>
            </w:hyperlink>
          </w:p>
        </w:tc>
        <w:tc>
          <w:tcPr>
            <w:tcW w:w="224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5.</w:t>
            </w:r>
          </w:p>
        </w:tc>
        <w:tc>
          <w:tcPr>
            <w:tcW w:w="1420" w:type="dxa"/>
            <w:vAlign w:val="bottom"/>
            <w:tcBorders>
              <w:top w:val="single" w:sz="8" w:color="0000FF"/>
            </w:tcBorders>
            <w:gridSpan w:val="6"/>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Other Information</w:t>
              </w:r>
            </w:hyperlink>
          </w:p>
        </w:tc>
        <w:tc>
          <w:tcPr>
            <w:tcW w:w="6520" w:type="dxa"/>
            <w:vAlign w:val="bottom"/>
            <w:gridSpan w:val="16"/>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4"/>
                <w:szCs w:val="14"/>
                <w:color w:val="auto"/>
              </w:rPr>
              <w:t>Item 6.</w:t>
            </w:r>
          </w:p>
        </w:tc>
        <w:tc>
          <w:tcPr>
            <w:tcW w:w="1040" w:type="dxa"/>
            <w:vAlign w:val="bottom"/>
            <w:tcBorders>
              <w:top w:val="single" w:sz="8" w:color="0000FF"/>
            </w:tcBorders>
            <w:gridSpan w:val="4"/>
          </w:tcPr>
          <w:p>
            <w:pPr>
              <w:spacing w:after="0"/>
              <w:rPr>
                <w:rFonts w:ascii="Arial" w:cs="Arial" w:eastAsia="Arial" w:hAnsi="Arial"/>
                <w:sz w:val="14"/>
                <w:szCs w:val="14"/>
                <w:color w:val="0000FF"/>
              </w:rPr>
            </w:pPr>
            <w:hyperlink w:anchor="page65">
              <w:r>
                <w:rPr>
                  <w:rFonts w:ascii="Arial" w:cs="Arial" w:eastAsia="Arial" w:hAnsi="Arial"/>
                  <w:sz w:val="14"/>
                  <w:szCs w:val="14"/>
                  <w:color w:val="0000FF"/>
                </w:rPr>
                <w:t>Exhibits</w:t>
              </w:r>
            </w:hyperlink>
          </w:p>
        </w:tc>
        <w:tc>
          <w:tcPr>
            <w:tcW w:w="6900" w:type="dxa"/>
            <w:vAlign w:val="bottom"/>
            <w:gridSpan w:val="18"/>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Signatures</w:t>
              </w:r>
            </w:hyperlink>
          </w:p>
        </w:tc>
        <w:tc>
          <w:tcPr>
            <w:tcW w:w="4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0" w:right="3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4"/>
          <w:szCs w:val="14"/>
          <w:b w:val="1"/>
          <w:bCs w:val="1"/>
          <w:color w:val="auto"/>
        </w:rPr>
        <w:t>PART I-FINANCIAL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Consolidated Financial Statements (Unaudited)</w:t>
      </w:r>
    </w:p>
    <w:p>
      <w:pPr>
        <w:spacing w:after="0" w:line="123"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Cytek Biosciences, Inc.</w:t>
      </w:r>
    </w:p>
    <w:p>
      <w:pPr>
        <w:spacing w:after="0" w:line="25"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Consolidated Balance Sheets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7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r>
      <w:tr>
        <w:trPr>
          <w:trHeight w:val="250"/>
        </w:trPr>
        <w:tc>
          <w:tcPr>
            <w:tcW w:w="7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i w:val="1"/>
                <w:iCs w:val="1"/>
                <w:color w:val="auto"/>
                <w:w w:val="89"/>
              </w:rPr>
              <w:t>(unaudited)</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center"/>
              <w:ind w:right="270"/>
              <w:spacing w:after="0"/>
              <w:rPr>
                <w:sz w:val="20"/>
                <w:szCs w:val="20"/>
                <w:color w:val="auto"/>
              </w:rPr>
            </w:pPr>
            <w:r>
              <w:rPr>
                <w:rFonts w:ascii="Arial" w:cs="Arial" w:eastAsia="Arial" w:hAnsi="Arial"/>
                <w:sz w:val="18"/>
                <w:szCs w:val="18"/>
                <w:b w:val="1"/>
                <w:bCs w:val="1"/>
                <w:i w:val="1"/>
                <w:iCs w:val="1"/>
                <w:color w:val="auto"/>
                <w:w w:val="86"/>
              </w:rPr>
              <w:t>(audited)</w:t>
            </w:r>
          </w:p>
        </w:tc>
      </w:tr>
      <w:tr>
        <w:trPr>
          <w:trHeight w:val="26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7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376,771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165,231</w:t>
            </w:r>
          </w:p>
        </w:tc>
      </w:tr>
      <w:tr>
        <w:trPr>
          <w:trHeight w:val="250"/>
        </w:trPr>
        <w:tc>
          <w:tcPr>
            <w:tcW w:w="7040" w:type="dxa"/>
            <w:vAlign w:val="bottom"/>
          </w:tcPr>
          <w:p>
            <w:pPr>
              <w:ind w:left="140"/>
              <w:spacing w:after="0"/>
              <w:rPr>
                <w:sz w:val="20"/>
                <w:szCs w:val="20"/>
                <w:color w:val="auto"/>
              </w:rPr>
            </w:pPr>
            <w:r>
              <w:rPr>
                <w:rFonts w:ascii="Arial" w:cs="Arial" w:eastAsia="Arial" w:hAnsi="Arial"/>
                <w:sz w:val="18"/>
                <w:szCs w:val="18"/>
                <w:color w:val="auto"/>
              </w:rPr>
              <w:t>Trade accounts receivable, net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29,450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16,990</w:t>
            </w:r>
          </w:p>
        </w:tc>
      </w:tr>
      <w:tr>
        <w:trPr>
          <w:trHeight w:val="263"/>
        </w:trPr>
        <w:tc>
          <w:tcPr>
            <w:tcW w:w="7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888</w:t>
            </w:r>
          </w:p>
        </w:tc>
      </w:tr>
      <w:tr>
        <w:trPr>
          <w:trHeight w:val="250"/>
        </w:trPr>
        <w:tc>
          <w:tcPr>
            <w:tcW w:w="70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27,511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23,018</w:t>
            </w:r>
          </w:p>
        </w:tc>
      </w:tr>
      <w:tr>
        <w:trPr>
          <w:trHeight w:val="257"/>
        </w:trPr>
        <w:tc>
          <w:tcPr>
            <w:tcW w:w="70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6,094</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2,495</w:t>
            </w: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439,826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208,622</w:t>
            </w:r>
          </w:p>
        </w:tc>
      </w:tr>
      <w:tr>
        <w:trPr>
          <w:trHeight w:val="26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assets, noncurrent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7,378</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7,378</w:t>
            </w: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4,982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2,140</w:t>
            </w:r>
          </w:p>
        </w:tc>
      </w:tr>
      <w:tr>
        <w:trPr>
          <w:trHeight w:val="26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476</w:t>
            </w: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274</w:t>
            </w:r>
          </w:p>
        </w:tc>
      </w:tr>
      <w:tr>
        <w:trPr>
          <w:trHeight w:val="257"/>
        </w:trPr>
        <w:tc>
          <w:tcPr>
            <w:tcW w:w="7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1,297</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1,089</w:t>
            </w:r>
          </w:p>
        </w:tc>
      </w:tr>
      <w:tr>
        <w:trPr>
          <w:trHeight w:val="256"/>
        </w:trPr>
        <w:tc>
          <w:tcPr>
            <w:tcW w:w="70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454,320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219,979</w:t>
            </w:r>
          </w:p>
        </w:tc>
      </w:tr>
      <w:tr>
        <w:trPr>
          <w:trHeight w:val="20"/>
        </w:trPr>
        <w:tc>
          <w:tcPr>
            <w:tcW w:w="7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7"/>
              </w:rPr>
              <w:t>Liabilities, redeemable convertible preferred stock and stockholders’ equity (deficit)</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50"/>
        </w:trPr>
        <w:tc>
          <w:tcPr>
            <w:tcW w:w="704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7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Trade accounts payable</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3,927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2,944</w:t>
            </w:r>
          </w:p>
        </w:tc>
      </w:tr>
      <w:tr>
        <w:trPr>
          <w:trHeight w:val="250"/>
        </w:trPr>
        <w:tc>
          <w:tcPr>
            <w:tcW w:w="7040" w:type="dxa"/>
            <w:vAlign w:val="bottom"/>
          </w:tcPr>
          <w:p>
            <w:pPr>
              <w:ind w:left="140"/>
              <w:spacing w:after="0"/>
              <w:rPr>
                <w:sz w:val="20"/>
                <w:szCs w:val="20"/>
                <w:color w:val="auto"/>
              </w:rPr>
            </w:pPr>
            <w:r>
              <w:rPr>
                <w:rFonts w:ascii="Arial" w:cs="Arial" w:eastAsia="Arial" w:hAnsi="Arial"/>
                <w:sz w:val="18"/>
                <w:szCs w:val="18"/>
                <w:color w:val="auto"/>
              </w:rPr>
              <w:t>Legal settlement liability, current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7,405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6,253</w:t>
            </w:r>
          </w:p>
        </w:tc>
      </w:tr>
      <w:tr>
        <w:trPr>
          <w:trHeight w:val="263"/>
        </w:trPr>
        <w:tc>
          <w:tcPr>
            <w:tcW w:w="7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10,753</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9,048</w:t>
            </w:r>
          </w:p>
        </w:tc>
      </w:tr>
      <w:tr>
        <w:trPr>
          <w:trHeight w:val="250"/>
        </w:trPr>
        <w:tc>
          <w:tcPr>
            <w:tcW w:w="704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4,626</w:t>
            </w:r>
          </w:p>
        </w:tc>
      </w:tr>
      <w:tr>
        <w:trPr>
          <w:trHeight w:val="257"/>
        </w:trPr>
        <w:tc>
          <w:tcPr>
            <w:tcW w:w="70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5,885</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3,665</w:t>
            </w: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30,014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26,536</w:t>
            </w:r>
          </w:p>
        </w:tc>
      </w:tr>
      <w:tr>
        <w:trPr>
          <w:trHeight w:val="26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Legal settlement liability, noncurrent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12,633</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10,959</w:t>
            </w: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7,741</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3,456</w:t>
            </w:r>
          </w:p>
        </w:tc>
      </w:tr>
      <w:tr>
        <w:trPr>
          <w:trHeight w:val="257"/>
        </w:trPr>
        <w:tc>
          <w:tcPr>
            <w:tcW w:w="7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737</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737</w:t>
            </w: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Total liabilities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51,125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41,688</w:t>
            </w:r>
          </w:p>
        </w:tc>
      </w:tr>
      <w:tr>
        <w:trPr>
          <w:trHeight w:val="256"/>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15)</w:t>
            </w:r>
          </w:p>
        </w:tc>
        <w:tc>
          <w:tcPr>
            <w:tcW w:w="18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500" w:type="dxa"/>
            <w:vAlign w:val="bottom"/>
            <w:tcBorders>
              <w:top w:val="single" w:sz="8" w:color="auto"/>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spacing w:after="0"/>
              <w:rPr>
                <w:sz w:val="22"/>
                <w:szCs w:val="22"/>
                <w:color w:val="auto"/>
              </w:rPr>
            </w:pPr>
          </w:p>
        </w:tc>
      </w:tr>
      <w:tr>
        <w:trPr>
          <w:trHeight w:val="242"/>
        </w:trPr>
        <w:tc>
          <w:tcPr>
            <w:tcW w:w="7040" w:type="dxa"/>
            <w:vAlign w:val="bottom"/>
          </w:tcPr>
          <w:p>
            <w:pPr>
              <w:spacing w:after="0"/>
              <w:rPr>
                <w:sz w:val="20"/>
                <w:szCs w:val="20"/>
                <w:color w:val="auto"/>
              </w:rPr>
            </w:pPr>
            <w:r>
              <w:rPr>
                <w:rFonts w:ascii="Arial" w:cs="Arial" w:eastAsia="Arial" w:hAnsi="Arial"/>
                <w:sz w:val="18"/>
                <w:szCs w:val="18"/>
                <w:color w:val="auto"/>
                <w:w w:val="93"/>
              </w:rPr>
              <w:t>Redeemable convertible preferred stock, $0.001 par value; 10,000,000 and 87,268,694 shares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29"/>
        </w:trPr>
        <w:tc>
          <w:tcPr>
            <w:tcW w:w="7040" w:type="dxa"/>
            <w:vAlign w:val="bottom"/>
          </w:tcPr>
          <w:p>
            <w:pPr>
              <w:spacing w:after="0"/>
              <w:rPr>
                <w:sz w:val="20"/>
                <w:szCs w:val="20"/>
                <w:color w:val="auto"/>
              </w:rPr>
            </w:pPr>
            <w:r>
              <w:rPr>
                <w:rFonts w:ascii="Arial" w:cs="Arial" w:eastAsia="Arial" w:hAnsi="Arial"/>
                <w:sz w:val="18"/>
                <w:szCs w:val="18"/>
                <w:color w:val="auto"/>
                <w:w w:val="88"/>
              </w:rPr>
              <w:t>authorized, zero and 87,268, 694 issued and outstanding as of September 30, 2021 and December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w w:val="92"/>
              </w:rPr>
              <w:t>31, 2020, respectively; aggregate liquidation preference of zero and $199,230 as of September</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rPr>
              <w:t>30, 2021 and December 31, 2020,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194,319</w:t>
            </w:r>
          </w:p>
        </w:tc>
      </w:tr>
      <w:tr>
        <w:trPr>
          <w:trHeight w:val="26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r>
      <w:tr>
        <w:trPr>
          <w:trHeight w:val="242"/>
        </w:trPr>
        <w:tc>
          <w:tcPr>
            <w:tcW w:w="7040" w:type="dxa"/>
            <w:vAlign w:val="bottom"/>
          </w:tcPr>
          <w:p>
            <w:pPr>
              <w:spacing w:after="0"/>
              <w:rPr>
                <w:sz w:val="20"/>
                <w:szCs w:val="20"/>
                <w:color w:val="auto"/>
              </w:rPr>
            </w:pPr>
            <w:r>
              <w:rPr>
                <w:rFonts w:ascii="Arial" w:cs="Arial" w:eastAsia="Arial" w:hAnsi="Arial"/>
                <w:sz w:val="18"/>
                <w:szCs w:val="18"/>
                <w:color w:val="auto"/>
                <w:w w:val="97"/>
              </w:rPr>
              <w:t>Common stock, $0.001 par value; 1,000,000,000 and 153,329,500 authorized shares as of</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w w:val="91"/>
              </w:rPr>
              <w:t>September 30, 2021 and December 31, 2020, respectively; 133,725,741 and 31,241,916 issued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7"/>
        </w:trPr>
        <w:tc>
          <w:tcPr>
            <w:tcW w:w="7040" w:type="dxa"/>
            <w:vAlign w:val="bottom"/>
          </w:tcPr>
          <w:p>
            <w:pPr>
              <w:spacing w:after="0"/>
              <w:rPr>
                <w:sz w:val="20"/>
                <w:szCs w:val="20"/>
                <w:color w:val="auto"/>
              </w:rPr>
            </w:pPr>
            <w:r>
              <w:rPr>
                <w:rFonts w:ascii="Arial" w:cs="Arial" w:eastAsia="Arial" w:hAnsi="Arial"/>
                <w:sz w:val="18"/>
                <w:szCs w:val="18"/>
                <w:color w:val="auto"/>
                <w:w w:val="99"/>
              </w:rPr>
              <w:t>and outstanding shares as of September 30, 2021 and December 31, 2020, respectively.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6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420,600</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6,491</w:t>
            </w: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(18,415 )</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(22,607 )</w:t>
            </w:r>
          </w:p>
        </w:tc>
      </w:tr>
      <w:tr>
        <w:trPr>
          <w:trHeight w:val="26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570</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65</w:t>
            </w:r>
          </w:p>
        </w:tc>
      </w:tr>
      <w:tr>
        <w:trPr>
          <w:trHeight w:val="250"/>
        </w:trPr>
        <w:tc>
          <w:tcPr>
            <w:tcW w:w="7040" w:type="dxa"/>
            <w:vAlign w:val="bottom"/>
          </w:tcPr>
          <w:p>
            <w:pPr>
              <w:spacing w:after="0"/>
              <w:rPr>
                <w:sz w:val="20"/>
                <w:szCs w:val="20"/>
                <w:color w:val="auto"/>
              </w:rPr>
            </w:pPr>
            <w:r>
              <w:rPr>
                <w:rFonts w:ascii="Arial" w:cs="Arial" w:eastAsia="Arial" w:hAnsi="Arial"/>
                <w:sz w:val="18"/>
                <w:szCs w:val="18"/>
                <w:color w:val="auto"/>
              </w:rPr>
              <w:t>Noncontrolling interest in consolidated subsidiary</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50"/>
        </w:trPr>
        <w:tc>
          <w:tcPr>
            <w:tcW w:w="70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403,195</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(16,028 )</w:t>
            </w:r>
          </w:p>
        </w:tc>
      </w:tr>
      <w:tr>
        <w:trPr>
          <w:trHeight w:val="256"/>
        </w:trPr>
        <w:tc>
          <w:tcPr>
            <w:tcW w:w="7040" w:type="dxa"/>
            <w:vAlign w:val="bottom"/>
          </w:tcPr>
          <w:p>
            <w:pPr>
              <w:ind w:left="280"/>
              <w:spacing w:after="0"/>
              <w:rPr>
                <w:sz w:val="20"/>
                <w:szCs w:val="20"/>
                <w:color w:val="auto"/>
              </w:rPr>
            </w:pPr>
            <w:r>
              <w:rPr>
                <w:rFonts w:ascii="Arial" w:cs="Arial" w:eastAsia="Arial" w:hAnsi="Arial"/>
                <w:sz w:val="18"/>
                <w:szCs w:val="18"/>
                <w:color w:val="auto"/>
                <w:w w:val="96"/>
              </w:rPr>
              <w:t>Total liabilities, redeemable convertible preferred stock and stockholders’ equity (deficit)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454,320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30"/>
              <w:spacing w:after="0"/>
              <w:rPr>
                <w:sz w:val="20"/>
                <w:szCs w:val="20"/>
                <w:color w:val="auto"/>
              </w:rPr>
            </w:pPr>
            <w:r>
              <w:rPr>
                <w:rFonts w:ascii="Arial" w:cs="Arial" w:eastAsia="Arial" w:hAnsi="Arial"/>
                <w:sz w:val="18"/>
                <w:szCs w:val="18"/>
                <w:color w:val="auto"/>
              </w:rPr>
              <w:t>219,979</w:t>
            </w:r>
          </w:p>
        </w:tc>
      </w:tr>
      <w:tr>
        <w:trPr>
          <w:trHeight w:val="20"/>
        </w:trPr>
        <w:tc>
          <w:tcPr>
            <w:tcW w:w="7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-5560060</wp:posOffset>
            </wp:positionV>
            <wp:extent cx="11112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-4573905</wp:posOffset>
            </wp:positionV>
            <wp:extent cx="11112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-3236595</wp:posOffset>
            </wp:positionV>
            <wp:extent cx="11112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-2576830</wp:posOffset>
            </wp:positionV>
            <wp:extent cx="11112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-193675</wp:posOffset>
            </wp:positionV>
            <wp:extent cx="11112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164" w:lineRule="exact"/>
        <w:rPr>
          <w:sz w:val="20"/>
          <w:szCs w:val="20"/>
          <w:color w:val="auto"/>
        </w:rPr>
      </w:pPr>
    </w:p>
    <w:p>
      <w:pPr>
        <w:jc w:val="center"/>
        <w:ind w:right="-259"/>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63"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0" w:right="6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4"/>
          <w:szCs w:val="14"/>
          <w:b w:val="1"/>
          <w:bCs w:val="1"/>
          <w:color w:val="auto"/>
        </w:rPr>
        <w:t>Cytek Biosciences,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Operations and Comprehensive Income</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b w:val="1"/>
                <w:bCs w:val="1"/>
                <w:color w:val="auto"/>
                <w:w w:val="93"/>
              </w:rPr>
              <w:t>September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w w:val="93"/>
              </w:rPr>
              <w:t>September 30,</w:t>
            </w:r>
          </w:p>
        </w:tc>
      </w:tr>
      <w:tr>
        <w:trPr>
          <w:trHeight w:val="192"/>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02"/>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 net: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197"/>
        </w:trPr>
        <w:tc>
          <w:tcPr>
            <w:tcW w:w="5400" w:type="dxa"/>
            <w:vAlign w:val="bottom"/>
          </w:tcPr>
          <w:p>
            <w:pPr>
              <w:ind w:left="200"/>
              <w:spacing w:after="0"/>
              <w:rPr>
                <w:sz w:val="20"/>
                <w:szCs w:val="20"/>
                <w:color w:val="auto"/>
              </w:rPr>
            </w:pPr>
            <w:r>
              <w:rPr>
                <w:rFonts w:ascii="Arial" w:cs="Arial" w:eastAsia="Arial" w:hAnsi="Arial"/>
                <w:sz w:val="14"/>
                <w:szCs w:val="14"/>
                <w:color w:val="auto"/>
              </w:rPr>
              <w:t>Product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32,191</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23,153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83,567</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56,688</w:t>
            </w:r>
          </w:p>
        </w:tc>
      </w:tr>
      <w:tr>
        <w:trPr>
          <w:trHeight w:val="203"/>
        </w:trPr>
        <w:tc>
          <w:tcPr>
            <w:tcW w:w="5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Service</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2,185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1,943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5,489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5,532</w:t>
            </w:r>
          </w:p>
        </w:tc>
      </w:tr>
      <w:tr>
        <w:trPr>
          <w:trHeight w:val="196"/>
        </w:trPr>
        <w:tc>
          <w:tcPr>
            <w:tcW w:w="5400" w:type="dxa"/>
            <w:vAlign w:val="bottom"/>
          </w:tcPr>
          <w:p>
            <w:pPr>
              <w:ind w:left="200"/>
              <w:spacing w:after="0"/>
              <w:rPr>
                <w:sz w:val="20"/>
                <w:szCs w:val="20"/>
                <w:color w:val="auto"/>
              </w:rPr>
            </w:pPr>
            <w:r>
              <w:rPr>
                <w:rFonts w:ascii="Arial" w:cs="Arial" w:eastAsia="Arial" w:hAnsi="Arial"/>
                <w:sz w:val="14"/>
                <w:szCs w:val="14"/>
                <w:color w:val="auto"/>
              </w:rPr>
              <w:t>Total revenue, net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34,376</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25,096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89,056</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62,220</w:t>
            </w:r>
          </w:p>
        </w:tc>
      </w:tr>
      <w:tr>
        <w:trPr>
          <w:trHeight w:val="202"/>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sales:</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197"/>
        </w:trPr>
        <w:tc>
          <w:tcPr>
            <w:tcW w:w="5400" w:type="dxa"/>
            <w:vAlign w:val="bottom"/>
          </w:tcPr>
          <w:p>
            <w:pPr>
              <w:ind w:left="200"/>
              <w:spacing w:after="0"/>
              <w:rPr>
                <w:sz w:val="20"/>
                <w:szCs w:val="20"/>
                <w:color w:val="auto"/>
              </w:rPr>
            </w:pPr>
            <w:r>
              <w:rPr>
                <w:rFonts w:ascii="Arial" w:cs="Arial" w:eastAsia="Arial" w:hAnsi="Arial"/>
                <w:sz w:val="14"/>
                <w:szCs w:val="14"/>
                <w:color w:val="auto"/>
              </w:rPr>
              <w:t>Product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7,556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25,264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23,644</w:t>
            </w:r>
          </w:p>
        </w:tc>
      </w:tr>
      <w:tr>
        <w:trPr>
          <w:trHeight w:val="203"/>
        </w:trPr>
        <w:tc>
          <w:tcPr>
            <w:tcW w:w="5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Service</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3,075</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1,924</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8,284</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6,315</w:t>
            </w:r>
          </w:p>
        </w:tc>
      </w:tr>
      <w:tr>
        <w:trPr>
          <w:trHeight w:val="196"/>
        </w:trPr>
        <w:tc>
          <w:tcPr>
            <w:tcW w:w="5400" w:type="dxa"/>
            <w:vAlign w:val="bottom"/>
          </w:tcPr>
          <w:p>
            <w:pPr>
              <w:ind w:left="200"/>
              <w:spacing w:after="0"/>
              <w:rPr>
                <w:sz w:val="20"/>
                <w:szCs w:val="20"/>
                <w:color w:val="auto"/>
              </w:rPr>
            </w:pPr>
            <w:r>
              <w:rPr>
                <w:rFonts w:ascii="Arial" w:cs="Arial" w:eastAsia="Arial" w:hAnsi="Arial"/>
                <w:sz w:val="14"/>
                <w:szCs w:val="14"/>
                <w:color w:val="auto"/>
              </w:rPr>
              <w:t>Total cost of sales</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13,099</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9,480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33,548</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29,959</w:t>
            </w:r>
          </w:p>
        </w:tc>
      </w:tr>
      <w:tr>
        <w:trPr>
          <w:trHeight w:val="202"/>
        </w:trPr>
        <w:tc>
          <w:tcPr>
            <w:tcW w:w="54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Gross profit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21,277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15,616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55,508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32,261</w:t>
            </w:r>
          </w:p>
        </w:tc>
      </w:tr>
      <w:tr>
        <w:trPr>
          <w:trHeight w:val="197"/>
        </w:trPr>
        <w:tc>
          <w:tcPr>
            <w:tcW w:w="5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8"/>
        </w:trPr>
        <w:tc>
          <w:tcPr>
            <w:tcW w:w="5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6,078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17,366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9,308</w:t>
            </w:r>
          </w:p>
        </w:tc>
      </w:tr>
      <w:tr>
        <w:trPr>
          <w:trHeight w:val="197"/>
        </w:trPr>
        <w:tc>
          <w:tcPr>
            <w:tcW w:w="540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6,553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3,838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16,406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10,428</w:t>
            </w:r>
          </w:p>
        </w:tc>
      </w:tr>
      <w:tr>
        <w:trPr>
          <w:trHeight w:val="203"/>
        </w:trPr>
        <w:tc>
          <w:tcPr>
            <w:tcW w:w="5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General and administrative</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5,749</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1,691</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13,896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6,742</w:t>
            </w:r>
          </w:p>
        </w:tc>
      </w:tr>
      <w:tr>
        <w:trPr>
          <w:trHeight w:val="196"/>
        </w:trPr>
        <w:tc>
          <w:tcPr>
            <w:tcW w:w="5400" w:type="dxa"/>
            <w:vAlign w:val="bottom"/>
          </w:tcPr>
          <w:p>
            <w:pPr>
              <w:ind w:left="200"/>
              <w:spacing w:after="0"/>
              <w:rPr>
                <w:sz w:val="20"/>
                <w:szCs w:val="20"/>
                <w:color w:val="auto"/>
              </w:rPr>
            </w:pPr>
            <w:r>
              <w:rPr>
                <w:rFonts w:ascii="Arial" w:cs="Arial" w:eastAsia="Arial" w:hAnsi="Arial"/>
                <w:sz w:val="14"/>
                <w:szCs w:val="14"/>
                <w:color w:val="auto"/>
              </w:rPr>
              <w:t>Total operating expenses</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18,380</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8,905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47,668</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26,478</w:t>
            </w:r>
          </w:p>
        </w:tc>
      </w:tr>
      <w:tr>
        <w:trPr>
          <w:trHeight w:val="202"/>
        </w:trPr>
        <w:tc>
          <w:tcPr>
            <w:tcW w:w="54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operations</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2,897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6,711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7,840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5,783</w:t>
            </w:r>
          </w:p>
        </w:tc>
      </w:tr>
      <w:tr>
        <w:trPr>
          <w:trHeight w:val="196"/>
        </w:trPr>
        <w:tc>
          <w:tcPr>
            <w:tcW w:w="54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5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expense</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(441 )</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(1,249 )</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(3 )</w:t>
            </w:r>
          </w:p>
        </w:tc>
      </w:tr>
      <w:tr>
        <w:trPr>
          <w:trHeight w:val="196"/>
        </w:trPr>
        <w:tc>
          <w:tcPr>
            <w:tcW w:w="5400" w:type="dxa"/>
            <w:vAlign w:val="bottom"/>
          </w:tcPr>
          <w:p>
            <w:pPr>
              <w:ind w:left="200"/>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105</w:t>
            </w:r>
          </w:p>
        </w:tc>
      </w:tr>
      <w:tr>
        <w:trPr>
          <w:trHeight w:val="203"/>
        </w:trPr>
        <w:tc>
          <w:tcPr>
            <w:tcW w:w="5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income (expense), net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(393 )</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(1,128 )</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543</w:t>
            </w:r>
          </w:p>
        </w:tc>
      </w:tr>
      <w:tr>
        <w:trPr>
          <w:trHeight w:val="196"/>
        </w:trPr>
        <w:tc>
          <w:tcPr>
            <w:tcW w:w="5400" w:type="dxa"/>
            <w:vAlign w:val="bottom"/>
          </w:tcPr>
          <w:p>
            <w:pPr>
              <w:ind w:left="20"/>
              <w:spacing w:after="0"/>
              <w:rPr>
                <w:sz w:val="20"/>
                <w:szCs w:val="20"/>
                <w:color w:val="auto"/>
              </w:rPr>
            </w:pPr>
            <w:r>
              <w:rPr>
                <w:rFonts w:ascii="Arial" w:cs="Arial" w:eastAsia="Arial" w:hAnsi="Arial"/>
                <w:sz w:val="14"/>
                <w:szCs w:val="14"/>
                <w:color w:val="auto"/>
              </w:rPr>
              <w:t>Total other income (expense), net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(822 )</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(2,346 )</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645</w:t>
            </w:r>
          </w:p>
        </w:tc>
      </w:tr>
      <w:tr>
        <w:trPr>
          <w:trHeight w:val="202"/>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before income taxes</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2,075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6,897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5,494</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6,428</w:t>
            </w:r>
          </w:p>
        </w:tc>
      </w:tr>
      <w:tr>
        <w:trPr>
          <w:trHeight w:val="196"/>
        </w:trPr>
        <w:tc>
          <w:tcPr>
            <w:tcW w:w="540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1,302</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(7,384 )</w:t>
            </w:r>
          </w:p>
        </w:tc>
      </w:tr>
      <w:tr>
        <w:trPr>
          <w:trHeight w:val="242"/>
        </w:trPr>
        <w:tc>
          <w:tcPr>
            <w:tcW w:w="5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1,420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6,540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4,192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13,812</w:t>
            </w:r>
          </w:p>
        </w:tc>
      </w:tr>
      <w:tr>
        <w:trPr>
          <w:trHeight w:val="177"/>
        </w:trPr>
        <w:tc>
          <w:tcPr>
            <w:tcW w:w="54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Less: net income allocated to participating securities</w:t>
            </w: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(1,074 )</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(5,094 )</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(4,192 )</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(11,171 )</w:t>
            </w:r>
          </w:p>
        </w:tc>
      </w:tr>
      <w:tr>
        <w:trPr>
          <w:trHeight w:val="242"/>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 attributable to common stockholders, basic and diluted</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346</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1,446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2,641</w:t>
            </w:r>
          </w:p>
        </w:tc>
      </w:tr>
      <w:tr>
        <w:trPr>
          <w:trHeight w:val="183"/>
        </w:trPr>
        <w:tc>
          <w:tcPr>
            <w:tcW w:w="5400" w:type="dxa"/>
            <w:vAlign w:val="bottom"/>
          </w:tcPr>
          <w:p>
            <w:pPr>
              <w:ind w:left="20"/>
              <w:spacing w:after="0"/>
              <w:rPr>
                <w:sz w:val="20"/>
                <w:szCs w:val="20"/>
                <w:color w:val="auto"/>
              </w:rPr>
            </w:pPr>
            <w:r>
              <w:rPr>
                <w:rFonts w:ascii="Arial" w:cs="Arial" w:eastAsia="Arial" w:hAnsi="Arial"/>
                <w:sz w:val="14"/>
                <w:szCs w:val="14"/>
                <w:color w:val="auto"/>
              </w:rPr>
              <w:t>Net income attributable to common stockholders per share, basic</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0.09</w:t>
            </w:r>
          </w:p>
        </w:tc>
      </w:tr>
      <w:tr>
        <w:trPr>
          <w:trHeight w:val="20"/>
        </w:trPr>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attributable to common stockholders per share diluted</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0.05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0.09</w:t>
            </w:r>
          </w:p>
        </w:tc>
      </w:tr>
      <w:tr>
        <w:trPr>
          <w:trHeight w:val="183"/>
        </w:trPr>
        <w:tc>
          <w:tcPr>
            <w:tcW w:w="54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Weighted-average shares used in calculating net income per share, basic</w:t>
            </w: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108,322,433</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28,700,005</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57,534,080</w:t>
            </w: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28,551,126</w:t>
            </w:r>
          </w:p>
        </w:tc>
      </w:tr>
      <w:tr>
        <w:trPr>
          <w:trHeight w:val="20"/>
        </w:trPr>
        <w:tc>
          <w:tcPr>
            <w:tcW w:w="5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Weighted-average shares used in calculating net income per share, diluted</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113,637,377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31,058,757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62,095,275</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30,763,586</w:t>
            </w:r>
          </w:p>
        </w:tc>
      </w:tr>
      <w:tr>
        <w:trPr>
          <w:trHeight w:val="177"/>
        </w:trPr>
        <w:tc>
          <w:tcPr>
            <w:tcW w:w="5400" w:type="dxa"/>
            <w:vAlign w:val="bottom"/>
          </w:tcPr>
          <w:p>
            <w:pPr>
              <w:ind w:left="20"/>
              <w:spacing w:after="0"/>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8"/>
        </w:trPr>
        <w:tc>
          <w:tcPr>
            <w:tcW w:w="5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1,420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6,540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4,192</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13,812</w:t>
            </w:r>
          </w:p>
        </w:tc>
      </w:tr>
      <w:tr>
        <w:trPr>
          <w:trHeight w:val="197"/>
        </w:trPr>
        <w:tc>
          <w:tcPr>
            <w:tcW w:w="54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 net of tax</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505</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w:t>
            </w:r>
          </w:p>
        </w:tc>
      </w:tr>
      <w:tr>
        <w:trPr>
          <w:trHeight w:val="242"/>
        </w:trPr>
        <w:tc>
          <w:tcPr>
            <w:tcW w:w="5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comprehensive income</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1,454</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6,685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4,697</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4343400</wp:posOffset>
            </wp:positionH>
            <wp:positionV relativeFrom="paragraph">
              <wp:posOffset>-4128135</wp:posOffset>
            </wp:positionV>
            <wp:extent cx="8572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-4128135</wp:posOffset>
            </wp:positionV>
            <wp:extent cx="857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-4128135</wp:posOffset>
            </wp:positionV>
            <wp:extent cx="8572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-3596640</wp:posOffset>
            </wp:positionV>
            <wp:extent cx="857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-3596640</wp:posOffset>
            </wp:positionV>
            <wp:extent cx="8572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-3596640</wp:posOffset>
            </wp:positionV>
            <wp:extent cx="8572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-2807970</wp:posOffset>
            </wp:positionV>
            <wp:extent cx="8572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-2807970</wp:posOffset>
            </wp:positionV>
            <wp:extent cx="8572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-2807970</wp:posOffset>
            </wp:positionV>
            <wp:extent cx="8572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-2019300</wp:posOffset>
            </wp:positionV>
            <wp:extent cx="8572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-2019300</wp:posOffset>
            </wp:positionV>
            <wp:extent cx="8572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-2019300</wp:posOffset>
            </wp:positionV>
            <wp:extent cx="8572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-1482090</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-1464945</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-1482090</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-1464945</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-1482090</wp:posOffset>
            </wp:positionV>
            <wp:extent cx="85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-1464945</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-1190625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-1173480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-1190625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-1173480</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-1190625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-1173480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-882015</wp:posOffset>
            </wp:positionV>
            <wp:extent cx="857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-864870</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-882015</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-864870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-882015</wp:posOffset>
            </wp:positionV>
            <wp:extent cx="85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-864870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-573405</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-556895</wp:posOffset>
            </wp:positionV>
            <wp:extent cx="85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-573405</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-556895</wp:posOffset>
            </wp:positionV>
            <wp:extent cx="857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-573405</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-556895</wp:posOffset>
            </wp:positionV>
            <wp:extent cx="857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-7620</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-24765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-7620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-24765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-7620</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68580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360"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Cytek Biosciences,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Redeemable Convertible</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Stock and Stockholders’ Equity (Deficit)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1820" w:type="dxa"/>
            <w:vAlign w:val="bottom"/>
            <w:tcBorders>
              <w:right w:val="single" w:sz="8" w:color="auto"/>
            </w:tcBorders>
            <w:gridSpan w:val="4"/>
          </w:tcPr>
          <w:p>
            <w:pPr>
              <w:ind w:left="260"/>
              <w:spacing w:after="0"/>
              <w:rPr>
                <w:sz w:val="20"/>
                <w:szCs w:val="20"/>
                <w:color w:val="auto"/>
              </w:rPr>
            </w:pPr>
            <w:r>
              <w:rPr>
                <w:rFonts w:ascii="Arial" w:cs="Arial" w:eastAsia="Arial" w:hAnsi="Arial"/>
                <w:sz w:val="11"/>
                <w:szCs w:val="11"/>
                <w:b w:val="1"/>
                <w:bCs w:val="1"/>
                <w:color w:val="auto"/>
              </w:rPr>
              <w:t>Redeemable convertible</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06"/>
              <w:spacing w:after="0"/>
              <w:rPr>
                <w:sz w:val="20"/>
                <w:szCs w:val="20"/>
                <w:color w:val="auto"/>
              </w:rPr>
            </w:pPr>
            <w:r>
              <w:rPr>
                <w:rFonts w:ascii="Arial" w:cs="Arial" w:eastAsia="Arial" w:hAnsi="Arial"/>
                <w:sz w:val="11"/>
                <w:szCs w:val="11"/>
                <w:b w:val="1"/>
                <w:bCs w:val="1"/>
                <w:color w:val="auto"/>
                <w:w w:val="92"/>
              </w:rPr>
              <w:t>Additional</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26"/>
              <w:spacing w:after="0"/>
              <w:rPr>
                <w:sz w:val="20"/>
                <w:szCs w:val="20"/>
                <w:color w:val="auto"/>
              </w:rPr>
            </w:pPr>
            <w:r>
              <w:rPr>
                <w:rFonts w:ascii="Arial" w:cs="Arial" w:eastAsia="Arial" w:hAnsi="Arial"/>
                <w:sz w:val="11"/>
                <w:szCs w:val="11"/>
                <w:b w:val="1"/>
                <w:bCs w:val="1"/>
                <w:color w:val="auto"/>
                <w:w w:val="88"/>
              </w:rPr>
              <w:t>Accumulated other</w:t>
            </w:r>
          </w:p>
        </w:tc>
        <w:tc>
          <w:tcPr>
            <w:tcW w:w="180" w:type="dxa"/>
            <w:vAlign w:val="bottom"/>
          </w:tcPr>
          <w:p>
            <w:pPr>
              <w:spacing w:after="0"/>
              <w:rPr>
                <w:sz w:val="14"/>
                <w:szCs w:val="14"/>
                <w:color w:val="auto"/>
              </w:rPr>
            </w:pPr>
          </w:p>
        </w:tc>
        <w:tc>
          <w:tcPr>
            <w:tcW w:w="1360" w:type="dxa"/>
            <w:vAlign w:val="bottom"/>
          </w:tcPr>
          <w:p>
            <w:pPr>
              <w:jc w:val="center"/>
              <w:ind w:right="126"/>
              <w:spacing w:after="0"/>
              <w:rPr>
                <w:sz w:val="20"/>
                <w:szCs w:val="20"/>
                <w:color w:val="auto"/>
              </w:rPr>
            </w:pPr>
            <w:r>
              <w:rPr>
                <w:rFonts w:ascii="Arial" w:cs="Arial" w:eastAsia="Arial" w:hAnsi="Arial"/>
                <w:sz w:val="11"/>
                <w:szCs w:val="11"/>
                <w:b w:val="1"/>
                <w:bCs w:val="1"/>
                <w:color w:val="auto"/>
                <w:w w:val="89"/>
              </w:rPr>
              <w:t>Noncontrolling</w:t>
            </w:r>
          </w:p>
        </w:tc>
        <w:tc>
          <w:tcPr>
            <w:tcW w:w="160" w:type="dxa"/>
            <w:vAlign w:val="bottom"/>
          </w:tcPr>
          <w:p>
            <w:pPr>
              <w:spacing w:after="0"/>
              <w:rPr>
                <w:sz w:val="14"/>
                <w:szCs w:val="14"/>
                <w:color w:val="auto"/>
              </w:rPr>
            </w:pPr>
          </w:p>
        </w:tc>
        <w:tc>
          <w:tcPr>
            <w:tcW w:w="860" w:type="dxa"/>
            <w:vAlign w:val="bottom"/>
          </w:tcPr>
          <w:p>
            <w:pPr>
              <w:jc w:val="center"/>
              <w:ind w:right="86"/>
              <w:spacing w:after="0"/>
              <w:rPr>
                <w:sz w:val="20"/>
                <w:szCs w:val="20"/>
                <w:color w:val="auto"/>
              </w:rPr>
            </w:pPr>
            <w:r>
              <w:rPr>
                <w:rFonts w:ascii="Arial" w:cs="Arial" w:eastAsia="Arial" w:hAnsi="Arial"/>
                <w:sz w:val="11"/>
                <w:szCs w:val="11"/>
                <w:b w:val="1"/>
                <w:bCs w:val="1"/>
                <w:color w:val="auto"/>
                <w:w w:val="91"/>
              </w:rPr>
              <w:t>Total</w:t>
            </w:r>
          </w:p>
        </w:tc>
      </w:tr>
      <w:tr>
        <w:trPr>
          <w:trHeight w:val="156"/>
        </w:trPr>
        <w:tc>
          <w:tcPr>
            <w:tcW w:w="1980" w:type="dxa"/>
            <w:vAlign w:val="bottom"/>
          </w:tcPr>
          <w:p>
            <w:pPr>
              <w:spacing w:after="0"/>
              <w:rPr>
                <w:sz w:val="13"/>
                <w:szCs w:val="13"/>
                <w:color w:val="auto"/>
              </w:rPr>
            </w:pPr>
          </w:p>
        </w:tc>
        <w:tc>
          <w:tcPr>
            <w:tcW w:w="1820" w:type="dxa"/>
            <w:vAlign w:val="bottom"/>
            <w:gridSpan w:val="4"/>
          </w:tcPr>
          <w:p>
            <w:pPr>
              <w:ind w:left="480"/>
              <w:spacing w:after="0"/>
              <w:rPr>
                <w:sz w:val="20"/>
                <w:szCs w:val="20"/>
                <w:color w:val="auto"/>
              </w:rPr>
            </w:pPr>
            <w:r>
              <w:rPr>
                <w:rFonts w:ascii="Arial" w:cs="Arial" w:eastAsia="Arial" w:hAnsi="Arial"/>
                <w:sz w:val="11"/>
                <w:szCs w:val="11"/>
                <w:b w:val="1"/>
                <w:bCs w:val="1"/>
                <w:color w:val="auto"/>
              </w:rPr>
              <w:t>preferred stock</w:t>
            </w:r>
          </w:p>
        </w:tc>
        <w:tc>
          <w:tcPr>
            <w:tcW w:w="1560" w:type="dxa"/>
            <w:vAlign w:val="bottom"/>
            <w:gridSpan w:val="3"/>
          </w:tcPr>
          <w:p>
            <w:pPr>
              <w:jc w:val="right"/>
              <w:ind w:right="406"/>
              <w:spacing w:after="0"/>
              <w:rPr>
                <w:sz w:val="20"/>
                <w:szCs w:val="20"/>
                <w:color w:val="auto"/>
              </w:rPr>
            </w:pPr>
            <w:r>
              <w:rPr>
                <w:rFonts w:ascii="Arial" w:cs="Arial" w:eastAsia="Arial" w:hAnsi="Arial"/>
                <w:sz w:val="11"/>
                <w:szCs w:val="11"/>
                <w:b w:val="1"/>
                <w:bCs w:val="1"/>
                <w:color w:val="auto"/>
              </w:rPr>
              <w:t>Common stock</w:t>
            </w:r>
          </w:p>
        </w:tc>
        <w:tc>
          <w:tcPr>
            <w:tcW w:w="180" w:type="dxa"/>
            <w:vAlign w:val="bottom"/>
          </w:tcPr>
          <w:p>
            <w:pPr>
              <w:spacing w:after="0"/>
              <w:rPr>
                <w:sz w:val="13"/>
                <w:szCs w:val="13"/>
                <w:color w:val="auto"/>
              </w:rPr>
            </w:pPr>
          </w:p>
        </w:tc>
        <w:tc>
          <w:tcPr>
            <w:tcW w:w="700" w:type="dxa"/>
            <w:vAlign w:val="bottom"/>
          </w:tcPr>
          <w:p>
            <w:pPr>
              <w:jc w:val="center"/>
              <w:ind w:right="106"/>
              <w:spacing w:after="0"/>
              <w:rPr>
                <w:sz w:val="20"/>
                <w:szCs w:val="20"/>
                <w:color w:val="auto"/>
              </w:rPr>
            </w:pPr>
            <w:r>
              <w:rPr>
                <w:rFonts w:ascii="Arial" w:cs="Arial" w:eastAsia="Arial" w:hAnsi="Arial"/>
                <w:sz w:val="11"/>
                <w:szCs w:val="11"/>
                <w:b w:val="1"/>
                <w:bCs w:val="1"/>
                <w:color w:val="auto"/>
                <w:w w:val="94"/>
              </w:rPr>
              <w:t>paid-in</w:t>
            </w:r>
          </w:p>
        </w:tc>
        <w:tc>
          <w:tcPr>
            <w:tcW w:w="180" w:type="dxa"/>
            <w:vAlign w:val="bottom"/>
          </w:tcPr>
          <w:p>
            <w:pPr>
              <w:spacing w:after="0"/>
              <w:rPr>
                <w:sz w:val="13"/>
                <w:szCs w:val="13"/>
                <w:color w:val="auto"/>
              </w:rPr>
            </w:pPr>
          </w:p>
        </w:tc>
        <w:tc>
          <w:tcPr>
            <w:tcW w:w="900" w:type="dxa"/>
            <w:vAlign w:val="bottom"/>
          </w:tcPr>
          <w:p>
            <w:pPr>
              <w:jc w:val="right"/>
              <w:ind w:right="186"/>
              <w:spacing w:after="0"/>
              <w:rPr>
                <w:sz w:val="20"/>
                <w:szCs w:val="20"/>
                <w:color w:val="auto"/>
              </w:rPr>
            </w:pPr>
            <w:r>
              <w:rPr>
                <w:rFonts w:ascii="Arial" w:cs="Arial" w:eastAsia="Arial" w:hAnsi="Arial"/>
                <w:sz w:val="11"/>
                <w:szCs w:val="11"/>
                <w:b w:val="1"/>
                <w:bCs w:val="1"/>
                <w:color w:val="auto"/>
                <w:w w:val="92"/>
              </w:rPr>
              <w:t>Accumulated</w:t>
            </w:r>
          </w:p>
        </w:tc>
        <w:tc>
          <w:tcPr>
            <w:tcW w:w="180" w:type="dxa"/>
            <w:vAlign w:val="bottom"/>
          </w:tcPr>
          <w:p>
            <w:pPr>
              <w:spacing w:after="0"/>
              <w:rPr>
                <w:sz w:val="13"/>
                <w:szCs w:val="13"/>
                <w:color w:val="auto"/>
              </w:rPr>
            </w:pPr>
          </w:p>
        </w:tc>
        <w:tc>
          <w:tcPr>
            <w:tcW w:w="1180" w:type="dxa"/>
            <w:vAlign w:val="bottom"/>
          </w:tcPr>
          <w:p>
            <w:pPr>
              <w:jc w:val="center"/>
              <w:ind w:right="146"/>
              <w:spacing w:after="0"/>
              <w:rPr>
                <w:sz w:val="20"/>
                <w:szCs w:val="20"/>
                <w:color w:val="auto"/>
              </w:rPr>
            </w:pPr>
            <w:r>
              <w:rPr>
                <w:rFonts w:ascii="Arial" w:cs="Arial" w:eastAsia="Arial" w:hAnsi="Arial"/>
                <w:sz w:val="11"/>
                <w:szCs w:val="11"/>
                <w:b w:val="1"/>
                <w:bCs w:val="1"/>
                <w:color w:val="auto"/>
                <w:w w:val="86"/>
              </w:rPr>
              <w:t>comprehensive</w:t>
            </w:r>
          </w:p>
        </w:tc>
        <w:tc>
          <w:tcPr>
            <w:tcW w:w="180" w:type="dxa"/>
            <w:vAlign w:val="bottom"/>
          </w:tcPr>
          <w:p>
            <w:pPr>
              <w:spacing w:after="0"/>
              <w:rPr>
                <w:sz w:val="13"/>
                <w:szCs w:val="13"/>
                <w:color w:val="auto"/>
              </w:rPr>
            </w:pPr>
          </w:p>
        </w:tc>
        <w:tc>
          <w:tcPr>
            <w:tcW w:w="1360" w:type="dxa"/>
            <w:vAlign w:val="bottom"/>
          </w:tcPr>
          <w:p>
            <w:pPr>
              <w:jc w:val="center"/>
              <w:ind w:right="126"/>
              <w:spacing w:after="0"/>
              <w:rPr>
                <w:sz w:val="20"/>
                <w:szCs w:val="20"/>
                <w:color w:val="auto"/>
              </w:rPr>
            </w:pPr>
            <w:r>
              <w:rPr>
                <w:rFonts w:ascii="Arial" w:cs="Arial" w:eastAsia="Arial" w:hAnsi="Arial"/>
                <w:sz w:val="11"/>
                <w:szCs w:val="11"/>
                <w:b w:val="1"/>
                <w:bCs w:val="1"/>
                <w:color w:val="auto"/>
                <w:w w:val="85"/>
              </w:rPr>
              <w:t>interest in consolidated</w:t>
            </w:r>
          </w:p>
        </w:tc>
        <w:tc>
          <w:tcPr>
            <w:tcW w:w="160" w:type="dxa"/>
            <w:vAlign w:val="bottom"/>
          </w:tcPr>
          <w:p>
            <w:pPr>
              <w:spacing w:after="0"/>
              <w:rPr>
                <w:sz w:val="13"/>
                <w:szCs w:val="13"/>
                <w:color w:val="auto"/>
              </w:rPr>
            </w:pPr>
          </w:p>
        </w:tc>
        <w:tc>
          <w:tcPr>
            <w:tcW w:w="860" w:type="dxa"/>
            <w:vAlign w:val="bottom"/>
          </w:tcPr>
          <w:p>
            <w:pPr>
              <w:jc w:val="center"/>
              <w:ind w:right="106"/>
              <w:spacing w:after="0"/>
              <w:rPr>
                <w:sz w:val="20"/>
                <w:szCs w:val="20"/>
                <w:color w:val="auto"/>
              </w:rPr>
            </w:pPr>
            <w:r>
              <w:rPr>
                <w:rFonts w:ascii="Arial" w:cs="Arial" w:eastAsia="Arial" w:hAnsi="Arial"/>
                <w:sz w:val="11"/>
                <w:szCs w:val="11"/>
                <w:b w:val="1"/>
                <w:bCs w:val="1"/>
                <w:color w:val="auto"/>
                <w:w w:val="86"/>
              </w:rPr>
              <w:t>stockholders’</w:t>
            </w:r>
          </w:p>
        </w:tc>
      </w:tr>
      <w:tr>
        <w:trPr>
          <w:trHeight w:val="140"/>
        </w:trPr>
        <w:tc>
          <w:tcPr>
            <w:tcW w:w="198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share data)</w:t>
            </w:r>
          </w:p>
        </w:tc>
        <w:tc>
          <w:tcPr>
            <w:tcW w:w="920" w:type="dxa"/>
            <w:vAlign w:val="bottom"/>
            <w:tcBorders>
              <w:top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right w:val="single" w:sz="8" w:color="auto"/>
            </w:tcBorders>
          </w:tcPr>
          <w:p>
            <w:pPr>
              <w:spacing w:after="0"/>
              <w:rPr>
                <w:sz w:val="12"/>
                <w:szCs w:val="12"/>
                <w:color w:val="auto"/>
              </w:rPr>
            </w:pPr>
          </w:p>
        </w:tc>
        <w:tc>
          <w:tcPr>
            <w:tcW w:w="880" w:type="dxa"/>
            <w:vAlign w:val="bottom"/>
            <w:tcBorders>
              <w:top w:val="single" w:sz="8" w:color="auto"/>
            </w:tcBorders>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2"/>
                <w:szCs w:val="12"/>
                <w:color w:val="auto"/>
              </w:rPr>
            </w:pPr>
          </w:p>
        </w:tc>
        <w:tc>
          <w:tcPr>
            <w:tcW w:w="700" w:type="dxa"/>
            <w:vAlign w:val="bottom"/>
          </w:tcPr>
          <w:p>
            <w:pPr>
              <w:jc w:val="center"/>
              <w:ind w:right="106"/>
              <w:spacing w:after="0"/>
              <w:rPr>
                <w:sz w:val="20"/>
                <w:szCs w:val="20"/>
                <w:color w:val="auto"/>
              </w:rPr>
            </w:pPr>
            <w:r>
              <w:rPr>
                <w:rFonts w:ascii="Arial" w:cs="Arial" w:eastAsia="Arial" w:hAnsi="Arial"/>
                <w:sz w:val="11"/>
                <w:szCs w:val="11"/>
                <w:b w:val="1"/>
                <w:bCs w:val="1"/>
                <w:color w:val="auto"/>
                <w:w w:val="85"/>
              </w:rPr>
              <w:t>capital</w:t>
            </w:r>
          </w:p>
        </w:tc>
        <w:tc>
          <w:tcPr>
            <w:tcW w:w="180" w:type="dxa"/>
            <w:vAlign w:val="bottom"/>
          </w:tcPr>
          <w:p>
            <w:pPr>
              <w:spacing w:after="0"/>
              <w:rPr>
                <w:sz w:val="12"/>
                <w:szCs w:val="12"/>
                <w:color w:val="auto"/>
              </w:rPr>
            </w:pPr>
          </w:p>
        </w:tc>
        <w:tc>
          <w:tcPr>
            <w:tcW w:w="900" w:type="dxa"/>
            <w:vAlign w:val="bottom"/>
          </w:tcPr>
          <w:p>
            <w:pPr>
              <w:jc w:val="right"/>
              <w:ind w:right="346"/>
              <w:spacing w:after="0"/>
              <w:rPr>
                <w:sz w:val="20"/>
                <w:szCs w:val="20"/>
                <w:color w:val="auto"/>
              </w:rPr>
            </w:pPr>
            <w:r>
              <w:rPr>
                <w:rFonts w:ascii="Arial" w:cs="Arial" w:eastAsia="Arial" w:hAnsi="Arial"/>
                <w:sz w:val="11"/>
                <w:szCs w:val="11"/>
                <w:b w:val="1"/>
                <w:bCs w:val="1"/>
                <w:color w:val="auto"/>
              </w:rPr>
              <w:t>deficit</w:t>
            </w:r>
          </w:p>
        </w:tc>
        <w:tc>
          <w:tcPr>
            <w:tcW w:w="180" w:type="dxa"/>
            <w:vAlign w:val="bottom"/>
          </w:tcPr>
          <w:p>
            <w:pPr>
              <w:spacing w:after="0"/>
              <w:rPr>
                <w:sz w:val="12"/>
                <w:szCs w:val="12"/>
                <w:color w:val="auto"/>
              </w:rPr>
            </w:pPr>
          </w:p>
        </w:tc>
        <w:tc>
          <w:tcPr>
            <w:tcW w:w="1180" w:type="dxa"/>
            <w:vAlign w:val="bottom"/>
          </w:tcPr>
          <w:p>
            <w:pPr>
              <w:jc w:val="center"/>
              <w:ind w:right="146"/>
              <w:spacing w:after="0"/>
              <w:rPr>
                <w:sz w:val="20"/>
                <w:szCs w:val="20"/>
                <w:color w:val="auto"/>
              </w:rPr>
            </w:pPr>
            <w:r>
              <w:rPr>
                <w:rFonts w:ascii="Arial" w:cs="Arial" w:eastAsia="Arial" w:hAnsi="Arial"/>
                <w:sz w:val="11"/>
                <w:szCs w:val="11"/>
                <w:b w:val="1"/>
                <w:bCs w:val="1"/>
                <w:color w:val="auto"/>
                <w:w w:val="88"/>
              </w:rPr>
              <w:t>income</w:t>
            </w:r>
          </w:p>
        </w:tc>
        <w:tc>
          <w:tcPr>
            <w:tcW w:w="180" w:type="dxa"/>
            <w:vAlign w:val="bottom"/>
          </w:tcPr>
          <w:p>
            <w:pPr>
              <w:spacing w:after="0"/>
              <w:rPr>
                <w:sz w:val="12"/>
                <w:szCs w:val="12"/>
                <w:color w:val="auto"/>
              </w:rPr>
            </w:pPr>
          </w:p>
        </w:tc>
        <w:tc>
          <w:tcPr>
            <w:tcW w:w="1360" w:type="dxa"/>
            <w:vAlign w:val="bottom"/>
          </w:tcPr>
          <w:p>
            <w:pPr>
              <w:jc w:val="center"/>
              <w:ind w:right="106"/>
              <w:spacing w:after="0"/>
              <w:rPr>
                <w:sz w:val="20"/>
                <w:szCs w:val="20"/>
                <w:color w:val="auto"/>
              </w:rPr>
            </w:pPr>
            <w:r>
              <w:rPr>
                <w:rFonts w:ascii="Arial" w:cs="Arial" w:eastAsia="Arial" w:hAnsi="Arial"/>
                <w:sz w:val="11"/>
                <w:szCs w:val="11"/>
                <w:b w:val="1"/>
                <w:bCs w:val="1"/>
                <w:color w:val="auto"/>
                <w:w w:val="87"/>
              </w:rPr>
              <w:t>subsidiary</w:t>
            </w:r>
          </w:p>
        </w:tc>
        <w:tc>
          <w:tcPr>
            <w:tcW w:w="160" w:type="dxa"/>
            <w:vAlign w:val="bottom"/>
          </w:tcPr>
          <w:p>
            <w:pPr>
              <w:spacing w:after="0"/>
              <w:rPr>
                <w:sz w:val="12"/>
                <w:szCs w:val="12"/>
                <w:color w:val="auto"/>
              </w:rPr>
            </w:pPr>
          </w:p>
        </w:tc>
        <w:tc>
          <w:tcPr>
            <w:tcW w:w="860" w:type="dxa"/>
            <w:vAlign w:val="bottom"/>
          </w:tcPr>
          <w:p>
            <w:pPr>
              <w:jc w:val="center"/>
              <w:ind w:right="86"/>
              <w:spacing w:after="0"/>
              <w:rPr>
                <w:sz w:val="20"/>
                <w:szCs w:val="20"/>
                <w:color w:val="auto"/>
              </w:rPr>
            </w:pPr>
            <w:r>
              <w:rPr>
                <w:rFonts w:ascii="Arial" w:cs="Arial" w:eastAsia="Arial" w:hAnsi="Arial"/>
                <w:sz w:val="11"/>
                <w:szCs w:val="11"/>
                <w:b w:val="1"/>
                <w:bCs w:val="1"/>
                <w:color w:val="auto"/>
                <w:w w:val="90"/>
              </w:rPr>
              <w:t>equity (deficit)</w:t>
            </w:r>
          </w:p>
        </w:tc>
      </w:tr>
      <w:tr>
        <w:trPr>
          <w:trHeight w:val="22"/>
        </w:trPr>
        <w:tc>
          <w:tcPr>
            <w:tcW w:w="1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36"/>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December 31, 2020</w:t>
            </w:r>
          </w:p>
        </w:tc>
        <w:tc>
          <w:tcPr>
            <w:tcW w:w="92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87,268,694</w:t>
            </w:r>
          </w:p>
        </w:tc>
        <w:tc>
          <w:tcPr>
            <w:tcW w:w="120" w:type="dxa"/>
            <w:vAlign w:val="bottom"/>
            <w:tcBorders>
              <w:bottom w:val="single" w:sz="8" w:color="CFF0FC"/>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194,319</w:t>
            </w:r>
          </w:p>
        </w:tc>
        <w:tc>
          <w:tcPr>
            <w:tcW w:w="100" w:type="dxa"/>
            <w:vAlign w:val="bottom"/>
            <w:tcBorders>
              <w:bottom w:val="single" w:sz="8" w:color="CFF0FC"/>
              <w:right w:val="single" w:sz="8" w:color="auto"/>
            </w:tcBorders>
            <w:shd w:val="clear" w:color="auto" w:fill="CFF0FC"/>
          </w:tcPr>
          <w:p>
            <w:pPr>
              <w:spacing w:after="0"/>
              <w:rPr>
                <w:sz w:val="11"/>
                <w:szCs w:val="1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31,241,916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23</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6,491</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(22,607 )</w:t>
            </w:r>
          </w:p>
        </w:tc>
        <w:tc>
          <w:tcPr>
            <w:tcW w:w="18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65</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(16,028 )</w:t>
            </w:r>
          </w:p>
        </w:tc>
      </w:tr>
      <w:tr>
        <w:trPr>
          <w:trHeight w:val="140"/>
        </w:trPr>
        <w:tc>
          <w:tcPr>
            <w:tcW w:w="198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533,540</w:t>
            </w:r>
          </w:p>
        </w:tc>
        <w:tc>
          <w:tcPr>
            <w:tcW w:w="120" w:type="dxa"/>
            <w:vAlign w:val="bottom"/>
          </w:tcPr>
          <w:p>
            <w:pPr>
              <w:spacing w:after="0"/>
              <w:rPr>
                <w:sz w:val="12"/>
                <w:szCs w:val="12"/>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2"/>
                <w:szCs w:val="12"/>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195</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196</w:t>
            </w:r>
          </w:p>
        </w:tc>
      </w:tr>
      <w:tr>
        <w:trPr>
          <w:trHeight w:val="22"/>
        </w:trPr>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456</w:t>
            </w: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456</w:t>
            </w:r>
          </w:p>
        </w:tc>
      </w:tr>
      <w:tr>
        <w:trPr>
          <w:trHeight w:val="139"/>
        </w:trPr>
        <w:tc>
          <w:tcPr>
            <w:tcW w:w="1980" w:type="dxa"/>
            <w:vAlign w:val="bottom"/>
          </w:tcPr>
          <w:p>
            <w:pPr>
              <w:ind w:left="20"/>
              <w:spacing w:after="0"/>
              <w:rPr>
                <w:sz w:val="20"/>
                <w:szCs w:val="20"/>
                <w:color w:val="auto"/>
              </w:rPr>
            </w:pPr>
            <w:r>
              <w:rPr>
                <w:rFonts w:ascii="Arial" w:cs="Arial" w:eastAsia="Arial" w:hAnsi="Arial"/>
                <w:sz w:val="11"/>
                <w:szCs w:val="11"/>
                <w:color w:val="auto"/>
                <w:w w:val="90"/>
              </w:rPr>
              <w:t>Foreign currency translation adjustment, net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6"/>
        </w:trPr>
        <w:tc>
          <w:tcPr>
            <w:tcW w:w="1980" w:type="dxa"/>
            <w:vAlign w:val="bottom"/>
          </w:tcPr>
          <w:p>
            <w:pPr>
              <w:ind w:left="20"/>
              <w:spacing w:after="0"/>
              <w:rPr>
                <w:sz w:val="20"/>
                <w:szCs w:val="20"/>
                <w:color w:val="auto"/>
              </w:rPr>
            </w:pPr>
            <w:r>
              <w:rPr>
                <w:rFonts w:ascii="Arial" w:cs="Arial" w:eastAsia="Arial" w:hAnsi="Arial"/>
                <w:sz w:val="11"/>
                <w:szCs w:val="11"/>
                <w:color w:val="auto"/>
              </w:rPr>
              <w:t>of tax</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26"/>
              <w:spacing w:after="0"/>
              <w:rPr>
                <w:sz w:val="20"/>
                <w:szCs w:val="20"/>
                <w:color w:val="auto"/>
              </w:rPr>
            </w:pPr>
            <w:r>
              <w:rPr>
                <w:rFonts w:ascii="Arial" w:cs="Arial" w:eastAsia="Arial" w:hAnsi="Arial"/>
                <w:sz w:val="11"/>
                <w:szCs w:val="11"/>
                <w:color w:val="auto"/>
              </w:rPr>
              <w:t>202</w:t>
            </w: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202</w:t>
            </w:r>
          </w:p>
        </w:tc>
      </w:tr>
      <w:tr>
        <w:trPr>
          <w:trHeight w:val="22"/>
        </w:trPr>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102</w:t>
            </w: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102</w:t>
            </w:r>
          </w:p>
        </w:tc>
      </w:tr>
      <w:tr>
        <w:trPr>
          <w:trHeight w:val="140"/>
        </w:trPr>
        <w:tc>
          <w:tcPr>
            <w:tcW w:w="1980" w:type="dxa"/>
            <w:vAlign w:val="bottom"/>
          </w:tcPr>
          <w:p>
            <w:pPr>
              <w:ind w:left="20"/>
              <w:spacing w:after="0"/>
              <w:rPr>
                <w:sz w:val="20"/>
                <w:szCs w:val="20"/>
                <w:color w:val="auto"/>
              </w:rPr>
            </w:pPr>
            <w:r>
              <w:rPr>
                <w:rFonts w:ascii="Arial" w:cs="Arial" w:eastAsia="Arial" w:hAnsi="Arial"/>
                <w:sz w:val="11"/>
                <w:szCs w:val="11"/>
                <w:color w:val="auto"/>
              </w:rPr>
              <w:t>Noncontrolling interest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26"/>
              <w:spacing w:after="0"/>
              <w:rPr>
                <w:sz w:val="20"/>
                <w:szCs w:val="20"/>
                <w:color w:val="auto"/>
              </w:rPr>
            </w:pPr>
            <w:r>
              <w:rPr>
                <w:rFonts w:ascii="Arial" w:cs="Arial" w:eastAsia="Arial" w:hAnsi="Arial"/>
                <w:sz w:val="11"/>
                <w:szCs w:val="11"/>
                <w:color w:val="auto"/>
              </w:rPr>
              <w:t>315</w:t>
            </w:r>
          </w:p>
        </w:tc>
        <w:tc>
          <w:tcPr>
            <w:tcW w:w="1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315</w:t>
            </w:r>
          </w:p>
        </w:tc>
      </w:tr>
      <w:tr>
        <w:trPr>
          <w:trHeight w:val="22"/>
        </w:trPr>
        <w:tc>
          <w:tcPr>
            <w:tcW w:w="1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1"/>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March 31, 2021</w:t>
            </w:r>
          </w:p>
        </w:tc>
        <w:tc>
          <w:tcPr>
            <w:tcW w:w="92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87,268,694</w:t>
            </w:r>
          </w:p>
        </w:tc>
        <w:tc>
          <w:tcPr>
            <w:tcW w:w="1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194,319</w:t>
            </w:r>
          </w:p>
        </w:tc>
        <w:tc>
          <w:tcPr>
            <w:tcW w:w="100" w:type="dxa"/>
            <w:vAlign w:val="bottom"/>
            <w:tcBorders>
              <w:bottom w:val="single" w:sz="8" w:color="auto"/>
              <w:right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31,775,456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7,142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(22,505 )</w:t>
            </w:r>
          </w:p>
        </w:tc>
        <w:tc>
          <w:tcPr>
            <w:tcW w:w="1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267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315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(14,757 )</w:t>
            </w:r>
          </w:p>
        </w:tc>
      </w:tr>
      <w:tr>
        <w:trPr>
          <w:trHeight w:val="105"/>
        </w:trPr>
        <w:tc>
          <w:tcPr>
            <w:tcW w:w="1980" w:type="dxa"/>
            <w:vAlign w:val="bottom"/>
          </w:tcPr>
          <w:p>
            <w:pPr>
              <w:ind w:left="20"/>
              <w:spacing w:after="0" w:line="105" w:lineRule="exact"/>
              <w:rPr>
                <w:sz w:val="20"/>
                <w:szCs w:val="20"/>
                <w:color w:val="auto"/>
              </w:rPr>
            </w:pPr>
            <w:r>
              <w:rPr>
                <w:rFonts w:ascii="Arial" w:cs="Arial" w:eastAsia="Arial" w:hAnsi="Arial"/>
                <w:sz w:val="11"/>
                <w:szCs w:val="11"/>
                <w:color w:val="auto"/>
              </w:rPr>
              <w:t>Exercise of stock options</w:t>
            </w: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880" w:type="dxa"/>
            <w:vAlign w:val="bottom"/>
          </w:tcPr>
          <w:p>
            <w:pPr>
              <w:jc w:val="right"/>
              <w:spacing w:after="0" w:line="105" w:lineRule="exact"/>
              <w:rPr>
                <w:sz w:val="20"/>
                <w:szCs w:val="20"/>
                <w:color w:val="auto"/>
              </w:rPr>
            </w:pPr>
            <w:r>
              <w:rPr>
                <w:rFonts w:ascii="Arial" w:cs="Arial" w:eastAsia="Arial" w:hAnsi="Arial"/>
                <w:sz w:val="11"/>
                <w:szCs w:val="11"/>
                <w:color w:val="auto"/>
              </w:rPr>
              <w:t>321,130</w:t>
            </w:r>
          </w:p>
        </w:tc>
        <w:tc>
          <w:tcPr>
            <w:tcW w:w="120" w:type="dxa"/>
            <w:vAlign w:val="bottom"/>
          </w:tcPr>
          <w:p>
            <w:pPr>
              <w:spacing w:after="0"/>
              <w:rPr>
                <w:sz w:val="9"/>
                <w:szCs w:val="9"/>
                <w:color w:val="auto"/>
              </w:rPr>
            </w:pPr>
          </w:p>
        </w:tc>
        <w:tc>
          <w:tcPr>
            <w:tcW w:w="560" w:type="dxa"/>
            <w:vAlign w:val="bottom"/>
          </w:tcPr>
          <w:p>
            <w:pPr>
              <w:jc w:val="right"/>
              <w:ind w:right="26"/>
              <w:spacing w:after="0" w:line="10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9"/>
                <w:szCs w:val="9"/>
                <w:color w:val="auto"/>
              </w:rPr>
            </w:pPr>
          </w:p>
        </w:tc>
        <w:tc>
          <w:tcPr>
            <w:tcW w:w="700" w:type="dxa"/>
            <w:vAlign w:val="bottom"/>
          </w:tcPr>
          <w:p>
            <w:pPr>
              <w:jc w:val="right"/>
              <w:ind w:right="26"/>
              <w:spacing w:after="0" w:line="105" w:lineRule="exact"/>
              <w:rPr>
                <w:sz w:val="20"/>
                <w:szCs w:val="20"/>
                <w:color w:val="auto"/>
              </w:rPr>
            </w:pPr>
            <w:r>
              <w:rPr>
                <w:rFonts w:ascii="Arial" w:cs="Arial" w:eastAsia="Arial" w:hAnsi="Arial"/>
                <w:sz w:val="11"/>
                <w:szCs w:val="11"/>
                <w:color w:val="auto"/>
              </w:rPr>
              <w:t>166</w:t>
            </w: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ind w:right="6"/>
              <w:spacing w:after="0" w:line="105" w:lineRule="exact"/>
              <w:rPr>
                <w:sz w:val="20"/>
                <w:szCs w:val="20"/>
                <w:color w:val="auto"/>
              </w:rPr>
            </w:pPr>
            <w:r>
              <w:rPr>
                <w:rFonts w:ascii="Arial" w:cs="Arial" w:eastAsia="Arial" w:hAnsi="Arial"/>
                <w:sz w:val="11"/>
                <w:szCs w:val="11"/>
                <w:color w:val="auto"/>
              </w:rPr>
              <w:t>166</w:t>
            </w:r>
          </w:p>
        </w:tc>
      </w:tr>
      <w:tr>
        <w:trPr>
          <w:trHeight w:val="22"/>
        </w:trPr>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667</w:t>
            </w: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667</w:t>
            </w:r>
          </w:p>
        </w:tc>
      </w:tr>
      <w:tr>
        <w:trPr>
          <w:trHeight w:val="139"/>
        </w:trPr>
        <w:tc>
          <w:tcPr>
            <w:tcW w:w="1980" w:type="dxa"/>
            <w:vAlign w:val="bottom"/>
          </w:tcPr>
          <w:p>
            <w:pPr>
              <w:ind w:left="20"/>
              <w:spacing w:after="0"/>
              <w:rPr>
                <w:sz w:val="20"/>
                <w:szCs w:val="20"/>
                <w:color w:val="auto"/>
              </w:rPr>
            </w:pPr>
            <w:r>
              <w:rPr>
                <w:rFonts w:ascii="Arial" w:cs="Arial" w:eastAsia="Arial" w:hAnsi="Arial"/>
                <w:sz w:val="11"/>
                <w:szCs w:val="11"/>
                <w:color w:val="auto"/>
                <w:w w:val="90"/>
              </w:rPr>
              <w:t>Foreign currency translation adjustment, net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6"/>
        </w:trPr>
        <w:tc>
          <w:tcPr>
            <w:tcW w:w="1980" w:type="dxa"/>
            <w:vAlign w:val="bottom"/>
          </w:tcPr>
          <w:p>
            <w:pPr>
              <w:ind w:left="20"/>
              <w:spacing w:after="0"/>
              <w:rPr>
                <w:sz w:val="20"/>
                <w:szCs w:val="20"/>
                <w:color w:val="auto"/>
              </w:rPr>
            </w:pPr>
            <w:r>
              <w:rPr>
                <w:rFonts w:ascii="Arial" w:cs="Arial" w:eastAsia="Arial" w:hAnsi="Arial"/>
                <w:sz w:val="11"/>
                <w:szCs w:val="11"/>
                <w:color w:val="auto"/>
              </w:rPr>
              <w:t>of tax</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26"/>
              <w:spacing w:after="0"/>
              <w:rPr>
                <w:sz w:val="20"/>
                <w:szCs w:val="20"/>
                <w:color w:val="auto"/>
              </w:rPr>
            </w:pPr>
            <w:r>
              <w:rPr>
                <w:rFonts w:ascii="Arial" w:cs="Arial" w:eastAsia="Arial" w:hAnsi="Arial"/>
                <w:sz w:val="11"/>
                <w:szCs w:val="11"/>
                <w:color w:val="auto"/>
              </w:rPr>
              <w:t>269</w:t>
            </w: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269</w:t>
            </w:r>
          </w:p>
        </w:tc>
      </w:tr>
      <w:tr>
        <w:trPr>
          <w:trHeight w:val="22"/>
        </w:trPr>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2,670</w:t>
            </w: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2,670</w:t>
            </w:r>
          </w:p>
        </w:tc>
      </w:tr>
      <w:tr>
        <w:trPr>
          <w:trHeight w:val="140"/>
        </w:trPr>
        <w:tc>
          <w:tcPr>
            <w:tcW w:w="1980" w:type="dxa"/>
            <w:vAlign w:val="bottom"/>
          </w:tcPr>
          <w:p>
            <w:pPr>
              <w:ind w:left="20"/>
              <w:spacing w:after="0"/>
              <w:rPr>
                <w:sz w:val="20"/>
                <w:szCs w:val="20"/>
                <w:color w:val="auto"/>
              </w:rPr>
            </w:pPr>
            <w:r>
              <w:rPr>
                <w:rFonts w:ascii="Arial" w:cs="Arial" w:eastAsia="Arial" w:hAnsi="Arial"/>
                <w:sz w:val="11"/>
                <w:szCs w:val="11"/>
                <w:color w:val="auto"/>
              </w:rPr>
              <w:t>Noncontrolling interest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
        </w:trPr>
        <w:tc>
          <w:tcPr>
            <w:tcW w:w="1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1"/>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June 30, 2021</w:t>
            </w:r>
          </w:p>
        </w:tc>
        <w:tc>
          <w:tcPr>
            <w:tcW w:w="92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87,268,694</w:t>
            </w:r>
          </w:p>
        </w:tc>
        <w:tc>
          <w:tcPr>
            <w:tcW w:w="1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194,319</w:t>
            </w:r>
          </w:p>
        </w:tc>
        <w:tc>
          <w:tcPr>
            <w:tcW w:w="100" w:type="dxa"/>
            <w:vAlign w:val="bottom"/>
            <w:tcBorders>
              <w:bottom w:val="single" w:sz="8" w:color="auto"/>
              <w:right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32,096,586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24</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7,975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(19,835 )</w:t>
            </w:r>
          </w:p>
        </w:tc>
        <w:tc>
          <w:tcPr>
            <w:tcW w:w="1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536</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315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(10,985 )</w:t>
            </w:r>
          </w:p>
        </w:tc>
      </w:tr>
      <w:tr>
        <w:trPr>
          <w:trHeight w:val="125"/>
        </w:trPr>
        <w:tc>
          <w:tcPr>
            <w:tcW w:w="1980" w:type="dxa"/>
            <w:vAlign w:val="bottom"/>
          </w:tcPr>
          <w:p>
            <w:pPr>
              <w:ind w:left="20"/>
              <w:spacing w:after="0" w:line="125" w:lineRule="exact"/>
              <w:rPr>
                <w:sz w:val="20"/>
                <w:szCs w:val="20"/>
                <w:color w:val="auto"/>
              </w:rPr>
            </w:pPr>
            <w:r>
              <w:rPr>
                <w:rFonts w:ascii="Arial" w:cs="Arial" w:eastAsia="Arial" w:hAnsi="Arial"/>
                <w:sz w:val="11"/>
                <w:szCs w:val="11"/>
                <w:color w:val="auto"/>
              </w:rPr>
              <w:t>Exercise of stock options</w:t>
            </w: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80" w:type="dxa"/>
            <w:vAlign w:val="bottom"/>
          </w:tcPr>
          <w:p>
            <w:pPr>
              <w:jc w:val="right"/>
              <w:spacing w:after="0" w:line="125" w:lineRule="exact"/>
              <w:rPr>
                <w:sz w:val="20"/>
                <w:szCs w:val="20"/>
                <w:color w:val="auto"/>
              </w:rPr>
            </w:pPr>
            <w:r>
              <w:rPr>
                <w:rFonts w:ascii="Arial" w:cs="Arial" w:eastAsia="Arial" w:hAnsi="Arial"/>
                <w:sz w:val="11"/>
                <w:szCs w:val="11"/>
                <w:color w:val="auto"/>
              </w:rPr>
              <w:t>411,060</w:t>
            </w:r>
          </w:p>
        </w:tc>
        <w:tc>
          <w:tcPr>
            <w:tcW w:w="120" w:type="dxa"/>
            <w:vAlign w:val="bottom"/>
          </w:tcPr>
          <w:p>
            <w:pPr>
              <w:spacing w:after="0"/>
              <w:rPr>
                <w:sz w:val="10"/>
                <w:szCs w:val="10"/>
                <w:color w:val="auto"/>
              </w:rPr>
            </w:pPr>
          </w:p>
        </w:tc>
        <w:tc>
          <w:tcPr>
            <w:tcW w:w="560" w:type="dxa"/>
            <w:vAlign w:val="bottom"/>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700" w:type="dxa"/>
            <w:vAlign w:val="bottom"/>
          </w:tcPr>
          <w:p>
            <w:pPr>
              <w:jc w:val="right"/>
              <w:ind w:right="26"/>
              <w:spacing w:after="0" w:line="125" w:lineRule="exact"/>
              <w:rPr>
                <w:sz w:val="20"/>
                <w:szCs w:val="20"/>
                <w:color w:val="auto"/>
              </w:rPr>
            </w:pPr>
            <w:r>
              <w:rPr>
                <w:rFonts w:ascii="Arial" w:cs="Arial" w:eastAsia="Arial" w:hAnsi="Arial"/>
                <w:sz w:val="11"/>
                <w:szCs w:val="11"/>
                <w:color w:val="auto"/>
              </w:rPr>
              <w:t>264</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right"/>
              <w:ind w:right="6"/>
              <w:spacing w:after="0" w:line="125" w:lineRule="exact"/>
              <w:rPr>
                <w:sz w:val="20"/>
                <w:szCs w:val="20"/>
                <w:color w:val="auto"/>
              </w:rPr>
            </w:pPr>
            <w:r>
              <w:rPr>
                <w:rFonts w:ascii="Arial" w:cs="Arial" w:eastAsia="Arial" w:hAnsi="Arial"/>
                <w:sz w:val="11"/>
                <w:szCs w:val="11"/>
                <w:color w:val="auto"/>
              </w:rPr>
              <w:t>264</w:t>
            </w:r>
          </w:p>
        </w:tc>
      </w:tr>
      <w:tr>
        <w:trPr>
          <w:trHeight w:val="22"/>
        </w:trPr>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2,455</w:t>
            </w: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2,455</w:t>
            </w:r>
          </w:p>
        </w:tc>
      </w:tr>
      <w:tr>
        <w:trPr>
          <w:trHeight w:val="139"/>
        </w:trPr>
        <w:tc>
          <w:tcPr>
            <w:tcW w:w="1980" w:type="dxa"/>
            <w:vAlign w:val="bottom"/>
          </w:tcPr>
          <w:p>
            <w:pPr>
              <w:ind w:left="20"/>
              <w:spacing w:after="0"/>
              <w:rPr>
                <w:sz w:val="20"/>
                <w:szCs w:val="20"/>
                <w:color w:val="auto"/>
              </w:rPr>
            </w:pPr>
            <w:r>
              <w:rPr>
                <w:rFonts w:ascii="Arial" w:cs="Arial" w:eastAsia="Arial" w:hAnsi="Arial"/>
                <w:sz w:val="11"/>
                <w:szCs w:val="11"/>
                <w:color w:val="auto"/>
              </w:rPr>
              <w:t>Issuance of common stock upon initial</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5"/>
        </w:trPr>
        <w:tc>
          <w:tcPr>
            <w:tcW w:w="1980" w:type="dxa"/>
            <w:vAlign w:val="bottom"/>
          </w:tcPr>
          <w:p>
            <w:pPr>
              <w:ind w:left="20"/>
              <w:spacing w:after="0"/>
              <w:rPr>
                <w:sz w:val="20"/>
                <w:szCs w:val="20"/>
                <w:color w:val="auto"/>
              </w:rPr>
            </w:pPr>
            <w:r>
              <w:rPr>
                <w:rFonts w:ascii="Arial" w:cs="Arial" w:eastAsia="Arial" w:hAnsi="Arial"/>
                <w:sz w:val="11"/>
                <w:szCs w:val="11"/>
                <w:color w:val="auto"/>
              </w:rPr>
              <w:t>public offering, net of underwriting</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5"/>
        </w:trPr>
        <w:tc>
          <w:tcPr>
            <w:tcW w:w="1980" w:type="dxa"/>
            <w:vAlign w:val="bottom"/>
          </w:tcPr>
          <w:p>
            <w:pPr>
              <w:ind w:left="20"/>
              <w:spacing w:after="0"/>
              <w:rPr>
                <w:sz w:val="20"/>
                <w:szCs w:val="20"/>
                <w:color w:val="auto"/>
              </w:rPr>
            </w:pPr>
            <w:r>
              <w:rPr>
                <w:rFonts w:ascii="Arial" w:cs="Arial" w:eastAsia="Arial" w:hAnsi="Arial"/>
                <w:sz w:val="11"/>
                <w:szCs w:val="11"/>
                <w:color w:val="auto"/>
              </w:rPr>
              <w:t>discounts and commissions and other</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36"/>
        </w:trPr>
        <w:tc>
          <w:tcPr>
            <w:tcW w:w="1980" w:type="dxa"/>
            <w:vAlign w:val="bottom"/>
          </w:tcPr>
          <w:p>
            <w:pPr>
              <w:ind w:left="20"/>
              <w:spacing w:after="0"/>
              <w:rPr>
                <w:sz w:val="20"/>
                <w:szCs w:val="20"/>
                <w:color w:val="auto"/>
              </w:rPr>
            </w:pPr>
            <w:r>
              <w:rPr>
                <w:rFonts w:ascii="Arial" w:cs="Arial" w:eastAsia="Arial" w:hAnsi="Arial"/>
                <w:sz w:val="11"/>
                <w:szCs w:val="11"/>
                <w:color w:val="auto"/>
              </w:rPr>
              <w:t>offering costs</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13,949,401</w:t>
            </w:r>
          </w:p>
        </w:tc>
        <w:tc>
          <w:tcPr>
            <w:tcW w:w="12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14</w:t>
            </w:r>
          </w:p>
        </w:tc>
        <w:tc>
          <w:tcPr>
            <w:tcW w:w="18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215,675</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215,689</w:t>
            </w:r>
          </w:p>
        </w:tc>
      </w:tr>
      <w:tr>
        <w:trPr>
          <w:trHeight w:val="22"/>
        </w:trPr>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9"/>
        </w:trPr>
        <w:tc>
          <w:tcPr>
            <w:tcW w:w="198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Conversion of redeemable convertible</w:t>
            </w: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r>
      <w:tr>
        <w:trPr>
          <w:trHeight w:val="135"/>
        </w:trPr>
        <w:tc>
          <w:tcPr>
            <w:tcW w:w="1980" w:type="dxa"/>
            <w:vAlign w:val="bottom"/>
            <w:shd w:val="clear" w:color="auto" w:fill="CFF0FC"/>
          </w:tcPr>
          <w:p>
            <w:pPr>
              <w:ind w:left="20"/>
              <w:spacing w:after="0"/>
              <w:rPr>
                <w:sz w:val="20"/>
                <w:szCs w:val="20"/>
                <w:color w:val="auto"/>
              </w:rPr>
            </w:pPr>
            <w:r>
              <w:rPr>
                <w:rFonts w:ascii="Arial" w:cs="Arial" w:eastAsia="Arial" w:hAnsi="Arial"/>
                <w:sz w:val="11"/>
                <w:szCs w:val="11"/>
                <w:color w:val="auto"/>
                <w:w w:val="90"/>
              </w:rPr>
              <w:t>preferred stock to common stock upon initial</w:t>
            </w: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tcBorders>
              <w:right w:val="single" w:sz="8" w:color="auto"/>
            </w:tcBorders>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r>
      <w:tr>
        <w:trPr>
          <w:trHeight w:val="138"/>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public offering</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(87,268,694 )</w:t>
            </w: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(194,319 )</w:t>
            </w: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87,268,694</w:t>
            </w: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87</w:t>
            </w:r>
          </w:p>
        </w:tc>
        <w:tc>
          <w:tcPr>
            <w:tcW w:w="1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194,231</w:t>
            </w: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194,318</w:t>
            </w:r>
          </w:p>
        </w:tc>
      </w:tr>
      <w:tr>
        <w:trPr>
          <w:trHeight w:val="139"/>
        </w:trPr>
        <w:tc>
          <w:tcPr>
            <w:tcW w:w="1980" w:type="dxa"/>
            <w:vAlign w:val="bottom"/>
          </w:tcPr>
          <w:p>
            <w:pPr>
              <w:ind w:left="20"/>
              <w:spacing w:after="0"/>
              <w:rPr>
                <w:sz w:val="20"/>
                <w:szCs w:val="20"/>
                <w:color w:val="auto"/>
              </w:rPr>
            </w:pPr>
            <w:r>
              <w:rPr>
                <w:rFonts w:ascii="Arial" w:cs="Arial" w:eastAsia="Arial" w:hAnsi="Arial"/>
                <w:sz w:val="11"/>
                <w:szCs w:val="11"/>
                <w:color w:val="auto"/>
                <w:w w:val="90"/>
              </w:rPr>
              <w:t>Foreign currency translation adjustment, net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6"/>
        </w:trPr>
        <w:tc>
          <w:tcPr>
            <w:tcW w:w="1980" w:type="dxa"/>
            <w:vAlign w:val="bottom"/>
          </w:tcPr>
          <w:p>
            <w:pPr>
              <w:ind w:left="20"/>
              <w:spacing w:after="0"/>
              <w:rPr>
                <w:sz w:val="20"/>
                <w:szCs w:val="20"/>
                <w:color w:val="auto"/>
              </w:rPr>
            </w:pPr>
            <w:r>
              <w:rPr>
                <w:rFonts w:ascii="Arial" w:cs="Arial" w:eastAsia="Arial" w:hAnsi="Arial"/>
                <w:sz w:val="11"/>
                <w:szCs w:val="11"/>
                <w:color w:val="auto"/>
              </w:rPr>
              <w:t>of tax</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26"/>
              <w:spacing w:after="0"/>
              <w:rPr>
                <w:sz w:val="20"/>
                <w:szCs w:val="20"/>
                <w:color w:val="auto"/>
              </w:rPr>
            </w:pPr>
            <w:r>
              <w:rPr>
                <w:rFonts w:ascii="Arial" w:cs="Arial" w:eastAsia="Arial" w:hAnsi="Arial"/>
                <w:sz w:val="11"/>
                <w:szCs w:val="11"/>
                <w:color w:val="auto"/>
              </w:rPr>
              <w:t>34</w:t>
            </w: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34</w:t>
            </w:r>
          </w:p>
        </w:tc>
      </w:tr>
      <w:tr>
        <w:trPr>
          <w:trHeight w:val="22"/>
        </w:trPr>
        <w:tc>
          <w:tcPr>
            <w:tcW w:w="1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42"/>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9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8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9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1,420</w:t>
            </w:r>
          </w:p>
        </w:tc>
        <w:tc>
          <w:tcPr>
            <w:tcW w:w="180" w:type="dxa"/>
            <w:vAlign w:val="bottom"/>
            <w:tcBorders>
              <w:bottom w:val="single" w:sz="8" w:color="CFF0FC"/>
            </w:tcBorders>
            <w:shd w:val="clear" w:color="auto" w:fill="CFF0FC"/>
          </w:tcPr>
          <w:p>
            <w:pPr>
              <w:spacing w:after="0"/>
              <w:rPr>
                <w:sz w:val="12"/>
                <w:szCs w:val="12"/>
                <w:color w:val="auto"/>
              </w:rPr>
            </w:pPr>
          </w:p>
        </w:tc>
        <w:tc>
          <w:tcPr>
            <w:tcW w:w="118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136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86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1,420</w:t>
            </w:r>
          </w:p>
        </w:tc>
      </w:tr>
      <w:tr>
        <w:trPr>
          <w:trHeight w:val="140"/>
        </w:trPr>
        <w:tc>
          <w:tcPr>
            <w:tcW w:w="1980" w:type="dxa"/>
            <w:vAlign w:val="bottom"/>
          </w:tcPr>
          <w:p>
            <w:pPr>
              <w:ind w:left="20"/>
              <w:spacing w:after="0"/>
              <w:rPr>
                <w:sz w:val="20"/>
                <w:szCs w:val="20"/>
                <w:color w:val="auto"/>
              </w:rPr>
            </w:pPr>
            <w:r>
              <w:rPr>
                <w:rFonts w:ascii="Arial" w:cs="Arial" w:eastAsia="Arial" w:hAnsi="Arial"/>
                <w:sz w:val="11"/>
                <w:szCs w:val="11"/>
                <w:color w:val="auto"/>
              </w:rPr>
              <w:t>Noncontrolling interest</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2"/>
        </w:trPr>
        <w:tc>
          <w:tcPr>
            <w:tcW w:w="1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1"/>
        </w:trPr>
        <w:tc>
          <w:tcPr>
            <w:tcW w:w="1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September 30, 2021</w:t>
            </w:r>
          </w:p>
        </w:tc>
        <w:tc>
          <w:tcPr>
            <w:tcW w:w="92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right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133,725,741</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125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420,600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(18,415 )</w:t>
            </w:r>
          </w:p>
        </w:tc>
        <w:tc>
          <w:tcPr>
            <w:tcW w:w="1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570</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315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403,195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2392680</wp:posOffset>
            </wp:positionH>
            <wp:positionV relativeFrom="paragraph">
              <wp:posOffset>-3183890</wp:posOffset>
            </wp:positionV>
            <wp:extent cx="3429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14"/>
                <w:szCs w:val="14"/>
                <w:color w:val="auto"/>
              </w:rPr>
            </w:pPr>
          </w:p>
        </w:tc>
        <w:tc>
          <w:tcPr>
            <w:tcW w:w="1980" w:type="dxa"/>
            <w:vAlign w:val="bottom"/>
            <w:tcBorders>
              <w:right w:val="single" w:sz="8" w:color="auto"/>
            </w:tcBorders>
            <w:gridSpan w:val="4"/>
          </w:tcPr>
          <w:p>
            <w:pPr>
              <w:jc w:val="center"/>
              <w:ind w:right="180"/>
              <w:spacing w:after="0"/>
              <w:rPr>
                <w:sz w:val="20"/>
                <w:szCs w:val="20"/>
                <w:color w:val="auto"/>
              </w:rPr>
            </w:pPr>
            <w:r>
              <w:rPr>
                <w:rFonts w:ascii="Arial" w:cs="Arial" w:eastAsia="Arial" w:hAnsi="Arial"/>
                <w:sz w:val="11"/>
                <w:szCs w:val="11"/>
                <w:b w:val="1"/>
                <w:bCs w:val="1"/>
                <w:color w:val="auto"/>
                <w:w w:val="88"/>
              </w:rPr>
              <w:t>Redeemable convertible</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right="146"/>
              <w:spacing w:after="0"/>
              <w:rPr>
                <w:sz w:val="20"/>
                <w:szCs w:val="20"/>
                <w:color w:val="auto"/>
              </w:rPr>
            </w:pPr>
            <w:r>
              <w:rPr>
                <w:rFonts w:ascii="Arial" w:cs="Arial" w:eastAsia="Arial" w:hAnsi="Arial"/>
                <w:sz w:val="11"/>
                <w:szCs w:val="11"/>
                <w:b w:val="1"/>
                <w:bCs w:val="1"/>
                <w:color w:val="auto"/>
                <w:w w:val="89"/>
              </w:rPr>
              <w:t>Additional</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center"/>
              <w:ind w:right="186"/>
              <w:spacing w:after="0"/>
              <w:rPr>
                <w:sz w:val="20"/>
                <w:szCs w:val="20"/>
                <w:color w:val="auto"/>
              </w:rPr>
            </w:pPr>
            <w:r>
              <w:rPr>
                <w:rFonts w:ascii="Arial" w:cs="Arial" w:eastAsia="Arial" w:hAnsi="Arial"/>
                <w:sz w:val="11"/>
                <w:szCs w:val="11"/>
                <w:b w:val="1"/>
                <w:bCs w:val="1"/>
                <w:color w:val="auto"/>
                <w:w w:val="88"/>
              </w:rPr>
              <w:t>Accumulated other</w:t>
            </w:r>
          </w:p>
        </w:tc>
        <w:tc>
          <w:tcPr>
            <w:tcW w:w="320" w:type="dxa"/>
            <w:vAlign w:val="bottom"/>
          </w:tcPr>
          <w:p>
            <w:pPr>
              <w:spacing w:after="0"/>
              <w:rPr>
                <w:sz w:val="14"/>
                <w:szCs w:val="14"/>
                <w:color w:val="auto"/>
              </w:rPr>
            </w:pPr>
          </w:p>
        </w:tc>
        <w:tc>
          <w:tcPr>
            <w:tcW w:w="1340" w:type="dxa"/>
            <w:vAlign w:val="bottom"/>
          </w:tcPr>
          <w:p>
            <w:pPr>
              <w:jc w:val="center"/>
              <w:ind w:right="286"/>
              <w:spacing w:after="0"/>
              <w:rPr>
                <w:sz w:val="20"/>
                <w:szCs w:val="20"/>
                <w:color w:val="auto"/>
              </w:rPr>
            </w:pPr>
            <w:r>
              <w:rPr>
                <w:rFonts w:ascii="Arial" w:cs="Arial" w:eastAsia="Arial" w:hAnsi="Arial"/>
                <w:sz w:val="11"/>
                <w:szCs w:val="11"/>
                <w:b w:val="1"/>
                <w:bCs w:val="1"/>
                <w:color w:val="auto"/>
                <w:w w:val="91"/>
              </w:rPr>
              <w:t>Total</w:t>
            </w:r>
          </w:p>
        </w:tc>
      </w:tr>
      <w:tr>
        <w:trPr>
          <w:trHeight w:val="155"/>
        </w:trPr>
        <w:tc>
          <w:tcPr>
            <w:tcW w:w="2200" w:type="dxa"/>
            <w:vAlign w:val="bottom"/>
          </w:tcPr>
          <w:p>
            <w:pPr>
              <w:spacing w:after="0"/>
              <w:rPr>
                <w:sz w:val="13"/>
                <w:szCs w:val="13"/>
                <w:color w:val="auto"/>
              </w:rPr>
            </w:pPr>
          </w:p>
        </w:tc>
        <w:tc>
          <w:tcPr>
            <w:tcW w:w="198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87"/>
              </w:rPr>
              <w:t>preferred stock</w:t>
            </w:r>
          </w:p>
        </w:tc>
        <w:tc>
          <w:tcPr>
            <w:tcW w:w="1720" w:type="dxa"/>
            <w:vAlign w:val="bottom"/>
            <w:gridSpan w:val="3"/>
          </w:tcPr>
          <w:p>
            <w:pPr>
              <w:jc w:val="right"/>
              <w:ind w:right="486"/>
              <w:spacing w:after="0"/>
              <w:rPr>
                <w:sz w:val="20"/>
                <w:szCs w:val="20"/>
                <w:color w:val="auto"/>
              </w:rPr>
            </w:pPr>
            <w:r>
              <w:rPr>
                <w:rFonts w:ascii="Arial" w:cs="Arial" w:eastAsia="Arial" w:hAnsi="Arial"/>
                <w:sz w:val="11"/>
                <w:szCs w:val="11"/>
                <w:b w:val="1"/>
                <w:bCs w:val="1"/>
                <w:color w:val="auto"/>
              </w:rPr>
              <w:t>Common stock</w:t>
            </w:r>
          </w:p>
        </w:tc>
        <w:tc>
          <w:tcPr>
            <w:tcW w:w="200" w:type="dxa"/>
            <w:vAlign w:val="bottom"/>
          </w:tcPr>
          <w:p>
            <w:pPr>
              <w:spacing w:after="0"/>
              <w:rPr>
                <w:sz w:val="13"/>
                <w:szCs w:val="13"/>
                <w:color w:val="auto"/>
              </w:rPr>
            </w:pPr>
          </w:p>
        </w:tc>
        <w:tc>
          <w:tcPr>
            <w:tcW w:w="760" w:type="dxa"/>
            <w:vAlign w:val="bottom"/>
          </w:tcPr>
          <w:p>
            <w:pPr>
              <w:jc w:val="center"/>
              <w:ind w:right="146"/>
              <w:spacing w:after="0"/>
              <w:rPr>
                <w:sz w:val="20"/>
                <w:szCs w:val="20"/>
                <w:color w:val="auto"/>
              </w:rPr>
            </w:pPr>
            <w:r>
              <w:rPr>
                <w:rFonts w:ascii="Arial" w:cs="Arial" w:eastAsia="Arial" w:hAnsi="Arial"/>
                <w:sz w:val="11"/>
                <w:szCs w:val="11"/>
                <w:b w:val="1"/>
                <w:bCs w:val="1"/>
                <w:color w:val="auto"/>
                <w:w w:val="88"/>
              </w:rPr>
              <w:t>paid-in</w:t>
            </w:r>
          </w:p>
        </w:tc>
        <w:tc>
          <w:tcPr>
            <w:tcW w:w="220" w:type="dxa"/>
            <w:vAlign w:val="bottom"/>
          </w:tcPr>
          <w:p>
            <w:pPr>
              <w:spacing w:after="0"/>
              <w:rPr>
                <w:sz w:val="13"/>
                <w:szCs w:val="13"/>
                <w:color w:val="auto"/>
              </w:rPr>
            </w:pPr>
          </w:p>
        </w:tc>
        <w:tc>
          <w:tcPr>
            <w:tcW w:w="980" w:type="dxa"/>
            <w:vAlign w:val="bottom"/>
          </w:tcPr>
          <w:p>
            <w:pPr>
              <w:jc w:val="right"/>
              <w:ind w:right="246"/>
              <w:spacing w:after="0"/>
              <w:rPr>
                <w:sz w:val="20"/>
                <w:szCs w:val="20"/>
                <w:color w:val="auto"/>
              </w:rPr>
            </w:pPr>
            <w:r>
              <w:rPr>
                <w:rFonts w:ascii="Arial" w:cs="Arial" w:eastAsia="Arial" w:hAnsi="Arial"/>
                <w:sz w:val="11"/>
                <w:szCs w:val="11"/>
                <w:b w:val="1"/>
                <w:bCs w:val="1"/>
                <w:color w:val="auto"/>
                <w:w w:val="95"/>
              </w:rPr>
              <w:t>Accumulated</w:t>
            </w:r>
          </w:p>
        </w:tc>
        <w:tc>
          <w:tcPr>
            <w:tcW w:w="200" w:type="dxa"/>
            <w:vAlign w:val="bottom"/>
          </w:tcPr>
          <w:p>
            <w:pPr>
              <w:spacing w:after="0"/>
              <w:rPr>
                <w:sz w:val="13"/>
                <w:szCs w:val="13"/>
                <w:color w:val="auto"/>
              </w:rPr>
            </w:pPr>
          </w:p>
        </w:tc>
        <w:tc>
          <w:tcPr>
            <w:tcW w:w="1320" w:type="dxa"/>
            <w:vAlign w:val="bottom"/>
          </w:tcPr>
          <w:p>
            <w:pPr>
              <w:jc w:val="center"/>
              <w:ind w:right="186"/>
              <w:spacing w:after="0"/>
              <w:rPr>
                <w:sz w:val="20"/>
                <w:szCs w:val="20"/>
                <w:color w:val="auto"/>
              </w:rPr>
            </w:pPr>
            <w:r>
              <w:rPr>
                <w:rFonts w:ascii="Arial" w:cs="Arial" w:eastAsia="Arial" w:hAnsi="Arial"/>
                <w:sz w:val="11"/>
                <w:szCs w:val="11"/>
                <w:b w:val="1"/>
                <w:bCs w:val="1"/>
                <w:color w:val="auto"/>
                <w:w w:val="84"/>
              </w:rPr>
              <w:t>comprehensive</w:t>
            </w:r>
          </w:p>
        </w:tc>
        <w:tc>
          <w:tcPr>
            <w:tcW w:w="320" w:type="dxa"/>
            <w:vAlign w:val="bottom"/>
          </w:tcPr>
          <w:p>
            <w:pPr>
              <w:spacing w:after="0"/>
              <w:rPr>
                <w:sz w:val="13"/>
                <w:szCs w:val="13"/>
                <w:color w:val="auto"/>
              </w:rPr>
            </w:pPr>
          </w:p>
        </w:tc>
        <w:tc>
          <w:tcPr>
            <w:tcW w:w="1340" w:type="dxa"/>
            <w:vAlign w:val="bottom"/>
          </w:tcPr>
          <w:p>
            <w:pPr>
              <w:jc w:val="center"/>
              <w:ind w:right="266"/>
              <w:spacing w:after="0"/>
              <w:rPr>
                <w:sz w:val="20"/>
                <w:szCs w:val="20"/>
                <w:color w:val="auto"/>
              </w:rPr>
            </w:pPr>
            <w:r>
              <w:rPr>
                <w:rFonts w:ascii="Arial" w:cs="Arial" w:eastAsia="Arial" w:hAnsi="Arial"/>
                <w:sz w:val="11"/>
                <w:szCs w:val="11"/>
                <w:b w:val="1"/>
                <w:bCs w:val="1"/>
                <w:color w:val="auto"/>
                <w:w w:val="86"/>
              </w:rPr>
              <w:t>stockholders’</w:t>
            </w:r>
          </w:p>
        </w:tc>
      </w:tr>
      <w:tr>
        <w:trPr>
          <w:trHeight w:val="140"/>
        </w:trPr>
        <w:tc>
          <w:tcPr>
            <w:tcW w:w="2200" w:type="dxa"/>
            <w:vAlign w:val="bottom"/>
          </w:tcPr>
          <w:p>
            <w:pPr>
              <w:ind w:left="20"/>
              <w:spacing w:after="0"/>
              <w:rPr>
                <w:sz w:val="20"/>
                <w:szCs w:val="20"/>
                <w:color w:val="auto"/>
              </w:rPr>
            </w:pPr>
            <w:r>
              <w:rPr>
                <w:rFonts w:ascii="Arial" w:cs="Arial" w:eastAsia="Arial" w:hAnsi="Arial"/>
                <w:sz w:val="11"/>
                <w:szCs w:val="11"/>
                <w:b w:val="1"/>
                <w:bCs w:val="1"/>
                <w:color w:val="auto"/>
              </w:rPr>
              <w:t>(In thousands, except share data)</w:t>
            </w:r>
          </w:p>
        </w:tc>
        <w:tc>
          <w:tcPr>
            <w:tcW w:w="960" w:type="dxa"/>
            <w:vAlign w:val="bottom"/>
            <w:tcBorders>
              <w:top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Shares</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Amount</w:t>
            </w:r>
          </w:p>
        </w:tc>
        <w:tc>
          <w:tcPr>
            <w:tcW w:w="100" w:type="dxa"/>
            <w:vAlign w:val="bottom"/>
            <w:tcBorders>
              <w:right w:val="single" w:sz="8" w:color="auto"/>
            </w:tcBorders>
          </w:tcPr>
          <w:p>
            <w:pPr>
              <w:spacing w:after="0"/>
              <w:rPr>
                <w:sz w:val="12"/>
                <w:szCs w:val="12"/>
                <w:color w:val="auto"/>
              </w:rPr>
            </w:pPr>
          </w:p>
        </w:tc>
        <w:tc>
          <w:tcPr>
            <w:tcW w:w="980" w:type="dxa"/>
            <w:vAlign w:val="bottom"/>
            <w:tcBorders>
              <w:top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Shares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46"/>
              <w:spacing w:after="0"/>
              <w:rPr>
                <w:sz w:val="20"/>
                <w:szCs w:val="20"/>
                <w:color w:val="auto"/>
              </w:rPr>
            </w:pPr>
            <w:r>
              <w:rPr>
                <w:rFonts w:ascii="Arial" w:cs="Arial" w:eastAsia="Arial" w:hAnsi="Arial"/>
                <w:sz w:val="11"/>
                <w:szCs w:val="11"/>
                <w:b w:val="1"/>
                <w:bCs w:val="1"/>
                <w:color w:val="auto"/>
                <w:w w:val="96"/>
              </w:rPr>
              <w:t>Amount</w:t>
            </w:r>
          </w:p>
        </w:tc>
        <w:tc>
          <w:tcPr>
            <w:tcW w:w="200" w:type="dxa"/>
            <w:vAlign w:val="bottom"/>
          </w:tcPr>
          <w:p>
            <w:pPr>
              <w:spacing w:after="0"/>
              <w:rPr>
                <w:sz w:val="12"/>
                <w:szCs w:val="12"/>
                <w:color w:val="auto"/>
              </w:rPr>
            </w:pPr>
          </w:p>
        </w:tc>
        <w:tc>
          <w:tcPr>
            <w:tcW w:w="760" w:type="dxa"/>
            <w:vAlign w:val="bottom"/>
          </w:tcPr>
          <w:p>
            <w:pPr>
              <w:jc w:val="center"/>
              <w:ind w:right="146"/>
              <w:spacing w:after="0"/>
              <w:rPr>
                <w:sz w:val="20"/>
                <w:szCs w:val="20"/>
                <w:color w:val="auto"/>
              </w:rPr>
            </w:pPr>
            <w:r>
              <w:rPr>
                <w:rFonts w:ascii="Arial" w:cs="Arial" w:eastAsia="Arial" w:hAnsi="Arial"/>
                <w:sz w:val="11"/>
                <w:szCs w:val="11"/>
                <w:b w:val="1"/>
                <w:bCs w:val="1"/>
                <w:color w:val="auto"/>
                <w:w w:val="91"/>
              </w:rPr>
              <w:t>capital</w:t>
            </w:r>
          </w:p>
        </w:tc>
        <w:tc>
          <w:tcPr>
            <w:tcW w:w="220" w:type="dxa"/>
            <w:vAlign w:val="bottom"/>
          </w:tcPr>
          <w:p>
            <w:pPr>
              <w:spacing w:after="0"/>
              <w:rPr>
                <w:sz w:val="12"/>
                <w:szCs w:val="12"/>
                <w:color w:val="auto"/>
              </w:rPr>
            </w:pPr>
          </w:p>
        </w:tc>
        <w:tc>
          <w:tcPr>
            <w:tcW w:w="980" w:type="dxa"/>
            <w:vAlign w:val="bottom"/>
          </w:tcPr>
          <w:p>
            <w:pPr>
              <w:jc w:val="right"/>
              <w:ind w:right="406"/>
              <w:spacing w:after="0"/>
              <w:rPr>
                <w:sz w:val="20"/>
                <w:szCs w:val="20"/>
                <w:color w:val="auto"/>
              </w:rPr>
            </w:pPr>
            <w:r>
              <w:rPr>
                <w:rFonts w:ascii="Arial" w:cs="Arial" w:eastAsia="Arial" w:hAnsi="Arial"/>
                <w:sz w:val="11"/>
                <w:szCs w:val="11"/>
                <w:b w:val="1"/>
                <w:bCs w:val="1"/>
                <w:color w:val="auto"/>
              </w:rPr>
              <w:t>deficit</w:t>
            </w:r>
          </w:p>
        </w:tc>
        <w:tc>
          <w:tcPr>
            <w:tcW w:w="200" w:type="dxa"/>
            <w:vAlign w:val="bottom"/>
          </w:tcPr>
          <w:p>
            <w:pPr>
              <w:spacing w:after="0"/>
              <w:rPr>
                <w:sz w:val="12"/>
                <w:szCs w:val="12"/>
                <w:color w:val="auto"/>
              </w:rPr>
            </w:pPr>
          </w:p>
        </w:tc>
        <w:tc>
          <w:tcPr>
            <w:tcW w:w="1320" w:type="dxa"/>
            <w:vAlign w:val="bottom"/>
          </w:tcPr>
          <w:p>
            <w:pPr>
              <w:jc w:val="center"/>
              <w:ind w:right="186"/>
              <w:spacing w:after="0"/>
              <w:rPr>
                <w:sz w:val="20"/>
                <w:szCs w:val="20"/>
                <w:color w:val="auto"/>
              </w:rPr>
            </w:pPr>
            <w:r>
              <w:rPr>
                <w:rFonts w:ascii="Arial" w:cs="Arial" w:eastAsia="Arial" w:hAnsi="Arial"/>
                <w:sz w:val="11"/>
                <w:szCs w:val="11"/>
                <w:b w:val="1"/>
                <w:bCs w:val="1"/>
                <w:color w:val="auto"/>
                <w:w w:val="84"/>
              </w:rPr>
              <w:t>income (loss)</w:t>
            </w:r>
          </w:p>
        </w:tc>
        <w:tc>
          <w:tcPr>
            <w:tcW w:w="320" w:type="dxa"/>
            <w:vAlign w:val="bottom"/>
          </w:tcPr>
          <w:p>
            <w:pPr>
              <w:spacing w:after="0"/>
              <w:rPr>
                <w:sz w:val="12"/>
                <w:szCs w:val="12"/>
                <w:color w:val="auto"/>
              </w:rPr>
            </w:pPr>
          </w:p>
        </w:tc>
        <w:tc>
          <w:tcPr>
            <w:tcW w:w="1340" w:type="dxa"/>
            <w:vAlign w:val="bottom"/>
          </w:tcPr>
          <w:p>
            <w:pPr>
              <w:jc w:val="center"/>
              <w:ind w:right="286"/>
              <w:spacing w:after="0"/>
              <w:rPr>
                <w:sz w:val="20"/>
                <w:szCs w:val="20"/>
                <w:color w:val="auto"/>
              </w:rPr>
            </w:pPr>
            <w:r>
              <w:rPr>
                <w:rFonts w:ascii="Arial" w:cs="Arial" w:eastAsia="Arial" w:hAnsi="Arial"/>
                <w:sz w:val="11"/>
                <w:szCs w:val="11"/>
                <w:b w:val="1"/>
                <w:bCs w:val="1"/>
                <w:color w:val="auto"/>
                <w:w w:val="86"/>
              </w:rPr>
              <w:t>deficit</w:t>
            </w:r>
          </w:p>
        </w:tc>
      </w:tr>
      <w:tr>
        <w:trPr>
          <w:trHeight w:val="22"/>
        </w:trPr>
        <w:tc>
          <w:tcPr>
            <w:tcW w:w="2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35"/>
        </w:trPr>
        <w:tc>
          <w:tcPr>
            <w:tcW w:w="2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December 31, 2019</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69,516,626</w:t>
            </w:r>
          </w:p>
        </w:tc>
        <w:tc>
          <w:tcPr>
            <w:tcW w:w="18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74,653</w:t>
            </w:r>
          </w:p>
        </w:tc>
        <w:tc>
          <w:tcPr>
            <w:tcW w:w="100" w:type="dxa"/>
            <w:vAlign w:val="bottom"/>
            <w:tcBorders>
              <w:bottom w:val="single" w:sz="8" w:color="CFF0FC"/>
              <w:right w:val="single" w:sz="8" w:color="auto"/>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28,397,955</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21</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443</w:t>
            </w:r>
          </w:p>
        </w:tc>
        <w:tc>
          <w:tcPr>
            <w:tcW w:w="22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(42,018 )</w:t>
            </w:r>
          </w:p>
        </w:tc>
        <w:tc>
          <w:tcPr>
            <w:tcW w:w="20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(147 )</w:t>
            </w:r>
          </w:p>
        </w:tc>
        <w:tc>
          <w:tcPr>
            <w:tcW w:w="320" w:type="dxa"/>
            <w:vAlign w:val="bottom"/>
            <w:tcBorders>
              <w:bottom w:val="single" w:sz="8" w:color="CFF0FC"/>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(41,701 )</w:t>
            </w:r>
          </w:p>
        </w:tc>
      </w:tr>
      <w:tr>
        <w:trPr>
          <w:trHeight w:val="140"/>
        </w:trPr>
        <w:tc>
          <w:tcPr>
            <w:tcW w:w="2200" w:type="dxa"/>
            <w:vAlign w:val="bottom"/>
          </w:tcPr>
          <w:p>
            <w:pPr>
              <w:ind w:left="20"/>
              <w:spacing w:after="0"/>
              <w:rPr>
                <w:sz w:val="20"/>
                <w:szCs w:val="20"/>
                <w:color w:val="auto"/>
              </w:rPr>
            </w:pPr>
            <w:r>
              <w:rPr>
                <w:rFonts w:ascii="Arial" w:cs="Arial" w:eastAsia="Arial" w:hAnsi="Arial"/>
                <w:sz w:val="11"/>
                <w:szCs w:val="11"/>
                <w:color w:val="auto"/>
              </w:rPr>
              <w:t>Exercise of stock options</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97,801</w:t>
            </w:r>
          </w:p>
        </w:tc>
        <w:tc>
          <w:tcPr>
            <w:tcW w:w="120" w:type="dxa"/>
            <w:vAlign w:val="bottom"/>
          </w:tcPr>
          <w:p>
            <w:pPr>
              <w:spacing w:after="0"/>
              <w:rPr>
                <w:sz w:val="12"/>
                <w:szCs w:val="12"/>
                <w:color w:val="auto"/>
              </w:rPr>
            </w:pPr>
          </w:p>
        </w:tc>
        <w:tc>
          <w:tcPr>
            <w:tcW w:w="62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20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13</w:t>
            </w:r>
          </w:p>
        </w:tc>
      </w:tr>
      <w:tr>
        <w:trPr>
          <w:trHeight w:val="22"/>
        </w:trPr>
        <w:tc>
          <w:tcPr>
            <w:tcW w:w="2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42"/>
        </w:trPr>
        <w:tc>
          <w:tcPr>
            <w:tcW w:w="2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9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105</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13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105</w:t>
            </w:r>
          </w:p>
        </w:tc>
      </w:tr>
      <w:tr>
        <w:trPr>
          <w:trHeight w:val="139"/>
        </w:trPr>
        <w:tc>
          <w:tcPr>
            <w:tcW w:w="2200" w:type="dxa"/>
            <w:vAlign w:val="bottom"/>
          </w:tcPr>
          <w:p>
            <w:pPr>
              <w:ind w:left="20"/>
              <w:spacing w:after="0"/>
              <w:rPr>
                <w:sz w:val="20"/>
                <w:szCs w:val="20"/>
                <w:color w:val="auto"/>
              </w:rPr>
            </w:pPr>
            <w:r>
              <w:rPr>
                <w:rFonts w:ascii="Arial" w:cs="Arial" w:eastAsia="Arial" w:hAnsi="Arial"/>
                <w:sz w:val="11"/>
                <w:szCs w:val="11"/>
                <w:color w:val="auto"/>
                <w:w w:val="95"/>
              </w:rPr>
              <w:t>Foreign currency translation adjustment, net of</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36"/>
        </w:trPr>
        <w:tc>
          <w:tcPr>
            <w:tcW w:w="2200" w:type="dxa"/>
            <w:vAlign w:val="bottom"/>
          </w:tcPr>
          <w:p>
            <w:pPr>
              <w:ind w:left="20"/>
              <w:spacing w:after="0"/>
              <w:rPr>
                <w:sz w:val="20"/>
                <w:szCs w:val="20"/>
                <w:color w:val="auto"/>
              </w:rPr>
            </w:pPr>
            <w:r>
              <w:rPr>
                <w:rFonts w:ascii="Arial" w:cs="Arial" w:eastAsia="Arial" w:hAnsi="Arial"/>
                <w:sz w:val="11"/>
                <w:szCs w:val="11"/>
                <w:color w:val="auto"/>
              </w:rPr>
              <w:t>tax</w:t>
            </w: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(77 )</w:t>
            </w:r>
          </w:p>
        </w:tc>
        <w:tc>
          <w:tcPr>
            <w:tcW w:w="32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(77 )</w:t>
            </w:r>
          </w:p>
        </w:tc>
      </w:tr>
      <w:tr>
        <w:trPr>
          <w:trHeight w:val="22"/>
        </w:trPr>
        <w:tc>
          <w:tcPr>
            <w:tcW w:w="2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67"/>
        </w:trPr>
        <w:tc>
          <w:tcPr>
            <w:tcW w:w="2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9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right w:val="single" w:sz="8" w:color="auto"/>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(839 )</w:t>
            </w:r>
          </w:p>
        </w:tc>
        <w:tc>
          <w:tcPr>
            <w:tcW w:w="20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(839 )</w:t>
            </w:r>
          </w:p>
        </w:tc>
      </w:tr>
      <w:tr>
        <w:trPr>
          <w:trHeight w:val="151"/>
        </w:trPr>
        <w:tc>
          <w:tcPr>
            <w:tcW w:w="220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Balances at March 31,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69,516,626</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74,653</w:t>
            </w:r>
          </w:p>
        </w:tc>
        <w:tc>
          <w:tcPr>
            <w:tcW w:w="100" w:type="dxa"/>
            <w:vAlign w:val="bottom"/>
            <w:tcBorders>
              <w:top w:val="single" w:sz="8" w:color="auto"/>
              <w:bottom w:val="single" w:sz="8" w:color="auto"/>
              <w:right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28,495,756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22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560</w:t>
            </w:r>
          </w:p>
        </w:tc>
        <w:tc>
          <w:tcPr>
            <w:tcW w:w="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(42,857 )</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(224 )</w:t>
            </w: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(42,499 )</w:t>
            </w:r>
          </w:p>
        </w:tc>
      </w:tr>
      <w:tr>
        <w:trPr>
          <w:trHeight w:val="20"/>
        </w:trPr>
        <w:tc>
          <w:tcPr>
            <w:tcW w:w="2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7"/>
        </w:trPr>
        <w:tc>
          <w:tcPr>
            <w:tcW w:w="2200" w:type="dxa"/>
            <w:vAlign w:val="bottom"/>
            <w:tcBorders>
              <w:bottom w:val="single" w:sz="8" w:color="CFF0FC"/>
            </w:tcBorders>
            <w:shd w:val="clear" w:color="auto" w:fill="CFF0FC"/>
          </w:tcPr>
          <w:p>
            <w:pPr>
              <w:ind w:left="20"/>
              <w:spacing w:after="0" w:line="125" w:lineRule="exact"/>
              <w:rPr>
                <w:sz w:val="20"/>
                <w:szCs w:val="20"/>
                <w:color w:val="auto"/>
              </w:rPr>
            </w:pPr>
            <w:r>
              <w:rPr>
                <w:rFonts w:ascii="Arial" w:cs="Arial" w:eastAsia="Arial" w:hAnsi="Arial"/>
                <w:sz w:val="11"/>
                <w:szCs w:val="11"/>
                <w:color w:val="auto"/>
              </w:rPr>
              <w:t>Exercise of stock options</w:t>
            </w:r>
          </w:p>
        </w:tc>
        <w:tc>
          <w:tcPr>
            <w:tcW w:w="96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right w:val="single" w:sz="8" w:color="auto"/>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jc w:val="right"/>
              <w:spacing w:after="0" w:line="125" w:lineRule="exact"/>
              <w:rPr>
                <w:sz w:val="20"/>
                <w:szCs w:val="20"/>
                <w:color w:val="auto"/>
              </w:rPr>
            </w:pPr>
            <w:r>
              <w:rPr>
                <w:rFonts w:ascii="Arial" w:cs="Arial" w:eastAsia="Arial" w:hAnsi="Arial"/>
                <w:sz w:val="11"/>
                <w:szCs w:val="11"/>
                <w:color w:val="auto"/>
              </w:rPr>
              <w:t>2,511</w:t>
            </w:r>
          </w:p>
        </w:tc>
        <w:tc>
          <w:tcPr>
            <w:tcW w:w="120" w:type="dxa"/>
            <w:vAlign w:val="bottom"/>
            <w:tcBorders>
              <w:bottom w:val="single" w:sz="8" w:color="CFF0FC"/>
            </w:tcBorders>
            <w:shd w:val="clear" w:color="auto" w:fill="CFF0FC"/>
          </w:tcPr>
          <w:p>
            <w:pPr>
              <w:spacing w:after="0"/>
              <w:rPr>
                <w:sz w:val="11"/>
                <w:szCs w:val="11"/>
                <w:color w:val="auto"/>
              </w:rPr>
            </w:pPr>
          </w:p>
        </w:tc>
        <w:tc>
          <w:tcPr>
            <w:tcW w:w="620" w:type="dxa"/>
            <w:vAlign w:val="bottom"/>
            <w:tcBorders>
              <w:bottom w:val="single" w:sz="8" w:color="CFF0FC"/>
            </w:tcBorders>
            <w:shd w:val="clear" w:color="auto" w:fill="CFF0FC"/>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jc w:val="right"/>
              <w:ind w:right="46"/>
              <w:spacing w:after="0" w:line="125" w:lineRule="exact"/>
              <w:rPr>
                <w:sz w:val="20"/>
                <w:szCs w:val="20"/>
                <w:color w:val="auto"/>
              </w:rPr>
            </w:pPr>
            <w:r>
              <w:rPr>
                <w:rFonts w:ascii="Arial" w:cs="Arial" w:eastAsia="Arial" w:hAnsi="Arial"/>
                <w:sz w:val="11"/>
                <w:szCs w:val="11"/>
                <w:color w:val="auto"/>
              </w:rPr>
              <w:t>1</w:t>
            </w:r>
          </w:p>
        </w:tc>
        <w:tc>
          <w:tcPr>
            <w:tcW w:w="220" w:type="dxa"/>
            <w:vAlign w:val="bottom"/>
            <w:tcBorders>
              <w:bottom w:val="single" w:sz="8" w:color="CFF0FC"/>
            </w:tcBorders>
            <w:shd w:val="clear" w:color="auto" w:fill="CFF0FC"/>
          </w:tcPr>
          <w:p>
            <w:pPr>
              <w:spacing w:after="0"/>
              <w:rPr>
                <w:sz w:val="11"/>
                <w:szCs w:val="11"/>
                <w:color w:val="auto"/>
              </w:rPr>
            </w:pPr>
          </w:p>
        </w:tc>
        <w:tc>
          <w:tcPr>
            <w:tcW w:w="980" w:type="dxa"/>
            <w:vAlign w:val="bottom"/>
            <w:tcBorders>
              <w:bottom w:val="single" w:sz="8" w:color="CFF0FC"/>
            </w:tcBorders>
            <w:shd w:val="clear" w:color="auto" w:fill="CFF0FC"/>
          </w:tcPr>
          <w:p>
            <w:pPr>
              <w:spacing w:after="0"/>
              <w:rPr>
                <w:sz w:val="11"/>
                <w:szCs w:val="11"/>
                <w:color w:val="auto"/>
              </w:rPr>
            </w:pPr>
          </w:p>
        </w:tc>
        <w:tc>
          <w:tcPr>
            <w:tcW w:w="200" w:type="dxa"/>
            <w:vAlign w:val="bottom"/>
            <w:tcBorders>
              <w:bottom w:val="single" w:sz="8" w:color="CFF0FC"/>
            </w:tcBorders>
            <w:shd w:val="clear" w:color="auto" w:fill="CFF0FC"/>
          </w:tcPr>
          <w:p>
            <w:pPr>
              <w:spacing w:after="0"/>
              <w:rPr>
                <w:sz w:val="11"/>
                <w:szCs w:val="11"/>
                <w:color w:val="auto"/>
              </w:rPr>
            </w:pPr>
          </w:p>
        </w:tc>
        <w:tc>
          <w:tcPr>
            <w:tcW w:w="132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bottom w:val="single" w:sz="8" w:color="CFF0FC"/>
            </w:tcBorders>
            <w:shd w:val="clear" w:color="auto" w:fill="CFF0FC"/>
          </w:tcPr>
          <w:p>
            <w:pPr>
              <w:spacing w:after="0"/>
              <w:rPr>
                <w:sz w:val="11"/>
                <w:szCs w:val="11"/>
                <w:color w:val="auto"/>
              </w:rPr>
            </w:pPr>
          </w:p>
        </w:tc>
        <w:tc>
          <w:tcPr>
            <w:tcW w:w="1340" w:type="dxa"/>
            <w:vAlign w:val="bottom"/>
            <w:tcBorders>
              <w:bottom w:val="single" w:sz="8" w:color="CFF0FC"/>
            </w:tcBorders>
            <w:shd w:val="clear" w:color="auto" w:fill="CFF0FC"/>
          </w:tcPr>
          <w:p>
            <w:pPr>
              <w:jc w:val="right"/>
              <w:ind w:right="6"/>
              <w:spacing w:after="0" w:line="125" w:lineRule="exact"/>
              <w:rPr>
                <w:sz w:val="20"/>
                <w:szCs w:val="20"/>
                <w:color w:val="auto"/>
              </w:rPr>
            </w:pPr>
            <w:r>
              <w:rPr>
                <w:rFonts w:ascii="Arial" w:cs="Arial" w:eastAsia="Arial" w:hAnsi="Arial"/>
                <w:sz w:val="11"/>
                <w:szCs w:val="11"/>
                <w:color w:val="auto"/>
              </w:rPr>
              <w:t>1</w:t>
            </w:r>
          </w:p>
        </w:tc>
      </w:tr>
      <w:tr>
        <w:trPr>
          <w:trHeight w:val="140"/>
        </w:trPr>
        <w:tc>
          <w:tcPr>
            <w:tcW w:w="2200" w:type="dxa"/>
            <w:vAlign w:val="bottom"/>
          </w:tcPr>
          <w:p>
            <w:pPr>
              <w:ind w:left="20"/>
              <w:spacing w:after="0"/>
              <w:rPr>
                <w:sz w:val="20"/>
                <w:szCs w:val="20"/>
                <w:color w:val="auto"/>
              </w:rPr>
            </w:pPr>
            <w:r>
              <w:rPr>
                <w:rFonts w:ascii="Arial" w:cs="Arial" w:eastAsia="Arial" w:hAnsi="Arial"/>
                <w:sz w:val="11"/>
                <w:szCs w:val="11"/>
                <w:color w:val="auto"/>
              </w:rPr>
              <w:t>Stock-based compensation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109</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109</w:t>
            </w:r>
          </w:p>
        </w:tc>
      </w:tr>
      <w:tr>
        <w:trPr>
          <w:trHeight w:val="22"/>
        </w:trPr>
        <w:tc>
          <w:tcPr>
            <w:tcW w:w="2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39"/>
        </w:trPr>
        <w:tc>
          <w:tcPr>
            <w:tcW w:w="22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5"/>
              </w:rPr>
              <w:t>Foreign currency translation adjustment, net of</w:t>
            </w: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tcBorders>
              <w:right w:val="single" w:sz="8" w:color="auto"/>
            </w:tcBorders>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r>
      <w:tr>
        <w:trPr>
          <w:trHeight w:val="138"/>
        </w:trPr>
        <w:tc>
          <w:tcPr>
            <w:tcW w:w="2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tax</w:t>
            </w:r>
          </w:p>
        </w:tc>
        <w:tc>
          <w:tcPr>
            <w:tcW w:w="9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(19 )</w:t>
            </w:r>
          </w:p>
        </w:tc>
        <w:tc>
          <w:tcPr>
            <w:tcW w:w="320" w:type="dxa"/>
            <w:vAlign w:val="bottom"/>
            <w:tcBorders>
              <w:bottom w:val="single" w:sz="8" w:color="CFF0FC"/>
            </w:tcBorders>
            <w:shd w:val="clear" w:color="auto" w:fill="CFF0FC"/>
          </w:tcPr>
          <w:p>
            <w:pPr>
              <w:spacing w:after="0"/>
              <w:rPr>
                <w:sz w:val="12"/>
                <w:szCs w:val="12"/>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(19 )</w:t>
            </w:r>
          </w:p>
        </w:tc>
      </w:tr>
      <w:tr>
        <w:trPr>
          <w:trHeight w:val="140"/>
        </w:trPr>
        <w:tc>
          <w:tcPr>
            <w:tcW w:w="220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66"/>
              <w:spacing w:after="0"/>
              <w:rPr>
                <w:sz w:val="20"/>
                <w:szCs w:val="20"/>
                <w:color w:val="auto"/>
              </w:rPr>
            </w:pPr>
            <w:r>
              <w:rPr>
                <w:rFonts w:ascii="Arial" w:cs="Arial" w:eastAsia="Arial" w:hAnsi="Arial"/>
                <w:sz w:val="11"/>
                <w:szCs w:val="11"/>
                <w:color w:val="auto"/>
              </w:rPr>
              <w:t>8,111</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8,111</w:t>
            </w:r>
          </w:p>
        </w:tc>
      </w:tr>
      <w:tr>
        <w:trPr>
          <w:trHeight w:val="22"/>
        </w:trPr>
        <w:tc>
          <w:tcPr>
            <w:tcW w:w="2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1"/>
        </w:trPr>
        <w:tc>
          <w:tcPr>
            <w:tcW w:w="2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Balances at June 30, 2020</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69,516,626</w:t>
            </w: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74,653</w:t>
            </w:r>
          </w:p>
        </w:tc>
        <w:tc>
          <w:tcPr>
            <w:tcW w:w="100" w:type="dxa"/>
            <w:vAlign w:val="bottom"/>
            <w:tcBorders>
              <w:bottom w:val="single" w:sz="8" w:color="auto"/>
              <w:right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28,498,267</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22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1"/>
                <w:szCs w:val="11"/>
                <w:color w:val="auto"/>
              </w:rPr>
              <w:t>670</w:t>
            </w:r>
          </w:p>
        </w:tc>
        <w:tc>
          <w:tcPr>
            <w:tcW w:w="22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1"/>
                <w:szCs w:val="11"/>
                <w:color w:val="auto"/>
              </w:rPr>
              <w:t>(34,746 )</w:t>
            </w:r>
          </w:p>
        </w:tc>
        <w:tc>
          <w:tcPr>
            <w:tcW w:w="20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(243 )</w:t>
            </w:r>
          </w:p>
        </w:tc>
        <w:tc>
          <w:tcPr>
            <w:tcW w:w="320" w:type="dxa"/>
            <w:vAlign w:val="bottom"/>
            <w:tcBorders>
              <w:bottom w:val="single" w:sz="8" w:color="auto"/>
            </w:tcBorders>
            <w:shd w:val="clear" w:color="auto" w:fill="CFF0FC"/>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(34,297 )</w:t>
            </w:r>
          </w:p>
        </w:tc>
      </w:tr>
      <w:tr>
        <w:trPr>
          <w:trHeight w:val="125"/>
        </w:trPr>
        <w:tc>
          <w:tcPr>
            <w:tcW w:w="2200" w:type="dxa"/>
            <w:vAlign w:val="bottom"/>
          </w:tcPr>
          <w:p>
            <w:pPr>
              <w:ind w:left="20"/>
              <w:spacing w:after="0" w:line="125" w:lineRule="exact"/>
              <w:rPr>
                <w:sz w:val="20"/>
                <w:szCs w:val="20"/>
                <w:color w:val="auto"/>
              </w:rPr>
            </w:pPr>
            <w:r>
              <w:rPr>
                <w:rFonts w:ascii="Arial" w:cs="Arial" w:eastAsia="Arial" w:hAnsi="Arial"/>
                <w:sz w:val="11"/>
                <w:szCs w:val="11"/>
                <w:color w:val="auto"/>
              </w:rPr>
              <w:t>Exercise of stock options</w:t>
            </w: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80" w:type="dxa"/>
            <w:vAlign w:val="bottom"/>
          </w:tcPr>
          <w:p>
            <w:pPr>
              <w:jc w:val="right"/>
              <w:spacing w:after="0" w:line="125" w:lineRule="exact"/>
              <w:rPr>
                <w:sz w:val="20"/>
                <w:szCs w:val="20"/>
                <w:color w:val="auto"/>
              </w:rPr>
            </w:pPr>
            <w:r>
              <w:rPr>
                <w:rFonts w:ascii="Arial" w:cs="Arial" w:eastAsia="Arial" w:hAnsi="Arial"/>
                <w:sz w:val="11"/>
                <w:szCs w:val="11"/>
                <w:color w:val="auto"/>
              </w:rPr>
              <w:t>351,686</w:t>
            </w:r>
          </w:p>
        </w:tc>
        <w:tc>
          <w:tcPr>
            <w:tcW w:w="120" w:type="dxa"/>
            <w:vAlign w:val="bottom"/>
          </w:tcPr>
          <w:p>
            <w:pPr>
              <w:spacing w:after="0"/>
              <w:rPr>
                <w:sz w:val="10"/>
                <w:szCs w:val="10"/>
                <w:color w:val="auto"/>
              </w:rPr>
            </w:pPr>
          </w:p>
        </w:tc>
        <w:tc>
          <w:tcPr>
            <w:tcW w:w="620" w:type="dxa"/>
            <w:vAlign w:val="bottom"/>
          </w:tcPr>
          <w:p>
            <w:pPr>
              <w:jc w:val="right"/>
              <w:ind w:right="26"/>
              <w:spacing w:after="0" w:line="125" w:lineRule="exact"/>
              <w:rPr>
                <w:sz w:val="20"/>
                <w:szCs w:val="20"/>
                <w:color w:val="auto"/>
              </w:rPr>
            </w:pPr>
            <w:r>
              <w:rPr>
                <w:rFonts w:ascii="Arial" w:cs="Arial" w:eastAsia="Arial" w:hAnsi="Arial"/>
                <w:sz w:val="11"/>
                <w:szCs w:val="11"/>
                <w:color w:val="auto"/>
              </w:rPr>
              <w:t>-</w:t>
            </w:r>
          </w:p>
        </w:tc>
        <w:tc>
          <w:tcPr>
            <w:tcW w:w="200" w:type="dxa"/>
            <w:vAlign w:val="bottom"/>
          </w:tcPr>
          <w:p>
            <w:pPr>
              <w:spacing w:after="0"/>
              <w:rPr>
                <w:sz w:val="10"/>
                <w:szCs w:val="10"/>
                <w:color w:val="auto"/>
              </w:rPr>
            </w:pPr>
          </w:p>
        </w:tc>
        <w:tc>
          <w:tcPr>
            <w:tcW w:w="760" w:type="dxa"/>
            <w:vAlign w:val="bottom"/>
          </w:tcPr>
          <w:p>
            <w:pPr>
              <w:jc w:val="right"/>
              <w:ind w:right="46"/>
              <w:spacing w:after="0" w:line="125" w:lineRule="exact"/>
              <w:rPr>
                <w:sz w:val="20"/>
                <w:szCs w:val="20"/>
                <w:color w:val="auto"/>
              </w:rPr>
            </w:pPr>
            <w:r>
              <w:rPr>
                <w:rFonts w:ascii="Arial" w:cs="Arial" w:eastAsia="Arial" w:hAnsi="Arial"/>
                <w:sz w:val="11"/>
                <w:szCs w:val="11"/>
                <w:color w:val="auto"/>
              </w:rPr>
              <w:t>95</w:t>
            </w: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tcPr>
          <w:p>
            <w:pPr>
              <w:jc w:val="right"/>
              <w:ind w:right="6"/>
              <w:spacing w:after="0" w:line="125" w:lineRule="exact"/>
              <w:rPr>
                <w:sz w:val="20"/>
                <w:szCs w:val="20"/>
                <w:color w:val="auto"/>
              </w:rPr>
            </w:pPr>
            <w:r>
              <w:rPr>
                <w:rFonts w:ascii="Arial" w:cs="Arial" w:eastAsia="Arial" w:hAnsi="Arial"/>
                <w:sz w:val="11"/>
                <w:szCs w:val="11"/>
                <w:color w:val="auto"/>
              </w:rPr>
              <w:t>95</w:t>
            </w:r>
          </w:p>
        </w:tc>
      </w:tr>
      <w:tr>
        <w:trPr>
          <w:trHeight w:val="22"/>
        </w:trPr>
        <w:tc>
          <w:tcPr>
            <w:tcW w:w="2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42"/>
        </w:trPr>
        <w:tc>
          <w:tcPr>
            <w:tcW w:w="2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96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right w:val="single" w:sz="8" w:color="auto"/>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1"/>
                <w:szCs w:val="11"/>
                <w:color w:val="auto"/>
              </w:rPr>
              <w:t>126</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3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13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126</w:t>
            </w:r>
          </w:p>
        </w:tc>
      </w:tr>
      <w:tr>
        <w:trPr>
          <w:trHeight w:val="139"/>
        </w:trPr>
        <w:tc>
          <w:tcPr>
            <w:tcW w:w="2200" w:type="dxa"/>
            <w:vAlign w:val="bottom"/>
          </w:tcPr>
          <w:p>
            <w:pPr>
              <w:ind w:left="20"/>
              <w:spacing w:after="0"/>
              <w:rPr>
                <w:sz w:val="20"/>
                <w:szCs w:val="20"/>
                <w:color w:val="auto"/>
              </w:rPr>
            </w:pPr>
            <w:r>
              <w:rPr>
                <w:rFonts w:ascii="Arial" w:cs="Arial" w:eastAsia="Arial" w:hAnsi="Arial"/>
                <w:sz w:val="11"/>
                <w:szCs w:val="11"/>
                <w:color w:val="auto"/>
                <w:w w:val="95"/>
              </w:rPr>
              <w:t>Foreign currency translation adjustment, net of</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36"/>
        </w:trPr>
        <w:tc>
          <w:tcPr>
            <w:tcW w:w="2200" w:type="dxa"/>
            <w:vAlign w:val="bottom"/>
          </w:tcPr>
          <w:p>
            <w:pPr>
              <w:ind w:left="20"/>
              <w:spacing w:after="0"/>
              <w:rPr>
                <w:sz w:val="20"/>
                <w:szCs w:val="20"/>
                <w:color w:val="auto"/>
              </w:rPr>
            </w:pPr>
            <w:r>
              <w:rPr>
                <w:rFonts w:ascii="Arial" w:cs="Arial" w:eastAsia="Arial" w:hAnsi="Arial"/>
                <w:sz w:val="11"/>
                <w:szCs w:val="11"/>
                <w:color w:val="auto"/>
              </w:rPr>
              <w:t>tax</w:t>
            </w: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jc w:val="right"/>
              <w:ind w:right="46"/>
              <w:spacing w:after="0"/>
              <w:rPr>
                <w:sz w:val="20"/>
                <w:szCs w:val="20"/>
                <w:color w:val="auto"/>
              </w:rPr>
            </w:pPr>
            <w:r>
              <w:rPr>
                <w:rFonts w:ascii="Arial" w:cs="Arial" w:eastAsia="Arial" w:hAnsi="Arial"/>
                <w:sz w:val="11"/>
                <w:szCs w:val="11"/>
                <w:color w:val="auto"/>
              </w:rPr>
              <w:t>145</w:t>
            </w:r>
          </w:p>
        </w:tc>
        <w:tc>
          <w:tcPr>
            <w:tcW w:w="320" w:type="dxa"/>
            <w:vAlign w:val="bottom"/>
          </w:tcPr>
          <w:p>
            <w:pPr>
              <w:spacing w:after="0"/>
              <w:rPr>
                <w:sz w:val="11"/>
                <w:szCs w:val="11"/>
                <w:color w:val="auto"/>
              </w:rPr>
            </w:pPr>
          </w:p>
        </w:tc>
        <w:tc>
          <w:tcPr>
            <w:tcW w:w="1340" w:type="dxa"/>
            <w:vAlign w:val="bottom"/>
          </w:tcPr>
          <w:p>
            <w:pPr>
              <w:jc w:val="right"/>
              <w:ind w:right="6"/>
              <w:spacing w:after="0"/>
              <w:rPr>
                <w:sz w:val="20"/>
                <w:szCs w:val="20"/>
                <w:color w:val="auto"/>
              </w:rPr>
            </w:pPr>
            <w:r>
              <w:rPr>
                <w:rFonts w:ascii="Arial" w:cs="Arial" w:eastAsia="Arial" w:hAnsi="Arial"/>
                <w:sz w:val="11"/>
                <w:szCs w:val="11"/>
                <w:color w:val="auto"/>
              </w:rPr>
              <w:t>145</w:t>
            </w:r>
          </w:p>
        </w:tc>
      </w:tr>
      <w:tr>
        <w:trPr>
          <w:trHeight w:val="22"/>
        </w:trPr>
        <w:tc>
          <w:tcPr>
            <w:tcW w:w="2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67"/>
        </w:trPr>
        <w:tc>
          <w:tcPr>
            <w:tcW w:w="2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9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right w:val="single" w:sz="8" w:color="auto"/>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jc w:val="right"/>
              <w:ind w:right="66"/>
              <w:spacing w:after="0"/>
              <w:rPr>
                <w:sz w:val="20"/>
                <w:szCs w:val="20"/>
                <w:color w:val="auto"/>
              </w:rPr>
            </w:pPr>
            <w:r>
              <w:rPr>
                <w:rFonts w:ascii="Arial" w:cs="Arial" w:eastAsia="Arial" w:hAnsi="Arial"/>
                <w:sz w:val="11"/>
                <w:szCs w:val="11"/>
                <w:color w:val="auto"/>
              </w:rPr>
              <w:t>6,540</w:t>
            </w:r>
          </w:p>
        </w:tc>
        <w:tc>
          <w:tcPr>
            <w:tcW w:w="200" w:type="dxa"/>
            <w:vAlign w:val="bottom"/>
            <w:tcBorders>
              <w:bottom w:val="single" w:sz="8" w:color="CFF0FC"/>
            </w:tcBorders>
            <w:shd w:val="clear" w:color="auto" w:fill="CFF0FC"/>
          </w:tcPr>
          <w:p>
            <w:pPr>
              <w:spacing w:after="0"/>
              <w:rPr>
                <w:sz w:val="14"/>
                <w:szCs w:val="14"/>
                <w:color w:val="auto"/>
              </w:rPr>
            </w:pPr>
          </w:p>
        </w:tc>
        <w:tc>
          <w:tcPr>
            <w:tcW w:w="13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340" w:type="dxa"/>
            <w:vAlign w:val="bottom"/>
            <w:tcBorders>
              <w:bottom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6,540</w:t>
            </w:r>
          </w:p>
        </w:tc>
      </w:tr>
      <w:tr>
        <w:trPr>
          <w:trHeight w:val="151"/>
        </w:trPr>
        <w:tc>
          <w:tcPr>
            <w:tcW w:w="2200" w:type="dxa"/>
            <w:vAlign w:val="bottom"/>
            <w:tcBorders>
              <w:top w:val="single" w:sz="8" w:color="CFF0FC"/>
            </w:tcBorders>
          </w:tcPr>
          <w:p>
            <w:pPr>
              <w:ind w:left="20"/>
              <w:spacing w:after="0"/>
              <w:rPr>
                <w:sz w:val="20"/>
                <w:szCs w:val="20"/>
                <w:color w:val="auto"/>
              </w:rPr>
            </w:pPr>
            <w:r>
              <w:rPr>
                <w:rFonts w:ascii="Arial" w:cs="Arial" w:eastAsia="Arial" w:hAnsi="Arial"/>
                <w:sz w:val="11"/>
                <w:szCs w:val="11"/>
                <w:color w:val="auto"/>
              </w:rPr>
              <w:t>Balances at September 30, 2020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69,516,626</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7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74,653</w:t>
            </w:r>
          </w:p>
        </w:tc>
        <w:tc>
          <w:tcPr>
            <w:tcW w:w="100" w:type="dxa"/>
            <w:vAlign w:val="bottom"/>
            <w:tcBorders>
              <w:top w:val="single" w:sz="8" w:color="auto"/>
              <w:bottom w:val="single" w:sz="8" w:color="auto"/>
              <w:right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28,849,953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22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6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rPr>
              <w:t>891</w:t>
            </w:r>
          </w:p>
        </w:tc>
        <w:tc>
          <w:tcPr>
            <w:tcW w:w="2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9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(28,206 )</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(98 )</w:t>
            </w:r>
          </w:p>
        </w:tc>
        <w:tc>
          <w:tcPr>
            <w:tcW w:w="320" w:type="dxa"/>
            <w:vAlign w:val="bottom"/>
            <w:tcBorders>
              <w:top w:val="single" w:sz="8" w:color="auto"/>
              <w:bottom w:val="single" w:sz="8" w:color="auto"/>
            </w:tcBorders>
          </w:tcPr>
          <w:p>
            <w:pPr>
              <w:jc w:val="right"/>
              <w:ind w:right="166"/>
              <w:spacing w:after="0"/>
              <w:rPr>
                <w:sz w:val="20"/>
                <w:szCs w:val="20"/>
                <w:color w:val="auto"/>
              </w:rPr>
            </w:pPr>
            <w:r>
              <w:rPr>
                <w:rFonts w:ascii="Arial" w:cs="Arial" w:eastAsia="Arial" w:hAnsi="Arial"/>
                <w:sz w:val="11"/>
                <w:szCs w:val="1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(27,391 )</w:t>
            </w:r>
          </w:p>
        </w:tc>
      </w:tr>
      <w:tr>
        <w:trPr>
          <w:trHeight w:val="20"/>
        </w:trPr>
        <w:tc>
          <w:tcPr>
            <w:tcW w:w="2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2632710</wp:posOffset>
            </wp:positionH>
            <wp:positionV relativeFrom="paragraph">
              <wp:posOffset>-2240915</wp:posOffset>
            </wp:positionV>
            <wp:extent cx="34290" cy="136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13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Cytek Biosciences,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97"/>
        </w:trPr>
        <w:tc>
          <w:tcPr>
            <w:tcW w:w="8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r>
      <w:tr>
        <w:trPr>
          <w:trHeight w:val="202"/>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196"/>
        </w:trPr>
        <w:tc>
          <w:tcPr>
            <w:tcW w:w="82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4,192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13,812</w:t>
            </w:r>
          </w:p>
        </w:tc>
      </w:tr>
      <w:tr>
        <w:trPr>
          <w:trHeight w:val="209"/>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income to net cash (used in) provided by operating activities:</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196"/>
        </w:trPr>
        <w:tc>
          <w:tcPr>
            <w:tcW w:w="82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557</w:t>
            </w:r>
          </w:p>
        </w:tc>
        <w:tc>
          <w:tcPr>
            <w:tcW w:w="3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445</w:t>
            </w:r>
          </w:p>
        </w:tc>
      </w:tr>
      <w:tr>
        <w:trPr>
          <w:trHeight w:val="209"/>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3,578</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340</w:t>
            </w:r>
          </w:p>
        </w:tc>
      </w:tr>
      <w:tr>
        <w:trPr>
          <w:trHeight w:val="196"/>
        </w:trPr>
        <w:tc>
          <w:tcPr>
            <w:tcW w:w="8260" w:type="dxa"/>
            <w:vAlign w:val="bottom"/>
          </w:tcPr>
          <w:p>
            <w:pPr>
              <w:ind w:left="200"/>
              <w:spacing w:after="0"/>
              <w:rPr>
                <w:sz w:val="20"/>
                <w:szCs w:val="20"/>
                <w:color w:val="auto"/>
              </w:rPr>
            </w:pPr>
            <w:r>
              <w:rPr>
                <w:rFonts w:ascii="Arial" w:cs="Arial" w:eastAsia="Arial" w:hAnsi="Arial"/>
                <w:sz w:val="14"/>
                <w:szCs w:val="14"/>
                <w:color w:val="auto"/>
              </w:rPr>
              <w:t>Gain on equity method investment</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(40 )</w:t>
            </w:r>
          </w:p>
        </w:tc>
        <w:tc>
          <w:tcPr>
            <w:tcW w:w="3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Provision for excess and obsolete inventory</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333</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1,199</w:t>
            </w:r>
          </w:p>
        </w:tc>
      </w:tr>
      <w:tr>
        <w:trPr>
          <w:trHeight w:val="196"/>
        </w:trPr>
        <w:tc>
          <w:tcPr>
            <w:tcW w:w="8260" w:type="dxa"/>
            <w:vAlign w:val="bottom"/>
          </w:tcPr>
          <w:p>
            <w:pPr>
              <w:ind w:left="200"/>
              <w:spacing w:after="0"/>
              <w:rPr>
                <w:sz w:val="20"/>
                <w:szCs w:val="20"/>
                <w:color w:val="auto"/>
              </w:rPr>
            </w:pPr>
            <w:r>
              <w:rPr>
                <w:rFonts w:ascii="Arial" w:cs="Arial" w:eastAsia="Arial" w:hAnsi="Arial"/>
                <w:sz w:val="14"/>
                <w:szCs w:val="14"/>
                <w:color w:val="auto"/>
              </w:rPr>
              <w:t>Interest expenses for accretion of the legal settlement liabilities</w:t>
            </w:r>
          </w:p>
        </w:tc>
        <w:tc>
          <w:tcPr>
            <w:tcW w:w="26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1,215</w:t>
            </w:r>
          </w:p>
        </w:tc>
        <w:tc>
          <w:tcPr>
            <w:tcW w:w="3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9"/>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operating assets and liabilities:</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196"/>
        </w:trPr>
        <w:tc>
          <w:tcPr>
            <w:tcW w:w="8260" w:type="dxa"/>
            <w:vAlign w:val="bottom"/>
          </w:tcPr>
          <w:p>
            <w:pPr>
              <w:ind w:left="380"/>
              <w:spacing w:after="0"/>
              <w:rPr>
                <w:sz w:val="20"/>
                <w:szCs w:val="20"/>
                <w:color w:val="auto"/>
              </w:rPr>
            </w:pPr>
            <w:r>
              <w:rPr>
                <w:rFonts w:ascii="Arial" w:cs="Arial" w:eastAsia="Arial" w:hAnsi="Arial"/>
                <w:sz w:val="14"/>
                <w:szCs w:val="14"/>
                <w:color w:val="auto"/>
              </w:rPr>
              <w:t>Trade accounts receivable</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(11,647 )</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(814 )</w:t>
            </w:r>
          </w:p>
        </w:tc>
      </w:tr>
      <w:tr>
        <w:trPr>
          <w:trHeight w:val="209"/>
        </w:trPr>
        <w:tc>
          <w:tcPr>
            <w:tcW w:w="82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(4,838 )</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(5,421 )</w:t>
            </w:r>
          </w:p>
        </w:tc>
      </w:tr>
      <w:tr>
        <w:trPr>
          <w:trHeight w:val="196"/>
        </w:trPr>
        <w:tc>
          <w:tcPr>
            <w:tcW w:w="826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(5,002 )</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(8,980 )</w:t>
            </w:r>
          </w:p>
        </w:tc>
      </w:tr>
      <w:tr>
        <w:trPr>
          <w:trHeight w:val="209"/>
        </w:trPr>
        <w:tc>
          <w:tcPr>
            <w:tcW w:w="82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Trade accounts payable</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486</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(1,663 )</w:t>
            </w:r>
          </w:p>
        </w:tc>
      </w:tr>
      <w:tr>
        <w:trPr>
          <w:trHeight w:val="196"/>
        </w:trPr>
        <w:tc>
          <w:tcPr>
            <w:tcW w:w="8260" w:type="dxa"/>
            <w:vAlign w:val="bottom"/>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26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2,099</w:t>
            </w:r>
          </w:p>
        </w:tc>
        <w:tc>
          <w:tcPr>
            <w:tcW w:w="320" w:type="dxa"/>
            <w:vAlign w:val="bottom"/>
          </w:tcPr>
          <w:p>
            <w:pPr>
              <w:spacing w:after="0"/>
              <w:rPr>
                <w:sz w:val="17"/>
                <w:szCs w:val="17"/>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1,760</w:t>
            </w:r>
          </w:p>
        </w:tc>
      </w:tr>
      <w:tr>
        <w:trPr>
          <w:trHeight w:val="209"/>
        </w:trPr>
        <w:tc>
          <w:tcPr>
            <w:tcW w:w="82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Legal settlement liabilities</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1,612</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1,700</w:t>
            </w:r>
          </w:p>
        </w:tc>
      </w:tr>
      <w:tr>
        <w:trPr>
          <w:trHeight w:val="196"/>
        </w:trPr>
        <w:tc>
          <w:tcPr>
            <w:tcW w:w="826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6,637</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1,137</w:t>
            </w:r>
          </w:p>
        </w:tc>
      </w:tr>
      <w:tr>
        <w:trPr>
          <w:trHeight w:val="196"/>
        </w:trPr>
        <w:tc>
          <w:tcPr>
            <w:tcW w:w="8260" w:type="dxa"/>
            <w:vAlign w:val="bottom"/>
            <w:tcBorders>
              <w:bottom w:val="single" w:sz="8" w:color="CFF0FC"/>
            </w:tcBorders>
            <w:shd w:val="clear" w:color="auto" w:fill="CFF0FC"/>
          </w:tcPr>
          <w:p>
            <w:pPr>
              <w:ind w:left="600"/>
              <w:spacing w:after="0"/>
              <w:rPr>
                <w:sz w:val="20"/>
                <w:szCs w:val="20"/>
                <w:color w:val="auto"/>
              </w:rPr>
            </w:pPr>
            <w:r>
              <w:rPr>
                <w:rFonts w:ascii="Arial" w:cs="Arial" w:eastAsia="Arial" w:hAnsi="Arial"/>
                <w:sz w:val="14"/>
                <w:szCs w:val="14"/>
                <w:color w:val="auto"/>
              </w:rPr>
              <w:t>Net cash (used in) provided by operating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(818 )</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3,515</w:t>
            </w:r>
          </w:p>
        </w:tc>
      </w:tr>
      <w:tr>
        <w:trPr>
          <w:trHeight w:val="19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9"/>
        </w:trPr>
        <w:tc>
          <w:tcPr>
            <w:tcW w:w="826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Purchase of property and equipment</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(3,068 )</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(1,344 )</w:t>
            </w:r>
          </w:p>
        </w:tc>
      </w:tr>
      <w:tr>
        <w:trPr>
          <w:trHeight w:val="196"/>
        </w:trPr>
        <w:tc>
          <w:tcPr>
            <w:tcW w:w="8260" w:type="dxa"/>
            <w:vAlign w:val="bottom"/>
          </w:tcPr>
          <w:p>
            <w:pPr>
              <w:ind w:left="240"/>
              <w:spacing w:after="0"/>
              <w:rPr>
                <w:sz w:val="20"/>
                <w:szCs w:val="20"/>
                <w:color w:val="auto"/>
              </w:rPr>
            </w:pPr>
            <w:r>
              <w:rPr>
                <w:rFonts w:ascii="Arial" w:cs="Arial" w:eastAsia="Arial" w:hAnsi="Arial"/>
                <w:sz w:val="14"/>
                <w:szCs w:val="14"/>
                <w:color w:val="auto"/>
              </w:rPr>
              <w:t>Payment for additional investment in Cytek Japan, net of cash acquired</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371</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82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(2,697 )</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(1,344 )</w:t>
            </w:r>
          </w:p>
        </w:tc>
      </w:tr>
      <w:tr>
        <w:trPr>
          <w:trHeight w:val="19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8"/>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Paycheck Protection Program loan</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4,082</w:t>
            </w:r>
          </w:p>
        </w:tc>
      </w:tr>
      <w:tr>
        <w:trPr>
          <w:trHeight w:val="197"/>
        </w:trPr>
        <w:tc>
          <w:tcPr>
            <w:tcW w:w="8260" w:type="dxa"/>
            <w:vAlign w:val="bottom"/>
          </w:tcPr>
          <w:p>
            <w:pPr>
              <w:ind w:left="200"/>
              <w:spacing w:after="0"/>
              <w:rPr>
                <w:sz w:val="20"/>
                <w:szCs w:val="20"/>
                <w:color w:val="auto"/>
              </w:rPr>
            </w:pPr>
            <w:r>
              <w:rPr>
                <w:rFonts w:ascii="Arial" w:cs="Arial" w:eastAsia="Arial" w:hAnsi="Arial"/>
                <w:sz w:val="14"/>
                <w:szCs w:val="14"/>
                <w:color w:val="auto"/>
              </w:rPr>
              <w:t>Repayment of Paycheck Protection Program loan</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(2,772 )</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(1,310 )</w:t>
            </w:r>
          </w:p>
        </w:tc>
      </w:tr>
      <w:tr>
        <w:trPr>
          <w:trHeight w:val="209"/>
        </w:trPr>
        <w:tc>
          <w:tcPr>
            <w:tcW w:w="82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initial public offering, net of underwriting discounts and commissions and other offering costs</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215,689</w:t>
            </w: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8260" w:type="dxa"/>
            <w:vAlign w:val="bottom"/>
          </w:tcPr>
          <w:p>
            <w:pPr>
              <w:ind w:left="20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625</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w:t>
            </w:r>
          </w:p>
        </w:tc>
      </w:tr>
      <w:tr>
        <w:trPr>
          <w:trHeight w:val="196"/>
        </w:trPr>
        <w:tc>
          <w:tcPr>
            <w:tcW w:w="82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213,542</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2,880</w:t>
            </w:r>
          </w:p>
        </w:tc>
      </w:tr>
      <w:tr>
        <w:trPr>
          <w:trHeight w:val="196"/>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Effect of exchange rate changes on cash, cash equivalents and restricted cash</w:t>
            </w:r>
          </w:p>
        </w:tc>
        <w:tc>
          <w:tcPr>
            <w:tcW w:w="260" w:type="dxa"/>
            <w:vAlign w:val="bottom"/>
          </w:tcPr>
          <w:p>
            <w:pPr>
              <w:spacing w:after="0"/>
              <w:rPr>
                <w:sz w:val="17"/>
                <w:szCs w:val="17"/>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625</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208"/>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197"/>
        </w:trPr>
        <w:tc>
          <w:tcPr>
            <w:tcW w:w="8260" w:type="dxa"/>
            <w:vAlign w:val="bottom"/>
          </w:tcPr>
          <w:p>
            <w:pPr>
              <w:ind w:left="20"/>
              <w:spacing w:after="0"/>
              <w:rPr>
                <w:sz w:val="20"/>
                <w:szCs w:val="20"/>
                <w:color w:val="auto"/>
              </w:rPr>
            </w:pPr>
            <w:r>
              <w:rPr>
                <w:rFonts w:ascii="Arial" w:cs="Arial" w:eastAsia="Arial" w:hAnsi="Arial"/>
                <w:sz w:val="14"/>
                <w:szCs w:val="14"/>
                <w:color w:val="auto"/>
              </w:rPr>
              <w:t>Net increase in cash, cash equivalents and restricted cash</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210,652</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5,038</w:t>
            </w:r>
          </w:p>
        </w:tc>
      </w:tr>
      <w:tr>
        <w:trPr>
          <w:trHeight w:val="196"/>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26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166,119</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30,490</w:t>
            </w:r>
          </w:p>
        </w:tc>
      </w:tr>
      <w:tr>
        <w:trPr>
          <w:trHeight w:val="202"/>
        </w:trPr>
        <w:tc>
          <w:tcPr>
            <w:tcW w:w="82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376,771</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35,528</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2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203"/>
        </w:trPr>
        <w:tc>
          <w:tcPr>
            <w:tcW w:w="8260" w:type="dxa"/>
            <w:vAlign w:val="bottom"/>
          </w:tcPr>
          <w:p>
            <w:pPr>
              <w:ind w:left="20"/>
              <w:spacing w:after="0"/>
              <w:rPr>
                <w:sz w:val="20"/>
                <w:szCs w:val="20"/>
                <w:color w:val="auto"/>
              </w:rPr>
            </w:pPr>
            <w:r>
              <w:rPr>
                <w:rFonts w:ascii="Arial" w:cs="Arial" w:eastAsia="Arial" w:hAnsi="Arial"/>
                <w:sz w:val="14"/>
                <w:szCs w:val="14"/>
                <w:color w:val="auto"/>
              </w:rPr>
              <w:t>Cash paid for taxes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2,238</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765</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7"/>
        </w:trPr>
        <w:tc>
          <w:tcPr>
            <w:tcW w:w="8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260" w:type="dxa"/>
            <w:vAlign w:val="bottom"/>
            <w:tcBorders>
              <w:bottom w:val="single" w:sz="8" w:color="auto"/>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r>
      <w:tr>
        <w:trPr>
          <w:trHeight w:val="202"/>
        </w:trPr>
        <w:tc>
          <w:tcPr>
            <w:tcW w:w="8260" w:type="dxa"/>
            <w:vAlign w:val="bottom"/>
          </w:tcPr>
          <w:p>
            <w:pPr>
              <w:ind w:left="200"/>
              <w:spacing w:after="0"/>
              <w:rPr>
                <w:sz w:val="20"/>
                <w:szCs w:val="20"/>
                <w:color w:val="auto"/>
              </w:rPr>
            </w:pPr>
            <w:r>
              <w:rPr>
                <w:rFonts w:ascii="Arial" w:cs="Arial" w:eastAsia="Arial" w:hAnsi="Arial"/>
                <w:sz w:val="14"/>
                <w:szCs w:val="14"/>
                <w:color w:val="auto"/>
              </w:rPr>
              <w:t>Fixed asset purchases in accounts payable at period end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309</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8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Intangible asset in accrued expenses at period end</w:t>
            </w: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90</w:t>
            </w: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bl>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4"/>
          <w:szCs w:val="14"/>
          <w:b w:val="1"/>
          <w:bCs w:val="1"/>
          <w:color w:val="auto"/>
        </w:rPr>
        <w:t>Cytek Biosciences, Inc.</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Notes to interim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Cytek Biosciences, Inc. (“Cytek” or the “Company”) is a leading cell analysis solutions company advancing the next generation of cell analysis tools by leveraging novel technical approaches. The Company has focused on becoming the premier cell analysis company through continued innovation that facilitates scientific advances in biomedical research and clinical applications.</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The Company has successfully developed and manufactured its full spectrum flow cytometry platform (“instrument(s)” or “product(s)”). The Company believes its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The Company’s FSP platform includes instruments, accessories, reagents, software, and services to provide a comprehensive and integrated suite of solutions for its customers.</w:t>
      </w:r>
    </w:p>
    <w:p>
      <w:pPr>
        <w:spacing w:after="0" w:line="188"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The Company was incorporated in the state of Delaware in December 2014 and is headquartered in Fremont, California with offices, manufacturing facilities and distribution channels across the globe.</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Initial Public Offering</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In July 2021, the Company priced its initial public offering (“IPO”) of 13,949,401 shares of common stock, which included the full exercise by the underwriters of their option to purchase an additional 2,184,695 shares from the Company, at an initial public offering price of $17.00 per share for gross proceeds of $237.1 million, which resulted in net proceeds to the Company of approximately $215.7 million, after deducting underwriting discounts and commissions of approximately $17.3 million and offering-related transaction costs of approximately $5.3 million. In addition, certain selling stockholders offered and sold an additional 2,799,929 shares or common stock in the IPO. The Company did not receive any proceeds from the sale of such shares by the selling stockholders.</w:t>
      </w:r>
    </w:p>
    <w:p>
      <w:pPr>
        <w:spacing w:after="0" w:line="259" w:lineRule="exact"/>
        <w:rPr>
          <w:sz w:val="20"/>
          <w:szCs w:val="20"/>
          <w:color w:val="auto"/>
        </w:rPr>
      </w:pPr>
    </w:p>
    <w:p>
      <w:pPr>
        <w:jc w:val="both"/>
        <w:ind w:right="20" w:firstLine="515"/>
        <w:spacing w:after="0" w:line="292" w:lineRule="auto"/>
        <w:rPr>
          <w:sz w:val="20"/>
          <w:szCs w:val="20"/>
          <w:color w:val="auto"/>
        </w:rPr>
      </w:pPr>
      <w:r>
        <w:rPr>
          <w:rFonts w:ascii="Arial" w:cs="Arial" w:eastAsia="Arial" w:hAnsi="Arial"/>
          <w:sz w:val="14"/>
          <w:szCs w:val="14"/>
          <w:color w:val="auto"/>
        </w:rPr>
        <w:t>In addition, in connection with the completion of the IPO on July 27, 2021, all outstanding shares of convertible preferred stock (see Note 10) were automatically converted into 87,268,694 shares of the Company’s common stock and were reclassified as permanent equity. Further, immediately following the closing of the IPO, the Company amended and restated its certificate of incorporation such that the total number of shares of common stock authorized to be issued was 1,000,000,000 and the total number of shares of preferred stock authorized to be issued was 10,000,000. Following the IPO, there are no shares of convertible preferred stock outstanding.</w:t>
      </w:r>
    </w:p>
    <w:p>
      <w:pPr>
        <w:spacing w:after="0" w:line="144"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Basis of presentation and summary of significant accounting policies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 has prepared the accompanying unaudited interim consolidated financial statements in accordance with accounting principles generally accepted in the United States of America (“U.S. GAAP”). Any reference in these notes to applicable guidance is meant to refer to the authoritative U.S. GAAP as found in the Accounting Standards Codification (“ASC”) and Accounting Standards Updates (“ASUs”) of the Financial Accounting Standards Board (“FASB”).</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2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The unaudited interim consolidated financial statements include the accounts of Cytek Biosciences, Inc., its wholly-owned subsidiaries, Cytek Limited (HK), Cytek Biosciences B.V. (Europe), Cytek (Shanghai) Biosciences Co., Ltd., Cytek Biosciences (Wuxi) Co., Ltd., Cytoville Biosciences Shanghai Co., Ltd. and Cytek (Shanghai) Software Development Technology Co., Ltd. and its majority-owned subsidiary, Cytek Japan Kabushiki Kaisha (“Cytek Japan”). The noncontrolling interest is presented in stockholders’ equity (deficit) in the consolidated balance sheets and consolidated statements of redeemable convertible preferred stock and stockholders’ equity (deficit). All intercompany accounts and transactions have been eliminated in consolidation.</w:t>
      </w:r>
    </w:p>
    <w:p>
      <w:pPr>
        <w:spacing w:after="0" w:line="17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On July 16, 2021, the Company effected a 1.3333-for-1 stock split of its common stock and redeemable convertible preferred stock (the “Stock Split”). All share and per share information has been retroactively adjusted to reflect the Stock Split for all periods presented.</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Variable interest entities and voting interest entities</w:t>
      </w:r>
    </w:p>
    <w:p>
      <w:pPr>
        <w:spacing w:after="0" w:line="190" w:lineRule="exact"/>
        <w:rPr>
          <w:sz w:val="20"/>
          <w:szCs w:val="20"/>
          <w:color w:val="auto"/>
        </w:rPr>
      </w:pPr>
    </w:p>
    <w:p>
      <w:pPr>
        <w:jc w:val="both"/>
        <w:ind w:firstLine="491"/>
        <w:spacing w:after="0" w:line="289" w:lineRule="auto"/>
        <w:rPr>
          <w:sz w:val="20"/>
          <w:szCs w:val="20"/>
          <w:color w:val="auto"/>
        </w:rPr>
      </w:pPr>
      <w:r>
        <w:rPr>
          <w:rFonts w:ascii="Arial" w:cs="Arial" w:eastAsia="Arial" w:hAnsi="Arial"/>
          <w:sz w:val="13"/>
          <w:szCs w:val="13"/>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model (“VOE”) or other applicable GAAP.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 Company consolidates VOEs in which it has greater than 50% of the voting shares and that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 preparation of the unaudited interim consolidated financial statements in conformity with U.S.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color w:val="auto"/>
        </w:rPr>
        <w:t>Unaudited interim consolidated financial statements</w:t>
      </w:r>
    </w:p>
    <w:p>
      <w:pPr>
        <w:spacing w:after="0" w:line="123" w:lineRule="exact"/>
        <w:rPr>
          <w:sz w:val="20"/>
          <w:szCs w:val="20"/>
          <w:color w:val="auto"/>
        </w:rPr>
      </w:pPr>
    </w:p>
    <w:p>
      <w:pPr>
        <w:jc w:val="both"/>
        <w:ind w:firstLine="509"/>
        <w:spacing w:after="0" w:line="316" w:lineRule="auto"/>
        <w:rPr>
          <w:sz w:val="20"/>
          <w:szCs w:val="20"/>
          <w:color w:val="auto"/>
        </w:rPr>
      </w:pPr>
      <w:r>
        <w:rPr>
          <w:rFonts w:ascii="Arial" w:cs="Arial" w:eastAsia="Arial" w:hAnsi="Arial"/>
          <w:sz w:val="12"/>
          <w:szCs w:val="12"/>
          <w:color w:val="auto"/>
        </w:rPr>
        <w:t>The unaudited interim consolidated financial statements have been prepared on the same basis as the annual financial statements and, in the opinion of management, reflect all adjustments, which include only normal recurring adjustments, necessary to present fairly the Company’s financial position as of September 30, 2021, and its results of operations and comprehensive income for the three and nine months ended September 30, 2021 and 2020, cash flows for the nine months ended September 30, 2021 and 2020, and the consolidated statements of redeemable convertible preferred stock and stockholders’ equity (deficit) for the three and nine months ended September 30, 2021 and 2020. The financial data and the other financial information contained in these notes to the unaudited interim consolidated financial statements related to the three and nine-month periods are also unaudited. The results of operations and comprehensive income for the three and nine months ended September 30, 2021 are not necessarily indicative of the results to be expected for the year ending December 31, 2021 or for any other future annual or interim period. These unaudited interim consolidated financial statements should be read in conjunction with the Company’s audited financial statements and notes thereto for the year ended December 31, 2020 included in the Company’s final prospectus dated July 22, 2021, filed with the SEC on July 23, 2021 pursuant to Rule 424(b) under the Securities Act of 1933, as amended.</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pandemic</w:t>
      </w:r>
    </w:p>
    <w:p>
      <w:pPr>
        <w:spacing w:after="0" w:line="12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The Company is subject to risks and uncertainties as a result of the COVID-19 pandemic. The future impact of the COVID-19 pandemic remains uncertain as its global impact continues to rapidly evolve. 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impacted, and may continue to impact, the Company’s manufacturing facilities (in Fremont, California and Wuxi, China) and its third-party manufacturers and suppliers, which could disrupt its supply chain or the availability or cost of materials. The effects of the public health directives and the Company’s work-from-home policies may negatively impact productivity, disrupt its business and delay Company’s operations,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For the three and nine months ended September 30, 2021 and 2020, the Company has not incurred impairment losses in the carrying values of its assets as a result of the pandemic and is not aware of any specific related event or circumstances that would require the Company to revise its estimates reflected in these unaudited interim consolidated financial statements.</w:t>
      </w:r>
    </w:p>
    <w:p>
      <w:pPr>
        <w:spacing w:after="0" w:line="140" w:lineRule="exact"/>
        <w:rPr>
          <w:sz w:val="20"/>
          <w:szCs w:val="20"/>
          <w:color w:val="auto"/>
        </w:rPr>
      </w:pPr>
    </w:p>
    <w:p>
      <w:pPr>
        <w:jc w:val="both"/>
        <w:ind w:firstLine="549"/>
        <w:spacing w:after="0" w:line="292" w:lineRule="auto"/>
        <w:rPr>
          <w:sz w:val="20"/>
          <w:szCs w:val="20"/>
          <w:color w:val="auto"/>
        </w:rPr>
      </w:pPr>
      <w:r>
        <w:rPr>
          <w:rFonts w:ascii="Arial" w:cs="Arial" w:eastAsia="Arial" w:hAnsi="Arial"/>
          <w:sz w:val="13"/>
          <w:szCs w:val="13"/>
          <w:color w:val="auto"/>
        </w:rPr>
        <w:t>The Company cannot be certain what the overall impact of the COVID-19 pandemic will be on its business and prospects. The extent to which the COVID-19 pandemic will further directly or indirectly impact its business, results of operations, financial condition, liquidity and research and development costs will depend on future developments that are highly uncertain, including variant strains of the virus, the degree of their vaccine resistance and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adversely impacted for an extended period, the Company’s business, financial condition, results of operations and prospects may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segments</w:t>
      </w:r>
    </w:p>
    <w:p>
      <w:pPr>
        <w:spacing w:after="0" w:line="12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 and transactions</w:t>
      </w:r>
    </w:p>
    <w:p>
      <w:pPr>
        <w:spacing w:after="0" w:line="123"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interim consolidated statements of operations and comprehensive income have been translated at the average exchange rate for the year or the reporting period. Translation gains and losses are recorded in accumulated other comprehensive income as a component of stockholders’ equity (deficit). Gains or losses arising from currency exchange rate fluctuations on transactions denominated in a currency other than the local functional currency are included in the interim consolidated statements of operations and comprehensive income.</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cash equivalents and restricted cash</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Company considers all highly liquid investments with a maturity of three months or less when purchased to be cash equivalents. Cash equivalents are carried at cost, which approximates fair value.</w:t>
      </w:r>
    </w:p>
    <w:p>
      <w:pPr>
        <w:spacing w:after="0" w:line="17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 Company’s cash and cash equivalents consist of money held in demand depositary accounts and money market funds. The carrying amount of cash and cash equivalents was $376.8 million and $165.2 million as of September 30, 2021 and December 31, 2020, 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September 30, 2021 and December 31, 2020.</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classifies restricted cash as current and noncurrent on the accompanying consolidated balance sheets based upon the term of the remaining restrictions.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ind w:left="520"/>
        <w:spacing w:after="0"/>
        <w:rPr>
          <w:sz w:val="20"/>
          <w:szCs w:val="20"/>
          <w:color w:val="auto"/>
        </w:rPr>
      </w:pPr>
      <w:r>
        <w:rPr>
          <w:rFonts w:ascii="Arial" w:cs="Arial" w:eastAsia="Arial" w:hAnsi="Arial"/>
          <w:sz w:val="14"/>
          <w:szCs w:val="14"/>
          <w:color w:val="auto"/>
        </w:rPr>
        <w:t>The following is a summary of cash, cash equivalents and restricted cash on the consolidated balance sheets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left="428"/>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tcPr>
          <w:p>
            <w:pPr>
              <w:jc w:val="right"/>
              <w:ind w:right="52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2021</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2020</w:t>
            </w:r>
          </w:p>
        </w:tc>
      </w:tr>
      <w:tr>
        <w:trPr>
          <w:trHeight w:val="196"/>
        </w:trPr>
        <w:tc>
          <w:tcPr>
            <w:tcW w:w="68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4"/>
              </w:rPr>
              <w:t>(unaudited)</w:t>
            </w:r>
          </w:p>
        </w:tc>
        <w:tc>
          <w:tcPr>
            <w:tcW w:w="5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r>
      <w:tr>
        <w:trPr>
          <w:trHeight w:val="202"/>
        </w:trPr>
        <w:tc>
          <w:tcPr>
            <w:tcW w:w="708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Cash</w:t>
            </w:r>
          </w:p>
        </w:tc>
        <w:tc>
          <w:tcPr>
            <w:tcW w:w="1420" w:type="dxa"/>
            <w:vAlign w:val="bottom"/>
            <w:shd w:val="clear" w:color="auto" w:fill="CFF0FC"/>
          </w:tcPr>
          <w:p>
            <w:pPr>
              <w:jc w:val="right"/>
              <w:ind w:right="126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15,743</w:t>
            </w: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10,651</w:t>
            </w:r>
          </w:p>
        </w:tc>
      </w:tr>
      <w:tr>
        <w:trPr>
          <w:trHeight w:val="197"/>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142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w w:val="90"/>
              </w:rPr>
              <w:t>361,028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154,580</w:t>
            </w:r>
          </w:p>
        </w:tc>
      </w:tr>
      <w:tr>
        <w:trPr>
          <w:trHeight w:val="203"/>
        </w:trPr>
        <w:tc>
          <w:tcPr>
            <w:tcW w:w="70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Restricted cash</w:t>
            </w:r>
          </w:p>
        </w:tc>
        <w:tc>
          <w:tcPr>
            <w:tcW w:w="14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888</w:t>
            </w:r>
          </w:p>
        </w:tc>
      </w:tr>
      <w:tr>
        <w:trPr>
          <w:trHeight w:val="202"/>
        </w:trPr>
        <w:tc>
          <w:tcPr>
            <w:tcW w:w="7080" w:type="dxa"/>
            <w:vAlign w:val="bottom"/>
            <w:gridSpan w:val="2"/>
          </w:tcPr>
          <w:p>
            <w:pPr>
              <w:ind w:left="20"/>
              <w:spacing w:after="0"/>
              <w:rPr>
                <w:sz w:val="20"/>
                <w:szCs w:val="20"/>
                <w:color w:val="auto"/>
              </w:rPr>
            </w:pPr>
            <w:r>
              <w:rPr>
                <w:rFonts w:ascii="Arial" w:cs="Arial" w:eastAsia="Arial" w:hAnsi="Arial"/>
                <w:sz w:val="14"/>
                <w:szCs w:val="14"/>
                <w:color w:val="auto"/>
              </w:rPr>
              <w:t>Total cash, cash equivalents and restricted cash as presented on the consolidated statements of cash flows</w:t>
            </w:r>
          </w:p>
        </w:tc>
        <w:tc>
          <w:tcPr>
            <w:tcW w:w="1420" w:type="dxa"/>
            <w:vAlign w:val="bottom"/>
          </w:tcPr>
          <w:p>
            <w:pPr>
              <w:jc w:val="right"/>
              <w:ind w:right="12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w w:val="90"/>
              </w:rPr>
              <w:t>376,771</w:t>
            </w: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166,119</w:t>
            </w:r>
          </w:p>
        </w:tc>
      </w:tr>
      <w:tr>
        <w:trPr>
          <w:trHeight w:val="20"/>
        </w:trPr>
        <w:tc>
          <w:tcPr>
            <w:tcW w:w="6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-159385</wp:posOffset>
            </wp:positionV>
            <wp:extent cx="12001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accounts receivable, net</w:t>
      </w:r>
    </w:p>
    <w:p>
      <w:pPr>
        <w:spacing w:after="0" w:line="12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Trade accounts receivable are recorded at the invoiced amount and do not bear interest. The Company maintains an allowance for doubtful accounts for estimated losses inherent in its accounts receivable portfolio. In establishing the required allowance, management considers historical losses adjusted to take into account current market conditions and the Company’s customers’ respective financial conditions, the amounts of receivables in dispute and the current receivables aging and current payment patterns. To the extent identified, account balances are charged off against the allowance after all means of collection have been exhausted and the potential for recovery is considered remote. To date, the Company’s customers have primarily been large pharmaceutical companies, biopharmaceutical companies, leading academic research centers and clinical research organizations and therefore, the Company has not had any material write-offs or allowance for doubtful accounts for the presented periods. The following is a summary of the accounts receivables allowance for doubtful accounts for the nine months ended September 30, 2021 and year ended December 31, 2020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1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8"/>
        </w:trPr>
        <w:tc>
          <w:tcPr>
            <w:tcW w:w="8720" w:type="dxa"/>
            <w:vAlign w:val="bottom"/>
            <w:shd w:val="clear" w:color="auto" w:fill="CFF0FC"/>
          </w:tcPr>
          <w:p>
            <w:pPr>
              <w:jc w:val="center"/>
              <w:ind w:right="6828"/>
              <w:spacing w:after="0"/>
              <w:rPr>
                <w:sz w:val="20"/>
                <w:szCs w:val="20"/>
                <w:color w:val="auto"/>
              </w:rPr>
            </w:pPr>
            <w:r>
              <w:rPr>
                <w:rFonts w:ascii="Arial" w:cs="Arial" w:eastAsia="Arial" w:hAnsi="Arial"/>
                <w:sz w:val="14"/>
                <w:szCs w:val="14"/>
                <w:color w:val="auto"/>
                <w:w w:val="92"/>
              </w:rPr>
              <w:t>Balance at December 31, 2019</w:t>
            </w:r>
          </w:p>
        </w:tc>
        <w:tc>
          <w:tcPr>
            <w:tcW w:w="1100" w:type="dxa"/>
            <w:vAlign w:val="bottom"/>
            <w:shd w:val="clear" w:color="auto" w:fill="CFF0FC"/>
          </w:tcPr>
          <w:p>
            <w:pPr>
              <w:jc w:val="right"/>
              <w:ind w:right="92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97"/>
        </w:trPr>
        <w:tc>
          <w:tcPr>
            <w:tcW w:w="8720" w:type="dxa"/>
            <w:vAlign w:val="bottom"/>
          </w:tcPr>
          <w:p>
            <w:pPr>
              <w:jc w:val="center"/>
              <w:ind w:right="6868"/>
              <w:spacing w:after="0"/>
              <w:rPr>
                <w:sz w:val="20"/>
                <w:szCs w:val="20"/>
                <w:color w:val="auto"/>
              </w:rPr>
            </w:pPr>
            <w:r>
              <w:rPr>
                <w:rFonts w:ascii="Arial" w:cs="Arial" w:eastAsia="Arial" w:hAnsi="Arial"/>
                <w:sz w:val="14"/>
                <w:szCs w:val="14"/>
                <w:color w:val="auto"/>
                <w:w w:val="96"/>
              </w:rPr>
              <w:t>Addition during the period</w:t>
            </w:r>
          </w:p>
        </w:tc>
        <w:tc>
          <w:tcPr>
            <w:tcW w:w="1100" w:type="dxa"/>
            <w:vAlign w:val="bottom"/>
          </w:tcPr>
          <w:p>
            <w:pPr>
              <w:spacing w:after="0"/>
              <w:rPr>
                <w:sz w:val="17"/>
                <w:szCs w:val="17"/>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175</w:t>
            </w:r>
          </w:p>
        </w:tc>
      </w:tr>
      <w:tr>
        <w:trPr>
          <w:trHeight w:val="203"/>
        </w:trPr>
        <w:tc>
          <w:tcPr>
            <w:tcW w:w="8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Utilization of allowance for doubtful accounts</w:t>
            </w:r>
          </w:p>
        </w:tc>
        <w:tc>
          <w:tcPr>
            <w:tcW w:w="11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r>
      <w:tr>
        <w:trPr>
          <w:trHeight w:val="196"/>
        </w:trPr>
        <w:tc>
          <w:tcPr>
            <w:tcW w:w="8720" w:type="dxa"/>
            <w:vAlign w:val="bottom"/>
          </w:tcPr>
          <w:p>
            <w:pPr>
              <w:jc w:val="center"/>
              <w:ind w:right="6828"/>
              <w:spacing w:after="0"/>
              <w:rPr>
                <w:sz w:val="20"/>
                <w:szCs w:val="20"/>
                <w:color w:val="auto"/>
              </w:rPr>
            </w:pPr>
            <w:r>
              <w:rPr>
                <w:rFonts w:ascii="Arial" w:cs="Arial" w:eastAsia="Arial" w:hAnsi="Arial"/>
                <w:sz w:val="14"/>
                <w:szCs w:val="14"/>
                <w:color w:val="auto"/>
                <w:w w:val="92"/>
              </w:rPr>
              <w:t>Balance at December 31, 2020</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175</w:t>
            </w:r>
          </w:p>
        </w:tc>
      </w:tr>
      <w:tr>
        <w:trPr>
          <w:trHeight w:val="208"/>
        </w:trPr>
        <w:tc>
          <w:tcPr>
            <w:tcW w:w="8720" w:type="dxa"/>
            <w:vAlign w:val="bottom"/>
            <w:shd w:val="clear" w:color="auto" w:fill="CFF0FC"/>
          </w:tcPr>
          <w:p>
            <w:pPr>
              <w:jc w:val="center"/>
              <w:ind w:right="6868"/>
              <w:spacing w:after="0"/>
              <w:rPr>
                <w:sz w:val="20"/>
                <w:szCs w:val="20"/>
                <w:color w:val="auto"/>
              </w:rPr>
            </w:pPr>
            <w:r>
              <w:rPr>
                <w:rFonts w:ascii="Arial" w:cs="Arial" w:eastAsia="Arial" w:hAnsi="Arial"/>
                <w:sz w:val="14"/>
                <w:szCs w:val="14"/>
                <w:color w:val="auto"/>
                <w:w w:val="96"/>
              </w:rPr>
              <w:t>Addition during the period</w:t>
            </w:r>
          </w:p>
        </w:tc>
        <w:tc>
          <w:tcPr>
            <w:tcW w:w="11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r>
      <w:tr>
        <w:trPr>
          <w:trHeight w:val="197"/>
        </w:trPr>
        <w:tc>
          <w:tcPr>
            <w:tcW w:w="8720" w:type="dxa"/>
            <w:vAlign w:val="bottom"/>
          </w:tcPr>
          <w:p>
            <w:pPr>
              <w:ind w:left="120"/>
              <w:spacing w:after="0"/>
              <w:rPr>
                <w:sz w:val="20"/>
                <w:szCs w:val="20"/>
                <w:color w:val="auto"/>
              </w:rPr>
            </w:pPr>
            <w:r>
              <w:rPr>
                <w:rFonts w:ascii="Arial" w:cs="Arial" w:eastAsia="Arial" w:hAnsi="Arial"/>
                <w:sz w:val="14"/>
                <w:szCs w:val="14"/>
                <w:color w:val="auto"/>
              </w:rPr>
              <w:t>Utilization of allowance for doubtful accounts</w:t>
            </w:r>
          </w:p>
        </w:tc>
        <w:tc>
          <w:tcPr>
            <w:tcW w:w="1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(172 )</w:t>
            </w:r>
          </w:p>
        </w:tc>
      </w:tr>
      <w:tr>
        <w:trPr>
          <w:trHeight w:val="242"/>
        </w:trPr>
        <w:tc>
          <w:tcPr>
            <w:tcW w:w="8720" w:type="dxa"/>
            <w:vAlign w:val="bottom"/>
            <w:tcBorders>
              <w:bottom w:val="single" w:sz="8" w:color="CFF0FC"/>
            </w:tcBorders>
            <w:shd w:val="clear" w:color="auto" w:fill="CFF0FC"/>
          </w:tcPr>
          <w:p>
            <w:pPr>
              <w:jc w:val="center"/>
              <w:ind w:right="6808"/>
              <w:spacing w:after="0"/>
              <w:rPr>
                <w:sz w:val="20"/>
                <w:szCs w:val="20"/>
                <w:color w:val="auto"/>
              </w:rPr>
            </w:pPr>
            <w:r>
              <w:rPr>
                <w:rFonts w:ascii="Arial" w:cs="Arial" w:eastAsia="Arial" w:hAnsi="Arial"/>
                <w:sz w:val="14"/>
                <w:szCs w:val="14"/>
                <w:color w:val="auto"/>
                <w:w w:val="91"/>
              </w:rPr>
              <w:t>Balance at September 30, 2021</w:t>
            </w:r>
          </w:p>
        </w:tc>
        <w:tc>
          <w:tcPr>
            <w:tcW w:w="1100" w:type="dxa"/>
            <w:vAlign w:val="bottom"/>
            <w:tcBorders>
              <w:bottom w:val="single" w:sz="8" w:color="auto"/>
            </w:tcBorders>
            <w:shd w:val="clear" w:color="auto" w:fill="CFF0FC"/>
          </w:tcPr>
          <w:p>
            <w:pPr>
              <w:jc w:val="right"/>
              <w:ind w:right="9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Inventories</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Inventories are stated at the lower of cost and net realizable value. Cost is computed using standard cost, which approximates actual cost on a first-in, first-out basis. Inventory that is obsolete or in excess of forecasted usage is written down to its estimated net realizable value based on assumptions about future demand and market conditions. Inventory write-downs are charged to cost of sales and establish a new cost basis for the inventory. Inventories include raw materials, work-in-process and finished goods.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23"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4"/>
          <w:szCs w:val="14"/>
          <w:color w:val="auto"/>
        </w:rPr>
        <w:t>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322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92"/>
              </w:rPr>
              <w:t>Estimated Useful Lives</w:t>
            </w:r>
          </w:p>
        </w:tc>
      </w:tr>
      <w:tr>
        <w:trPr>
          <w:trHeight w:val="20"/>
        </w:trPr>
        <w:tc>
          <w:tcPr>
            <w:tcW w:w="45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03"/>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Furniture and fixtures</w:t>
            </w:r>
          </w:p>
        </w:tc>
        <w:tc>
          <w:tcPr>
            <w:tcW w:w="3500" w:type="dxa"/>
            <w:vAlign w:val="bottom"/>
            <w:shd w:val="clear" w:color="auto" w:fill="CFF0FC"/>
          </w:tcPr>
          <w:p>
            <w:pPr>
              <w:spacing w:after="0"/>
              <w:rPr>
                <w:sz w:val="17"/>
                <w:szCs w:val="17"/>
                <w:color w:val="auto"/>
              </w:rPr>
            </w:pPr>
          </w:p>
        </w:tc>
        <w:tc>
          <w:tcPr>
            <w:tcW w:w="3220" w:type="dxa"/>
            <w:vAlign w:val="bottom"/>
            <w:gridSpan w:val="2"/>
            <w:shd w:val="clear" w:color="auto" w:fill="CFF0FC"/>
          </w:tcPr>
          <w:p>
            <w:pPr>
              <w:jc w:val="center"/>
              <w:ind w:right="1800"/>
              <w:spacing w:after="0"/>
              <w:rPr>
                <w:sz w:val="20"/>
                <w:szCs w:val="20"/>
                <w:color w:val="auto"/>
              </w:rPr>
            </w:pPr>
            <w:r>
              <w:rPr>
                <w:rFonts w:ascii="Arial" w:cs="Arial" w:eastAsia="Arial" w:hAnsi="Arial"/>
                <w:sz w:val="14"/>
                <w:szCs w:val="14"/>
                <w:color w:val="auto"/>
                <w:w w:val="91"/>
              </w:rPr>
              <w:t>7 years</w:t>
            </w: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color w:val="auto"/>
              </w:rPr>
              <w:t>Laboratory equipment</w:t>
            </w:r>
          </w:p>
        </w:tc>
        <w:tc>
          <w:tcPr>
            <w:tcW w:w="3500" w:type="dxa"/>
            <w:vAlign w:val="bottom"/>
          </w:tcPr>
          <w:p>
            <w:pPr>
              <w:spacing w:after="0"/>
              <w:rPr>
                <w:sz w:val="17"/>
                <w:szCs w:val="17"/>
                <w:color w:val="auto"/>
              </w:rPr>
            </w:pPr>
          </w:p>
        </w:tc>
        <w:tc>
          <w:tcPr>
            <w:tcW w:w="3220" w:type="dxa"/>
            <w:vAlign w:val="bottom"/>
            <w:gridSpan w:val="2"/>
          </w:tcPr>
          <w:p>
            <w:pPr>
              <w:jc w:val="center"/>
              <w:ind w:right="1800"/>
              <w:spacing w:after="0"/>
              <w:rPr>
                <w:sz w:val="20"/>
                <w:szCs w:val="20"/>
                <w:color w:val="auto"/>
              </w:rPr>
            </w:pPr>
            <w:r>
              <w:rPr>
                <w:rFonts w:ascii="Arial" w:cs="Arial" w:eastAsia="Arial" w:hAnsi="Arial"/>
                <w:sz w:val="14"/>
                <w:szCs w:val="14"/>
                <w:color w:val="auto"/>
                <w:w w:val="91"/>
              </w:rPr>
              <w:t>5 years</w:t>
            </w:r>
          </w:p>
        </w:tc>
      </w:tr>
      <w:tr>
        <w:trPr>
          <w:trHeight w:val="209"/>
        </w:trPr>
        <w:tc>
          <w:tcPr>
            <w:tcW w:w="45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Office and computer equipment</w:t>
            </w:r>
          </w:p>
        </w:tc>
        <w:tc>
          <w:tcPr>
            <w:tcW w:w="350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jc w:val="center"/>
              <w:ind w:right="1800"/>
              <w:spacing w:after="0"/>
              <w:rPr>
                <w:sz w:val="20"/>
                <w:szCs w:val="20"/>
                <w:color w:val="auto"/>
              </w:rPr>
            </w:pPr>
            <w:r>
              <w:rPr>
                <w:rFonts w:ascii="Arial" w:cs="Arial" w:eastAsia="Arial" w:hAnsi="Arial"/>
                <w:sz w:val="14"/>
                <w:szCs w:val="14"/>
                <w:color w:val="auto"/>
                <w:w w:val="91"/>
              </w:rPr>
              <w:t>3 years</w:t>
            </w:r>
          </w:p>
        </w:tc>
      </w:tr>
      <w:tr>
        <w:trPr>
          <w:trHeight w:val="190"/>
        </w:trPr>
        <w:tc>
          <w:tcPr>
            <w:tcW w:w="452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6720" w:type="dxa"/>
            <w:vAlign w:val="bottom"/>
            <w:gridSpan w:val="3"/>
          </w:tcPr>
          <w:p>
            <w:pPr>
              <w:jc w:val="center"/>
              <w:ind w:left="1628"/>
              <w:spacing w:after="0"/>
              <w:rPr>
                <w:sz w:val="20"/>
                <w:szCs w:val="20"/>
                <w:color w:val="auto"/>
              </w:rPr>
            </w:pPr>
            <w:r>
              <w:rPr>
                <w:rFonts w:ascii="Arial" w:cs="Arial" w:eastAsia="Arial" w:hAnsi="Arial"/>
                <w:sz w:val="14"/>
                <w:szCs w:val="14"/>
                <w:color w:val="auto"/>
                <w:w w:val="92"/>
              </w:rPr>
              <w:t>Shorter of expected lease term or estimated useful life</w:t>
            </w:r>
          </w:p>
        </w:tc>
      </w:tr>
    </w:tbl>
    <w:p>
      <w:pPr>
        <w:spacing w:after="0" w:line="26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Upon sale or retirement of the assets, the cost and related accumulated depreciation are removed from the accounts and the resulting gain or loss is recognized in the consolidated statement of operations and comprehensive income. Expenditures for general maintenance and repairs are expensed as incurred.</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and intangible assets, net</w:t>
      </w:r>
    </w:p>
    <w:p>
      <w:pPr>
        <w:spacing w:after="0" w:line="190" w:lineRule="exact"/>
        <w:rPr>
          <w:sz w:val="20"/>
          <w:szCs w:val="20"/>
          <w:color w:val="auto"/>
        </w:rPr>
      </w:pPr>
    </w:p>
    <w:p>
      <w:pPr>
        <w:jc w:val="both"/>
        <w:ind w:firstLine="330"/>
        <w:spacing w:after="0" w:line="277" w:lineRule="auto"/>
        <w:rPr>
          <w:sz w:val="20"/>
          <w:szCs w:val="20"/>
          <w:color w:val="auto"/>
        </w:rPr>
      </w:pPr>
      <w:r>
        <w:rPr>
          <w:rFonts w:ascii="Arial" w:cs="Arial" w:eastAsia="Arial" w:hAnsi="Arial"/>
          <w:sz w:val="14"/>
          <w:szCs w:val="14"/>
          <w:color w:val="auto"/>
        </w:rPr>
        <w:t>In July 2015, the Company entered into a purchase agreement with Cytek Development Technology (“Cytek Tech”) involving the acquisition of substantially all assets of Cytek Tech for the aggregate purchase amount of $900,000 in cash and the assumption of Cytek Tech liabilities. The Company recorded goodwill of $476,000 and intangible assets of $476,000 at the transaction date.</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220" w:type="dxa"/>
            <w:vAlign w:val="bottom"/>
            <w:gridSpan w:val="2"/>
          </w:tcPr>
          <w:p>
            <w:pPr>
              <w:jc w:val="center"/>
              <w:ind w:right="1800"/>
              <w:spacing w:after="0"/>
              <w:rPr>
                <w:sz w:val="20"/>
                <w:szCs w:val="20"/>
                <w:color w:val="auto"/>
              </w:rPr>
            </w:pPr>
            <w:r>
              <w:rPr>
                <w:rFonts w:ascii="Arial" w:cs="Arial" w:eastAsia="Arial" w:hAnsi="Arial"/>
                <w:sz w:val="14"/>
                <w:szCs w:val="14"/>
                <w:b w:val="1"/>
                <w:bCs w:val="1"/>
                <w:color w:val="auto"/>
                <w:w w:val="92"/>
              </w:rPr>
              <w:t>Estimated Useful Lives</w:t>
            </w:r>
          </w:p>
        </w:tc>
      </w:tr>
      <w:tr>
        <w:trPr>
          <w:trHeight w:val="21"/>
        </w:trPr>
        <w:tc>
          <w:tcPr>
            <w:tcW w:w="3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03"/>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Patent</w:t>
            </w:r>
          </w:p>
        </w:tc>
        <w:tc>
          <w:tcPr>
            <w:tcW w:w="4880" w:type="dxa"/>
            <w:vAlign w:val="bottom"/>
            <w:shd w:val="clear" w:color="auto" w:fill="CFF0FC"/>
          </w:tcPr>
          <w:p>
            <w:pPr>
              <w:spacing w:after="0"/>
              <w:rPr>
                <w:sz w:val="17"/>
                <w:szCs w:val="17"/>
                <w:color w:val="auto"/>
              </w:rPr>
            </w:pPr>
          </w:p>
        </w:tc>
        <w:tc>
          <w:tcPr>
            <w:tcW w:w="3220" w:type="dxa"/>
            <w:vAlign w:val="bottom"/>
            <w:gridSpan w:val="2"/>
            <w:shd w:val="clear" w:color="auto" w:fill="CFF0FC"/>
          </w:tcPr>
          <w:p>
            <w:pPr>
              <w:jc w:val="center"/>
              <w:ind w:right="1800"/>
              <w:spacing w:after="0"/>
              <w:rPr>
                <w:sz w:val="20"/>
                <w:szCs w:val="20"/>
                <w:color w:val="auto"/>
              </w:rPr>
            </w:pPr>
            <w:r>
              <w:rPr>
                <w:rFonts w:ascii="Arial" w:cs="Arial" w:eastAsia="Arial" w:hAnsi="Arial"/>
                <w:sz w:val="14"/>
                <w:szCs w:val="14"/>
                <w:color w:val="auto"/>
                <w:w w:val="93"/>
              </w:rPr>
              <w:t>20 years</w:t>
            </w:r>
          </w:p>
        </w:tc>
      </w:tr>
      <w:tr>
        <w:trPr>
          <w:trHeight w:val="196"/>
        </w:trPr>
        <w:tc>
          <w:tcPr>
            <w:tcW w:w="3140" w:type="dxa"/>
            <w:vAlign w:val="bottom"/>
          </w:tcPr>
          <w:p>
            <w:pPr>
              <w:ind w:left="20"/>
              <w:spacing w:after="0"/>
              <w:rPr>
                <w:sz w:val="20"/>
                <w:szCs w:val="20"/>
                <w:color w:val="auto"/>
              </w:rPr>
            </w:pPr>
            <w:r>
              <w:rPr>
                <w:rFonts w:ascii="Arial" w:cs="Arial" w:eastAsia="Arial" w:hAnsi="Arial"/>
                <w:sz w:val="14"/>
                <w:szCs w:val="14"/>
                <w:color w:val="auto"/>
              </w:rPr>
              <w:t>Trademarks</w:t>
            </w:r>
          </w:p>
        </w:tc>
        <w:tc>
          <w:tcPr>
            <w:tcW w:w="4880" w:type="dxa"/>
            <w:vAlign w:val="bottom"/>
          </w:tcPr>
          <w:p>
            <w:pPr>
              <w:spacing w:after="0"/>
              <w:rPr>
                <w:sz w:val="17"/>
                <w:szCs w:val="17"/>
                <w:color w:val="auto"/>
              </w:rPr>
            </w:pPr>
          </w:p>
        </w:tc>
        <w:tc>
          <w:tcPr>
            <w:tcW w:w="3220" w:type="dxa"/>
            <w:vAlign w:val="bottom"/>
            <w:gridSpan w:val="2"/>
          </w:tcPr>
          <w:p>
            <w:pPr>
              <w:jc w:val="center"/>
              <w:ind w:right="1800"/>
              <w:spacing w:after="0"/>
              <w:rPr>
                <w:sz w:val="20"/>
                <w:szCs w:val="20"/>
                <w:color w:val="auto"/>
              </w:rPr>
            </w:pPr>
            <w:r>
              <w:rPr>
                <w:rFonts w:ascii="Arial" w:cs="Arial" w:eastAsia="Arial" w:hAnsi="Arial"/>
                <w:sz w:val="14"/>
                <w:szCs w:val="14"/>
                <w:color w:val="auto"/>
                <w:w w:val="93"/>
              </w:rPr>
              <w:t>10 years</w:t>
            </w:r>
          </w:p>
        </w:tc>
      </w:tr>
      <w:tr>
        <w:trPr>
          <w:trHeight w:val="208"/>
        </w:trPr>
        <w:tc>
          <w:tcPr>
            <w:tcW w:w="31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IP license</w:t>
            </w:r>
          </w:p>
        </w:tc>
        <w:tc>
          <w:tcPr>
            <w:tcW w:w="4880" w:type="dxa"/>
            <w:vAlign w:val="bottom"/>
            <w:shd w:val="clear" w:color="auto" w:fill="CFF0FC"/>
          </w:tcPr>
          <w:p>
            <w:pPr>
              <w:spacing w:after="0"/>
              <w:rPr>
                <w:sz w:val="18"/>
                <w:szCs w:val="18"/>
                <w:color w:val="auto"/>
              </w:rPr>
            </w:pPr>
          </w:p>
        </w:tc>
        <w:tc>
          <w:tcPr>
            <w:tcW w:w="3220" w:type="dxa"/>
            <w:vAlign w:val="bottom"/>
            <w:gridSpan w:val="2"/>
            <w:shd w:val="clear" w:color="auto" w:fill="CFF0FC"/>
          </w:tcPr>
          <w:p>
            <w:pPr>
              <w:jc w:val="center"/>
              <w:ind w:right="1800"/>
              <w:spacing w:after="0"/>
              <w:rPr>
                <w:sz w:val="20"/>
                <w:szCs w:val="20"/>
                <w:color w:val="auto"/>
              </w:rPr>
            </w:pPr>
            <w:r>
              <w:rPr>
                <w:rFonts w:ascii="Arial" w:cs="Arial" w:eastAsia="Arial" w:hAnsi="Arial"/>
                <w:sz w:val="14"/>
                <w:szCs w:val="14"/>
                <w:color w:val="auto"/>
                <w:w w:val="91"/>
              </w:rPr>
              <w:t>5 years</w:t>
            </w:r>
          </w:p>
        </w:tc>
      </w:tr>
      <w:tr>
        <w:trPr>
          <w:trHeight w:val="542"/>
        </w:trPr>
        <w:tc>
          <w:tcPr>
            <w:tcW w:w="3140" w:type="dxa"/>
            <w:vAlign w:val="bottom"/>
          </w:tcPr>
          <w:p>
            <w:pPr>
              <w:spacing w:after="0"/>
              <w:rPr>
                <w:sz w:val="24"/>
                <w:szCs w:val="24"/>
                <w:color w:val="auto"/>
              </w:rPr>
            </w:pPr>
          </w:p>
        </w:tc>
        <w:tc>
          <w:tcPr>
            <w:tcW w:w="4880" w:type="dxa"/>
            <w:vAlign w:val="bottom"/>
          </w:tcPr>
          <w:p>
            <w:pPr>
              <w:jc w:val="right"/>
              <w:ind w:right="2288"/>
              <w:spacing w:after="0"/>
              <w:rPr>
                <w:sz w:val="20"/>
                <w:szCs w:val="20"/>
                <w:color w:val="auto"/>
              </w:rPr>
            </w:pPr>
            <w:r>
              <w:rPr>
                <w:rFonts w:ascii="Arial" w:cs="Arial" w:eastAsia="Arial" w:hAnsi="Arial"/>
                <w:sz w:val="14"/>
                <w:szCs w:val="14"/>
                <w:color w:val="auto"/>
              </w:rPr>
              <w:t>7</w:t>
            </w:r>
          </w:p>
        </w:tc>
        <w:tc>
          <w:tcPr>
            <w:tcW w:w="1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3"/>
        </w:trPr>
        <w:tc>
          <w:tcPr>
            <w:tcW w:w="3140" w:type="dxa"/>
            <w:vAlign w:val="bottom"/>
            <w:tcBorders>
              <w:bottom w:val="single" w:sz="8" w:color="9A9A9A"/>
            </w:tcBorders>
          </w:tcPr>
          <w:p>
            <w:pPr>
              <w:spacing w:after="0"/>
              <w:rPr>
                <w:sz w:val="9"/>
                <w:szCs w:val="9"/>
                <w:color w:val="auto"/>
              </w:rPr>
            </w:pPr>
          </w:p>
        </w:tc>
        <w:tc>
          <w:tcPr>
            <w:tcW w:w="48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ind w:left="4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2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1—Quoted prices in active markets for identical assets or liabilities.</w:t>
      </w:r>
    </w:p>
    <w:p>
      <w:pPr>
        <w:spacing w:after="0" w:line="23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carrying amounts reflected in the interim consolidated balance sheets for cash and cash equivalents, restricted cash, trade accounts receivable, net, trade accounts payable and accrued expenses approximate their fair values.</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The Company’s product revenue consists of sales of its instrument systems and accessories. The Company recognizes product revenue at the point in time when control of the instrument is transferred to the customer.</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4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Invoicing for products occurs upon delivery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185"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18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revenue</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Company’s arrangements with its distributors include a purchase order. The purchase order is governed by terms and conditions set forth in the applicable distribution agreement.</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Revenue is recognized upon transfer of control of the products to the distributor, which occurs at a point in time depending on the shipping terms.</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Service revenue</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liabilities</w:t>
      </w:r>
    </w:p>
    <w:p>
      <w:pPr>
        <w:spacing w:after="0" w:line="12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i w:val="1"/>
          <w:iCs w:val="1"/>
          <w:color w:val="auto"/>
        </w:rPr>
        <w:t>Assurance-type product warranties</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 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9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4"/>
          <w:szCs w:val="14"/>
          <w:color w:val="auto"/>
        </w:rPr>
        <w:t>Deferred offering costs, which consist of direct incremental legal, consulting, banking and accounting fees relating to the Company’s planned initial public offering, are capitalized, and will be offset against proceeds from the IPO upon the effectiveness of the offering. In the event an anticipated offering is terminated, deferred offering costs will be expensed. On July 27, 2021, the Company completed the IPO; accordingly, the Company recognized the initial public offering costs of approximately $5.3 million as a reduction from gross proceeds associated with the IPO through additional paid-in capital in the accompanying condensed consolidated balance sheet. Accordingly, there were no deferred offering costs as of September 30, 2021. As of December 31, 2020 there were no capitalized deferred offering costs.</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costs</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Advertising costs</w:t>
      </w:r>
    </w:p>
    <w:p>
      <w:pPr>
        <w:spacing w:after="0" w:line="123"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The cost of advertising, marketing and media is expensed as incurred. For the three and nine months ended September 30, 2021, advertising, marketing and media expenses totaled $513,000 and $1.2 million, respectively. For the three and nine months ended September 30, 2020, the advertising, marketing, and media expenses totaled $215,000 and $705,000, respectively.</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2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17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Expected Volatility—Expected volatility is estimated by studying the volatility of selected industry peers deemed to be comparable to our business corresponding to the expected term of the awards.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Expected Term—Expected term represents the period that our stock-based awards are expected to be outstanding and is determined using the simplified method.</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Dividend Yield— The expected dividend yield is zero as we have never declared or paid cash dividends and have no current plans to do so in the foreseeable future.</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Risk-Free Interest Rate—The risk-free interest rate is based on the U.S. Treasury zero-coupon issued in effect at the time of grant for periods corresponding with the expected term of the</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option.</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23"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167"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 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17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185"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spacing w:after="0" w:line="293" w:lineRule="auto"/>
        <w:rPr>
          <w:sz w:val="20"/>
          <w:szCs w:val="20"/>
          <w:color w:val="auto"/>
        </w:rPr>
      </w:pPr>
      <w:r>
        <w:rPr>
          <w:rFonts w:ascii="Arial" w:cs="Arial" w:eastAsia="Arial" w:hAnsi="Arial"/>
          <w:sz w:val="14"/>
          <w:szCs w:val="14"/>
          <w:color w:val="auto"/>
        </w:rPr>
        <w:t>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income attributable to common stockholders per share</w:t>
      </w:r>
    </w:p>
    <w:p>
      <w:pPr>
        <w:spacing w:after="0" w:line="123"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Basic net income attributable to common stockholders per share and diluted net income attributable to common stockholders per share are computed using the weighted-average number of shares of common stock outstanding for the period. Net income per share attributable to common stockholders is calculated using the two-class method, which is an earnings allocation formula that determines net income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income per share in the periods in which net income is recorded.</w:t>
      </w:r>
    </w:p>
    <w:p>
      <w:pPr>
        <w:spacing w:after="0" w:line="178"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Diluted net income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income attributable to common stockholders per share gives effect to all potentially dilutive common stock equivalents, including outstanding options and redeemable convertible preferred stock.</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Common stock equivalents are excluded from the computation of diluted net income attributable to common stockholders per share if their effect is antidilutive.</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23"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3"/>
          <w:szCs w:val="13"/>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w:t>
      </w:r>
    </w:p>
    <w:p>
      <w:pPr>
        <w:spacing w:after="0" w:line="1" w:lineRule="exact"/>
        <w:rPr>
          <w:sz w:val="20"/>
          <w:szCs w:val="20"/>
          <w:color w:val="auto"/>
        </w:rPr>
      </w:pPr>
    </w:p>
    <w:p>
      <w:pPr>
        <w:jc w:val="both"/>
        <w:ind w:firstLine="8"/>
        <w:spacing w:after="0" w:line="323" w:lineRule="auto"/>
        <w:tabs>
          <w:tab w:leader="none" w:pos="182" w:val="left"/>
        </w:tabs>
        <w:numPr>
          <w:ilvl w:val="0"/>
          <w:numId w:val="5"/>
        </w:numPr>
        <w:rPr>
          <w:rFonts w:ascii="Arial" w:cs="Arial" w:eastAsia="Arial" w:hAnsi="Arial"/>
          <w:sz w:val="13"/>
          <w:szCs w:val="13"/>
          <w:color w:val="auto"/>
        </w:rPr>
      </w:pPr>
      <w:r>
        <w:rPr>
          <w:rFonts w:ascii="Arial" w:cs="Arial" w:eastAsia="Arial" w:hAnsi="Arial"/>
          <w:sz w:val="13"/>
          <w:szCs w:val="13"/>
          <w:color w:val="auto"/>
        </w:rPr>
        <w:t>is no longer an emerging growth company or (ii) affirmatively and irrevocably opts out of the extended transition period provided in the JOBS Act. The Company has, however, elected to early- adopt as permitted certain new or revised accounting standards as of dates that may or may not coincide with the effective dates of public companies. These standards include the following:</w:t>
      </w:r>
    </w:p>
    <w:p>
      <w:pPr>
        <w:spacing w:after="0" w:line="15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 xml:space="preserve">In May 2014, the FASB issued ASU 2014-09, </w:t>
      </w:r>
      <w:r>
        <w:rPr>
          <w:rFonts w:ascii="Arial" w:cs="Arial" w:eastAsia="Arial" w:hAnsi="Arial"/>
          <w:sz w:val="14"/>
          <w:szCs w:val="14"/>
          <w:i w:val="1"/>
          <w:iCs w:val="1"/>
          <w:color w:val="auto"/>
        </w:rPr>
        <w:t>Revenue from Contracts with Customers (Topic 606)</w:t>
      </w:r>
      <w:r>
        <w:rPr>
          <w:rFonts w:ascii="Arial" w:cs="Arial" w:eastAsia="Arial" w:hAnsi="Arial"/>
          <w:sz w:val="14"/>
          <w:szCs w:val="14"/>
          <w:color w:val="auto"/>
        </w:rPr>
        <w:t xml:space="preserve"> (“Topic 606”). Topic 606 and its related amendments supersede Revenue Recognition (Topic 605), issued in June 2010, and provides principles for recognizing revenue for goods and services in a manner consistent with the transfer of control of those goods and services to the customer. The Company adopted the requirements of Topic 606 using the modified retrospective method on January 1, 2018 with such adoption not having a material impact to the Company’s unaudited interim consolidated financial statements. Under the modified retrospective method, this guidance is applied to those contracts that were not completed as of January 1, 2019, with no restatement of contracts that were commenced and completed within fiscal years prior to January 1, 2019, and the prior period comparable financial information continues to be presented under the guidance of ASC 605,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(“ASC 605”).</w:t>
      </w:r>
    </w:p>
    <w:p>
      <w:pPr>
        <w:spacing w:after="0" w:line="194"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 xml:space="preserve">In August 2018, the FASB issued ASU 2018-13, </w:t>
      </w:r>
      <w:r>
        <w:rPr>
          <w:rFonts w:ascii="Arial" w:cs="Arial" w:eastAsia="Arial" w:hAnsi="Arial"/>
          <w:sz w:val="13"/>
          <w:szCs w:val="13"/>
          <w:i w:val="1"/>
          <w:iCs w:val="1"/>
          <w:color w:val="auto"/>
        </w:rPr>
        <w:t>Fair Value Measurement (Topic 820): Disclosure Framework—Changes to the Disclosure Requirements for Fair Value Measurement</w:t>
      </w:r>
      <w:r>
        <w:rPr>
          <w:rFonts w:ascii="Arial" w:cs="Arial" w:eastAsia="Arial" w:hAnsi="Arial"/>
          <w:sz w:val="13"/>
          <w:szCs w:val="13"/>
          <w:color w:val="auto"/>
        </w:rPr>
        <w:t xml:space="preserve"> ("Topic 820"), which amends the disclosure requirements for fair value measurements by removing, modifying, and adding certain disclosures. This new standard was effective for the Company January 1, 2020. This will require application of the new accounting guidance at the beginning of the earliest comparative period presented in the year of adoption. The Company adopted the requirements of Topic 820 on January 1, 2020 with such adoption not having a material impact to the Company’s unaudited interim consolidated financial statements.</w:t>
      </w:r>
    </w:p>
    <w:p>
      <w:pPr>
        <w:spacing w:after="0" w:line="17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 xml:space="preserve">In December 2019, the FASB issued ASU 2019-12, </w:t>
      </w:r>
      <w:r>
        <w:rPr>
          <w:rFonts w:ascii="Arial" w:cs="Arial" w:eastAsia="Arial" w:hAnsi="Arial"/>
          <w:sz w:val="13"/>
          <w:szCs w:val="13"/>
          <w:i w:val="1"/>
          <w:iCs w:val="1"/>
          <w:color w:val="auto"/>
        </w:rPr>
        <w:t>Income Taxes (Topic 740): Simplifying the Accounting for Income Taxes</w:t>
      </w:r>
      <w:r>
        <w:rPr>
          <w:rFonts w:ascii="Arial" w:cs="Arial" w:eastAsia="Arial" w:hAnsi="Arial"/>
          <w:sz w:val="13"/>
          <w:szCs w:val="13"/>
          <w:color w:val="auto"/>
        </w:rPr>
        <w:t xml:space="preserve"> ("Topic 740").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 years beginning after December 15, 2022, with early adoption permitted. The Company early adopted this guidance on January 1, 2021, and the adoption did not have a material impact to the Company’s unaudited interim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 not yet adopted</w:t>
      </w:r>
    </w:p>
    <w:p>
      <w:pPr>
        <w:spacing w:after="0" w:line="123"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3"/>
          <w:szCs w:val="13"/>
          <w:color w:val="auto"/>
        </w:rPr>
        <w:t xml:space="preserve">In February 2016, the FASB issued ASU 2016-02, </w:t>
      </w:r>
      <w:r>
        <w:rPr>
          <w:rFonts w:ascii="Arial" w:cs="Arial" w:eastAsia="Arial" w:hAnsi="Arial"/>
          <w:sz w:val="13"/>
          <w:szCs w:val="13"/>
          <w:i w:val="1"/>
          <w:iCs w:val="1"/>
          <w:color w:val="auto"/>
        </w:rPr>
        <w:t>Leases (Topic 842)</w:t>
      </w:r>
      <w:r>
        <w:rPr>
          <w:rFonts w:ascii="Arial" w:cs="Arial" w:eastAsia="Arial" w:hAnsi="Arial"/>
          <w:sz w:val="13"/>
          <w:szCs w:val="13"/>
          <w:color w:val="auto"/>
        </w:rPr>
        <w:t>, as subsequently amended (“Topic 842”), to improve financial reporting and disclosures about leasing transactions. This ASU requires companies that lease assets to recognize on the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balance sheet. This ASU also requires disclosures to help financial statement users to better understand the amount, timing and uncertainty of cash flows arising from leases. On June 3, 2020, the FASB issued ASU 2020-05, which amended the effective dates of Topic 842 to give immediate relief from business disruptions caused by the COVID-19 pandemic and provides a one-year deferral of the effective date for nonpublic companies. Therefore, for public companies, the effective date is still December 15, 2018, while the effective date for private companies will now be fiscal years beginning after December 15, 2021, and interim periods within fiscal years beginning after December 15, 2022. The Company is currently evaluating the impact of this standard on its unaudited interim consolidated financial statements.</w:t>
      </w:r>
    </w:p>
    <w:p>
      <w:pPr>
        <w:spacing w:after="0" w:line="18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 xml:space="preserve">In June 2016, the FASB issued ASU 2016-13, </w:t>
      </w:r>
      <w:r>
        <w:rPr>
          <w:rFonts w:ascii="Arial" w:cs="Arial" w:eastAsia="Arial" w:hAnsi="Arial"/>
          <w:sz w:val="14"/>
          <w:szCs w:val="14"/>
          <w:i w:val="1"/>
          <w:iCs w:val="1"/>
          <w:color w:val="auto"/>
        </w:rPr>
        <w:t>Financial Instruments—Credit Losses (Topic 326): Measurement of Credit Losses on Financial Instruments</w:t>
      </w:r>
      <w:r>
        <w:rPr>
          <w:rFonts w:ascii="Arial" w:cs="Arial" w:eastAsia="Arial" w:hAnsi="Arial"/>
          <w:sz w:val="14"/>
          <w:szCs w:val="14"/>
          <w:color w:val="auto"/>
        </w:rPr>
        <w:t>, which replaces the existing incurred loss impairment model with an expected credit loss model and requires a financial asset measured at amortized cost to be presented at the net amount expected to be collected. This new standard is effective for the Company in the fiscal year beginning January 1, 2023 and must be adopted using a modified retrospective approach, with certain exceptions. The Company is currently evaluating the impact of this standard on its unaudited interim consolidated financial statements.</w:t>
      </w:r>
    </w:p>
    <w:p>
      <w:pPr>
        <w:spacing w:after="0" w:line="144" w:lineRule="exact"/>
        <w:rPr>
          <w:sz w:val="20"/>
          <w:szCs w:val="20"/>
          <w:color w:val="auto"/>
        </w:rPr>
      </w:pPr>
    </w:p>
    <w:p>
      <w:pPr>
        <w:ind w:left="440" w:hanging="432"/>
        <w:spacing w:after="0"/>
        <w:tabs>
          <w:tab w:leader="none" w:pos="440" w:val="left"/>
        </w:tabs>
        <w:numPr>
          <w:ilvl w:val="0"/>
          <w:numId w:val="6"/>
        </w:numPr>
        <w:rPr>
          <w:rFonts w:ascii="Arial" w:cs="Arial" w:eastAsia="Arial" w:hAnsi="Arial"/>
          <w:sz w:val="14"/>
          <w:szCs w:val="14"/>
          <w:b w:val="1"/>
          <w:bCs w:val="1"/>
          <w:color w:val="auto"/>
        </w:rPr>
      </w:pPr>
      <w:r>
        <w:rPr>
          <w:rFonts w:ascii="Arial" w:cs="Arial" w:eastAsia="Arial" w:hAnsi="Arial"/>
          <w:sz w:val="14"/>
          <w:szCs w:val="14"/>
          <w:b w:val="1"/>
          <w:bCs w:val="1"/>
          <w:color w:val="auto"/>
        </w:rPr>
        <w:t>Concentrations of credit risk and other risks and uncertainties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Financial instruments that potentially subject the Company to concentrations of credit risk consist primarily of cash and cash equivalents.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left="440" w:hanging="432"/>
        <w:spacing w:after="0"/>
        <w:tabs>
          <w:tab w:leader="none" w:pos="440"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Revenue from contracts with customers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Disaggregation of revenue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depicts the disaggregation of revenue by sales channel mix and customer mix as defined by the nature of workflows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228"/>
              <w:spacing w:after="0"/>
              <w:rPr>
                <w:sz w:val="20"/>
                <w:szCs w:val="20"/>
                <w:color w:val="auto"/>
              </w:rPr>
            </w:pPr>
            <w:r>
              <w:rPr>
                <w:rFonts w:ascii="Arial" w:cs="Arial" w:eastAsia="Arial" w:hAnsi="Arial"/>
                <w:sz w:val="14"/>
                <w:szCs w:val="14"/>
                <w:b w:val="1"/>
                <w:bCs w:val="1"/>
                <w:color w:val="auto"/>
                <w:w w:val="98"/>
              </w:rPr>
              <w:t>Three months ended September 30,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6"/>
        </w:trPr>
        <w:tc>
          <w:tcPr>
            <w:tcW w:w="56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r>
      <w:tr>
        <w:trPr>
          <w:trHeight w:val="202"/>
        </w:trPr>
        <w:tc>
          <w:tcPr>
            <w:tcW w:w="5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Sales channel mix</w:t>
            </w:r>
          </w:p>
        </w:tc>
        <w:tc>
          <w:tcPr>
            <w:tcW w:w="7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197"/>
        </w:trPr>
        <w:tc>
          <w:tcPr>
            <w:tcW w:w="5600" w:type="dxa"/>
            <w:vAlign w:val="bottom"/>
          </w:tcPr>
          <w:p>
            <w:pPr>
              <w:ind w:left="120"/>
              <w:spacing w:after="0"/>
              <w:rPr>
                <w:sz w:val="20"/>
                <w:szCs w:val="20"/>
                <w:color w:val="auto"/>
              </w:rPr>
            </w:pPr>
            <w:r>
              <w:rPr>
                <w:rFonts w:ascii="Arial" w:cs="Arial" w:eastAsia="Arial" w:hAnsi="Arial"/>
                <w:sz w:val="14"/>
                <w:szCs w:val="14"/>
                <w:color w:val="auto"/>
              </w:rPr>
              <w:t>Direct sales channel</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w w:val="88"/>
              </w:rPr>
              <w:t>30,841</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21,200</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76,406</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53,237</w:t>
            </w:r>
          </w:p>
        </w:tc>
      </w:tr>
      <w:tr>
        <w:trPr>
          <w:trHeight w:val="203"/>
        </w:trPr>
        <w:tc>
          <w:tcPr>
            <w:tcW w:w="5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Distributor channel</w:t>
            </w:r>
          </w:p>
        </w:tc>
        <w:tc>
          <w:tcPr>
            <w:tcW w:w="7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3,535</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3,896</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12,650</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8,983</w:t>
            </w:r>
          </w:p>
        </w:tc>
      </w:tr>
      <w:tr>
        <w:trPr>
          <w:trHeight w:val="202"/>
        </w:trPr>
        <w:tc>
          <w:tcPr>
            <w:tcW w:w="5600" w:type="dxa"/>
            <w:vAlign w:val="bottom"/>
          </w:tcPr>
          <w:p>
            <w:pPr>
              <w:ind w:left="20"/>
              <w:spacing w:after="0"/>
              <w:rPr>
                <w:sz w:val="20"/>
                <w:szCs w:val="20"/>
                <w:color w:val="auto"/>
              </w:rPr>
            </w:pPr>
            <w:r>
              <w:rPr>
                <w:rFonts w:ascii="Arial" w:cs="Arial" w:eastAsia="Arial" w:hAnsi="Arial"/>
                <w:sz w:val="14"/>
                <w:szCs w:val="14"/>
                <w:color w:val="auto"/>
              </w:rPr>
              <w:t>Total revenue, net</w:t>
            </w: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ind w:right="68"/>
              <w:spacing w:after="0"/>
              <w:rPr>
                <w:sz w:val="20"/>
                <w:szCs w:val="20"/>
                <w:color w:val="auto"/>
              </w:rPr>
            </w:pPr>
            <w:r>
              <w:rPr>
                <w:rFonts w:ascii="Arial" w:cs="Arial" w:eastAsia="Arial" w:hAnsi="Arial"/>
                <w:sz w:val="14"/>
                <w:szCs w:val="14"/>
                <w:color w:val="auto"/>
                <w:w w:val="88"/>
              </w:rPr>
              <w:t>34,376</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25,096</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89,056</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62,220</w:t>
            </w:r>
          </w:p>
        </w:tc>
      </w:tr>
      <w:tr>
        <w:trPr>
          <w:trHeight w:val="20"/>
        </w:trPr>
        <w:tc>
          <w:tcPr>
            <w:tcW w:w="5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6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r>
      <w:tr>
        <w:trPr>
          <w:trHeight w:val="196"/>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Customer mix</w:t>
            </w: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56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Academia and government</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88"/>
              </w:rPr>
              <w:t>18,593</w:t>
            </w:r>
          </w:p>
        </w:tc>
        <w:tc>
          <w:tcPr>
            <w:tcW w:w="3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10,589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42,463</w:t>
            </w:r>
          </w:p>
        </w:tc>
        <w:tc>
          <w:tcPr>
            <w:tcW w:w="3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31,501</w:t>
            </w:r>
          </w:p>
        </w:tc>
      </w:tr>
      <w:tr>
        <w:trPr>
          <w:trHeight w:val="196"/>
        </w:trPr>
        <w:tc>
          <w:tcPr>
            <w:tcW w:w="5600" w:type="dxa"/>
            <w:vAlign w:val="bottom"/>
          </w:tcPr>
          <w:p>
            <w:pPr>
              <w:ind w:left="120"/>
              <w:spacing w:after="0"/>
              <w:rPr>
                <w:sz w:val="20"/>
                <w:szCs w:val="20"/>
                <w:color w:val="auto"/>
              </w:rPr>
            </w:pPr>
            <w:r>
              <w:rPr>
                <w:rFonts w:ascii="Arial" w:cs="Arial" w:eastAsia="Arial" w:hAnsi="Arial"/>
                <w:sz w:val="14"/>
                <w:szCs w:val="14"/>
                <w:color w:val="auto"/>
              </w:rPr>
              <w:t>Biotechnology, pharmaceutical, distributor and contract research organizations</w:t>
            </w:r>
          </w:p>
        </w:tc>
        <w:tc>
          <w:tcPr>
            <w:tcW w:w="7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88"/>
              </w:rPr>
              <w:t>15,783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14,507</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46,593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30,719</w:t>
            </w:r>
          </w:p>
        </w:tc>
      </w:tr>
      <w:tr>
        <w:trPr>
          <w:trHeight w:val="242"/>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revenue, net</w:t>
            </w:r>
          </w:p>
        </w:tc>
        <w:tc>
          <w:tcPr>
            <w:tcW w:w="74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88"/>
              </w:rPr>
              <w:t>34,376</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25,096</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89,056</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62,220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-836295</wp:posOffset>
            </wp:positionV>
            <wp:extent cx="8572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-836295</wp:posOffset>
            </wp:positionV>
            <wp:extent cx="857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-836295</wp:posOffset>
            </wp:positionV>
            <wp:extent cx="8572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-25400</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Revenue by geographical markets is presented in Note 20 Geographic areas.</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Remaining performance obligations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includes estimated revenues expected to be recognized in the future related to performance obligations that are unsatisfied (or partially satisfied) as of September 30,</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2021 (in thousands):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Less than 1 year</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3"/>
              </w:rPr>
              <w:t>Greater than 1 year</w:t>
            </w: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Total</w:t>
            </w:r>
          </w:p>
        </w:tc>
      </w:tr>
      <w:tr>
        <w:trPr>
          <w:trHeight w:val="202"/>
        </w:trPr>
        <w:tc>
          <w:tcPr>
            <w:tcW w:w="6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Product revenue</w:t>
            </w:r>
          </w:p>
        </w:tc>
        <w:tc>
          <w:tcPr>
            <w:tcW w:w="18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341</w:t>
            </w: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341</w:t>
            </w:r>
          </w:p>
        </w:tc>
      </w:tr>
      <w:tr>
        <w:trPr>
          <w:trHeight w:val="203"/>
        </w:trPr>
        <w:tc>
          <w:tcPr>
            <w:tcW w:w="6560" w:type="dxa"/>
            <w:vAlign w:val="bottom"/>
          </w:tcPr>
          <w:p>
            <w:pPr>
              <w:ind w:left="20"/>
              <w:spacing w:after="0"/>
              <w:rPr>
                <w:sz w:val="20"/>
                <w:szCs w:val="20"/>
                <w:color w:val="auto"/>
              </w:rPr>
            </w:pPr>
            <w:r>
              <w:rPr>
                <w:rFonts w:ascii="Arial" w:cs="Arial" w:eastAsia="Arial" w:hAnsi="Arial"/>
                <w:sz w:val="14"/>
                <w:szCs w:val="14"/>
                <w:color w:val="auto"/>
              </w:rPr>
              <w:t>Service revenue</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5,544</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7,741</w:t>
            </w: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13,285</w:t>
            </w:r>
          </w:p>
        </w:tc>
      </w:tr>
      <w:tr>
        <w:trPr>
          <w:trHeight w:val="236"/>
        </w:trPr>
        <w:tc>
          <w:tcPr>
            <w:tcW w:w="6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revenue</w:t>
            </w: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5,885</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7,741</w:t>
            </w:r>
          </w:p>
        </w:tc>
        <w:tc>
          <w:tcPr>
            <w:tcW w:w="16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-24765</wp:posOffset>
            </wp:positionV>
            <wp:extent cx="1028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1028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1028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balances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provides information about receivables, deferred revenue from contracts with customers, and customer deposits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38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52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r>
      <w:tr>
        <w:trPr>
          <w:trHeight w:val="196"/>
        </w:trPr>
        <w:tc>
          <w:tcPr>
            <w:tcW w:w="52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8"/>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Trade accounts receivable</w:t>
            </w:r>
          </w:p>
        </w:tc>
        <w:tc>
          <w:tcPr>
            <w:tcW w:w="2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29,450</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16,990</w:t>
            </w:r>
          </w:p>
        </w:tc>
      </w:tr>
      <w:tr>
        <w:trPr>
          <w:trHeight w:val="197"/>
        </w:trPr>
        <w:tc>
          <w:tcPr>
            <w:tcW w:w="5280" w:type="dxa"/>
            <w:vAlign w:val="bottom"/>
          </w:tcPr>
          <w:p>
            <w:pPr>
              <w:ind w:left="20"/>
              <w:spacing w:after="0"/>
              <w:rPr>
                <w:sz w:val="20"/>
                <w:szCs w:val="20"/>
                <w:color w:val="auto"/>
              </w:rPr>
            </w:pPr>
            <w:r>
              <w:rPr>
                <w:rFonts w:ascii="Arial" w:cs="Arial" w:eastAsia="Arial" w:hAnsi="Arial"/>
                <w:sz w:val="14"/>
                <w:szCs w:val="14"/>
                <w:color w:val="auto"/>
              </w:rPr>
              <w:t>Contract liabilities:</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8"/>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revenue</w:t>
            </w:r>
          </w:p>
        </w:tc>
        <w:tc>
          <w:tcPr>
            <w:tcW w:w="2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13,626</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7,121</w:t>
            </w:r>
          </w:p>
        </w:tc>
      </w:tr>
      <w:tr>
        <w:trPr>
          <w:trHeight w:val="197"/>
        </w:trPr>
        <w:tc>
          <w:tcPr>
            <w:tcW w:w="5280" w:type="dxa"/>
            <w:vAlign w:val="bottom"/>
          </w:tcPr>
          <w:p>
            <w:pPr>
              <w:ind w:left="200"/>
              <w:spacing w:after="0"/>
              <w:rPr>
                <w:sz w:val="20"/>
                <w:szCs w:val="20"/>
                <w:color w:val="auto"/>
              </w:rPr>
            </w:pPr>
            <w:r>
              <w:rPr>
                <w:rFonts w:ascii="Arial" w:cs="Arial" w:eastAsia="Arial" w:hAnsi="Arial"/>
                <w:sz w:val="14"/>
                <w:szCs w:val="14"/>
                <w:color w:val="auto"/>
              </w:rPr>
              <w:t>Customer deposits, which are included in 'Other current liabilities'</w:t>
            </w:r>
          </w:p>
        </w:tc>
        <w:tc>
          <w:tcPr>
            <w:tcW w:w="2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562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624</w:t>
            </w:r>
          </w:p>
        </w:tc>
      </w:tr>
      <w:tr>
        <w:trPr>
          <w:trHeight w:val="242"/>
        </w:trPr>
        <w:tc>
          <w:tcPr>
            <w:tcW w:w="52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contract liabilities</w:t>
            </w:r>
          </w:p>
        </w:tc>
        <w:tc>
          <w:tcPr>
            <w:tcW w:w="26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14,188</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7,745</w:t>
            </w:r>
          </w:p>
        </w:tc>
      </w:tr>
      <w:tr>
        <w:trPr>
          <w:trHeight w:val="549"/>
        </w:trPr>
        <w:tc>
          <w:tcPr>
            <w:tcW w:w="5280" w:type="dxa"/>
            <w:vAlign w:val="bottom"/>
            <w:tcBorders>
              <w:top w:val="single" w:sz="8" w:color="CFF0FC"/>
            </w:tcBorders>
          </w:tcPr>
          <w:p>
            <w:pPr>
              <w:ind w:left="520"/>
              <w:spacing w:after="0"/>
              <w:rPr>
                <w:sz w:val="20"/>
                <w:szCs w:val="20"/>
                <w:color w:val="auto"/>
              </w:rPr>
            </w:pPr>
            <w:r>
              <w:rPr>
                <w:rFonts w:ascii="Arial" w:cs="Arial" w:eastAsia="Arial" w:hAnsi="Arial"/>
                <w:sz w:val="14"/>
                <w:szCs w:val="14"/>
                <w:color w:val="auto"/>
              </w:rPr>
              <w:t>The following provides a rollforward of the contract liabilities (in thousands):</w:t>
            </w:r>
          </w:p>
        </w:tc>
        <w:tc>
          <w:tcPr>
            <w:tcW w:w="24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587"/>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Contract liabilities</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8"/>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2019</w:t>
            </w:r>
          </w:p>
        </w:tc>
        <w:tc>
          <w:tcPr>
            <w:tcW w:w="2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5,253</w:t>
            </w:r>
          </w:p>
        </w:tc>
      </w:tr>
      <w:tr>
        <w:trPr>
          <w:trHeight w:val="197"/>
        </w:trPr>
        <w:tc>
          <w:tcPr>
            <w:tcW w:w="5280" w:type="dxa"/>
            <w:vAlign w:val="bottom"/>
          </w:tcPr>
          <w:p>
            <w:pPr>
              <w:ind w:left="200"/>
              <w:spacing w:after="0"/>
              <w:rPr>
                <w:sz w:val="20"/>
                <w:szCs w:val="20"/>
                <w:color w:val="auto"/>
              </w:rPr>
            </w:pPr>
            <w:r>
              <w:rPr>
                <w:rFonts w:ascii="Arial" w:cs="Arial" w:eastAsia="Arial" w:hAnsi="Arial"/>
                <w:sz w:val="14"/>
                <w:szCs w:val="14"/>
                <w:color w:val="auto"/>
              </w:rPr>
              <w:t>Revenue recognized</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(10,678 )</w:t>
            </w:r>
          </w:p>
        </w:tc>
      </w:tr>
      <w:tr>
        <w:trPr>
          <w:trHeight w:val="203"/>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Revenue deferred</w:t>
            </w:r>
          </w:p>
        </w:tc>
        <w:tc>
          <w:tcPr>
            <w:tcW w:w="24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13,170</w:t>
            </w:r>
          </w:p>
        </w:tc>
      </w:tr>
      <w:tr>
        <w:trPr>
          <w:trHeight w:val="196"/>
        </w:trPr>
        <w:tc>
          <w:tcPr>
            <w:tcW w:w="5280" w:type="dxa"/>
            <w:vAlign w:val="bottom"/>
          </w:tcPr>
          <w:p>
            <w:pPr>
              <w:ind w:left="120"/>
              <w:spacing w:after="0"/>
              <w:rPr>
                <w:sz w:val="20"/>
                <w:szCs w:val="20"/>
                <w:color w:val="auto"/>
              </w:rPr>
            </w:pPr>
            <w:r>
              <w:rPr>
                <w:rFonts w:ascii="Arial" w:cs="Arial" w:eastAsia="Arial" w:hAnsi="Arial"/>
                <w:sz w:val="14"/>
                <w:szCs w:val="14"/>
                <w:color w:val="auto"/>
              </w:rPr>
              <w:t>Balance at December 31, 2020</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color w:val="auto"/>
              </w:rPr>
              <w:t>7,745</w:t>
            </w:r>
          </w:p>
        </w:tc>
      </w:tr>
      <w:tr>
        <w:trPr>
          <w:trHeight w:val="208"/>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Revenue recognized</w:t>
            </w:r>
          </w:p>
        </w:tc>
        <w:tc>
          <w:tcPr>
            <w:tcW w:w="2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(11,585 )</w:t>
            </w:r>
          </w:p>
        </w:tc>
      </w:tr>
      <w:tr>
        <w:trPr>
          <w:trHeight w:val="197"/>
        </w:trPr>
        <w:tc>
          <w:tcPr>
            <w:tcW w:w="5280" w:type="dxa"/>
            <w:vAlign w:val="bottom"/>
          </w:tcPr>
          <w:p>
            <w:pPr>
              <w:ind w:left="200"/>
              <w:spacing w:after="0"/>
              <w:rPr>
                <w:sz w:val="20"/>
                <w:szCs w:val="20"/>
                <w:color w:val="auto"/>
              </w:rPr>
            </w:pPr>
            <w:r>
              <w:rPr>
                <w:rFonts w:ascii="Arial" w:cs="Arial" w:eastAsia="Arial" w:hAnsi="Arial"/>
                <w:sz w:val="14"/>
                <w:szCs w:val="14"/>
                <w:color w:val="auto"/>
              </w:rPr>
              <w:t>Revenue deferred</w:t>
            </w:r>
          </w:p>
        </w:tc>
        <w:tc>
          <w:tcPr>
            <w:tcW w:w="2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18,028</w:t>
            </w:r>
          </w:p>
        </w:tc>
      </w:tr>
      <w:tr>
        <w:trPr>
          <w:trHeight w:val="242"/>
        </w:trPr>
        <w:tc>
          <w:tcPr>
            <w:tcW w:w="52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Balance at September 30, 2021</w:t>
            </w:r>
          </w:p>
        </w:tc>
        <w:tc>
          <w:tcPr>
            <w:tcW w:w="2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14,188</w:t>
            </w:r>
          </w:p>
        </w:tc>
      </w:tr>
      <w:tr>
        <w:trPr>
          <w:trHeight w:val="536"/>
        </w:trPr>
        <w:tc>
          <w:tcPr>
            <w:tcW w:w="5280" w:type="dxa"/>
            <w:vAlign w:val="bottom"/>
            <w:tcBorders>
              <w:top w:val="single" w:sz="8" w:color="CFF0FC"/>
            </w:tcBorders>
          </w:tcPr>
          <w:p>
            <w:pPr>
              <w:spacing w:after="0"/>
              <w:rPr>
                <w:sz w:val="24"/>
                <w:szCs w:val="24"/>
                <w:color w:val="auto"/>
              </w:rPr>
            </w:pPr>
          </w:p>
        </w:tc>
        <w:tc>
          <w:tcPr>
            <w:tcW w:w="2400" w:type="dxa"/>
            <w:vAlign w:val="bottom"/>
            <w:tcBorders>
              <w:top w:val="single" w:sz="8" w:color="CFF0FC"/>
            </w:tcBorders>
          </w:tcPr>
          <w:p>
            <w:pPr>
              <w:jc w:val="right"/>
              <w:ind w:right="1908"/>
              <w:spacing w:after="0"/>
              <w:rPr>
                <w:sz w:val="20"/>
                <w:szCs w:val="20"/>
                <w:color w:val="auto"/>
              </w:rPr>
            </w:pPr>
            <w:r>
              <w:rPr>
                <w:rFonts w:ascii="Arial" w:cs="Arial" w:eastAsia="Arial" w:hAnsi="Arial"/>
                <w:sz w:val="14"/>
                <w:szCs w:val="14"/>
                <w:color w:val="auto"/>
              </w:rPr>
              <w:t>11</w:t>
            </w:r>
          </w:p>
        </w:tc>
        <w:tc>
          <w:tcPr>
            <w:tcW w:w="220" w:type="dxa"/>
            <w:vAlign w:val="bottom"/>
            <w:tcBorders>
              <w:top w:val="single" w:sz="8" w:color="CFF0FC"/>
            </w:tcBorders>
          </w:tcPr>
          <w:p>
            <w:pPr>
              <w:spacing w:after="0"/>
              <w:rPr>
                <w:sz w:val="24"/>
                <w:szCs w:val="24"/>
                <w:color w:val="auto"/>
              </w:rPr>
            </w:pPr>
          </w:p>
        </w:tc>
        <w:tc>
          <w:tcPr>
            <w:tcW w:w="12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113"/>
        </w:trPr>
        <w:tc>
          <w:tcPr>
            <w:tcW w:w="5280" w:type="dxa"/>
            <w:vAlign w:val="bottom"/>
            <w:tcBorders>
              <w:bottom w:val="single" w:sz="8" w:color="9A9A9A"/>
            </w:tcBorders>
          </w:tcPr>
          <w:p>
            <w:pPr>
              <w:spacing w:after="0"/>
              <w:rPr>
                <w:sz w:val="9"/>
                <w:szCs w:val="9"/>
                <w:color w:val="auto"/>
              </w:rPr>
            </w:pPr>
          </w:p>
        </w:tc>
        <w:tc>
          <w:tcPr>
            <w:tcW w:w="24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-2142490</wp:posOffset>
            </wp:positionV>
            <wp:extent cx="120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-2125345</wp:posOffset>
            </wp:positionV>
            <wp:extent cx="120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20"/>
                <w:szCs w:val="20"/>
                <w:color w:val="auto"/>
              </w:rPr>
            </w:pPr>
            <w:r>
              <w:rPr>
                <w:rFonts w:ascii="Arial" w:cs="Arial" w:eastAsia="Arial" w:hAnsi="Arial"/>
                <w:sz w:val="14"/>
                <w:szCs w:val="14"/>
                <w:b w:val="1"/>
                <w:bCs w:val="1"/>
                <w:color w:val="auto"/>
                <w:w w:val="85"/>
              </w:rPr>
              <w:t>5.</w:t>
            </w:r>
          </w:p>
        </w:tc>
        <w:tc>
          <w:tcPr>
            <w:tcW w:w="6520" w:type="dxa"/>
            <w:vAlign w:val="bottom"/>
          </w:tcPr>
          <w:p>
            <w:pPr>
              <w:ind w:left="320"/>
              <w:spacing w:after="0"/>
              <w:rPr>
                <w:sz w:val="20"/>
                <w:szCs w:val="20"/>
                <w:color w:val="auto"/>
              </w:rPr>
            </w:pPr>
            <w:r>
              <w:rPr>
                <w:rFonts w:ascii="Arial" w:cs="Arial" w:eastAsia="Arial" w:hAnsi="Arial"/>
                <w:sz w:val="14"/>
                <w:szCs w:val="14"/>
                <w:b w:val="1"/>
                <w:bCs w:val="1"/>
                <w:color w:val="auto"/>
              </w:rPr>
              <w:t>Balance sheet details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6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Inventories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6520" w:type="dxa"/>
            <w:vAlign w:val="bottom"/>
          </w:tcPr>
          <w:p>
            <w:pPr>
              <w:ind w:left="400"/>
              <w:spacing w:after="0"/>
              <w:rPr>
                <w:sz w:val="20"/>
                <w:szCs w:val="20"/>
                <w:color w:val="auto"/>
              </w:rPr>
            </w:pPr>
            <w:r>
              <w:rPr>
                <w:rFonts w:ascii="Arial" w:cs="Arial" w:eastAsia="Arial" w:hAnsi="Arial"/>
                <w:sz w:val="14"/>
                <w:szCs w:val="14"/>
                <w:color w:val="auto"/>
              </w:rPr>
              <w:t>The following table shows the components of inventory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Raw materials</w:t>
            </w:r>
          </w:p>
        </w:tc>
        <w:tc>
          <w:tcPr>
            <w:tcW w:w="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15,366</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12,882</w:t>
            </w:r>
          </w:p>
        </w:tc>
        <w:tc>
          <w:tcPr>
            <w:tcW w:w="0" w:type="dxa"/>
            <w:vAlign w:val="bottom"/>
          </w:tcPr>
          <w:p>
            <w:pPr>
              <w:spacing w:after="0"/>
              <w:rPr>
                <w:sz w:val="1"/>
                <w:szCs w:val="1"/>
                <w:color w:val="auto"/>
              </w:rPr>
            </w:pPr>
          </w:p>
        </w:tc>
      </w:tr>
      <w:tr>
        <w:trPr>
          <w:trHeight w:val="197"/>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Work in progress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1,990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4"/>
                <w:szCs w:val="14"/>
                <w:color w:val="auto"/>
              </w:rPr>
              <w:t>3,135</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color w:val="auto"/>
              </w:rPr>
              <w:t>Finished goods</w:t>
            </w:r>
          </w:p>
        </w:tc>
        <w:tc>
          <w:tcPr>
            <w:tcW w:w="4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10,155</w:t>
            </w:r>
          </w:p>
        </w:tc>
        <w:tc>
          <w:tcPr>
            <w:tcW w:w="2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840" w:type="dxa"/>
            <w:vAlign w:val="bottom"/>
            <w:tcBorders>
              <w:bottom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7,001</w:t>
            </w:r>
          </w:p>
        </w:tc>
        <w:tc>
          <w:tcPr>
            <w:tcW w:w="0" w:type="dxa"/>
            <w:vAlign w:val="bottom"/>
          </w:tcPr>
          <w:p>
            <w:pPr>
              <w:spacing w:after="0"/>
              <w:rPr>
                <w:sz w:val="1"/>
                <w:szCs w:val="1"/>
                <w:color w:val="auto"/>
              </w:rPr>
            </w:pPr>
          </w:p>
        </w:tc>
      </w:tr>
      <w:tr>
        <w:trPr>
          <w:trHeight w:val="202"/>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Total inventories</w:t>
            </w: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27,511</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23,018</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Prepaid expenses and other current assets</w:t>
            </w: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66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6520" w:type="dxa"/>
            <w:vAlign w:val="bottom"/>
          </w:tcPr>
          <w:p>
            <w:pPr>
              <w:ind w:left="400"/>
              <w:spacing w:after="0"/>
              <w:rPr>
                <w:sz w:val="20"/>
                <w:szCs w:val="20"/>
                <w:color w:val="auto"/>
              </w:rPr>
            </w:pPr>
            <w:r>
              <w:rPr>
                <w:rFonts w:ascii="Arial" w:cs="Arial" w:eastAsia="Arial" w:hAnsi="Arial"/>
                <w:sz w:val="14"/>
                <w:szCs w:val="14"/>
                <w:color w:val="auto"/>
                <w:w w:val="94"/>
              </w:rPr>
              <w:t>The following table shows the components of prepaid expenses and other current assets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368"/>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Prepaid expenses: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Prepaid inventory</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3"/>
          </w:tcPr>
          <w:p>
            <w:pPr>
              <w:jc w:val="right"/>
              <w:ind w:right="140"/>
              <w:spacing w:after="0"/>
              <w:rPr>
                <w:sz w:val="20"/>
                <w:szCs w:val="20"/>
                <w:color w:val="auto"/>
              </w:rPr>
            </w:pPr>
            <w:r>
              <w:rPr>
                <w:rFonts w:ascii="Arial" w:cs="Arial" w:eastAsia="Arial" w:hAnsi="Arial"/>
                <w:sz w:val="14"/>
                <w:szCs w:val="14"/>
                <w:color w:val="auto"/>
                <w:w w:val="76"/>
              </w:rPr>
              <w:t>$</w:t>
            </w:r>
          </w:p>
        </w:tc>
        <w:tc>
          <w:tcPr>
            <w:tcW w:w="260" w:type="dxa"/>
            <w:vAlign w:val="bottom"/>
          </w:tcPr>
          <w:p>
            <w:pPr>
              <w:spacing w:after="0"/>
              <w:rPr>
                <w:sz w:val="17"/>
                <w:szCs w:val="17"/>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8"/>
        </w:trPr>
        <w:tc>
          <w:tcPr>
            <w:tcW w:w="120" w:type="dxa"/>
            <w:vAlign w:val="bottom"/>
            <w:shd w:val="clear" w:color="auto" w:fill="CFF0FC"/>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Prepaid rent</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228</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7"/>
        </w:trPr>
        <w:tc>
          <w:tcPr>
            <w:tcW w:w="6640" w:type="dxa"/>
            <w:vAlign w:val="bottom"/>
            <w:gridSpan w:val="2"/>
          </w:tcPr>
          <w:p>
            <w:pPr>
              <w:ind w:left="100"/>
              <w:spacing w:after="0"/>
              <w:rPr>
                <w:sz w:val="20"/>
                <w:szCs w:val="20"/>
                <w:color w:val="auto"/>
              </w:rPr>
            </w:pPr>
            <w:r>
              <w:rPr>
                <w:rFonts w:ascii="Arial" w:cs="Arial" w:eastAsia="Arial" w:hAnsi="Arial"/>
                <w:sz w:val="14"/>
                <w:szCs w:val="14"/>
                <w:color w:val="auto"/>
              </w:rPr>
              <w:t>Prepaid insurance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2,975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8"/>
        </w:trPr>
        <w:tc>
          <w:tcPr>
            <w:tcW w:w="120" w:type="dxa"/>
            <w:vAlign w:val="bottom"/>
            <w:shd w:val="clear" w:color="auto" w:fill="CFF0FC"/>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1,137</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97"/>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Other current assets: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20" w:type="dxa"/>
            <w:vAlign w:val="bottom"/>
            <w:shd w:val="clear" w:color="auto" w:fill="CFF0FC"/>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Tax refund receivable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1,373</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42"/>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prepaid expenses and other current assets</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6,094</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2,495</w:t>
            </w:r>
          </w:p>
        </w:tc>
        <w:tc>
          <w:tcPr>
            <w:tcW w:w="0" w:type="dxa"/>
            <w:vAlign w:val="bottom"/>
          </w:tcPr>
          <w:p>
            <w:pPr>
              <w:spacing w:after="0"/>
              <w:rPr>
                <w:sz w:val="1"/>
                <w:szCs w:val="1"/>
                <w:color w:val="auto"/>
              </w:rPr>
            </w:pPr>
          </w:p>
        </w:tc>
      </w:tr>
      <w:tr>
        <w:trPr>
          <w:trHeight w:val="509"/>
        </w:trPr>
        <w:tc>
          <w:tcPr>
            <w:tcW w:w="6640" w:type="dxa"/>
            <w:vAlign w:val="bottom"/>
            <w:tcBorders>
              <w:top w:val="single" w:sz="8" w:color="CFF0FC"/>
            </w:tcBorders>
            <w:gridSpan w:val="2"/>
          </w:tcPr>
          <w:p>
            <w:pPr>
              <w:spacing w:after="0"/>
              <w:rPr>
                <w:sz w:val="20"/>
                <w:szCs w:val="20"/>
                <w:color w:val="auto"/>
              </w:rPr>
            </w:pPr>
            <w:r>
              <w:rPr>
                <w:rFonts w:ascii="Arial" w:cs="Arial" w:eastAsia="Arial" w:hAnsi="Arial"/>
                <w:sz w:val="14"/>
                <w:szCs w:val="14"/>
                <w:b w:val="1"/>
                <w:bCs w:val="1"/>
                <w:i w:val="1"/>
                <w:iCs w:val="1"/>
                <w:color w:val="auto"/>
              </w:rPr>
              <w:t>Accrued expenses</w:t>
            </w: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6520" w:type="dxa"/>
            <w:vAlign w:val="bottom"/>
          </w:tcPr>
          <w:p>
            <w:pPr>
              <w:ind w:left="400"/>
              <w:spacing w:after="0"/>
              <w:rPr>
                <w:sz w:val="20"/>
                <w:szCs w:val="20"/>
                <w:color w:val="auto"/>
              </w:rPr>
            </w:pPr>
            <w:r>
              <w:rPr>
                <w:rFonts w:ascii="Arial" w:cs="Arial" w:eastAsia="Arial" w:hAnsi="Arial"/>
                <w:sz w:val="14"/>
                <w:szCs w:val="14"/>
                <w:color w:val="auto"/>
              </w:rPr>
              <w:t>The following table shows the components of accrued expenses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Accrued expenses: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Accrued compensation and related benefits</w:t>
            </w:r>
          </w:p>
        </w:tc>
        <w:tc>
          <w:tcPr>
            <w:tcW w:w="2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4"/>
                <w:szCs w:val="14"/>
                <w:color w:val="auto"/>
              </w:rPr>
              <w:t>6,617</w:t>
            </w:r>
          </w:p>
        </w:tc>
        <w:tc>
          <w:tcPr>
            <w:tcW w:w="20" w:type="dxa"/>
            <w:vAlign w:val="bottom"/>
          </w:tcPr>
          <w:p>
            <w:pPr>
              <w:spacing w:after="0"/>
              <w:rPr>
                <w:sz w:val="17"/>
                <w:szCs w:val="17"/>
                <w:color w:val="auto"/>
              </w:rPr>
            </w:pPr>
          </w:p>
        </w:tc>
        <w:tc>
          <w:tcPr>
            <w:tcW w:w="480" w:type="dxa"/>
            <w:vAlign w:val="bottom"/>
            <w:gridSpan w:val="4"/>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gridSpan w:val="2"/>
          </w:tcPr>
          <w:p>
            <w:pPr>
              <w:jc w:val="right"/>
              <w:ind w:right="80"/>
              <w:spacing w:after="0"/>
              <w:rPr>
                <w:sz w:val="20"/>
                <w:szCs w:val="20"/>
                <w:color w:val="auto"/>
              </w:rPr>
            </w:pPr>
            <w:r>
              <w:rPr>
                <w:rFonts w:ascii="Arial" w:cs="Arial" w:eastAsia="Arial" w:hAnsi="Arial"/>
                <w:sz w:val="14"/>
                <w:szCs w:val="14"/>
                <w:color w:val="auto"/>
              </w:rPr>
              <w:t>5,563</w:t>
            </w:r>
          </w:p>
        </w:tc>
        <w:tc>
          <w:tcPr>
            <w:tcW w:w="0" w:type="dxa"/>
            <w:vAlign w:val="bottom"/>
          </w:tcPr>
          <w:p>
            <w:pPr>
              <w:spacing w:after="0"/>
              <w:rPr>
                <w:sz w:val="1"/>
                <w:szCs w:val="1"/>
                <w:color w:val="auto"/>
              </w:rPr>
            </w:pPr>
          </w:p>
        </w:tc>
      </w:tr>
      <w:tr>
        <w:trPr>
          <w:trHeight w:val="208"/>
        </w:trPr>
        <w:tc>
          <w:tcPr>
            <w:tcW w:w="120" w:type="dxa"/>
            <w:vAlign w:val="bottom"/>
            <w:shd w:val="clear" w:color="auto" w:fill="CFF0FC"/>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Professional service fees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0" w:type="dxa"/>
            <w:vAlign w:val="bottom"/>
            <w:gridSpan w:val="4"/>
            <w:shd w:val="clear" w:color="auto" w:fill="CFF0FC"/>
          </w:tcPr>
          <w:p>
            <w:pPr>
              <w:jc w:val="right"/>
              <w:ind w:right="40"/>
              <w:spacing w:after="0"/>
              <w:rPr>
                <w:sz w:val="20"/>
                <w:szCs w:val="20"/>
                <w:color w:val="auto"/>
              </w:rPr>
            </w:pPr>
            <w:r>
              <w:rPr>
                <w:rFonts w:ascii="Arial" w:cs="Arial" w:eastAsia="Arial" w:hAnsi="Arial"/>
                <w:sz w:val="14"/>
                <w:szCs w:val="14"/>
                <w:color w:val="auto"/>
              </w:rPr>
              <w:t>1,199</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Purchases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4"/>
          </w:tcPr>
          <w:p>
            <w:pPr>
              <w:jc w:val="right"/>
              <w:ind w:right="40"/>
              <w:spacing w:after="0"/>
              <w:rPr>
                <w:sz w:val="20"/>
                <w:szCs w:val="20"/>
                <w:color w:val="auto"/>
              </w:rPr>
            </w:pPr>
            <w:r>
              <w:rPr>
                <w:rFonts w:ascii="Arial" w:cs="Arial" w:eastAsia="Arial" w:hAnsi="Arial"/>
                <w:sz w:val="14"/>
                <w:szCs w:val="14"/>
                <w:color w:val="auto"/>
              </w:rPr>
              <w:t>1,174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4"/>
                <w:szCs w:val="14"/>
                <w:color w:val="auto"/>
              </w:rPr>
              <w:t>2,065</w:t>
            </w:r>
          </w:p>
        </w:tc>
        <w:tc>
          <w:tcPr>
            <w:tcW w:w="0" w:type="dxa"/>
            <w:vAlign w:val="bottom"/>
          </w:tcPr>
          <w:p>
            <w:pPr>
              <w:spacing w:after="0"/>
              <w:rPr>
                <w:sz w:val="1"/>
                <w:szCs w:val="1"/>
                <w:color w:val="auto"/>
              </w:rPr>
            </w:pPr>
          </w:p>
        </w:tc>
      </w:tr>
      <w:tr>
        <w:trPr>
          <w:trHeight w:val="208"/>
        </w:trPr>
        <w:tc>
          <w:tcPr>
            <w:tcW w:w="120" w:type="dxa"/>
            <w:vAlign w:val="bottom"/>
            <w:shd w:val="clear" w:color="auto" w:fill="CFF0FC"/>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Product warranty</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0" w:type="dxa"/>
            <w:vAlign w:val="bottom"/>
            <w:gridSpan w:val="4"/>
            <w:shd w:val="clear" w:color="auto" w:fill="CFF0FC"/>
          </w:tcPr>
          <w:p>
            <w:pPr>
              <w:jc w:val="right"/>
              <w:ind w:right="40"/>
              <w:spacing w:after="0"/>
              <w:rPr>
                <w:sz w:val="20"/>
                <w:szCs w:val="20"/>
                <w:color w:val="auto"/>
              </w:rPr>
            </w:pPr>
            <w:r>
              <w:rPr>
                <w:rFonts w:ascii="Arial" w:cs="Arial" w:eastAsia="Arial" w:hAnsi="Arial"/>
                <w:sz w:val="14"/>
                <w:szCs w:val="14"/>
                <w:color w:val="auto"/>
              </w:rPr>
              <w:t>1,646</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117</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42"/>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accrued expenses</w:t>
            </w: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1"/>
                <w:szCs w:val="21"/>
                <w:color w:val="auto"/>
              </w:rPr>
            </w:pPr>
          </w:p>
        </w:tc>
        <w:tc>
          <w:tcPr>
            <w:tcW w:w="1800" w:type="dxa"/>
            <w:vAlign w:val="bottom"/>
            <w:gridSpan w:val="4"/>
            <w:shd w:val="clear" w:color="auto" w:fill="CFF0FC"/>
          </w:tcPr>
          <w:p>
            <w:pPr>
              <w:jc w:val="right"/>
              <w:ind w:right="40"/>
              <w:spacing w:after="0"/>
              <w:rPr>
                <w:sz w:val="20"/>
                <w:szCs w:val="20"/>
                <w:color w:val="auto"/>
              </w:rPr>
            </w:pPr>
            <w:r>
              <w:rPr>
                <w:rFonts w:ascii="Arial" w:cs="Arial" w:eastAsia="Arial" w:hAnsi="Arial"/>
                <w:sz w:val="14"/>
                <w:szCs w:val="14"/>
                <w:color w:val="auto"/>
              </w:rPr>
              <w:t>10,753</w:t>
            </w:r>
          </w:p>
        </w:tc>
        <w:tc>
          <w:tcPr>
            <w:tcW w:w="20" w:type="dxa"/>
            <w:vAlign w:val="bottom"/>
            <w:shd w:val="clear" w:color="auto" w:fill="CFF0FC"/>
          </w:tcPr>
          <w:p>
            <w:pPr>
              <w:spacing w:after="0"/>
              <w:rPr>
                <w:sz w:val="21"/>
                <w:szCs w:val="21"/>
                <w:color w:val="auto"/>
              </w:rPr>
            </w:pPr>
          </w:p>
        </w:tc>
        <w:tc>
          <w:tcPr>
            <w:tcW w:w="480" w:type="dxa"/>
            <w:vAlign w:val="bottom"/>
            <w:gridSpan w:val="4"/>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1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9,048</w:t>
            </w:r>
          </w:p>
        </w:tc>
        <w:tc>
          <w:tcPr>
            <w:tcW w:w="0" w:type="dxa"/>
            <w:vAlign w:val="bottom"/>
          </w:tcPr>
          <w:p>
            <w:pPr>
              <w:spacing w:after="0"/>
              <w:rPr>
                <w:sz w:val="1"/>
                <w:szCs w:val="1"/>
                <w:color w:val="auto"/>
              </w:rPr>
            </w:pPr>
          </w:p>
        </w:tc>
      </w:tr>
      <w:tr>
        <w:trPr>
          <w:trHeight w:val="536"/>
        </w:trPr>
        <w:tc>
          <w:tcPr>
            <w:tcW w:w="120" w:type="dxa"/>
            <w:vAlign w:val="bottom"/>
            <w:tcBorders>
              <w:top w:val="single" w:sz="8" w:color="CFF0FC"/>
            </w:tcBorders>
          </w:tcPr>
          <w:p>
            <w:pPr>
              <w:spacing w:after="0"/>
              <w:rPr>
                <w:sz w:val="24"/>
                <w:szCs w:val="24"/>
                <w:color w:val="auto"/>
              </w:rPr>
            </w:pPr>
          </w:p>
        </w:tc>
        <w:tc>
          <w:tcPr>
            <w:tcW w:w="6520" w:type="dxa"/>
            <w:vAlign w:val="bottom"/>
            <w:tcBorders>
              <w:top w:val="single" w:sz="8" w:color="CFF0FC"/>
            </w:tcBorders>
          </w:tcPr>
          <w:p>
            <w:pPr>
              <w:ind w:left="180"/>
              <w:spacing w:after="0"/>
              <w:rPr>
                <w:sz w:val="20"/>
                <w:szCs w:val="20"/>
                <w:color w:val="auto"/>
              </w:rPr>
            </w:pPr>
            <w:r>
              <w:rPr>
                <w:rFonts w:ascii="Arial" w:cs="Arial" w:eastAsia="Arial" w:hAnsi="Arial"/>
                <w:sz w:val="14"/>
                <w:szCs w:val="14"/>
                <w:color w:val="auto"/>
              </w:rPr>
              <w:t>For the product warranty analysis refer to Note 18.</w:t>
            </w: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Other current liabilities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6520" w:type="dxa"/>
            <w:vAlign w:val="bottom"/>
          </w:tcPr>
          <w:p>
            <w:pPr>
              <w:ind w:left="400"/>
              <w:spacing w:after="0"/>
              <w:rPr>
                <w:sz w:val="20"/>
                <w:szCs w:val="20"/>
                <w:color w:val="auto"/>
              </w:rPr>
            </w:pPr>
            <w:r>
              <w:rPr>
                <w:rFonts w:ascii="Arial" w:cs="Arial" w:eastAsia="Arial" w:hAnsi="Arial"/>
                <w:sz w:val="14"/>
                <w:szCs w:val="14"/>
                <w:color w:val="auto"/>
              </w:rPr>
              <w:t>The following table shows the components of other current liabilities (in thousands):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120" w:type="dxa"/>
            <w:vAlign w:val="bottom"/>
          </w:tcPr>
          <w:p>
            <w:pPr>
              <w:spacing w:after="0"/>
              <w:rPr>
                <w:sz w:val="16"/>
                <w:szCs w:val="16"/>
                <w:color w:val="auto"/>
              </w:rPr>
            </w:pPr>
          </w:p>
        </w:tc>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Other current liabilities:</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Customer deposits</w:t>
            </w:r>
          </w:p>
        </w:tc>
        <w:tc>
          <w:tcPr>
            <w:tcW w:w="460" w:type="dxa"/>
            <w:vAlign w:val="bottom"/>
            <w:gridSpan w:val="4"/>
          </w:tcPr>
          <w:p>
            <w:pPr>
              <w:jc w:val="right"/>
              <w:ind w:right="12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562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624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 w:type="dxa"/>
            <w:vAlign w:val="bottom"/>
            <w:shd w:val="clear" w:color="auto" w:fill="CFF0FC"/>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Paycheck Protection Program loan (Note 15)</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Income tax payable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493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ind w:right="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 w:type="dxa"/>
            <w:vAlign w:val="bottom"/>
            <w:shd w:val="clear" w:color="auto" w:fill="CFF0FC"/>
          </w:tcPr>
          <w:p>
            <w:pPr>
              <w:spacing w:after="0"/>
              <w:rPr>
                <w:sz w:val="18"/>
                <w:szCs w:val="18"/>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4"/>
                <w:szCs w:val="14"/>
                <w:color w:val="auto"/>
              </w:rPr>
              <w:t>Sales and use tax payable</w:t>
            </w: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649</w:t>
            </w: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520" w:type="dxa"/>
            <w:vAlign w:val="bottom"/>
          </w:tcPr>
          <w:p>
            <w:pPr>
              <w:spacing w:after="0"/>
              <w:rPr>
                <w:sz w:val="20"/>
                <w:szCs w:val="20"/>
                <w:color w:val="auto"/>
              </w:rPr>
            </w:pPr>
            <w:r>
              <w:rPr>
                <w:rFonts w:ascii="Arial" w:cs="Arial" w:eastAsia="Arial" w:hAnsi="Arial"/>
                <w:sz w:val="14"/>
                <w:szCs w:val="14"/>
                <w:color w:val="auto"/>
              </w:rPr>
              <w:t>Other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66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Total other current liabilities</w:t>
            </w:r>
          </w:p>
        </w:tc>
        <w:tc>
          <w:tcPr>
            <w:tcW w:w="460" w:type="dxa"/>
            <w:vAlign w:val="bottom"/>
            <w:gridSpan w:val="4"/>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2,044</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1"/>
                <w:szCs w:val="21"/>
                <w:color w:val="auto"/>
              </w:rPr>
            </w:pPr>
          </w:p>
        </w:tc>
        <w:tc>
          <w:tcPr>
            <w:tcW w:w="1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4,626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9"/>
        </w:trPr>
        <w:tc>
          <w:tcPr>
            <w:tcW w:w="120" w:type="dxa"/>
            <w:vAlign w:val="bottom"/>
            <w:tcBorders>
              <w:top w:val="single" w:sz="8" w:color="CFF0FC"/>
            </w:tcBorders>
          </w:tcPr>
          <w:p>
            <w:pPr>
              <w:spacing w:after="0"/>
              <w:rPr>
                <w:sz w:val="24"/>
                <w:szCs w:val="24"/>
                <w:color w:val="auto"/>
              </w:rPr>
            </w:pPr>
          </w:p>
        </w:tc>
        <w:tc>
          <w:tcPr>
            <w:tcW w:w="6520" w:type="dxa"/>
            <w:vAlign w:val="bottom"/>
            <w:tcBorders>
              <w:top w:val="single" w:sz="8" w:color="CFF0FC"/>
            </w:tcBorders>
          </w:tcPr>
          <w:p>
            <w:pPr>
              <w:ind w:left="5440"/>
              <w:spacing w:after="0"/>
              <w:rPr>
                <w:sz w:val="20"/>
                <w:szCs w:val="20"/>
                <w:color w:val="auto"/>
              </w:rPr>
            </w:pPr>
            <w:r>
              <w:rPr>
                <w:rFonts w:ascii="Arial" w:cs="Arial" w:eastAsia="Arial" w:hAnsi="Arial"/>
                <w:sz w:val="14"/>
                <w:szCs w:val="14"/>
                <w:color w:val="auto"/>
              </w:rPr>
              <w:t>12</w:t>
            </w:r>
          </w:p>
        </w:tc>
        <w:tc>
          <w:tcPr>
            <w:tcW w:w="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20" w:type="dxa"/>
            <w:vAlign w:val="bottom"/>
            <w:tcBorders>
              <w:bottom w:val="single" w:sz="8" w:color="9A9A9A"/>
            </w:tcBorders>
          </w:tcPr>
          <w:p>
            <w:pPr>
              <w:spacing w:after="0"/>
              <w:rPr>
                <w:sz w:val="9"/>
                <w:szCs w:val="9"/>
                <w:color w:val="auto"/>
              </w:rPr>
            </w:pPr>
          </w:p>
        </w:tc>
        <w:tc>
          <w:tcPr>
            <w:tcW w:w="65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-6939915</wp:posOffset>
            </wp:positionV>
            <wp:extent cx="11176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-4525645</wp:posOffset>
            </wp:positionV>
            <wp:extent cx="1111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-4508500</wp:posOffset>
            </wp:positionV>
            <wp:extent cx="111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-2553970</wp:posOffset>
            </wp:positionV>
            <wp:extent cx="12001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-2536825</wp:posOffset>
            </wp:positionV>
            <wp:extent cx="12001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-471170</wp:posOffset>
            </wp:positionV>
            <wp:extent cx="1200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-453390</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4" w:name="page15"/>
    <w:bookmarkEnd w:id="14"/>
    <w:p>
      <w:pPr>
        <w:ind w:left="440" w:hanging="432"/>
        <w:spacing w:after="0"/>
        <w:tabs>
          <w:tab w:leader="none" w:pos="44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of financial instruments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jc w:val="center"/>
              <w:ind w:right="248"/>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3"/>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328"/>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308"/>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Significant</w:t>
            </w:r>
          </w:p>
        </w:tc>
      </w:tr>
      <w:tr>
        <w:trPr>
          <w:trHeight w:val="203"/>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48"/>
              <w:spacing w:after="0"/>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328"/>
              <w:spacing w:after="0"/>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68"/>
              <w:spacing w:after="0"/>
              <w:rPr>
                <w:sz w:val="20"/>
                <w:szCs w:val="20"/>
                <w:color w:val="auto"/>
              </w:rPr>
            </w:pPr>
            <w:r>
              <w:rPr>
                <w:rFonts w:ascii="Arial" w:cs="Arial" w:eastAsia="Arial" w:hAnsi="Arial"/>
                <w:sz w:val="14"/>
                <w:szCs w:val="14"/>
                <w:b w:val="1"/>
                <w:bCs w:val="1"/>
                <w:color w:val="auto"/>
                <w:w w:val="90"/>
              </w:rPr>
              <w:t>unobservable</w:t>
            </w:r>
          </w:p>
        </w:tc>
      </w:tr>
      <w:tr>
        <w:trPr>
          <w:trHeight w:val="203"/>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center"/>
              <w:ind w:right="268"/>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48"/>
              <w:spacing w:after="0"/>
              <w:rPr>
                <w:sz w:val="20"/>
                <w:szCs w:val="20"/>
                <w:color w:val="auto"/>
              </w:rPr>
            </w:pPr>
            <w:r>
              <w:rPr>
                <w:rFonts w:ascii="Arial" w:cs="Arial" w:eastAsia="Arial" w:hAnsi="Arial"/>
                <w:sz w:val="14"/>
                <w:szCs w:val="14"/>
                <w:b w:val="1"/>
                <w:bCs w:val="1"/>
                <w:color w:val="auto"/>
                <w:w w:val="77"/>
              </w:rPr>
              <w:t>assets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328"/>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68"/>
              <w:spacing w:after="0"/>
              <w:rPr>
                <w:sz w:val="20"/>
                <w:szCs w:val="20"/>
                <w:color w:val="auto"/>
              </w:rPr>
            </w:pPr>
            <w:r>
              <w:rPr>
                <w:rFonts w:ascii="Arial" w:cs="Arial" w:eastAsia="Arial" w:hAnsi="Arial"/>
                <w:sz w:val="14"/>
                <w:szCs w:val="14"/>
                <w:b w:val="1"/>
                <w:bCs w:val="1"/>
                <w:color w:val="auto"/>
                <w:w w:val="90"/>
              </w:rPr>
              <w:t>inputs</w:t>
            </w:r>
          </w:p>
        </w:tc>
      </w:tr>
      <w:tr>
        <w:trPr>
          <w:trHeight w:val="209"/>
        </w:trPr>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1"/>
              </w:rPr>
              <w:t>(level 3)</w:t>
            </w:r>
          </w:p>
        </w:tc>
      </w:tr>
      <w:tr>
        <w:trPr>
          <w:trHeight w:val="202"/>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196"/>
        </w:trPr>
        <w:tc>
          <w:tcPr>
            <w:tcW w:w="348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154,580</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154,580</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2"/>
        </w:trPr>
        <w:tc>
          <w:tcPr>
            <w:tcW w:w="34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Total</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154,580</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154,580</w:t>
            </w: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549"/>
        </w:trPr>
        <w:tc>
          <w:tcPr>
            <w:tcW w:w="34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r>
      <w:tr>
        <w:trPr>
          <w:trHeight w:val="203"/>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328"/>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68"/>
              <w:spacing w:after="0"/>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308"/>
              <w:spacing w:after="0"/>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68"/>
              <w:spacing w:after="0"/>
              <w:rPr>
                <w:sz w:val="20"/>
                <w:szCs w:val="20"/>
                <w:color w:val="auto"/>
              </w:rPr>
            </w:pPr>
            <w:r>
              <w:rPr>
                <w:rFonts w:ascii="Arial" w:cs="Arial" w:eastAsia="Arial" w:hAnsi="Arial"/>
                <w:sz w:val="14"/>
                <w:szCs w:val="14"/>
                <w:b w:val="1"/>
                <w:bCs w:val="1"/>
                <w:color w:val="auto"/>
                <w:w w:val="92"/>
              </w:rPr>
              <w:t>Significant</w:t>
            </w:r>
          </w:p>
        </w:tc>
      </w:tr>
      <w:tr>
        <w:trPr>
          <w:trHeight w:val="203"/>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48"/>
              <w:spacing w:after="0"/>
              <w:rPr>
                <w:sz w:val="20"/>
                <w:szCs w:val="20"/>
                <w:color w:val="auto"/>
              </w:rPr>
            </w:pPr>
            <w:r>
              <w:rPr>
                <w:rFonts w:ascii="Arial" w:cs="Arial" w:eastAsia="Arial" w:hAnsi="Arial"/>
                <w:sz w:val="14"/>
                <w:szCs w:val="14"/>
                <w:b w:val="1"/>
                <w:bCs w:val="1"/>
                <w:color w:val="auto"/>
                <w:w w:val="94"/>
              </w:rPr>
              <w:t>identical</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328"/>
              <w:spacing w:after="0"/>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68"/>
              <w:spacing w:after="0"/>
              <w:rPr>
                <w:sz w:val="20"/>
                <w:szCs w:val="20"/>
                <w:color w:val="auto"/>
              </w:rPr>
            </w:pPr>
            <w:r>
              <w:rPr>
                <w:rFonts w:ascii="Arial" w:cs="Arial" w:eastAsia="Arial" w:hAnsi="Arial"/>
                <w:sz w:val="14"/>
                <w:szCs w:val="14"/>
                <w:b w:val="1"/>
                <w:bCs w:val="1"/>
                <w:color w:val="auto"/>
                <w:w w:val="90"/>
              </w:rPr>
              <w:t>unobservable</w:t>
            </w:r>
          </w:p>
        </w:tc>
      </w:tr>
      <w:tr>
        <w:trPr>
          <w:trHeight w:val="203"/>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center"/>
              <w:ind w:right="268"/>
              <w:spacing w:after="0"/>
              <w:rPr>
                <w:sz w:val="20"/>
                <w:szCs w:val="20"/>
                <w:color w:val="auto"/>
              </w:rPr>
            </w:pPr>
            <w:r>
              <w:rPr>
                <w:rFonts w:ascii="Arial" w:cs="Arial" w:eastAsia="Arial" w:hAnsi="Arial"/>
                <w:sz w:val="14"/>
                <w:szCs w:val="14"/>
                <w:b w:val="1"/>
                <w:bCs w:val="1"/>
                <w:color w:val="auto"/>
                <w:w w:val="89"/>
              </w:rPr>
              <w:t>September 30,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center"/>
              <w:ind w:right="248"/>
              <w:spacing w:after="0"/>
              <w:rPr>
                <w:sz w:val="20"/>
                <w:szCs w:val="20"/>
                <w:color w:val="auto"/>
              </w:rPr>
            </w:pPr>
            <w:r>
              <w:rPr>
                <w:rFonts w:ascii="Arial" w:cs="Arial" w:eastAsia="Arial" w:hAnsi="Arial"/>
                <w:sz w:val="14"/>
                <w:szCs w:val="14"/>
                <w:b w:val="1"/>
                <w:bCs w:val="1"/>
                <w:color w:val="auto"/>
                <w:w w:val="77"/>
              </w:rPr>
              <w:t>assets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328"/>
              <w:spacing w:after="0"/>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jc w:val="center"/>
              <w:ind w:right="268"/>
              <w:spacing w:after="0"/>
              <w:rPr>
                <w:sz w:val="20"/>
                <w:szCs w:val="20"/>
                <w:color w:val="auto"/>
              </w:rPr>
            </w:pPr>
            <w:r>
              <w:rPr>
                <w:rFonts w:ascii="Arial" w:cs="Arial" w:eastAsia="Arial" w:hAnsi="Arial"/>
                <w:sz w:val="14"/>
                <w:szCs w:val="14"/>
                <w:b w:val="1"/>
                <w:bCs w:val="1"/>
                <w:color w:val="auto"/>
                <w:w w:val="90"/>
              </w:rPr>
              <w:t>inputs</w:t>
            </w:r>
          </w:p>
        </w:tc>
      </w:tr>
      <w:tr>
        <w:trPr>
          <w:trHeight w:val="208"/>
        </w:trPr>
        <w:tc>
          <w:tcPr>
            <w:tcW w:w="34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1"/>
              </w:rPr>
              <w:t>(level 3)</w:t>
            </w:r>
          </w:p>
        </w:tc>
      </w:tr>
      <w:tr>
        <w:trPr>
          <w:trHeight w:val="202"/>
        </w:trPr>
        <w:tc>
          <w:tcPr>
            <w:tcW w:w="3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196"/>
        </w:trPr>
        <w:tc>
          <w:tcPr>
            <w:tcW w:w="3480" w:type="dxa"/>
            <w:vAlign w:val="bottom"/>
          </w:tcPr>
          <w:p>
            <w:pPr>
              <w:ind w:left="20"/>
              <w:spacing w:after="0"/>
              <w:rPr>
                <w:sz w:val="20"/>
                <w:szCs w:val="20"/>
                <w:color w:val="auto"/>
              </w:rPr>
            </w:pPr>
            <w:r>
              <w:rPr>
                <w:rFonts w:ascii="Arial" w:cs="Arial" w:eastAsia="Arial" w:hAnsi="Arial"/>
                <w:sz w:val="14"/>
                <w:szCs w:val="14"/>
                <w:color w:val="auto"/>
              </w:rPr>
              <w:t>Money market funds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361,028</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361,028</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2"/>
        </w:trPr>
        <w:tc>
          <w:tcPr>
            <w:tcW w:w="3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361,028</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361,028</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-1593850</wp:posOffset>
            </wp:positionV>
            <wp:extent cx="1028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-1576705</wp:posOffset>
            </wp:positionV>
            <wp:extent cx="1028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-1593850</wp:posOffset>
            </wp:positionV>
            <wp:extent cx="102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-1576705</wp:posOffset>
            </wp:positionV>
            <wp:extent cx="102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-1593850</wp:posOffset>
            </wp:positionV>
            <wp:extent cx="1028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-1576705</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-24765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-7620</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102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1028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1028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1028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2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did not have any transfers of financial assets measured at fair value on a recurring basis to or from Level 1, Level 2 or Level 3 for any of the periods presented.</w:t>
      </w:r>
    </w:p>
    <w:p>
      <w:pPr>
        <w:spacing w:after="0" w:line="211"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Property and equipment, net</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components of property and equipment, net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60" w:type="dxa"/>
            <w:vAlign w:val="bottom"/>
          </w:tcPr>
          <w:p>
            <w:pPr>
              <w:spacing w:after="0"/>
              <w:rPr>
                <w:sz w:val="15"/>
                <w:szCs w:val="15"/>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1"/>
              </w:rPr>
              <w:t>September 30,</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tcPr>
          <w:p>
            <w:pPr>
              <w:jc w:val="right"/>
              <w:ind w:right="70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5860" w:type="dxa"/>
            <w:vAlign w:val="bottom"/>
          </w:tcPr>
          <w:p>
            <w:pPr>
              <w:spacing w:after="0"/>
              <w:rPr>
                <w:sz w:val="16"/>
                <w:szCs w:val="16"/>
                <w:color w:val="auto"/>
              </w:rPr>
            </w:pPr>
          </w:p>
        </w:tc>
        <w:tc>
          <w:tcPr>
            <w:tcW w:w="17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b w:val="1"/>
                <w:bCs w:val="1"/>
                <w:color w:val="auto"/>
                <w:w w:val="96"/>
              </w:rPr>
              <w:t>2021</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2020</w:t>
            </w:r>
          </w:p>
        </w:tc>
      </w:tr>
      <w:tr>
        <w:trPr>
          <w:trHeight w:val="196"/>
        </w:trPr>
        <w:tc>
          <w:tcPr>
            <w:tcW w:w="5860" w:type="dxa"/>
            <w:vAlign w:val="bottom"/>
          </w:tcPr>
          <w:p>
            <w:pPr>
              <w:spacing w:after="0"/>
              <w:rPr>
                <w:sz w:val="17"/>
                <w:szCs w:val="17"/>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4"/>
              </w:rPr>
              <w:t>(unaudited)</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08"/>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Laboratory equipment</w:t>
            </w:r>
          </w:p>
        </w:tc>
        <w:tc>
          <w:tcPr>
            <w:tcW w:w="1740" w:type="dxa"/>
            <w:vAlign w:val="bottom"/>
            <w:shd w:val="clear" w:color="auto" w:fill="CFF0FC"/>
          </w:tcPr>
          <w:p>
            <w:pPr>
              <w:jc w:val="right"/>
              <w:ind w:right="15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2,146</w:t>
            </w:r>
          </w:p>
        </w:tc>
        <w:tc>
          <w:tcPr>
            <w:tcW w:w="62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1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1,396</w:t>
            </w:r>
          </w:p>
        </w:tc>
      </w:tr>
      <w:tr>
        <w:trPr>
          <w:trHeight w:val="197"/>
        </w:trPr>
        <w:tc>
          <w:tcPr>
            <w:tcW w:w="586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174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1,476</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1,108</w:t>
            </w:r>
          </w:p>
        </w:tc>
      </w:tr>
      <w:tr>
        <w:trPr>
          <w:trHeight w:val="208"/>
        </w:trPr>
        <w:tc>
          <w:tcPr>
            <w:tcW w:w="58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Construction in progress</w:t>
            </w:r>
          </w:p>
        </w:tc>
        <w:tc>
          <w:tcPr>
            <w:tcW w:w="174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2,060</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5860" w:type="dxa"/>
            <w:vAlign w:val="bottom"/>
          </w:tcPr>
          <w:p>
            <w:pPr>
              <w:ind w:left="20"/>
              <w:spacing w:after="0"/>
              <w:rPr>
                <w:sz w:val="20"/>
                <w:szCs w:val="20"/>
                <w:color w:val="auto"/>
              </w:rPr>
            </w:pPr>
            <w:r>
              <w:rPr>
                <w:rFonts w:ascii="Arial" w:cs="Arial" w:eastAsia="Arial" w:hAnsi="Arial"/>
                <w:sz w:val="14"/>
                <w:szCs w:val="14"/>
                <w:color w:val="auto"/>
              </w:rPr>
              <w:t>Office and computer equipment</w:t>
            </w:r>
          </w:p>
        </w:tc>
        <w:tc>
          <w:tcPr>
            <w:tcW w:w="174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372</w:t>
            </w:r>
          </w:p>
        </w:tc>
      </w:tr>
      <w:tr>
        <w:trPr>
          <w:trHeight w:val="20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Furniture and fixtures</w:t>
            </w:r>
          </w:p>
        </w:tc>
        <w:tc>
          <w:tcPr>
            <w:tcW w:w="17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273</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198</w:t>
            </w:r>
          </w:p>
        </w:tc>
      </w:tr>
      <w:tr>
        <w:trPr>
          <w:trHeight w:val="196"/>
        </w:trPr>
        <w:tc>
          <w:tcPr>
            <w:tcW w:w="5860" w:type="dxa"/>
            <w:vAlign w:val="bottom"/>
          </w:tcPr>
          <w:p>
            <w:pPr>
              <w:ind w:left="120"/>
              <w:spacing w:after="0"/>
              <w:rPr>
                <w:sz w:val="20"/>
                <w:szCs w:val="20"/>
                <w:color w:val="auto"/>
              </w:rPr>
            </w:pPr>
            <w:r>
              <w:rPr>
                <w:rFonts w:ascii="Arial" w:cs="Arial" w:eastAsia="Arial" w:hAnsi="Arial"/>
                <w:sz w:val="14"/>
                <w:szCs w:val="14"/>
                <w:color w:val="auto"/>
              </w:rPr>
              <w:t>Total property and equipment</w:t>
            </w:r>
          </w:p>
        </w:tc>
        <w:tc>
          <w:tcPr>
            <w:tcW w:w="174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6,472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3,074</w:t>
            </w:r>
          </w:p>
        </w:tc>
      </w:tr>
      <w:tr>
        <w:trPr>
          <w:trHeight w:val="203"/>
        </w:trPr>
        <w:tc>
          <w:tcPr>
            <w:tcW w:w="5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Less: accumulated depreciation</w:t>
            </w:r>
          </w:p>
        </w:tc>
        <w:tc>
          <w:tcPr>
            <w:tcW w:w="17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(1,490 )</w:t>
            </w:r>
          </w:p>
        </w:tc>
        <w:tc>
          <w:tcPr>
            <w:tcW w:w="2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(934 )</w:t>
            </w:r>
          </w:p>
        </w:tc>
      </w:tr>
      <w:tr>
        <w:trPr>
          <w:trHeight w:val="202"/>
        </w:trPr>
        <w:tc>
          <w:tcPr>
            <w:tcW w:w="5860" w:type="dxa"/>
            <w:vAlign w:val="bottom"/>
          </w:tcPr>
          <w:p>
            <w:pPr>
              <w:ind w:left="120"/>
              <w:spacing w:after="0"/>
              <w:rPr>
                <w:sz w:val="20"/>
                <w:szCs w:val="20"/>
                <w:color w:val="auto"/>
              </w:rPr>
            </w:pPr>
            <w:r>
              <w:rPr>
                <w:rFonts w:ascii="Arial" w:cs="Arial" w:eastAsia="Arial" w:hAnsi="Arial"/>
                <w:sz w:val="14"/>
                <w:szCs w:val="14"/>
                <w:color w:val="auto"/>
              </w:rPr>
              <w:t>Property and equipment, net</w:t>
            </w:r>
          </w:p>
        </w:tc>
        <w:tc>
          <w:tcPr>
            <w:tcW w:w="1740" w:type="dxa"/>
            <w:vAlign w:val="bottom"/>
          </w:tcPr>
          <w:p>
            <w:pPr>
              <w:jc w:val="right"/>
              <w:ind w:right="15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4,982</w:t>
            </w:r>
          </w:p>
        </w:tc>
        <w:tc>
          <w:tcPr>
            <w:tcW w:w="6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28"/>
              <w:spacing w:after="0"/>
              <w:rPr>
                <w:sz w:val="20"/>
                <w:szCs w:val="20"/>
                <w:color w:val="auto"/>
              </w:rPr>
            </w:pPr>
            <w:r>
              <w:rPr>
                <w:rFonts w:ascii="Arial" w:cs="Arial" w:eastAsia="Arial" w:hAnsi="Arial"/>
                <w:sz w:val="14"/>
                <w:szCs w:val="14"/>
                <w:color w:val="auto"/>
              </w:rPr>
              <w:t>2,140</w:t>
            </w:r>
          </w:p>
        </w:tc>
      </w:tr>
      <w:tr>
        <w:trPr>
          <w:trHeight w:val="20"/>
        </w:trPr>
        <w:tc>
          <w:tcPr>
            <w:tcW w:w="58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-424815</wp:posOffset>
            </wp:positionV>
            <wp:extent cx="137160" cy="133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13398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-159385</wp:posOffset>
            </wp:positionV>
            <wp:extent cx="137160" cy="160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160020"/>
                    </a:xfrm>
                    <a:prstGeom prst="rect">
                      <a:avLst/>
                    </a:prstGeom>
                    <a:noFill/>
                  </pic:spPr>
                </pic:pic>
              </a:graphicData>
            </a:graphic>
          </wp:anchor>
        </w:drawing>
      </w:r>
    </w:p>
    <w:p>
      <w:pPr>
        <w:spacing w:after="0" w:line="177" w:lineRule="exact"/>
        <w:rPr>
          <w:sz w:val="20"/>
          <w:szCs w:val="20"/>
          <w:color w:val="auto"/>
        </w:rPr>
      </w:pPr>
    </w:p>
    <w:p>
      <w:pPr>
        <w:ind w:right="20" w:firstLine="509"/>
        <w:spacing w:after="0" w:line="293" w:lineRule="auto"/>
        <w:rPr>
          <w:sz w:val="20"/>
          <w:szCs w:val="20"/>
          <w:color w:val="auto"/>
        </w:rPr>
      </w:pPr>
      <w:r>
        <w:rPr>
          <w:rFonts w:ascii="Arial" w:cs="Arial" w:eastAsia="Arial" w:hAnsi="Arial"/>
          <w:sz w:val="14"/>
          <w:szCs w:val="14"/>
          <w:color w:val="auto"/>
        </w:rPr>
        <w:t>Total depreciation expense for the three and nine months ended September 30, 2021 was $192,000 and $553,000, respectively. The total depreciation expense for the three and nine months ended September 30, 2020 was $163,000 and $381,000, respectively.</w:t>
      </w:r>
    </w:p>
    <w:p>
      <w:pPr>
        <w:spacing w:after="0" w:line="318"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intangible assets, net</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were no changes in goodwill for the nine months ended September 30, 2021 and the fiscal year ended December 31, 2020.</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components of intangible assets, net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0" w:type="dxa"/>
            <w:vAlign w:val="bottom"/>
          </w:tcPr>
          <w:p>
            <w:pPr>
              <w:spacing w:after="0"/>
              <w:rPr>
                <w:sz w:val="15"/>
                <w:szCs w:val="15"/>
                <w:color w:val="auto"/>
              </w:rPr>
            </w:pPr>
          </w:p>
        </w:tc>
        <w:tc>
          <w:tcPr>
            <w:tcW w:w="134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September 30,</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00" w:type="dxa"/>
            <w:vAlign w:val="bottom"/>
          </w:tcPr>
          <w:p>
            <w:pPr>
              <w:spacing w:after="0"/>
              <w:rPr>
                <w:sz w:val="16"/>
                <w:szCs w:val="16"/>
                <w:color w:val="auto"/>
              </w:rPr>
            </w:pPr>
          </w:p>
        </w:tc>
        <w:tc>
          <w:tcPr>
            <w:tcW w:w="13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89"/>
              </w:rPr>
              <w:t>2021</w:t>
            </w:r>
          </w:p>
        </w:tc>
        <w:tc>
          <w:tcPr>
            <w:tcW w:w="4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2020</w:t>
            </w:r>
          </w:p>
        </w:tc>
      </w:tr>
      <w:tr>
        <w:trPr>
          <w:trHeight w:val="196"/>
        </w:trPr>
        <w:tc>
          <w:tcPr>
            <w:tcW w:w="7600" w:type="dxa"/>
            <w:vAlign w:val="bottom"/>
          </w:tcPr>
          <w:p>
            <w:pPr>
              <w:spacing w:after="0"/>
              <w:rPr>
                <w:sz w:val="17"/>
                <w:szCs w:val="17"/>
                <w:color w:val="auto"/>
              </w:rPr>
            </w:pPr>
          </w:p>
        </w:tc>
        <w:tc>
          <w:tcPr>
            <w:tcW w:w="1340" w:type="dxa"/>
            <w:vAlign w:val="bottom"/>
          </w:tcPr>
          <w:p>
            <w:pPr>
              <w:jc w:val="center"/>
              <w:ind w:left="268"/>
              <w:spacing w:after="0"/>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Patents and trademarks</w:t>
            </w:r>
          </w:p>
        </w:tc>
        <w:tc>
          <w:tcPr>
            <w:tcW w:w="1340" w:type="dxa"/>
            <w:vAlign w:val="bottom"/>
            <w:shd w:val="clear" w:color="auto" w:fill="CFF0FC"/>
          </w:tcPr>
          <w:p>
            <w:pPr>
              <w:jc w:val="right"/>
              <w:ind w:right="116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379</w:t>
            </w:r>
          </w:p>
        </w:tc>
        <w:tc>
          <w:tcPr>
            <w:tcW w:w="4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288</w:t>
            </w:r>
          </w:p>
        </w:tc>
      </w:tr>
      <w:tr>
        <w:trPr>
          <w:trHeight w:val="203"/>
        </w:trPr>
        <w:tc>
          <w:tcPr>
            <w:tcW w:w="7600" w:type="dxa"/>
            <w:vAlign w:val="bottom"/>
          </w:tcPr>
          <w:p>
            <w:pPr>
              <w:ind w:left="20"/>
              <w:spacing w:after="0"/>
              <w:rPr>
                <w:sz w:val="20"/>
                <w:szCs w:val="20"/>
                <w:color w:val="auto"/>
              </w:rPr>
            </w:pPr>
            <w:r>
              <w:rPr>
                <w:rFonts w:ascii="Arial" w:cs="Arial" w:eastAsia="Arial" w:hAnsi="Arial"/>
                <w:sz w:val="14"/>
                <w:szCs w:val="14"/>
                <w:color w:val="auto"/>
              </w:rPr>
              <w:t>IP license</w:t>
            </w:r>
          </w:p>
        </w:tc>
        <w:tc>
          <w:tcPr>
            <w:tcW w:w="1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476</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w:t>
            </w:r>
          </w:p>
        </w:tc>
      </w:tr>
      <w:tr>
        <w:trPr>
          <w:trHeight w:val="196"/>
        </w:trPr>
        <w:tc>
          <w:tcPr>
            <w:tcW w:w="76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Total intangible assets</w:t>
            </w:r>
          </w:p>
        </w:tc>
        <w:tc>
          <w:tcPr>
            <w:tcW w:w="13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855</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764</w:t>
            </w:r>
          </w:p>
        </w:tc>
      </w:tr>
      <w:tr>
        <w:trPr>
          <w:trHeight w:val="196"/>
        </w:trPr>
        <w:tc>
          <w:tcPr>
            <w:tcW w:w="7600" w:type="dxa"/>
            <w:vAlign w:val="bottom"/>
          </w:tcPr>
          <w:p>
            <w:pPr>
              <w:ind w:left="20"/>
              <w:spacing w:after="0"/>
              <w:rPr>
                <w:sz w:val="20"/>
                <w:szCs w:val="20"/>
                <w:color w:val="auto"/>
              </w:rPr>
            </w:pPr>
            <w:r>
              <w:rPr>
                <w:rFonts w:ascii="Arial" w:cs="Arial" w:eastAsia="Arial" w:hAnsi="Arial"/>
                <w:sz w:val="14"/>
                <w:szCs w:val="14"/>
                <w:color w:val="auto"/>
              </w:rPr>
              <w:t>Less: accumulated amortization</w:t>
            </w:r>
          </w:p>
        </w:tc>
        <w:tc>
          <w:tcPr>
            <w:tcW w:w="1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(494 )</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(490 )</w:t>
            </w:r>
          </w:p>
        </w:tc>
      </w:tr>
      <w:tr>
        <w:trPr>
          <w:trHeight w:val="242"/>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Intangible assets, net</w:t>
            </w:r>
          </w:p>
        </w:tc>
        <w:tc>
          <w:tcPr>
            <w:tcW w:w="1340" w:type="dxa"/>
            <w:vAlign w:val="bottom"/>
            <w:tcBorders>
              <w:bottom w:val="single" w:sz="8" w:color="auto"/>
            </w:tcBorders>
            <w:shd w:val="clear" w:color="auto" w:fill="CFF0FC"/>
          </w:tcPr>
          <w:p>
            <w:pPr>
              <w:jc w:val="right"/>
              <w:ind w:right="11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361</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1111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1111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8" w:lineRule="exact"/>
        <w:rPr>
          <w:sz w:val="20"/>
          <w:szCs w:val="20"/>
          <w:color w:val="auto"/>
        </w:rPr>
      </w:pPr>
    </w:p>
    <w:p>
      <w:pPr>
        <w:jc w:val="both"/>
        <w:ind w:right="20" w:firstLine="288"/>
        <w:spacing w:after="0" w:line="293" w:lineRule="auto"/>
        <w:rPr>
          <w:sz w:val="20"/>
          <w:szCs w:val="20"/>
          <w:color w:val="auto"/>
        </w:rPr>
      </w:pPr>
      <w:r>
        <w:rPr>
          <w:rFonts w:ascii="Arial" w:cs="Arial" w:eastAsia="Arial" w:hAnsi="Arial"/>
          <w:sz w:val="14"/>
          <w:szCs w:val="14"/>
          <w:color w:val="auto"/>
        </w:rPr>
        <w:t>Total amortization expense for the three and nine months ended September 30, 2021 was approximately $2,000 and $4,000, respectively. Total amortization expense for the three and nine months ended September 30, 2020 was $16,000 and $64,000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5" w:name="page16"/>
    <w:bookmarkEnd w:id="15"/>
    <w:p>
      <w:pPr>
        <w:ind w:left="440" w:hanging="432"/>
        <w:spacing w:after="0"/>
        <w:tabs>
          <w:tab w:leader="none" w:pos="4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Legal settlement liability</w:t>
      </w:r>
    </w:p>
    <w:p>
      <w:pPr>
        <w:spacing w:after="0" w:line="235"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As of September 30, 2021, it was probable that the specified sales milestone would be achieved within 3 months.</w:t>
      </w:r>
    </w:p>
    <w:p>
      <w:pPr>
        <w:spacing w:after="0" w:line="18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19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3"/>
          <w:szCs w:val="13"/>
          <w:color w:val="auto"/>
        </w:rPr>
        <w:t>The Company recorded $940,000 and $2.4 million product cost of sales related to royalty expense for the three and nine months ended September 30, 2021, respectively, and $729,000 and $1.7 million product cost of sales for the three and nine months ended September 30, 2020, respectively. The Company recorded $441,000 and $1.2 million of interest expense for the three and nine months ended September 30, 2021, respectively, and $2,000 and $3,000 of interest expense for the three and nine months ended September 30, 2020,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$20.0 million and $17.2 million as of September 30, 2021 and December 31, 2020, respectively, and will record licensing expense in future periods.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table shows the components of the legal settlement liability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20" w:type="dxa"/>
            <w:vAlign w:val="bottom"/>
          </w:tcPr>
          <w:p>
            <w:pPr>
              <w:spacing w:after="0"/>
              <w:rPr>
                <w:sz w:val="15"/>
                <w:szCs w:val="15"/>
                <w:color w:val="auto"/>
              </w:rPr>
            </w:pPr>
          </w:p>
        </w:tc>
        <w:tc>
          <w:tcPr>
            <w:tcW w:w="1360" w:type="dxa"/>
            <w:vAlign w:val="bottom"/>
          </w:tcPr>
          <w:p>
            <w:pPr>
              <w:jc w:val="center"/>
              <w:ind w:left="368"/>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tcPr>
          <w:p>
            <w:pPr>
              <w:jc w:val="right"/>
              <w:ind w:right="54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720" w:type="dxa"/>
            <w:vAlign w:val="bottom"/>
          </w:tcPr>
          <w:p>
            <w:pPr>
              <w:spacing w:after="0"/>
              <w:rPr>
                <w:sz w:val="16"/>
                <w:szCs w:val="16"/>
                <w:color w:val="auto"/>
              </w:rPr>
            </w:pPr>
          </w:p>
        </w:tc>
        <w:tc>
          <w:tcPr>
            <w:tcW w:w="13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2020</w:t>
            </w:r>
          </w:p>
        </w:tc>
      </w:tr>
      <w:tr>
        <w:trPr>
          <w:trHeight w:val="196"/>
        </w:trPr>
        <w:tc>
          <w:tcPr>
            <w:tcW w:w="67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4"/>
              </w:rPr>
              <w:t>(unaudited)</w:t>
            </w:r>
          </w:p>
        </w:tc>
        <w:tc>
          <w:tcPr>
            <w:tcW w:w="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202"/>
        </w:trPr>
        <w:tc>
          <w:tcPr>
            <w:tcW w:w="6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Current:</w:t>
            </w:r>
          </w:p>
        </w:tc>
        <w:tc>
          <w:tcPr>
            <w:tcW w:w="13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700" w:type="dxa"/>
            <w:vAlign w:val="bottom"/>
            <w:shd w:val="clear" w:color="auto" w:fill="CFF0FC"/>
          </w:tcPr>
          <w:p>
            <w:pPr>
              <w:spacing w:after="0"/>
              <w:rPr>
                <w:sz w:val="17"/>
                <w:szCs w:val="17"/>
                <w:color w:val="auto"/>
              </w:rPr>
            </w:pPr>
          </w:p>
        </w:tc>
      </w:tr>
      <w:tr>
        <w:trPr>
          <w:trHeight w:val="197"/>
        </w:trPr>
        <w:tc>
          <w:tcPr>
            <w:tcW w:w="6720" w:type="dxa"/>
            <w:vAlign w:val="bottom"/>
          </w:tcPr>
          <w:p>
            <w:pPr>
              <w:ind w:left="120"/>
              <w:spacing w:after="0"/>
              <w:rPr>
                <w:sz w:val="20"/>
                <w:szCs w:val="20"/>
                <w:color w:val="auto"/>
              </w:rPr>
            </w:pPr>
            <w:r>
              <w:rPr>
                <w:rFonts w:ascii="Arial" w:cs="Arial" w:eastAsia="Arial" w:hAnsi="Arial"/>
                <w:sz w:val="14"/>
                <w:szCs w:val="14"/>
                <w:color w:val="auto"/>
              </w:rPr>
              <w:t>Legal settlement liability</w:t>
            </w:r>
          </w:p>
        </w:tc>
        <w:tc>
          <w:tcPr>
            <w:tcW w:w="1360" w:type="dxa"/>
            <w:vAlign w:val="bottom"/>
          </w:tcPr>
          <w:p>
            <w:pPr>
              <w:jc w:val="right"/>
              <w:ind w:right="1208"/>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7,405</w:t>
            </w:r>
          </w:p>
        </w:tc>
        <w:tc>
          <w:tcPr>
            <w:tcW w:w="4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6,253</w:t>
            </w:r>
          </w:p>
        </w:tc>
      </w:tr>
      <w:tr>
        <w:trPr>
          <w:trHeight w:val="208"/>
        </w:trPr>
        <w:tc>
          <w:tcPr>
            <w:tcW w:w="6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Noncurrent:</w:t>
            </w:r>
          </w:p>
        </w:tc>
        <w:tc>
          <w:tcPr>
            <w:tcW w:w="13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r>
      <w:tr>
        <w:trPr>
          <w:trHeight w:val="197"/>
        </w:trPr>
        <w:tc>
          <w:tcPr>
            <w:tcW w:w="6720" w:type="dxa"/>
            <w:vAlign w:val="bottom"/>
          </w:tcPr>
          <w:p>
            <w:pPr>
              <w:ind w:left="120"/>
              <w:spacing w:after="0"/>
              <w:rPr>
                <w:sz w:val="20"/>
                <w:szCs w:val="20"/>
                <w:color w:val="auto"/>
              </w:rPr>
            </w:pPr>
            <w:r>
              <w:rPr>
                <w:rFonts w:ascii="Arial" w:cs="Arial" w:eastAsia="Arial" w:hAnsi="Arial"/>
                <w:sz w:val="14"/>
                <w:szCs w:val="14"/>
                <w:color w:val="auto"/>
              </w:rPr>
              <w:t>Legal settlement liability</w:t>
            </w:r>
          </w:p>
        </w:tc>
        <w:tc>
          <w:tcPr>
            <w:tcW w:w="1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7"/>
              </w:rPr>
              <w:t>12,633</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10,959</w:t>
            </w:r>
          </w:p>
        </w:tc>
      </w:tr>
      <w:tr>
        <w:trPr>
          <w:trHeight w:val="242"/>
        </w:trPr>
        <w:tc>
          <w:tcPr>
            <w:tcW w:w="6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legal settlement liability</w:t>
            </w:r>
          </w:p>
        </w:tc>
        <w:tc>
          <w:tcPr>
            <w:tcW w:w="1360" w:type="dxa"/>
            <w:vAlign w:val="bottom"/>
            <w:tcBorders>
              <w:bottom w:val="single" w:sz="8" w:color="auto"/>
            </w:tcBorders>
            <w:shd w:val="clear" w:color="auto" w:fill="CFF0FC"/>
          </w:tcPr>
          <w:p>
            <w:pPr>
              <w:jc w:val="right"/>
              <w:ind w:right="120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97"/>
              </w:rPr>
              <w:t>20,038</w:t>
            </w: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17,212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-24765</wp:posOffset>
            </wp:positionV>
            <wp:extent cx="1111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1111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Redeemable convertible preferred stock</w:t>
      </w:r>
    </w:p>
    <w:p>
      <w:pPr>
        <w:spacing w:after="0" w:line="12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In March 2015, the Company entered into a Series A Preferred Stock Purchase Agreement (“Series A Agreement”) with certain investors pursuant to which it sold and issued 9,799,755 shares of Series A redeemable convertible preferred stock (“Series A shares”) at a purchase price of $0.38 per share in the initial closing. In July 2015, the Company sold and issued an additional 8,166,462 Series A shares at a purchase price of $0.38 per share pursuant to a subsequent closing under the Series A Agreement. In October 2015, the Company sold and issued an additional 14,699,632 Series A shares at a purchase price of $0.38 per share pursuant to a milestone closing under the Series A Agreement. A total of 32,665,849 Series A shares were issued for $12.2 million, net of issuance costs of $89,000.</w:t>
      </w:r>
    </w:p>
    <w:p>
      <w:pPr>
        <w:spacing w:after="0" w:line="19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December 2016, the Company entered into a Series B Preferred Stock Purchase Agreement (“Series B Agreement”) with certain investors pursuant to which it sold and issued 9,888,639 shares of Series B convertible redeemable preferred stock (“Series B shares”) at a purchase price of $0.75 per share in the initial closing. In January 2018, the Company sold and issued an additional 6,110,957 Series B shares at a purchase price of $0.75 per share pursuant to a milestone closing under the Series B Agreement.</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September 2018, the Company entered into a Series C Preferred Stock Purchase Agreement (“Series C Agreement”) with certain investors pursuant to which it sold and issued 18,717,804 shares of Series C convertible redeemable preferred stock (“Series C shares” and together with Series A shares, Series B shares and Series C shares, the “2018 Preferred Stock”) at a purchase price of $2.40 per share in the initial closing. In November and December 2018, the Company sold and issued an additional 2,501,265 and 2,084,387 Series C shares, respectively, at a purchase price of $2.40 per share pursuant to subsequent closings under the Series C Agreement.</w:t>
      </w:r>
    </w:p>
    <w:p>
      <w:pPr>
        <w:spacing w:after="0" w:line="1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In October 2018, the Company repurchased 2,452,270 Series A shares at a price per share of $2.04 (“Series A Repurchase”), for an aggregate purchase price of $5.0 million. In connection with the Series A Repurchase, the Company filed a Certificate of Retirement with the Secretary of State in the State of Delaware to (i) cancel and retire the repurchased shares as required by the Company’s Amended and Restated Certificate of Incorporation, (ii) reduce the number of 2018 Preferred Stock authorized under the Company’s Amended and Restated Certificate of Incorporation to 70,212,570 from 72,664,850 and (iii) reduce the number of Series A shares authorized under the Company’s Amended and Restated Certificate of Incorporation 30,213,574 from 32,665,849.</w:t>
      </w:r>
    </w:p>
    <w:p>
      <w:pPr>
        <w:spacing w:after="0" w:line="19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October 2020, under the amended and restated certificate of incorporation dated October 22, 2020 (“October COI”), the Company issued 17,752,068 shares of Series D redeemable convertible preferred stock (“Series D shares” and together with Series A shares, Series B shares, Series C shares, the “Preferred Stock”) at a purchase price of $6.76 per share for net proceeds of $119.7 million and authorized the reduction of the Series C to 23,303,456.</w:t>
      </w:r>
    </w:p>
    <w:p>
      <w:pPr>
        <w:spacing w:after="0" w:line="77" w:lineRule="exact"/>
        <w:rPr>
          <w:sz w:val="20"/>
          <w:szCs w:val="20"/>
          <w:color w:val="auto"/>
        </w:rPr>
      </w:pPr>
    </w:p>
    <w:p>
      <w:pPr>
        <w:jc w:val="center"/>
        <w:ind w:left="600" w:right="240"/>
        <w:spacing w:after="0" w:line="494" w:lineRule="auto"/>
        <w:rPr>
          <w:sz w:val="20"/>
          <w:szCs w:val="20"/>
          <w:color w:val="auto"/>
        </w:rPr>
      </w:pPr>
      <w:r>
        <w:rPr>
          <w:rFonts w:ascii="Arial" w:cs="Arial" w:eastAsia="Arial" w:hAnsi="Arial"/>
          <w:sz w:val="14"/>
          <w:szCs w:val="14"/>
          <w:color w:val="auto"/>
        </w:rPr>
        <w:t>In July 2021, all of the then-outstanding shares of Preferred Stock automatically converted into 87,268,694 shares of common stock immediately upon the closing of Company’s IPO.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6" w:name="page17"/>
    <w:bookmarkEnd w:id="16"/>
    <w:p>
      <w:pPr>
        <w:ind w:left="440"/>
        <w:spacing w:after="0"/>
        <w:rPr>
          <w:sz w:val="20"/>
          <w:szCs w:val="20"/>
          <w:color w:val="auto"/>
        </w:rPr>
      </w:pPr>
      <w:r>
        <w:rPr>
          <w:rFonts w:ascii="Arial" w:cs="Arial" w:eastAsia="Arial" w:hAnsi="Arial"/>
          <w:sz w:val="13"/>
          <w:szCs w:val="13"/>
          <w:color w:val="auto"/>
        </w:rPr>
        <w:t>The Company has classified its Preferred Stock as temporary equity in the accompanying interim consolidated balance sheets due to terms that allow for redemption of the shares upon</w:t>
      </w:r>
    </w:p>
    <w:p>
      <w:pPr>
        <w:spacing w:after="0" w:line="53"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certain change in control events that are outside of the Company’s control, including sale or transfer of control of the Company, as holders of the Preferred Stock could cause redemption of the shares in these situations.</w:t>
      </w:r>
    </w:p>
    <w:p>
      <w:pPr>
        <w:spacing w:after="0" w:line="129" w:lineRule="exact"/>
        <w:rPr>
          <w:sz w:val="20"/>
          <w:szCs w:val="20"/>
          <w:color w:val="auto"/>
        </w:rPr>
      </w:pPr>
    </w:p>
    <w:p>
      <w:pPr>
        <w:ind w:left="440" w:hanging="432"/>
        <w:spacing w:after="0"/>
        <w:tabs>
          <w:tab w:leader="none" w:pos="4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Common stock</w:t>
      </w:r>
    </w:p>
    <w:p>
      <w:pPr>
        <w:spacing w:after="0" w:line="12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As of September 30, 2021,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256" w:lineRule="exact"/>
        <w:rPr>
          <w:sz w:val="20"/>
          <w:szCs w:val="20"/>
          <w:color w:val="auto"/>
        </w:rPr>
      </w:pPr>
    </w:p>
    <w:p>
      <w:pPr>
        <w:jc w:val="both"/>
        <w:ind w:left="20" w:right="20" w:firstLine="499"/>
        <w:spacing w:after="0" w:line="293" w:lineRule="auto"/>
        <w:rPr>
          <w:sz w:val="20"/>
          <w:szCs w:val="20"/>
          <w:color w:val="auto"/>
        </w:rPr>
      </w:pPr>
      <w:r>
        <w:rPr>
          <w:rFonts w:ascii="Arial" w:cs="Arial" w:eastAsia="Arial" w:hAnsi="Arial"/>
          <w:sz w:val="14"/>
          <w:szCs w:val="14"/>
          <w:color w:val="auto"/>
        </w:rPr>
        <w:t>On July 16, 2021, the Board and the Company’s stockholders approved an amendment and restatement of the Company’s certificate of incorporation to effect the Stock Split, which became effective upon filing with the Secretary of State of the State of Delaware on July 16, 2021.</w:t>
      </w:r>
    </w:p>
    <w:p>
      <w:pPr>
        <w:spacing w:after="0" w:line="29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On July 16, 2021, the Board and the Company’s stockholders approved an amendment and restatement of the Company’s certificate of incorporation, which became effective immediately following the closing of the IPO on July 27, 2021 and filing with the Secretary of State of the State of Delaware.</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Plans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September 30, 2021, the Company had three stock-based compensation plans (the “Plans”) which are described below.</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2015 Equity Incentive Plan</w:t>
      </w:r>
    </w:p>
    <w:p>
      <w:pPr>
        <w:spacing w:after="0" w:line="12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March 2015, the Board approved the 2015 Equity Incentive Plan (“2015 Plan”), which provided for the granting of stock options to employees, directors and consultants of the Company. As of September 30, 2021 the total number of shares of common stock available for issuance under the 2015 Plan was 5,792,529 shares. As of the effective date of the 2021 Plan described below, the 2015 Plan was terminated and no further stock awards will be granted pursuant to the 2015 Plan. Outstanding stock options granted under the 2015 Plan will continue to be governed by the provisions of the 2015 Plan until the earlier of the stock option’s expiration or exercise.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2021 Equity Incentive Plan</w:t>
      </w:r>
    </w:p>
    <w:p>
      <w:pPr>
        <w:spacing w:after="0" w:line="12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In July 2021, the Board approved the 2021 Equity Incentive Plan (the “2021 Plan”), which provides for the granting of stock options, stock appreciation rights, restricted stock awards, restricted stock unit awards, performance awards, and other awards to employees, directors and consultants of the Company. The 2021 Plan became effective on July 22, 2021 in connection with the Company’s initial public offering.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September 30, 2021, the total number of shares of common stock available for issuance under the 2021 Plan was 15,167,837 shares.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2021 Employee Stock Purchase Plan</w:t>
      </w:r>
    </w:p>
    <w:p>
      <w:pPr>
        <w:spacing w:after="0" w:line="12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July 2021, the Board approved the 2021 Employee Stock Purchase Plan (the “ESPP”). The ESPP became effective on July 22, 2021 in connection with the Company’s initial public offering. The Company reserved 2,000,000 shares of common stock for future issuance under the ESPP.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As of September 30, 2021, none of the shares have been purchased under the ESPP plan.</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common stock</w:t>
      </w:r>
    </w:p>
    <w:p>
      <w:pPr>
        <w:spacing w:after="0" w:line="12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The fair value of the shares of common stock underlying the stock options has historically been determined by the Board. Because there has been no public market for the Company’s common stock, the Board has determined fair value of the common stock at the time of the option grant by considering a number of objective and subjective factors including valuation of comparable companies, sales of redeemable convertible preferred stock to unrelated third parties, operating and financial performance, the lack of liquidity of capital stock and general and industry specific economic outlook, amongst others. In determining the fair value of the common stock, the methodologies used to estimate the enterprise value were performed using methodologies, approaches and assumptions consistent with the American Institute of Certified Public Accountants Accounting Practice Aid, Valuation of Privately-Held-Company Equity Securities Issued as Compensation. The fair value of the underlying common stock will be determined by the Board, after consideration of a third-party valuation report, until the Company’s common stock is listed on an established stock exchange or national market system.</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17" w:name="page18"/>
    <w:bookmarkEnd w:id="17"/>
    <w:p>
      <w:pPr>
        <w:ind w:left="440" w:hanging="432"/>
        <w:spacing w:after="0"/>
        <w:tabs>
          <w:tab w:leader="none" w:pos="44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plan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stock option activity during the periods indicated (in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Weighted-average</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900" w:type="dxa"/>
            <w:vAlign w:val="bottom"/>
          </w:tcPr>
          <w:p>
            <w:pPr>
              <w:spacing w:after="0"/>
              <w:rPr>
                <w:sz w:val="15"/>
                <w:szCs w:val="15"/>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options</w:t>
            </w:r>
          </w:p>
        </w:tc>
        <w:tc>
          <w:tcPr>
            <w:tcW w:w="8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w w:val="89"/>
              </w:rPr>
              <w:t>Weighted-average</w:t>
            </w:r>
          </w:p>
        </w:tc>
        <w:tc>
          <w:tcPr>
            <w:tcW w:w="560" w:type="dxa"/>
            <w:vAlign w:val="bottom"/>
          </w:tcPr>
          <w:p>
            <w:pPr>
              <w:spacing w:after="0"/>
              <w:rPr>
                <w:sz w:val="15"/>
                <w:szCs w:val="15"/>
                <w:color w:val="auto"/>
              </w:rPr>
            </w:pPr>
          </w:p>
        </w:tc>
        <w:tc>
          <w:tcPr>
            <w:tcW w:w="160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remaining contractual</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ind w:right="108"/>
              <w:spacing w:after="0"/>
              <w:rPr>
                <w:sz w:val="20"/>
                <w:szCs w:val="20"/>
                <w:color w:val="auto"/>
              </w:rPr>
            </w:pPr>
            <w:r>
              <w:rPr>
                <w:rFonts w:ascii="Arial" w:cs="Arial" w:eastAsia="Arial" w:hAnsi="Arial"/>
                <w:sz w:val="14"/>
                <w:szCs w:val="14"/>
                <w:b w:val="1"/>
                <w:bCs w:val="1"/>
                <w:color w:val="auto"/>
                <w:w w:val="92"/>
              </w:rPr>
              <w:t>Aggregate intrinsic</w:t>
            </w:r>
          </w:p>
        </w:tc>
        <w:tc>
          <w:tcPr>
            <w:tcW w:w="100" w:type="dxa"/>
            <w:vAlign w:val="bottom"/>
          </w:tcPr>
          <w:p>
            <w:pPr>
              <w:spacing w:after="0"/>
              <w:rPr>
                <w:sz w:val="15"/>
                <w:szCs w:val="15"/>
                <w:color w:val="auto"/>
              </w:rPr>
            </w:pPr>
          </w:p>
        </w:tc>
      </w:tr>
      <w:tr>
        <w:trPr>
          <w:trHeight w:val="192"/>
        </w:trPr>
        <w:tc>
          <w:tcPr>
            <w:tcW w:w="39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6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exercise price</w:t>
            </w:r>
          </w:p>
        </w:tc>
        <w:tc>
          <w:tcPr>
            <w:tcW w:w="560" w:type="dxa"/>
            <w:vAlign w:val="bottom"/>
          </w:tcPr>
          <w:p>
            <w:pPr>
              <w:spacing w:after="0"/>
              <w:rPr>
                <w:sz w:val="16"/>
                <w:szCs w:val="16"/>
                <w:color w:val="auto"/>
              </w:rPr>
            </w:pPr>
          </w:p>
        </w:tc>
        <w:tc>
          <w:tcPr>
            <w:tcW w:w="16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term (in years)</w:t>
            </w:r>
          </w:p>
        </w:tc>
        <w:tc>
          <w:tcPr>
            <w:tcW w:w="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02"/>
        </w:trPr>
        <w:tc>
          <w:tcPr>
            <w:tcW w:w="3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as of December 31, 2020</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6,174,778</w:t>
            </w: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0.67</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7.79</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11,405</w:t>
            </w:r>
          </w:p>
        </w:tc>
        <w:tc>
          <w:tcPr>
            <w:tcW w:w="100" w:type="dxa"/>
            <w:vAlign w:val="bottom"/>
            <w:shd w:val="clear" w:color="auto" w:fill="CFF0FC"/>
          </w:tcPr>
          <w:p>
            <w:pPr>
              <w:spacing w:after="0"/>
              <w:rPr>
                <w:sz w:val="17"/>
                <w:szCs w:val="17"/>
                <w:color w:val="auto"/>
              </w:rPr>
            </w:pPr>
          </w:p>
        </w:tc>
      </w:tr>
      <w:tr>
        <w:trPr>
          <w:trHeight w:val="196"/>
        </w:trPr>
        <w:tc>
          <w:tcPr>
            <w:tcW w:w="3900" w:type="dxa"/>
            <w:vAlign w:val="bottom"/>
          </w:tcPr>
          <w:p>
            <w:pPr>
              <w:ind w:left="200"/>
              <w:spacing w:after="0"/>
              <w:rPr>
                <w:sz w:val="20"/>
                <w:szCs w:val="20"/>
                <w:color w:val="auto"/>
              </w:rPr>
            </w:pPr>
            <w:r>
              <w:rPr>
                <w:rFonts w:ascii="Arial" w:cs="Arial" w:eastAsia="Arial" w:hAnsi="Arial"/>
                <w:sz w:val="14"/>
                <w:szCs w:val="14"/>
                <w:color w:val="auto"/>
              </w:rPr>
              <w:t>Options granted</w:t>
            </w:r>
          </w:p>
        </w:tc>
        <w:tc>
          <w:tcPr>
            <w:tcW w:w="1120" w:type="dxa"/>
            <w:vAlign w:val="bottom"/>
          </w:tcPr>
          <w:p>
            <w:pPr>
              <w:jc w:val="right"/>
              <w:spacing w:after="0"/>
              <w:rPr>
                <w:sz w:val="20"/>
                <w:szCs w:val="20"/>
                <w:color w:val="auto"/>
              </w:rPr>
            </w:pPr>
            <w:r>
              <w:rPr>
                <w:rFonts w:ascii="Arial" w:cs="Arial" w:eastAsia="Arial" w:hAnsi="Arial"/>
                <w:sz w:val="14"/>
                <w:szCs w:val="14"/>
                <w:color w:val="auto"/>
              </w:rPr>
              <w:t>4,315,589</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12.97</w:t>
            </w: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Options exercised</w:t>
            </w:r>
          </w:p>
        </w:tc>
        <w:tc>
          <w:tcPr>
            <w:tcW w:w="172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(1,265,730 )</w:t>
            </w: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5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3900" w:type="dxa"/>
            <w:vAlign w:val="bottom"/>
          </w:tcPr>
          <w:p>
            <w:pPr>
              <w:ind w:left="200"/>
              <w:spacing w:after="0"/>
              <w:rPr>
                <w:sz w:val="20"/>
                <w:szCs w:val="20"/>
                <w:color w:val="auto"/>
              </w:rPr>
            </w:pPr>
            <w:r>
              <w:rPr>
                <w:rFonts w:ascii="Arial" w:cs="Arial" w:eastAsia="Arial" w:hAnsi="Arial"/>
                <w:sz w:val="14"/>
                <w:szCs w:val="14"/>
                <w:color w:val="auto"/>
              </w:rPr>
              <w:t>Options forfeited</w:t>
            </w:r>
          </w:p>
        </w:tc>
        <w:tc>
          <w:tcPr>
            <w:tcW w:w="1720" w:type="dxa"/>
            <w:vAlign w:val="bottom"/>
            <w:gridSpan w:val="2"/>
          </w:tcPr>
          <w:p>
            <w:pPr>
              <w:jc w:val="right"/>
              <w:ind w:right="520"/>
              <w:spacing w:after="0"/>
              <w:rPr>
                <w:sz w:val="20"/>
                <w:szCs w:val="20"/>
                <w:color w:val="auto"/>
              </w:rPr>
            </w:pPr>
            <w:r>
              <w:rPr>
                <w:rFonts w:ascii="Arial" w:cs="Arial" w:eastAsia="Arial" w:hAnsi="Arial"/>
                <w:sz w:val="14"/>
                <w:szCs w:val="14"/>
                <w:color w:val="auto"/>
              </w:rPr>
              <w:t>(294,726 )</w:t>
            </w:r>
          </w:p>
        </w:tc>
        <w:tc>
          <w:tcPr>
            <w:tcW w:w="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2.58</w:t>
            </w:r>
          </w:p>
        </w:tc>
        <w:tc>
          <w:tcPr>
            <w:tcW w:w="5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9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Options expired</w:t>
            </w:r>
          </w:p>
        </w:tc>
        <w:tc>
          <w:tcPr>
            <w:tcW w:w="172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(5,375 )</w:t>
            </w:r>
          </w:p>
        </w:tc>
        <w:tc>
          <w:tcPr>
            <w:tcW w:w="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5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390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Balance as of September 30,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8,924,536</w:t>
            </w:r>
          </w:p>
        </w:tc>
        <w:tc>
          <w:tcPr>
            <w:tcW w:w="600" w:type="dxa"/>
            <w:vAlign w:val="bottom"/>
            <w:tcBorders>
              <w:top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560" w:type="dxa"/>
            <w:vAlign w:val="bottom"/>
            <w:tcBorders>
              <w:top w:val="single" w:sz="8" w:color="CFF0FC"/>
            </w:tcBorders>
          </w:tcPr>
          <w:p>
            <w:pPr>
              <w:spacing w:after="0"/>
              <w:rPr>
                <w:sz w:val="17"/>
                <w:szCs w:val="17"/>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8.31</w:t>
            </w:r>
          </w:p>
        </w:tc>
        <w:tc>
          <w:tcPr>
            <w:tcW w:w="56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14,597</w:t>
            </w:r>
          </w:p>
        </w:tc>
        <w:tc>
          <w:tcPr>
            <w:tcW w:w="100" w:type="dxa"/>
            <w:vAlign w:val="bottom"/>
            <w:tcBorders>
              <w:top w:val="single" w:sz="8" w:color="CFF0FC"/>
            </w:tcBorders>
          </w:tcPr>
          <w:p>
            <w:pPr>
              <w:spacing w:after="0"/>
              <w:rPr>
                <w:sz w:val="17"/>
                <w:szCs w:val="17"/>
                <w:color w:val="auto"/>
              </w:rPr>
            </w:pPr>
          </w:p>
        </w:tc>
      </w:tr>
      <w:tr>
        <w:trPr>
          <w:trHeight w:val="20"/>
        </w:trPr>
        <w:tc>
          <w:tcPr>
            <w:tcW w:w="3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Options unvested as of September 30, 2021</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6,001,978</w:t>
            </w:r>
          </w:p>
        </w:tc>
        <w:tc>
          <w:tcPr>
            <w:tcW w:w="6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9.55</w:t>
            </w:r>
          </w:p>
        </w:tc>
        <w:tc>
          <w:tcPr>
            <w:tcW w:w="56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9.31</w:t>
            </w:r>
          </w:p>
        </w:tc>
        <w:tc>
          <w:tcPr>
            <w:tcW w:w="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82,765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3900" w:type="dxa"/>
            <w:vAlign w:val="bottom"/>
          </w:tcPr>
          <w:p>
            <w:pPr>
              <w:ind w:left="20"/>
              <w:spacing w:after="0"/>
              <w:rPr>
                <w:sz w:val="20"/>
                <w:szCs w:val="20"/>
                <w:color w:val="auto"/>
              </w:rPr>
            </w:pPr>
            <w:r>
              <w:rPr>
                <w:rFonts w:ascii="Arial" w:cs="Arial" w:eastAsia="Arial" w:hAnsi="Arial"/>
                <w:sz w:val="14"/>
                <w:szCs w:val="14"/>
                <w:color w:val="auto"/>
              </w:rPr>
              <w:t>Options exercisable as of September 30, 2021</w:t>
            </w:r>
          </w:p>
        </w:tc>
        <w:tc>
          <w:tcPr>
            <w:tcW w:w="1120" w:type="dxa"/>
            <w:vAlign w:val="bottom"/>
          </w:tcPr>
          <w:p>
            <w:pPr>
              <w:jc w:val="right"/>
              <w:spacing w:after="0"/>
              <w:rPr>
                <w:sz w:val="20"/>
                <w:szCs w:val="20"/>
                <w:color w:val="auto"/>
              </w:rPr>
            </w:pPr>
            <w:r>
              <w:rPr>
                <w:rFonts w:ascii="Arial" w:cs="Arial" w:eastAsia="Arial" w:hAnsi="Arial"/>
                <w:sz w:val="14"/>
                <w:szCs w:val="14"/>
                <w:color w:val="auto"/>
              </w:rPr>
              <w:t>2,922,558</w:t>
            </w:r>
          </w:p>
        </w:tc>
        <w:tc>
          <w:tcPr>
            <w:tcW w:w="6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0.47</w:t>
            </w: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6.25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66,832</w:t>
            </w:r>
          </w:p>
        </w:tc>
        <w:tc>
          <w:tcPr>
            <w:tcW w:w="100" w:type="dxa"/>
            <w:vAlign w:val="bottom"/>
          </w:tcPr>
          <w:p>
            <w:pPr>
              <w:spacing w:after="0"/>
              <w:rPr>
                <w:sz w:val="15"/>
                <w:szCs w:val="15"/>
                <w:color w:val="auto"/>
              </w:rPr>
            </w:pPr>
          </w:p>
        </w:tc>
      </w:tr>
      <w:tr>
        <w:trPr>
          <w:trHeight w:val="20"/>
        </w:trPr>
        <w:tc>
          <w:tcPr>
            <w:tcW w:w="39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-467995</wp:posOffset>
            </wp:positionV>
            <wp:extent cx="36830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830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-467995</wp:posOffset>
            </wp:positionV>
            <wp:extent cx="36004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0045"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-467995</wp:posOffset>
            </wp:positionV>
            <wp:extent cx="36004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004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-179070</wp:posOffset>
            </wp:positionV>
            <wp:extent cx="3683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-162560</wp:posOffset>
            </wp:positionV>
            <wp:extent cx="3683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-179070</wp:posOffset>
            </wp:positionV>
            <wp:extent cx="3600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-162560</wp:posOffset>
            </wp:positionV>
            <wp:extent cx="3600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-179070</wp:posOffset>
            </wp:positionV>
            <wp:extent cx="3600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-162560</wp:posOffset>
            </wp:positionV>
            <wp:extent cx="3600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8" w:lineRule="exact"/>
        <w:rPr>
          <w:sz w:val="20"/>
          <w:szCs w:val="20"/>
          <w:color w:val="auto"/>
        </w:rPr>
      </w:pPr>
    </w:p>
    <w:p>
      <w:pPr>
        <w:jc w:val="both"/>
        <w:ind w:firstLine="360"/>
        <w:spacing w:after="0" w:line="313" w:lineRule="auto"/>
        <w:rPr>
          <w:sz w:val="20"/>
          <w:szCs w:val="20"/>
          <w:color w:val="auto"/>
        </w:rPr>
      </w:pPr>
      <w:r>
        <w:rPr>
          <w:rFonts w:ascii="Arial" w:cs="Arial" w:eastAsia="Arial" w:hAnsi="Arial"/>
          <w:sz w:val="14"/>
          <w:szCs w:val="14"/>
          <w:color w:val="auto"/>
        </w:rPr>
        <w:t>The weighted-average grant date fair value of options granted during the three months ended September 30, 2021 and 2020 was $12.56 and $0.65 per share, respectively. The weighted-average grant date fair value of options granted during the nine months ended September 30, 2021 and 2020 was $10.43 and $0.62 per share, respectively.</w:t>
      </w:r>
    </w:p>
    <w:p>
      <w:pPr>
        <w:spacing w:after="0" w:line="147" w:lineRule="exact"/>
        <w:rPr>
          <w:sz w:val="20"/>
          <w:szCs w:val="20"/>
          <w:color w:val="auto"/>
        </w:rPr>
      </w:pPr>
    </w:p>
    <w:p>
      <w:pPr>
        <w:jc w:val="both"/>
        <w:ind w:firstLine="264"/>
        <w:spacing w:after="0" w:line="313" w:lineRule="auto"/>
        <w:rPr>
          <w:sz w:val="20"/>
          <w:szCs w:val="20"/>
          <w:color w:val="auto"/>
        </w:rPr>
      </w:pPr>
      <w:r>
        <w:rPr>
          <w:rFonts w:ascii="Arial" w:cs="Arial" w:eastAsia="Arial" w:hAnsi="Arial"/>
          <w:sz w:val="14"/>
          <w:szCs w:val="14"/>
          <w:color w:val="auto"/>
        </w:rPr>
        <w:t>The total fair value of options vested during each of the three months ended September 30, 2021 and 2020 was $323,000 and $191,000, respectively. The total fair value of options vested during each of the nine months ended September 30, 2021 and 2020 was $628,000 and $297,000, respectively.</w:t>
      </w:r>
    </w:p>
    <w:p>
      <w:pPr>
        <w:spacing w:after="0" w:line="134" w:lineRule="exact"/>
        <w:rPr>
          <w:sz w:val="20"/>
          <w:szCs w:val="20"/>
          <w:color w:val="auto"/>
        </w:rPr>
      </w:pPr>
    </w:p>
    <w:p>
      <w:pPr>
        <w:jc w:val="both"/>
        <w:ind w:firstLine="320"/>
        <w:spacing w:after="0" w:line="355" w:lineRule="auto"/>
        <w:rPr>
          <w:sz w:val="20"/>
          <w:szCs w:val="20"/>
          <w:color w:val="auto"/>
        </w:rPr>
      </w:pPr>
      <w:r>
        <w:rPr>
          <w:rFonts w:ascii="Arial" w:cs="Arial" w:eastAsia="Arial" w:hAnsi="Arial"/>
          <w:sz w:val="13"/>
          <w:szCs w:val="13"/>
          <w:color w:val="auto"/>
        </w:rPr>
        <w:t>There was $42.7 million and $1.3 million of unrecognized stock-based compensation expense related to unvested stock options as of September 30, 2021 and 2020, respectively. The unrecognized stock-based compensation expense is estimated to be recognized over a period of 3.23 years and 2.64 years as of September 30, 2021 and 2020, respectively.</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Company currently uses authorized and unissued shares to satisfy option exercises.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aggregate intrinsic value is calculated as the difference between the exercise price and the estimated fair value of the Company’s common stock as of September 30, 2021.</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 expense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allocation of stock-based compensation expense related to the Company’s stock-based awards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39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02"/>
        </w:trPr>
        <w:tc>
          <w:tcPr>
            <w:tcW w:w="3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sales</w:t>
            </w:r>
          </w:p>
        </w:tc>
        <w:tc>
          <w:tcPr>
            <w:tcW w:w="740" w:type="dxa"/>
            <w:vAlign w:val="bottom"/>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w:t>
            </w:r>
          </w:p>
        </w:tc>
        <w:tc>
          <w:tcPr>
            <w:tcW w:w="1600" w:type="dxa"/>
            <w:vAlign w:val="bottom"/>
            <w:gridSpan w:val="2"/>
            <w:shd w:val="clear" w:color="auto" w:fill="CFF0FC"/>
          </w:tcPr>
          <w:p>
            <w:pPr>
              <w:jc w:val="right"/>
              <w:ind w:right="8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9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w:t>
            </w:r>
          </w:p>
        </w:tc>
        <w:tc>
          <w:tcPr>
            <w:tcW w:w="88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FF0FC"/>
          </w:tcPr>
          <w:p>
            <w:pPr>
              <w:spacing w:after="0"/>
              <w:rPr>
                <w:sz w:val="17"/>
                <w:szCs w:val="17"/>
                <w:color w:val="auto"/>
              </w:rPr>
            </w:pPr>
          </w:p>
        </w:tc>
      </w:tr>
      <w:tr>
        <w:trPr>
          <w:trHeight w:val="197"/>
        </w:trPr>
        <w:tc>
          <w:tcPr>
            <w:tcW w:w="390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698</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28</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1,002</w:t>
            </w: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r>
      <w:tr>
        <w:trPr>
          <w:trHeight w:val="208"/>
        </w:trPr>
        <w:tc>
          <w:tcPr>
            <w:tcW w:w="39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7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478</w:t>
            </w: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w:t>
            </w:r>
          </w:p>
        </w:tc>
        <w:tc>
          <w:tcPr>
            <w:tcW w:w="5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FF0FC"/>
          </w:tcPr>
          <w:p>
            <w:pPr>
              <w:spacing w:after="0"/>
              <w:rPr>
                <w:sz w:val="18"/>
                <w:szCs w:val="18"/>
                <w:color w:val="auto"/>
              </w:rPr>
            </w:pPr>
          </w:p>
        </w:tc>
      </w:tr>
      <w:tr>
        <w:trPr>
          <w:trHeight w:val="203"/>
        </w:trPr>
        <w:tc>
          <w:tcPr>
            <w:tcW w:w="390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7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w:t>
            </w:r>
          </w:p>
        </w:tc>
        <w:tc>
          <w:tcPr>
            <w:tcW w:w="6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5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w:t>
            </w:r>
          </w:p>
        </w:tc>
        <w:tc>
          <w:tcPr>
            <w:tcW w:w="5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r>
      <w:tr>
        <w:trPr>
          <w:trHeight w:val="236"/>
        </w:trPr>
        <w:tc>
          <w:tcPr>
            <w:tcW w:w="3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stock-based compensation</w:t>
            </w:r>
          </w:p>
        </w:tc>
        <w:tc>
          <w:tcPr>
            <w:tcW w:w="740" w:type="dxa"/>
            <w:vAlign w:val="bottom"/>
            <w:tcBorders>
              <w:bottom w:val="single" w:sz="8" w:color="auto"/>
            </w:tcBorders>
            <w:shd w:val="clear" w:color="auto" w:fill="CFF0FC"/>
          </w:tcPr>
          <w:p>
            <w:pPr>
              <w:jc w:val="right"/>
              <w:ind w:right="588"/>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2,455</w:t>
            </w:r>
          </w:p>
        </w:tc>
        <w:tc>
          <w:tcPr>
            <w:tcW w:w="6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5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3,578</w:t>
            </w:r>
          </w:p>
        </w:tc>
        <w:tc>
          <w:tcPr>
            <w:tcW w:w="5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-24765</wp:posOffset>
            </wp:positionV>
            <wp:extent cx="3683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3683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351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3517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-24765</wp:posOffset>
            </wp:positionV>
            <wp:extent cx="3517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351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The Company uses the Black-Scholes option pricing model to determine the fair value of stock options. The valuation model for stock compensation expense requires the Company to make assumptions and judgments about the variables used in the calculation including the expected term (weighted-average period of time that the options granted are expected to be outstanding), volatility of the Company’s common stock and an assumed-risk free interest rate. The following table shows the weighted-average valuation assumptions used in determining the fair value of employee stock options: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58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1"/>
              </w:rPr>
              <w:t>Three months ended September 30,</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98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6"/>
                <w:szCs w:val="16"/>
                <w:color w:val="auto"/>
              </w:rPr>
            </w:pPr>
          </w:p>
        </w:tc>
      </w:tr>
      <w:tr>
        <w:trPr>
          <w:trHeight w:val="196"/>
        </w:trPr>
        <w:tc>
          <w:tcPr>
            <w:tcW w:w="3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6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7"/>
                <w:szCs w:val="17"/>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r>
      <w:tr>
        <w:trPr>
          <w:trHeight w:val="202"/>
        </w:trPr>
        <w:tc>
          <w:tcPr>
            <w:tcW w:w="45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Expected term (in years)</w:t>
            </w:r>
          </w:p>
        </w:tc>
        <w:tc>
          <w:tcPr>
            <w:tcW w:w="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6.08</w:t>
            </w:r>
          </w:p>
        </w:tc>
        <w:tc>
          <w:tcPr>
            <w:tcW w:w="6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6.02</w:t>
            </w:r>
          </w:p>
        </w:tc>
        <w:tc>
          <w:tcPr>
            <w:tcW w:w="20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6.05</w:t>
            </w:r>
          </w:p>
        </w:tc>
        <w:tc>
          <w:tcPr>
            <w:tcW w:w="66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6.00</w:t>
            </w:r>
          </w:p>
        </w:tc>
        <w:tc>
          <w:tcPr>
            <w:tcW w:w="200" w:type="dxa"/>
            <w:vAlign w:val="bottom"/>
            <w:shd w:val="clear" w:color="auto" w:fill="CFF0FC"/>
          </w:tcPr>
          <w:p>
            <w:pPr>
              <w:spacing w:after="0"/>
              <w:rPr>
                <w:sz w:val="17"/>
                <w:szCs w:val="17"/>
                <w:color w:val="auto"/>
              </w:rPr>
            </w:pPr>
          </w:p>
        </w:tc>
      </w:tr>
      <w:tr>
        <w:trPr>
          <w:trHeight w:val="197"/>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Expected volatility</w:t>
            </w:r>
          </w:p>
        </w:tc>
        <w:tc>
          <w:tcPr>
            <w:tcW w:w="1040" w:type="dxa"/>
            <w:vAlign w:val="bottom"/>
            <w:gridSpan w:val="2"/>
          </w:tcPr>
          <w:p>
            <w:pPr>
              <w:jc w:val="right"/>
              <w:ind w:right="560"/>
              <w:spacing w:after="0"/>
              <w:rPr>
                <w:sz w:val="20"/>
                <w:szCs w:val="20"/>
                <w:color w:val="auto"/>
              </w:rPr>
            </w:pPr>
            <w:r>
              <w:rPr>
                <w:rFonts w:ascii="Arial" w:cs="Arial" w:eastAsia="Arial" w:hAnsi="Arial"/>
                <w:sz w:val="14"/>
                <w:szCs w:val="14"/>
                <w:color w:val="auto"/>
                <w:w w:val="89"/>
              </w:rPr>
              <w:t>89.83 %</w:t>
            </w:r>
          </w:p>
        </w:tc>
        <w:tc>
          <w:tcPr>
            <w:tcW w:w="86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85.20 %</w:t>
            </w:r>
          </w:p>
        </w:tc>
        <w:tc>
          <w:tcPr>
            <w:tcW w:w="2620" w:type="dxa"/>
            <w:vAlign w:val="bottom"/>
            <w:gridSpan w:val="2"/>
          </w:tcPr>
          <w:p>
            <w:pPr>
              <w:jc w:val="right"/>
              <w:ind w:right="520"/>
              <w:spacing w:after="0"/>
              <w:rPr>
                <w:sz w:val="20"/>
                <w:szCs w:val="20"/>
                <w:color w:val="auto"/>
              </w:rPr>
            </w:pPr>
            <w:r>
              <w:rPr>
                <w:rFonts w:ascii="Arial" w:cs="Arial" w:eastAsia="Arial" w:hAnsi="Arial"/>
                <w:sz w:val="14"/>
                <w:szCs w:val="14"/>
                <w:color w:val="auto"/>
              </w:rPr>
              <w:t>90.07 %</w:t>
            </w:r>
          </w:p>
        </w:tc>
        <w:tc>
          <w:tcPr>
            <w:tcW w:w="1560" w:type="dxa"/>
            <w:vAlign w:val="bottom"/>
            <w:gridSpan w:val="2"/>
          </w:tcPr>
          <w:p>
            <w:pPr>
              <w:jc w:val="right"/>
              <w:ind w:right="60"/>
              <w:spacing w:after="0"/>
              <w:rPr>
                <w:sz w:val="20"/>
                <w:szCs w:val="20"/>
                <w:color w:val="auto"/>
              </w:rPr>
            </w:pPr>
            <w:r>
              <w:rPr>
                <w:rFonts w:ascii="Arial" w:cs="Arial" w:eastAsia="Arial" w:hAnsi="Arial"/>
                <w:sz w:val="14"/>
                <w:szCs w:val="14"/>
                <w:color w:val="auto"/>
              </w:rPr>
              <w:t>80.54 %</w:t>
            </w:r>
          </w:p>
        </w:tc>
      </w:tr>
      <w:tr>
        <w:trPr>
          <w:trHeight w:val="208"/>
        </w:trPr>
        <w:tc>
          <w:tcPr>
            <w:tcW w:w="45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Risk-free interest rate</w:t>
            </w:r>
          </w:p>
        </w:tc>
        <w:tc>
          <w:tcPr>
            <w:tcW w:w="1040" w:type="dxa"/>
            <w:vAlign w:val="bottom"/>
            <w:gridSpan w:val="2"/>
            <w:shd w:val="clear" w:color="auto" w:fill="CFF0FC"/>
          </w:tcPr>
          <w:p>
            <w:pPr>
              <w:jc w:val="right"/>
              <w:ind w:right="560"/>
              <w:spacing w:after="0"/>
              <w:rPr>
                <w:sz w:val="20"/>
                <w:szCs w:val="20"/>
                <w:color w:val="auto"/>
              </w:rPr>
            </w:pPr>
            <w:r>
              <w:rPr>
                <w:rFonts w:ascii="Arial" w:cs="Arial" w:eastAsia="Arial" w:hAnsi="Arial"/>
                <w:sz w:val="14"/>
                <w:szCs w:val="14"/>
                <w:color w:val="auto"/>
              </w:rPr>
              <w:t>0.88 %</w:t>
            </w:r>
          </w:p>
        </w:tc>
        <w:tc>
          <w:tcPr>
            <w:tcW w:w="8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0.36 %</w:t>
            </w:r>
          </w:p>
        </w:tc>
        <w:tc>
          <w:tcPr>
            <w:tcW w:w="2620" w:type="dxa"/>
            <w:vAlign w:val="bottom"/>
            <w:gridSpan w:val="2"/>
            <w:shd w:val="clear" w:color="auto" w:fill="CFF0FC"/>
          </w:tcPr>
          <w:p>
            <w:pPr>
              <w:jc w:val="right"/>
              <w:ind w:right="520"/>
              <w:spacing w:after="0"/>
              <w:rPr>
                <w:sz w:val="20"/>
                <w:szCs w:val="20"/>
                <w:color w:val="auto"/>
              </w:rPr>
            </w:pPr>
            <w:r>
              <w:rPr>
                <w:rFonts w:ascii="Arial" w:cs="Arial" w:eastAsia="Arial" w:hAnsi="Arial"/>
                <w:sz w:val="14"/>
                <w:szCs w:val="14"/>
                <w:color w:val="auto"/>
              </w:rPr>
              <w:t>0.95 %</w:t>
            </w: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0.75 %</w:t>
            </w:r>
          </w:p>
        </w:tc>
      </w:tr>
      <w:tr>
        <w:trPr>
          <w:trHeight w:val="191"/>
        </w:trPr>
        <w:tc>
          <w:tcPr>
            <w:tcW w:w="4580" w:type="dxa"/>
            <w:vAlign w:val="bottom"/>
            <w:gridSpan w:val="3"/>
          </w:tcPr>
          <w:p>
            <w:pPr>
              <w:ind w:left="20"/>
              <w:spacing w:after="0"/>
              <w:rPr>
                <w:sz w:val="20"/>
                <w:szCs w:val="20"/>
                <w:color w:val="auto"/>
              </w:rPr>
            </w:pPr>
            <w:r>
              <w:rPr>
                <w:rFonts w:ascii="Arial" w:cs="Arial" w:eastAsia="Arial" w:hAnsi="Arial"/>
                <w:sz w:val="14"/>
                <w:szCs w:val="14"/>
                <w:color w:val="auto"/>
              </w:rPr>
              <w:t>Dividend yield</w:t>
            </w:r>
          </w:p>
        </w:tc>
        <w:tc>
          <w:tcPr>
            <w:tcW w:w="1900" w:type="dxa"/>
            <w:vAlign w:val="bottom"/>
            <w:gridSpan w:val="3"/>
          </w:tcPr>
          <w:p>
            <w:pPr>
              <w:jc w:val="right"/>
              <w:ind w:right="1548"/>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20" w:type="dxa"/>
            <w:vAlign w:val="bottom"/>
            <w:gridSpan w:val="2"/>
          </w:tcPr>
          <w:p>
            <w:pPr>
              <w:jc w:val="right"/>
              <w:ind w:right="74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r>
      <w:tr>
        <w:trPr>
          <w:trHeight w:val="473"/>
        </w:trPr>
        <w:tc>
          <w:tcPr>
            <w:tcW w:w="320" w:type="dxa"/>
            <w:vAlign w:val="bottom"/>
          </w:tcPr>
          <w:p>
            <w:pPr>
              <w:spacing w:after="0"/>
              <w:rPr>
                <w:sz w:val="20"/>
                <w:szCs w:val="20"/>
                <w:color w:val="auto"/>
              </w:rPr>
            </w:pPr>
            <w:r>
              <w:rPr>
                <w:rFonts w:ascii="Arial" w:cs="Arial" w:eastAsia="Arial" w:hAnsi="Arial"/>
                <w:sz w:val="14"/>
                <w:szCs w:val="14"/>
                <w:b w:val="1"/>
                <w:bCs w:val="1"/>
                <w:color w:val="auto"/>
              </w:rPr>
              <w:t>13.</w:t>
            </w:r>
          </w:p>
        </w:tc>
        <w:tc>
          <w:tcPr>
            <w:tcW w:w="4260" w:type="dxa"/>
            <w:vAlign w:val="bottom"/>
            <w:gridSpan w:val="2"/>
          </w:tcPr>
          <w:p>
            <w:pPr>
              <w:ind w:left="120"/>
              <w:spacing w:after="0"/>
              <w:rPr>
                <w:sz w:val="20"/>
                <w:szCs w:val="20"/>
                <w:color w:val="auto"/>
              </w:rPr>
            </w:pPr>
            <w:r>
              <w:rPr>
                <w:rFonts w:ascii="Arial" w:cs="Arial" w:eastAsia="Arial" w:hAnsi="Arial"/>
                <w:sz w:val="14"/>
                <w:szCs w:val="14"/>
                <w:b w:val="1"/>
                <w:bCs w:val="1"/>
                <w:color w:val="auto"/>
              </w:rPr>
              <w:t>Employee benefit plan</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83"/>
        </w:trPr>
        <w:tc>
          <w:tcPr>
            <w:tcW w:w="4580" w:type="dxa"/>
            <w:vAlign w:val="bottom"/>
            <w:gridSpan w:val="3"/>
          </w:tcPr>
          <w:p>
            <w:pPr>
              <w:spacing w:after="0"/>
              <w:rPr>
                <w:sz w:val="20"/>
                <w:szCs w:val="20"/>
                <w:color w:val="auto"/>
              </w:rPr>
            </w:pPr>
            <w:r>
              <w:rPr>
                <w:rFonts w:ascii="Arial" w:cs="Arial" w:eastAsia="Arial" w:hAnsi="Arial"/>
                <w:sz w:val="14"/>
                <w:szCs w:val="14"/>
                <w:i w:val="1"/>
                <w:iCs w:val="1"/>
                <w:color w:val="auto"/>
              </w:rPr>
              <w:t>401(k) retirement savings plan</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0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 currently maintains a 401(k) retirement savings plan the covers substantially all of its employees (“401(k) Plan”). The 401(k) Plan permits voluntary contributions by employees, a portion of which are matched by the Company. The Company’s contributions to the 401(k) Plan were approximately $205,000 and $572,000 for the three and nine months ended September 30, 2021, respectively, and $159,000 and $432,000 for the three and nine months ended September 30, 2020,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8" w:name="page19"/>
    <w:bookmarkEnd w:id="18"/>
    <w:p>
      <w:pPr>
        <w:ind w:left="440" w:hanging="432"/>
        <w:spacing w:after="0"/>
        <w:tabs>
          <w:tab w:leader="none" w:pos="44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Company's effective tax rate from continuing operations was 31.6% and 23.7% for the three and nine months ended September 30, 2021, respectively, and 5.2% and (114.9)% for the three and nine months ended September 30, 2020, respectively. The Company's mix of earnings between various taxing jurisdictions caused the quarterly and year-to-date effective tax rate to be different from the U.S. federal statutory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Lease agreements</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Company leases office facilities under various non-cancelable leases that expire at various dates. Under certain leases, the Company is responsible for expenses related to operations, maintenance, repairs, and management fees that are accounted for as operating leases.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40" w:type="dxa"/>
            <w:vAlign w:val="bottom"/>
          </w:tcPr>
          <w:p>
            <w:pPr>
              <w:ind w:left="520"/>
              <w:spacing w:after="0"/>
              <w:rPr>
                <w:sz w:val="20"/>
                <w:szCs w:val="20"/>
                <w:color w:val="auto"/>
              </w:rPr>
            </w:pPr>
            <w:r>
              <w:rPr>
                <w:rFonts w:ascii="Arial" w:cs="Arial" w:eastAsia="Arial" w:hAnsi="Arial"/>
                <w:sz w:val="14"/>
                <w:szCs w:val="14"/>
                <w:color w:val="auto"/>
              </w:rPr>
              <w:t>The following table shows the future minimum lease payments for the operating leases as of September 30, 2021 (in thousands):</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4"/>
        </w:trPr>
        <w:tc>
          <w:tcPr>
            <w:tcW w:w="8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jc w:val="right"/>
              <w:ind w:right="568"/>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24"/>
                <w:szCs w:val="24"/>
                <w:color w:val="auto"/>
              </w:rPr>
            </w:pPr>
          </w:p>
        </w:tc>
      </w:tr>
      <w:tr>
        <w:trPr>
          <w:trHeight w:val="208"/>
        </w:trPr>
        <w:tc>
          <w:tcPr>
            <w:tcW w:w="8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8"/>
                <w:szCs w:val="18"/>
                <w:color w:val="auto"/>
              </w:rPr>
            </w:pPr>
          </w:p>
        </w:tc>
      </w:tr>
      <w:tr>
        <w:trPr>
          <w:trHeight w:val="202"/>
        </w:trPr>
        <w:tc>
          <w:tcPr>
            <w:tcW w:w="8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Remainder of 2021</w:t>
            </w:r>
          </w:p>
        </w:tc>
        <w:tc>
          <w:tcPr>
            <w:tcW w:w="5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1,760</w:t>
            </w:r>
          </w:p>
        </w:tc>
        <w:tc>
          <w:tcPr>
            <w:tcW w:w="100" w:type="dxa"/>
            <w:vAlign w:val="bottom"/>
            <w:shd w:val="clear" w:color="auto" w:fill="CFF0FC"/>
          </w:tcPr>
          <w:p>
            <w:pPr>
              <w:spacing w:after="0"/>
              <w:rPr>
                <w:sz w:val="17"/>
                <w:szCs w:val="17"/>
                <w:color w:val="auto"/>
              </w:rPr>
            </w:pPr>
          </w:p>
        </w:tc>
      </w:tr>
      <w:tr>
        <w:trPr>
          <w:trHeight w:val="197"/>
        </w:trPr>
        <w:tc>
          <w:tcPr>
            <w:tcW w:w="8640" w:type="dxa"/>
            <w:vAlign w:val="bottom"/>
          </w:tcPr>
          <w:p>
            <w:pPr>
              <w:ind w:left="20"/>
              <w:spacing w:after="0"/>
              <w:rPr>
                <w:sz w:val="20"/>
                <w:szCs w:val="20"/>
                <w:color w:val="auto"/>
              </w:rPr>
            </w:pPr>
            <w:r>
              <w:rPr>
                <w:rFonts w:ascii="Arial" w:cs="Arial" w:eastAsia="Arial" w:hAnsi="Arial"/>
                <w:sz w:val="14"/>
                <w:szCs w:val="14"/>
                <w:color w:val="auto"/>
              </w:rPr>
              <w:t>2022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2,104</w:t>
            </w:r>
          </w:p>
        </w:tc>
        <w:tc>
          <w:tcPr>
            <w:tcW w:w="100" w:type="dxa"/>
            <w:vAlign w:val="bottom"/>
          </w:tcPr>
          <w:p>
            <w:pPr>
              <w:spacing w:after="0"/>
              <w:rPr>
                <w:sz w:val="17"/>
                <w:szCs w:val="17"/>
                <w:color w:val="auto"/>
              </w:rPr>
            </w:pPr>
          </w:p>
        </w:tc>
      </w:tr>
      <w:tr>
        <w:trPr>
          <w:trHeight w:val="208"/>
        </w:trPr>
        <w:tc>
          <w:tcPr>
            <w:tcW w:w="8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2,453</w:t>
            </w:r>
          </w:p>
        </w:tc>
        <w:tc>
          <w:tcPr>
            <w:tcW w:w="100" w:type="dxa"/>
            <w:vAlign w:val="bottom"/>
            <w:shd w:val="clear" w:color="auto" w:fill="CFF0FC"/>
          </w:tcPr>
          <w:p>
            <w:pPr>
              <w:spacing w:after="0"/>
              <w:rPr>
                <w:sz w:val="18"/>
                <w:szCs w:val="18"/>
                <w:color w:val="auto"/>
              </w:rPr>
            </w:pPr>
          </w:p>
        </w:tc>
      </w:tr>
      <w:tr>
        <w:trPr>
          <w:trHeight w:val="197"/>
        </w:trPr>
        <w:tc>
          <w:tcPr>
            <w:tcW w:w="8640" w:type="dxa"/>
            <w:vAlign w:val="bottom"/>
          </w:tcPr>
          <w:p>
            <w:pPr>
              <w:ind w:left="20"/>
              <w:spacing w:after="0"/>
              <w:rPr>
                <w:sz w:val="20"/>
                <w:szCs w:val="20"/>
                <w:color w:val="auto"/>
              </w:rPr>
            </w:pPr>
            <w:r>
              <w:rPr>
                <w:rFonts w:ascii="Arial" w:cs="Arial" w:eastAsia="Arial" w:hAnsi="Arial"/>
                <w:sz w:val="14"/>
                <w:szCs w:val="14"/>
                <w:color w:val="auto"/>
              </w:rPr>
              <w:t>2024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17"/>
                <w:szCs w:val="17"/>
                <w:color w:val="auto"/>
              </w:rPr>
            </w:pPr>
          </w:p>
        </w:tc>
      </w:tr>
      <w:tr>
        <w:trPr>
          <w:trHeight w:val="208"/>
        </w:trPr>
        <w:tc>
          <w:tcPr>
            <w:tcW w:w="8640" w:type="dxa"/>
            <w:vAlign w:val="bottom"/>
            <w:shd w:val="clear" w:color="auto" w:fill="CFF0FC"/>
          </w:tcPr>
          <w:p>
            <w:pPr>
              <w:ind w:left="20"/>
              <w:spacing w:after="0"/>
              <w:rPr>
                <w:sz w:val="20"/>
                <w:szCs w:val="20"/>
                <w:color w:val="auto"/>
              </w:rPr>
            </w:pPr>
            <w:r>
              <w:rPr>
                <w:rFonts w:ascii="Arial" w:cs="Arial" w:eastAsia="Arial" w:hAnsi="Arial"/>
                <w:sz w:val="14"/>
                <w:szCs w:val="14"/>
                <w:color w:val="auto"/>
              </w:rPr>
              <w:t>2025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2,145</w:t>
            </w:r>
          </w:p>
        </w:tc>
        <w:tc>
          <w:tcPr>
            <w:tcW w:w="100" w:type="dxa"/>
            <w:vAlign w:val="bottom"/>
            <w:shd w:val="clear" w:color="auto" w:fill="CFF0FC"/>
          </w:tcPr>
          <w:p>
            <w:pPr>
              <w:spacing w:after="0"/>
              <w:rPr>
                <w:sz w:val="18"/>
                <w:szCs w:val="18"/>
                <w:color w:val="auto"/>
              </w:rPr>
            </w:pPr>
          </w:p>
        </w:tc>
      </w:tr>
      <w:tr>
        <w:trPr>
          <w:trHeight w:val="203"/>
        </w:trPr>
        <w:tc>
          <w:tcPr>
            <w:tcW w:w="8640" w:type="dxa"/>
            <w:vAlign w:val="bottom"/>
          </w:tcPr>
          <w:p>
            <w:pPr>
              <w:ind w:left="60"/>
              <w:spacing w:after="0"/>
              <w:rPr>
                <w:sz w:val="20"/>
                <w:szCs w:val="20"/>
                <w:color w:val="auto"/>
              </w:rPr>
            </w:pPr>
            <w:r>
              <w:rPr>
                <w:rFonts w:ascii="Arial" w:cs="Arial" w:eastAsia="Arial" w:hAnsi="Arial"/>
                <w:sz w:val="14"/>
                <w:szCs w:val="14"/>
                <w:color w:val="auto"/>
              </w:rPr>
              <w:t>Thereafter</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6,734</w:t>
            </w:r>
          </w:p>
        </w:tc>
        <w:tc>
          <w:tcPr>
            <w:tcW w:w="100" w:type="dxa"/>
            <w:vAlign w:val="bottom"/>
          </w:tcPr>
          <w:p>
            <w:pPr>
              <w:spacing w:after="0"/>
              <w:rPr>
                <w:sz w:val="17"/>
                <w:szCs w:val="17"/>
                <w:color w:val="auto"/>
              </w:rPr>
            </w:pPr>
          </w:p>
        </w:tc>
      </w:tr>
      <w:tr>
        <w:trPr>
          <w:trHeight w:val="236"/>
        </w:trPr>
        <w:tc>
          <w:tcPr>
            <w:tcW w:w="8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future minimum lease payments</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17,404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Rent expense totaled $442,000 and $1.3 million for the three and nine months ended September 30, 2021, respectively, and $335,000 and $909,000 for the three and nine months ended September 30, 2020,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Paycheck Protection Program Loan</w:t>
      </w:r>
    </w:p>
    <w:p>
      <w:pPr>
        <w:spacing w:after="0" w:line="12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On March 27, 2020, the Coronavirus Aid, Relief, and Economic Security Act (the “CARES Act”) was enacted to, amongst other provisions, provide emergency assistance for individuals, families and businesses affected by the COVID-19 pandemic. The CARES Act includes a Paycheck Protection Program (“PPP”) administered through the Small Business Association (“SBA”). Under the PPP, beginning April 3, 2020, small businesses and other entities and individuals could apply for loans from existing SBA lenders and other approved regulated lenders that enroll in the program, subject to numerous limitations and eligibility criteria.</w:t>
      </w:r>
    </w:p>
    <w:p>
      <w:pPr>
        <w:spacing w:after="0" w:line="148" w:lineRule="exact"/>
        <w:rPr>
          <w:sz w:val="20"/>
          <w:szCs w:val="20"/>
          <w:color w:val="auto"/>
        </w:rPr>
      </w:pPr>
    </w:p>
    <w:p>
      <w:pPr>
        <w:jc w:val="both"/>
        <w:ind w:right="20" w:firstLine="509"/>
        <w:spacing w:after="0" w:line="334" w:lineRule="auto"/>
        <w:rPr>
          <w:sz w:val="20"/>
          <w:szCs w:val="20"/>
          <w:color w:val="auto"/>
        </w:rPr>
      </w:pPr>
      <w:r>
        <w:rPr>
          <w:rFonts w:ascii="Arial" w:cs="Arial" w:eastAsia="Arial" w:hAnsi="Arial"/>
          <w:sz w:val="13"/>
          <w:szCs w:val="13"/>
          <w:color w:val="auto"/>
        </w:rPr>
        <w:t>On May 7, 2020, the Company received gross proceeds in the amount of approximately $4.1 million under the PPP. The PPP, established as part of the CARES Act, provides for loans to qualifying businesses for amounts up to 2.5 times the average monthly payroll expenses of the qualifying business. On May 4, 2021, the Company fully repaid the PPP loan.</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Legal proceedings</w:t>
      </w:r>
    </w:p>
    <w:p>
      <w:pPr>
        <w:spacing w:after="0" w:line="12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 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188"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Company is not currently involved in legal actions, nor is management aware of any potential claims or legal actions, for which the ultimate disposition could have a material effect on the Company’s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in Cytek Japan</w:t>
      </w:r>
    </w:p>
    <w:p>
      <w:pPr>
        <w:spacing w:after="0" w:line="23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income for the nine months ended September 30, 2021.</w:t>
      </w:r>
    </w:p>
    <w:p>
      <w:pPr>
        <w:spacing w:after="0" w:line="1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under the VOE model as Cytek Japan does not meet the definition of a VIE and as TOMY does not have substantive voting, participating or liquidation rights.</w:t>
      </w:r>
    </w:p>
    <w:p>
      <w:pPr>
        <w:spacing w:after="0" w:line="18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The Company recognized net assets of $1.1 million, consisting primarily of $1.0 million cash. The Company recorded noncontrolling interest of $315,000 on the unaudited interim consolidated financial statements. The net income attributable to noncontrolling interest was de minimis.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9" w:name="page20"/>
    <w:bookmarkEnd w:id="19"/>
    <w:p>
      <w:pPr>
        <w:ind w:left="440" w:hanging="432"/>
        <w:spacing w:after="0"/>
        <w:tabs>
          <w:tab w:leader="none" w:pos="440" w:val="left"/>
        </w:tabs>
        <w:numPr>
          <w:ilvl w:val="0"/>
          <w:numId w:val="18"/>
        </w:numPr>
        <w:rPr>
          <w:rFonts w:ascii="Arial" w:cs="Arial" w:eastAsia="Arial" w:hAnsi="Arial"/>
          <w:sz w:val="14"/>
          <w:szCs w:val="14"/>
          <w:b w:val="1"/>
          <w:bCs w:val="1"/>
          <w:color w:val="auto"/>
        </w:rPr>
      </w:pPr>
      <w:r>
        <w:rPr>
          <w:rFonts w:ascii="Arial" w:cs="Arial" w:eastAsia="Arial" w:hAnsi="Arial"/>
          <w:sz w:val="14"/>
          <w:szCs w:val="14"/>
          <w:b w:val="1"/>
          <w:bCs w:val="1"/>
          <w:color w:val="auto"/>
        </w:rPr>
        <w:t>Related party transactions</w:t>
      </w:r>
    </w:p>
    <w:p>
      <w:pPr>
        <w:spacing w:after="0" w:line="235"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In February 2017, the Company entered into an agreement with a third-party manufacturing company whereby an executive officer of the Company was also a member of the third-party manufacturer’s board of directors. The executive officer of the Company resigned from the third-party manufacturer’s board of directors in February 2020. During the nine months ended September 30, 2020, the Company paid the third-party manufacturing company $229,000 for the purchase of inventory. As of December 31, 2020, the Company’s open balance was $41,000 and is reflected in trade accounts payable and accrued expenses. As of September 30, 2021, there are no open balances to the third-party manufacturing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 w:hanging="432"/>
        <w:spacing w:after="0"/>
        <w:tabs>
          <w:tab w:leader="none" w:pos="44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Product warranty</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activity in the product warranty accrual included in accrued expenses on the consolidated balance sheets (in thousands):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0" w:type="dxa"/>
            <w:vAlign w:val="bottom"/>
          </w:tcPr>
          <w:p>
            <w:pPr>
              <w:spacing w:after="0"/>
              <w:rPr>
                <w:sz w:val="15"/>
                <w:szCs w:val="15"/>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340" w:type="dxa"/>
            <w:vAlign w:val="bottom"/>
          </w:tcPr>
          <w:p>
            <w:pPr>
              <w:jc w:val="right"/>
              <w:ind w:right="98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5800" w:type="dxa"/>
            <w:vAlign w:val="bottom"/>
          </w:tcPr>
          <w:p>
            <w:pPr>
              <w:spacing w:after="0"/>
              <w:rPr>
                <w:sz w:val="16"/>
                <w:szCs w:val="16"/>
                <w:color w:val="auto"/>
              </w:rPr>
            </w:pPr>
          </w:p>
        </w:tc>
        <w:tc>
          <w:tcPr>
            <w:tcW w:w="17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jc w:val="right"/>
              <w:ind w:right="1268"/>
              <w:spacing w:after="0"/>
              <w:rPr>
                <w:sz w:val="20"/>
                <w:szCs w:val="20"/>
                <w:color w:val="auto"/>
              </w:rPr>
            </w:pPr>
            <w:r>
              <w:rPr>
                <w:rFonts w:ascii="Arial" w:cs="Arial" w:eastAsia="Arial" w:hAnsi="Arial"/>
                <w:sz w:val="14"/>
                <w:szCs w:val="14"/>
                <w:b w:val="1"/>
                <w:bCs w:val="1"/>
                <w:color w:val="auto"/>
              </w:rPr>
              <w:t>2020</w:t>
            </w:r>
          </w:p>
        </w:tc>
      </w:tr>
      <w:tr>
        <w:trPr>
          <w:trHeight w:val="196"/>
        </w:trPr>
        <w:tc>
          <w:tcPr>
            <w:tcW w:w="5800" w:type="dxa"/>
            <w:vAlign w:val="bottom"/>
          </w:tcPr>
          <w:p>
            <w:pPr>
              <w:spacing w:after="0"/>
              <w:rPr>
                <w:sz w:val="17"/>
                <w:szCs w:val="17"/>
                <w:color w:val="auto"/>
              </w:rPr>
            </w:pPr>
          </w:p>
        </w:tc>
        <w:tc>
          <w:tcPr>
            <w:tcW w:w="1740" w:type="dxa"/>
            <w:vAlign w:val="bottom"/>
          </w:tcPr>
          <w:p>
            <w:pPr>
              <w:jc w:val="center"/>
              <w:ind w:left="468"/>
              <w:spacing w:after="0"/>
              <w:rPr>
                <w:sz w:val="20"/>
                <w:szCs w:val="20"/>
                <w:color w:val="auto"/>
              </w:rPr>
            </w:pPr>
            <w:r>
              <w:rPr>
                <w:rFonts w:ascii="Arial" w:cs="Arial" w:eastAsia="Arial" w:hAnsi="Arial"/>
                <w:sz w:val="14"/>
                <w:szCs w:val="14"/>
                <w:b w:val="1"/>
                <w:bCs w:val="1"/>
                <w:color w:val="auto"/>
                <w:w w:val="94"/>
              </w:rPr>
              <w:t>(unaudited)</w:t>
            </w: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8"/>
        </w:trPr>
        <w:tc>
          <w:tcPr>
            <w:tcW w:w="5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beginning of the period</w:t>
            </w:r>
          </w:p>
        </w:tc>
        <w:tc>
          <w:tcPr>
            <w:tcW w:w="1740" w:type="dxa"/>
            <w:vAlign w:val="bottom"/>
            <w:shd w:val="clear" w:color="auto" w:fill="CFF0FC"/>
          </w:tcPr>
          <w:p>
            <w:pPr>
              <w:jc w:val="right"/>
              <w:ind w:right="158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969</w:t>
            </w:r>
          </w:p>
        </w:tc>
        <w:tc>
          <w:tcPr>
            <w:tcW w:w="740" w:type="dxa"/>
            <w:vAlign w:val="bottom"/>
            <w:gridSpan w:val="2"/>
            <w:shd w:val="clear" w:color="auto" w:fill="CFF0FC"/>
          </w:tcPr>
          <w:p>
            <w:pPr>
              <w:jc w:val="right"/>
              <w:ind w:right="440"/>
              <w:spacing w:after="0"/>
              <w:rPr>
                <w:sz w:val="20"/>
                <w:szCs w:val="20"/>
                <w:color w:val="auto"/>
              </w:rPr>
            </w:pPr>
            <w:r>
              <w:rPr>
                <w:rFonts w:ascii="Arial" w:cs="Arial" w:eastAsia="Arial" w:hAnsi="Arial"/>
                <w:sz w:val="14"/>
                <w:szCs w:val="14"/>
                <w:color w:val="auto"/>
              </w:rPr>
              <w:t>$</w:t>
            </w:r>
          </w:p>
        </w:tc>
        <w:tc>
          <w:tcPr>
            <w:tcW w:w="23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734</w:t>
            </w:r>
          </w:p>
        </w:tc>
      </w:tr>
      <w:tr>
        <w:trPr>
          <w:trHeight w:val="197"/>
        </w:trPr>
        <w:tc>
          <w:tcPr>
            <w:tcW w:w="5800" w:type="dxa"/>
            <w:vAlign w:val="bottom"/>
          </w:tcPr>
          <w:p>
            <w:pPr>
              <w:ind w:left="120"/>
              <w:spacing w:after="0"/>
              <w:rPr>
                <w:sz w:val="20"/>
                <w:szCs w:val="20"/>
                <w:color w:val="auto"/>
              </w:rPr>
            </w:pPr>
            <w:r>
              <w:rPr>
                <w:rFonts w:ascii="Arial" w:cs="Arial" w:eastAsia="Arial" w:hAnsi="Arial"/>
                <w:sz w:val="14"/>
                <w:szCs w:val="14"/>
                <w:color w:val="auto"/>
              </w:rPr>
              <w:t>Accrual for current year warranties</w:t>
            </w:r>
          </w:p>
        </w:tc>
        <w:tc>
          <w:tcPr>
            <w:tcW w:w="174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2,841</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340" w:type="dxa"/>
            <w:vAlign w:val="bottom"/>
          </w:tcPr>
          <w:p>
            <w:pPr>
              <w:jc w:val="right"/>
              <w:ind w:right="28"/>
              <w:spacing w:after="0"/>
              <w:rPr>
                <w:sz w:val="20"/>
                <w:szCs w:val="20"/>
                <w:color w:val="auto"/>
              </w:rPr>
            </w:pPr>
            <w:r>
              <w:rPr>
                <w:rFonts w:ascii="Arial" w:cs="Arial" w:eastAsia="Arial" w:hAnsi="Arial"/>
                <w:sz w:val="14"/>
                <w:szCs w:val="14"/>
                <w:color w:val="auto"/>
              </w:rPr>
              <w:t>1,506</w:t>
            </w:r>
          </w:p>
        </w:tc>
      </w:tr>
      <w:tr>
        <w:trPr>
          <w:trHeight w:val="203"/>
        </w:trPr>
        <w:tc>
          <w:tcPr>
            <w:tcW w:w="5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Warranty cost incurred</w:t>
            </w:r>
          </w:p>
        </w:tc>
        <w:tc>
          <w:tcPr>
            <w:tcW w:w="17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(2,164 )</w:t>
            </w:r>
          </w:p>
        </w:tc>
        <w:tc>
          <w:tcPr>
            <w:tcW w:w="20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2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(1,271 )</w:t>
            </w:r>
          </w:p>
        </w:tc>
      </w:tr>
      <w:tr>
        <w:trPr>
          <w:trHeight w:val="202"/>
        </w:trPr>
        <w:tc>
          <w:tcPr>
            <w:tcW w:w="580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740" w:type="dxa"/>
            <w:vAlign w:val="bottom"/>
          </w:tcPr>
          <w:p>
            <w:pPr>
              <w:jc w:val="right"/>
              <w:ind w:right="158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1,646</w:t>
            </w:r>
          </w:p>
        </w:tc>
        <w:tc>
          <w:tcPr>
            <w:tcW w:w="7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340" w:type="dxa"/>
            <w:vAlign w:val="bottom"/>
          </w:tcPr>
          <w:p>
            <w:pPr>
              <w:jc w:val="right"/>
              <w:ind w:right="28"/>
              <w:spacing w:after="0"/>
              <w:rPr>
                <w:sz w:val="20"/>
                <w:szCs w:val="20"/>
                <w:color w:val="auto"/>
              </w:rPr>
            </w:pPr>
            <w:r>
              <w:rPr>
                <w:rFonts w:ascii="Arial" w:cs="Arial" w:eastAsia="Arial" w:hAnsi="Arial"/>
                <w:sz w:val="14"/>
                <w:szCs w:val="14"/>
                <w:color w:val="auto"/>
              </w:rPr>
              <w:t>969</w:t>
            </w:r>
          </w:p>
        </w:tc>
      </w:tr>
      <w:tr>
        <w:trPr>
          <w:trHeight w:val="20"/>
        </w:trPr>
        <w:tc>
          <w:tcPr>
            <w:tcW w:w="58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-159385</wp:posOffset>
            </wp:positionV>
            <wp:extent cx="12890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0" w:hanging="432"/>
        <w:spacing w:after="0"/>
        <w:tabs>
          <w:tab w:leader="none" w:pos="44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Net income attributable to common stockholders per share</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 sets forth the computation of the Company’s basic and diluted net income attributable to common stockholders per share for the three and  nine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September 30, 2021 and 2020 (in thousands except share and per share data):</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95"/>
        </w:trPr>
        <w:tc>
          <w:tcPr>
            <w:tcW w:w="5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196"/>
        </w:trPr>
        <w:tc>
          <w:tcPr>
            <w:tcW w:w="5820" w:type="dxa"/>
            <w:vAlign w:val="bottom"/>
          </w:tcPr>
          <w:p>
            <w:pPr>
              <w:spacing w:after="0"/>
              <w:rPr>
                <w:sz w:val="20"/>
                <w:szCs w:val="20"/>
                <w:color w:val="auto"/>
              </w:rPr>
            </w:pPr>
            <w:r>
              <w:rPr>
                <w:rFonts w:ascii="Arial" w:cs="Arial" w:eastAsia="Arial" w:hAnsi="Arial"/>
                <w:sz w:val="14"/>
                <w:szCs w:val="14"/>
                <w:i w:val="1"/>
                <w:iCs w:val="1"/>
                <w:color w:val="auto"/>
              </w:rPr>
              <w:t>Numerator</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9"/>
        </w:trPr>
        <w:tc>
          <w:tcPr>
            <w:tcW w:w="58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1,420</w:t>
            </w:r>
          </w:p>
        </w:tc>
        <w:tc>
          <w:tcPr>
            <w:tcW w:w="36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6,540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4,192</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13,812</w:t>
            </w:r>
          </w:p>
        </w:tc>
      </w:tr>
      <w:tr>
        <w:trPr>
          <w:trHeight w:val="196"/>
        </w:trPr>
        <w:tc>
          <w:tcPr>
            <w:tcW w:w="5820" w:type="dxa"/>
            <w:vAlign w:val="bottom"/>
          </w:tcPr>
          <w:p>
            <w:pPr>
              <w:ind w:left="100"/>
              <w:spacing w:after="0"/>
              <w:rPr>
                <w:sz w:val="20"/>
                <w:szCs w:val="20"/>
                <w:color w:val="auto"/>
              </w:rPr>
            </w:pPr>
            <w:r>
              <w:rPr>
                <w:rFonts w:ascii="Arial" w:cs="Arial" w:eastAsia="Arial" w:hAnsi="Arial"/>
                <w:sz w:val="14"/>
                <w:szCs w:val="14"/>
                <w:color w:val="auto"/>
              </w:rPr>
              <w:t>Less: net income allocated to participating securities</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(1,074 )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(5,094 )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(4,192 )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(11,171 )</w:t>
            </w:r>
          </w:p>
        </w:tc>
      </w:tr>
      <w:tr>
        <w:trPr>
          <w:trHeight w:val="209"/>
        </w:trPr>
        <w:tc>
          <w:tcPr>
            <w:tcW w:w="58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r>
      <w:tr>
        <w:trPr>
          <w:trHeight w:val="196"/>
        </w:trPr>
        <w:tc>
          <w:tcPr>
            <w:tcW w:w="5820" w:type="dxa"/>
            <w:vAlign w:val="bottom"/>
          </w:tcPr>
          <w:p>
            <w:pPr>
              <w:ind w:left="180"/>
              <w:spacing w:after="0"/>
              <w:rPr>
                <w:sz w:val="20"/>
                <w:szCs w:val="20"/>
                <w:color w:val="auto"/>
              </w:rPr>
            </w:pPr>
            <w:r>
              <w:rPr>
                <w:rFonts w:ascii="Arial" w:cs="Arial" w:eastAsia="Arial" w:hAnsi="Arial"/>
                <w:sz w:val="14"/>
                <w:szCs w:val="14"/>
                <w:color w:val="auto"/>
              </w:rPr>
              <w:t>Net income attributable to common stockholders, basic and diluted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3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1,446</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2,641</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r>
      <w:tr>
        <w:trPr>
          <w:trHeight w:val="197"/>
        </w:trPr>
        <w:tc>
          <w:tcPr>
            <w:tcW w:w="5820" w:type="dxa"/>
            <w:vAlign w:val="bottom"/>
          </w:tcPr>
          <w:p>
            <w:pPr>
              <w:spacing w:after="0"/>
              <w:rPr>
                <w:sz w:val="20"/>
                <w:szCs w:val="20"/>
                <w:color w:val="auto"/>
              </w:rPr>
            </w:pPr>
            <w:r>
              <w:rPr>
                <w:rFonts w:ascii="Arial" w:cs="Arial" w:eastAsia="Arial" w:hAnsi="Arial"/>
                <w:sz w:val="14"/>
                <w:szCs w:val="14"/>
                <w:i w:val="1"/>
                <w:iCs w:val="1"/>
                <w:color w:val="auto"/>
              </w:rPr>
              <w:t>Denominator</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8"/>
        </w:trPr>
        <w:tc>
          <w:tcPr>
            <w:tcW w:w="58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Weighted-average common shares outstanding, attributable to common stockholders, basic</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108,322,433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28,700,005</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57,534,080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28,551,126</w:t>
            </w:r>
          </w:p>
        </w:tc>
      </w:tr>
      <w:tr>
        <w:trPr>
          <w:trHeight w:val="203"/>
        </w:trPr>
        <w:tc>
          <w:tcPr>
            <w:tcW w:w="5820" w:type="dxa"/>
            <w:vAlign w:val="bottom"/>
          </w:tcPr>
          <w:p>
            <w:pPr>
              <w:ind w:left="100"/>
              <w:spacing w:after="0"/>
              <w:rPr>
                <w:sz w:val="20"/>
                <w:szCs w:val="20"/>
                <w:color w:val="auto"/>
              </w:rPr>
            </w:pPr>
            <w:r>
              <w:rPr>
                <w:rFonts w:ascii="Arial" w:cs="Arial" w:eastAsia="Arial" w:hAnsi="Arial"/>
                <w:sz w:val="14"/>
                <w:szCs w:val="14"/>
                <w:color w:val="auto"/>
              </w:rPr>
              <w:t>Effect of stock options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5,314,945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2,358,752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4,561,195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2,212,461</w:t>
            </w:r>
          </w:p>
        </w:tc>
      </w:tr>
      <w:tr>
        <w:trPr>
          <w:trHeight w:val="196"/>
        </w:trPr>
        <w:tc>
          <w:tcPr>
            <w:tcW w:w="58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w w:val="98"/>
              </w:rPr>
              <w:t>Weighted-average common shares outstanding, attributable to common stockholders, diluted</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113,637,377</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31,058,757</w:t>
            </w: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62,095,275</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30,763,586</w:t>
            </w:r>
          </w:p>
        </w:tc>
      </w:tr>
      <w:tr>
        <w:trPr>
          <w:trHeight w:val="196"/>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Net income per share attributable to common stockholders, basic</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0.003198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0.050354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0.092443</w:t>
            </w:r>
          </w:p>
        </w:tc>
      </w:tr>
      <w:tr>
        <w:trPr>
          <w:trHeight w:val="20"/>
        </w:trPr>
        <w:tc>
          <w:tcPr>
            <w:tcW w:w="5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5820" w:type="dxa"/>
            <w:vAlign w:val="bottom"/>
          </w:tcPr>
          <w:p>
            <w:pPr>
              <w:spacing w:after="0"/>
              <w:rPr>
                <w:sz w:val="20"/>
                <w:szCs w:val="20"/>
                <w:color w:val="auto"/>
              </w:rPr>
            </w:pPr>
            <w:r>
              <w:rPr>
                <w:rFonts w:ascii="Arial" w:cs="Arial" w:eastAsia="Arial" w:hAnsi="Arial"/>
                <w:sz w:val="14"/>
                <w:szCs w:val="14"/>
                <w:color w:val="auto"/>
              </w:rPr>
              <w:t>Net income per share attributable to common stockholders, diluted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0.003048</w:t>
            </w:r>
          </w:p>
        </w:tc>
        <w:tc>
          <w:tcPr>
            <w:tcW w:w="10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0.046530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0.085794</w:t>
            </w: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-1256665</wp:posOffset>
            </wp:positionV>
            <wp:extent cx="6032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-1256665</wp:posOffset>
            </wp:positionV>
            <wp:extent cx="5143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-1256665</wp:posOffset>
            </wp:positionV>
            <wp:extent cx="5143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-441960</wp:posOffset>
            </wp:positionV>
            <wp:extent cx="6032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-441960</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-441960</wp:posOffset>
            </wp:positionV>
            <wp:extent cx="5143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-179070</wp:posOffset>
            </wp:positionV>
            <wp:extent cx="603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-162560</wp:posOffset>
            </wp:positionV>
            <wp:extent cx="60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-179070</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-162560</wp:posOffset>
            </wp:positionV>
            <wp:extent cx="514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-179070</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-162560</wp:posOffset>
            </wp:positionV>
            <wp:extent cx="514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 w:hanging="432"/>
        <w:spacing w:after="0"/>
        <w:tabs>
          <w:tab w:leader="none" w:pos="44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Geographic areas</w:t>
      </w:r>
    </w:p>
    <w:p>
      <w:pPr>
        <w:spacing w:after="0" w:line="235" w:lineRule="exact"/>
        <w:rPr>
          <w:sz w:val="20"/>
          <w:szCs w:val="20"/>
          <w:color w:val="auto"/>
        </w:rPr>
      </w:pPr>
    </w:p>
    <w:p>
      <w:pPr>
        <w:ind w:right="20" w:firstLine="509"/>
        <w:spacing w:after="0" w:line="293" w:lineRule="auto"/>
        <w:rPr>
          <w:sz w:val="20"/>
          <w:szCs w:val="20"/>
          <w:color w:val="auto"/>
        </w:rPr>
      </w:pPr>
      <w:r>
        <w:rPr>
          <w:rFonts w:ascii="Arial" w:cs="Arial" w:eastAsia="Arial" w:hAnsi="Arial"/>
          <w:sz w:val="14"/>
          <w:szCs w:val="14"/>
          <w:color w:val="auto"/>
        </w:rPr>
        <w:t>The Company sells its products worldwide and attributes revenue to the geography where the product is delivered. The geographical distribution of revenue for the three and nine months ended September 30, 2021 and 2020 was as follows (in thousands):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2"/>
        </w:trPr>
        <w:tc>
          <w:tcPr>
            <w:tcW w:w="6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w w:val="91"/>
              </w:rPr>
              <w:t>Three months ended September 30,</w:t>
            </w:r>
          </w:p>
        </w:tc>
        <w:tc>
          <w:tcPr>
            <w:tcW w:w="12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96"/>
        </w:trPr>
        <w:tc>
          <w:tcPr>
            <w:tcW w:w="6100" w:type="dxa"/>
            <w:vAlign w:val="bottom"/>
          </w:tcPr>
          <w:p>
            <w:pPr>
              <w:ind w:left="20"/>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r>
      <w:tr>
        <w:trPr>
          <w:trHeight w:val="202"/>
        </w:trPr>
        <w:tc>
          <w:tcPr>
            <w:tcW w:w="6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United States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23,980</w:t>
            </w: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15,466</w:t>
            </w:r>
          </w:p>
        </w:tc>
        <w:tc>
          <w:tcPr>
            <w:tcW w:w="36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54,579</w:t>
            </w:r>
          </w:p>
        </w:tc>
        <w:tc>
          <w:tcPr>
            <w:tcW w:w="3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42,126</w:t>
            </w:r>
          </w:p>
        </w:tc>
      </w:tr>
      <w:tr>
        <w:trPr>
          <w:trHeight w:val="197"/>
        </w:trPr>
        <w:tc>
          <w:tcPr>
            <w:tcW w:w="6100" w:type="dxa"/>
            <w:vAlign w:val="bottom"/>
          </w:tcPr>
          <w:p>
            <w:pPr>
              <w:ind w:left="20"/>
              <w:spacing w:after="0"/>
              <w:rPr>
                <w:sz w:val="20"/>
                <w:szCs w:val="20"/>
                <w:color w:val="auto"/>
              </w:rPr>
            </w:pPr>
            <w:r>
              <w:rPr>
                <w:rFonts w:ascii="Arial" w:cs="Arial" w:eastAsia="Arial" w:hAnsi="Arial"/>
                <w:sz w:val="14"/>
                <w:szCs w:val="14"/>
                <w:color w:val="auto"/>
              </w:rPr>
              <w:t>EMEA</w:t>
            </w: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6,179</w:t>
            </w:r>
          </w:p>
        </w:tc>
        <w:tc>
          <w:tcPr>
            <w:tcW w:w="300" w:type="dxa"/>
            <w:vAlign w:val="bottom"/>
          </w:tcPr>
          <w:p>
            <w:pPr>
              <w:spacing w:after="0"/>
              <w:rPr>
                <w:sz w:val="17"/>
                <w:szCs w:val="17"/>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7,152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23,482</w:t>
            </w:r>
          </w:p>
        </w:tc>
        <w:tc>
          <w:tcPr>
            <w:tcW w:w="300" w:type="dxa"/>
            <w:vAlign w:val="bottom"/>
          </w:tcPr>
          <w:p>
            <w:pPr>
              <w:spacing w:after="0"/>
              <w:rPr>
                <w:sz w:val="17"/>
                <w:szCs w:val="17"/>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13,097</w:t>
            </w:r>
          </w:p>
        </w:tc>
      </w:tr>
      <w:tr>
        <w:trPr>
          <w:trHeight w:val="208"/>
        </w:trPr>
        <w:tc>
          <w:tcPr>
            <w:tcW w:w="6100" w:type="dxa"/>
            <w:vAlign w:val="bottom"/>
            <w:shd w:val="clear" w:color="auto" w:fill="CFF0FC"/>
          </w:tcPr>
          <w:p>
            <w:pPr>
              <w:ind w:left="20"/>
              <w:spacing w:after="0"/>
              <w:rPr>
                <w:sz w:val="20"/>
                <w:szCs w:val="20"/>
                <w:color w:val="auto"/>
              </w:rPr>
            </w:pPr>
            <w:r>
              <w:rPr>
                <w:rFonts w:ascii="Arial" w:cs="Arial" w:eastAsia="Arial" w:hAnsi="Arial"/>
                <w:sz w:val="14"/>
                <w:szCs w:val="14"/>
                <w:color w:val="auto"/>
              </w:rPr>
              <w:t>APAC</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2,801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2,482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9,447</w:t>
            </w: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6,644</w:t>
            </w:r>
          </w:p>
        </w:tc>
      </w:tr>
      <w:tr>
        <w:trPr>
          <w:trHeight w:val="197"/>
        </w:trPr>
        <w:tc>
          <w:tcPr>
            <w:tcW w:w="6100" w:type="dxa"/>
            <w:vAlign w:val="bottom"/>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1,416</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353</w:t>
            </w:r>
          </w:p>
        </w:tc>
      </w:tr>
      <w:tr>
        <w:trPr>
          <w:trHeight w:val="242"/>
        </w:trPr>
        <w:tc>
          <w:tcPr>
            <w:tcW w:w="6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revenue, net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34,376</w:t>
            </w:r>
          </w:p>
        </w:tc>
        <w:tc>
          <w:tcPr>
            <w:tcW w:w="3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25,096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89,056</w:t>
            </w:r>
          </w:p>
        </w:tc>
        <w:tc>
          <w:tcPr>
            <w:tcW w:w="30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62,220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77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EMEA includes Europe, the Middle East and Africa; APAC includes Asia and the Pacific countries; Other includes Canada and South America.</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the three and nine months ended September 30, 2021 and 2020, the Company had no major customers.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September 30, 2021 and December 31, 2020, the Company’s long-lived assets by geographic area were as follows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5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000" w:type="dxa"/>
            <w:vAlign w:val="bottom"/>
          </w:tcPr>
          <w:p>
            <w:pPr>
              <w:spacing w:after="0"/>
              <w:rPr>
                <w:sz w:val="17"/>
                <w:szCs w:val="17"/>
                <w:color w:val="auto"/>
              </w:rPr>
            </w:pPr>
          </w:p>
        </w:tc>
        <w:tc>
          <w:tcPr>
            <w:tcW w:w="152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w w:val="89"/>
              </w:rPr>
              <w:t>2021</w:t>
            </w: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2020</w:t>
            </w:r>
          </w:p>
        </w:tc>
      </w:tr>
      <w:tr>
        <w:trPr>
          <w:trHeight w:val="196"/>
        </w:trPr>
        <w:tc>
          <w:tcPr>
            <w:tcW w:w="7000" w:type="dxa"/>
            <w:vAlign w:val="bottom"/>
          </w:tcPr>
          <w:p>
            <w:pPr>
              <w:spacing w:after="0"/>
              <w:rPr>
                <w:sz w:val="17"/>
                <w:szCs w:val="17"/>
                <w:color w:val="auto"/>
              </w:rPr>
            </w:pPr>
          </w:p>
        </w:tc>
        <w:tc>
          <w:tcPr>
            <w:tcW w:w="1520" w:type="dxa"/>
            <w:vAlign w:val="bottom"/>
          </w:tcPr>
          <w:p>
            <w:pPr>
              <w:jc w:val="center"/>
              <w:ind w:left="368"/>
              <w:spacing w:after="0"/>
              <w:rPr>
                <w:sz w:val="20"/>
                <w:szCs w:val="20"/>
                <w:color w:val="auto"/>
              </w:rPr>
            </w:pPr>
            <w:r>
              <w:rPr>
                <w:rFonts w:ascii="Arial" w:cs="Arial" w:eastAsia="Arial" w:hAnsi="Arial"/>
                <w:sz w:val="14"/>
                <w:szCs w:val="14"/>
                <w:b w:val="1"/>
                <w:bCs w:val="1"/>
                <w:color w:val="auto"/>
                <w:w w:val="94"/>
              </w:rPr>
              <w:t>(unaudited)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8"/>
        </w:trPr>
        <w:tc>
          <w:tcPr>
            <w:tcW w:w="7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United States</w:t>
            </w:r>
          </w:p>
        </w:tc>
        <w:tc>
          <w:tcPr>
            <w:tcW w:w="1520" w:type="dxa"/>
            <w:vAlign w:val="bottom"/>
            <w:shd w:val="clear" w:color="auto" w:fill="CFF0FC"/>
          </w:tcPr>
          <w:p>
            <w:pPr>
              <w:jc w:val="right"/>
              <w:ind w:right="136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3,087</w:t>
            </w:r>
          </w:p>
        </w:tc>
        <w:tc>
          <w:tcPr>
            <w:tcW w:w="46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568</w:t>
            </w:r>
          </w:p>
        </w:tc>
      </w:tr>
      <w:tr>
        <w:trPr>
          <w:trHeight w:val="196"/>
        </w:trPr>
        <w:tc>
          <w:tcPr>
            <w:tcW w:w="7000" w:type="dxa"/>
            <w:vAlign w:val="bottom"/>
          </w:tcPr>
          <w:p>
            <w:pPr>
              <w:ind w:left="20"/>
              <w:spacing w:after="0"/>
              <w:rPr>
                <w:sz w:val="20"/>
                <w:szCs w:val="20"/>
                <w:color w:val="auto"/>
              </w:rPr>
            </w:pPr>
            <w:r>
              <w:rPr>
                <w:rFonts w:ascii="Arial" w:cs="Arial" w:eastAsia="Arial" w:hAnsi="Arial"/>
                <w:sz w:val="14"/>
                <w:szCs w:val="14"/>
                <w:color w:val="auto"/>
              </w:rPr>
              <w:t>APAC</w:t>
            </w:r>
          </w:p>
        </w:tc>
        <w:tc>
          <w:tcPr>
            <w:tcW w:w="15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1,895</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1,572</w:t>
            </w:r>
          </w:p>
        </w:tc>
      </w:tr>
      <w:tr>
        <w:trPr>
          <w:trHeight w:val="242"/>
        </w:trPr>
        <w:tc>
          <w:tcPr>
            <w:tcW w:w="7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w:t>
            </w:r>
          </w:p>
        </w:tc>
        <w:tc>
          <w:tcPr>
            <w:tcW w:w="1520" w:type="dxa"/>
            <w:vAlign w:val="bottom"/>
            <w:tcBorders>
              <w:bottom w:val="single" w:sz="8" w:color="auto"/>
            </w:tcBorders>
            <w:shd w:val="clear" w:color="auto" w:fill="CFF0FC"/>
          </w:tcPr>
          <w:p>
            <w:pPr>
              <w:jc w:val="right"/>
              <w:ind w:right="13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4,982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93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September 30, 2021 and December 31, 2020, substantially all of the Company’s long-lived assets were located in the United States and in Wuxi,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 w:right="9660" w:hanging="512"/>
        <w:spacing w:after="0" w:line="696" w:lineRule="auto"/>
        <w:tabs>
          <w:tab w:leader="none" w:pos="452" w:val="left"/>
        </w:tabs>
        <w:numPr>
          <w:ilvl w:val="0"/>
          <w:numId w:val="2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Subsequent events </w:t>
      </w:r>
      <w:r>
        <w:rPr>
          <w:rFonts w:ascii="Arial" w:cs="Arial" w:eastAsia="Arial" w:hAnsi="Arial"/>
          <w:sz w:val="12"/>
          <w:szCs w:val="12"/>
          <w:i w:val="1"/>
          <w:iCs w:val="1"/>
          <w:color w:val="auto"/>
        </w:rPr>
        <w:t>Acquisition</w:t>
      </w:r>
    </w:p>
    <w:p>
      <w:pPr>
        <w:jc w:val="both"/>
        <w:ind w:firstLine="509"/>
        <w:spacing w:after="0" w:line="277" w:lineRule="auto"/>
        <w:rPr>
          <w:sz w:val="20"/>
          <w:szCs w:val="20"/>
          <w:color w:val="auto"/>
        </w:rPr>
      </w:pPr>
      <w:r>
        <w:rPr>
          <w:rFonts w:ascii="Arial" w:cs="Arial" w:eastAsia="Arial" w:hAnsi="Arial"/>
          <w:sz w:val="14"/>
          <w:szCs w:val="14"/>
          <w:color w:val="auto"/>
        </w:rPr>
        <w:t>On November 2, 2021, the Company completed the acquisition of the cell analysis business of Tonbo Biotechnologies Corporation for an aggregate consideration of $17 million. The acquired assets include a portfolio of life science research reagents related to cell preparation, flow cytometry, molecular immunology/polymerase chain reaction and cell culture covering application areas across immunology, apoptosis and immunoprofiling.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221" w:lineRule="exact"/>
        <w:rPr>
          <w:sz w:val="20"/>
          <w:szCs w:val="20"/>
          <w:color w:val="auto"/>
        </w:rPr>
      </w:pPr>
    </w:p>
    <w:p>
      <w:pPr>
        <w:jc w:val="both"/>
        <w:ind w:left="20" w:firstLine="509"/>
        <w:spacing w:after="0" w:line="289" w:lineRule="auto"/>
        <w:rPr>
          <w:sz w:val="20"/>
          <w:szCs w:val="20"/>
          <w:color w:val="auto"/>
        </w:rPr>
      </w:pPr>
      <w:r>
        <w:rPr>
          <w:rFonts w:ascii="Arial" w:cs="Arial" w:eastAsia="Arial" w:hAnsi="Arial"/>
          <w:sz w:val="14"/>
          <w:szCs w:val="14"/>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2020 and the related Management’s Discussion and Analysis of Financial Condition and Results of Operations, both of which are contained in our final prospectus filed with the Securities and Exchange Commission (the “SEC”) on July 23, 2021 pursuant to Rule 424(b)(4) under the Securities Act of 1933, as amended (the Securities Act), for our initial public offering (IPO). Unless the context requires otherwise, references in this Quarterly Report on Form 10-Q to “we,” “us” and “our” refer to Cytek Biosciences, Inc.</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jc w:val="both"/>
        <w:ind w:left="20" w:firstLine="509"/>
        <w:spacing w:after="0" w:line="309" w:lineRule="auto"/>
        <w:rPr>
          <w:sz w:val="20"/>
          <w:szCs w:val="20"/>
          <w:color w:val="auto"/>
        </w:rPr>
      </w:pPr>
      <w:r>
        <w:rPr>
          <w:rFonts w:ascii="Arial" w:cs="Arial" w:eastAsia="Arial" w:hAnsi="Arial"/>
          <w:sz w:val="13"/>
          <w:szCs w:val="13"/>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27" w:lineRule="exact"/>
        <w:rPr>
          <w:sz w:val="20"/>
          <w:szCs w:val="20"/>
          <w:color w:val="auto"/>
        </w:rPr>
      </w:pPr>
    </w:p>
    <w:p>
      <w:pPr>
        <w:jc w:val="both"/>
        <w:ind w:firstLine="509"/>
        <w:spacing w:after="0" w:line="265" w:lineRule="auto"/>
        <w:rPr>
          <w:sz w:val="20"/>
          <w:szCs w:val="20"/>
          <w:color w:val="auto"/>
        </w:rPr>
      </w:pPr>
      <w:r>
        <w:rPr>
          <w:rFonts w:ascii="Arial" w:cs="Arial" w:eastAsia="Arial" w:hAnsi="Arial"/>
          <w:sz w:val="14"/>
          <w:szCs w:val="14"/>
          <w:color w:val="auto"/>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we have sold and deployed over 970 instruments—primarily comprised of our Aurora and Northern Lights systems—to over 620 customers around the world, including the largest pharmaceutical companies, over 125 biopharma companies, leading academic research centers, and clinical research organizations (“CROs”). In June 2021, we began shipping the Aurora cell sorter (“Aurora CS”), which uses our FSP technology to further broaden our potential applications across cell analysis.</w:t>
      </w:r>
    </w:p>
    <w:p>
      <w:pPr>
        <w:spacing w:after="0" w:line="19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manufacture our instruments in our facilities in Fremont, California and in Wuxi, China. We have designed our operating model to be capital efficient and to scale efficiently as our product volumes grow.</w:t>
      </w:r>
    </w:p>
    <w:p>
      <w:pPr>
        <w:spacing w:after="0" w:line="12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Our total revenue increased by 37% to $34.4 million and by 43% to $89.1 million in the three and nine months ended September 30, 2021, respectively, as compared to $25.1 million and $62.2 million in the three and nine months ended September 30, 2020, respectively, primarily due to sales of our Aurora and Northern Lights systems.</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To date, we have adopted a direct sales model in North America, Europe and China, and sell our products through third-party distributors in Asia (ex-China), certain regions of Europe, South America, the Middle East, and Africa. Revenue from direct sales represented 90% and 86% of total revenue for the three and nine months ended September 30, 2021, respectively, and revenue from distributors represented 10% and 14% of total revenue for the three and nine months ended September 30, 2021, respectively.</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$6.1 million and $17.4 million for the three and nine months ended September 30, 2021, respectively, and $3.4 million and $9.3 million for the three and nine months ended September 30, 2020, respectively. We intend to continue to make significant investments in research and development in the future.</w:t>
      </w:r>
    </w:p>
    <w:p>
      <w:pPr>
        <w:spacing w:after="0" w:line="188"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We expect to continue to invest in our commercial infrastructure through hiring additional employees with strong scientific and technical backgrounds to support growth in sales of our Aurora and Northern Lights instruments and our Aurora CS cell sorter, as well as our planned expansion of reagents offerings and panel design capabilities. We also plan to continue to invest in sales, marketing and business development across the globe to drive commercialization of our products. We incurred sales and marketing expenses of $6.6 million and $16.4 million for the three and nine months ended September 30, 2021, respectively, and $3.8 million and $10.4 million for the three and nine months ended September 30, 2020, respectively.</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Since our inception in 2014, we have financed our operations primarily through sales of our securities and revenue from the sale of our products and services.</w:t>
      </w:r>
    </w:p>
    <w:p>
      <w:pPr>
        <w:spacing w:after="0" w:line="231"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We have incurred net losses in each year except for the year ended December 31, 2020 and for the three and nine months ended September 30, 2021 when we are in a net income position. Our net income was $1.4 million and $4.2 million for the three and nine months ended September 30, 2021, respectively, and our net income was $6.5 million and $13.8 million for the three and nine months ended September 30, 2020, respectively. The change for the three and nine months ended September 30, 2021 compared to the three and nine months ended September 30, 2020 resulted primarily from expenses driven by an increase in headcount and salaries, expenses related to our IPO, and efforts in research and development and marketing initiatives.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4"/>
          <w:szCs w:val="14"/>
          <w:color w:val="auto"/>
        </w:rPr>
        <w:t>We expect our expenses will increase substantially in connection with our on-going activities, as we:</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attract, hire and retain qualified personnel;</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invest in processes, commercial infrastructure and supporting functions to scale our business and introduce new products and services;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support our research and development efforts;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continue to expand geographically;</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protect and defend our intellectual property;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make strategic investments in complementary businesses, services, products or technologies.</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factors affecting our results of operations and future performance</w:t>
      </w:r>
    </w:p>
    <w:p>
      <w:pPr>
        <w:spacing w:after="0" w:line="12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Global customer adoption</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As part of this effort, we increased our direct sales force by 57% and 46% in the three and nine months ended September 30, 2021, respectively, compared to the three and nine months ended September 30, 2020. We intend to continue increasing our workforce in line with our growth.</w:t>
      </w:r>
    </w:p>
    <w:p>
      <w:pPr>
        <w:spacing w:after="0" w:line="29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Recurring revenues</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Revenue mix and gross margin</w:t>
      </w:r>
    </w:p>
    <w:p>
      <w:pPr>
        <w:spacing w:after="0" w:line="23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3"/>
          <w:szCs w:val="13"/>
          <w:color w:val="auto"/>
        </w:rPr>
        <w:t>Our revenue is primarily derived from sales of our instruments and services with our core instruments recognizing higher gross margins than our services. Although we expect sales of our core instruments to continue to represent the largest percentage of our revenue in the future, we expect reagent sales to increase as a percentage of our total revenue and our gross margins to experience a corresponding improvement as we grow our installed base and increase our focus on commercializing reagents. We also expect a higher gross margin on our core instruments as we increase manufacturing efficiency, instrument reliability and training for personnel using our instruments, which we expect to lead to a reduction in warranty claims. Our sales in certain regions, particularly outside of the United States, are 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p>
    <w:p>
      <w:pPr>
        <w:spacing w:after="0" w:line="1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Expansion into new markets</w:t>
      </w:r>
    </w:p>
    <w:p>
      <w:pPr>
        <w:spacing w:after="0" w:line="123"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3"/>
          <w:szCs w:val="13"/>
          <w:color w:val="auto"/>
        </w:rPr>
        <w:t>We focus our research and development efforts on the greatest value-additive FSP products to meet the growing and unmet needs of the research and clinical markets. We work closely with researchers and clinicians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173"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Our Northern Lights system obtained clinical certification in China in 2019 and received CE Marking under the European Union In Vitro Diagnostic Medical Devices Directive in September 2020. With these achievements, our Northern Lights system is available for clinical diagnostic use in hospitals, laboratories, and clinics in China and the European Union.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auto"/>
        </w:rPr>
        <w:t>Key business metrics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2"/>
              </w:rPr>
              <w:t>Three months ended September</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10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w w:val="93"/>
              </w:rPr>
              <w:t>Nine months ended September</w:t>
            </w: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6"/>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30,</w:t>
            </w: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30,</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08"/>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1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Dollar Change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8"/>
              </w:rPr>
              <w:t>Dollar Change</w:t>
            </w:r>
          </w:p>
        </w:tc>
      </w:tr>
      <w:tr>
        <w:trPr>
          <w:trHeight w:val="197"/>
        </w:trPr>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02"/>
        </w:trPr>
        <w:tc>
          <w:tcPr>
            <w:tcW w:w="474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Sales channel mix</w:t>
            </w: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196"/>
        </w:trPr>
        <w:tc>
          <w:tcPr>
            <w:tcW w:w="4740" w:type="dxa"/>
            <w:vAlign w:val="bottom"/>
            <w:gridSpan w:val="2"/>
          </w:tcPr>
          <w:p>
            <w:pPr>
              <w:ind w:left="120"/>
              <w:spacing w:after="0"/>
              <w:rPr>
                <w:sz w:val="20"/>
                <w:szCs w:val="20"/>
                <w:color w:val="auto"/>
              </w:rPr>
            </w:pPr>
            <w:r>
              <w:rPr>
                <w:rFonts w:ascii="Arial" w:cs="Arial" w:eastAsia="Arial" w:hAnsi="Arial"/>
                <w:sz w:val="14"/>
                <w:szCs w:val="14"/>
                <w:color w:val="auto"/>
              </w:rPr>
              <w:t>Direct sales channel</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30,841</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21,200</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9,641</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76,406</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53,237</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23,169</w:t>
            </w:r>
          </w:p>
        </w:tc>
      </w:tr>
      <w:tr>
        <w:trPr>
          <w:trHeight w:val="203"/>
        </w:trPr>
        <w:tc>
          <w:tcPr>
            <w:tcW w:w="474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4"/>
                <w:szCs w:val="14"/>
                <w:color w:val="auto"/>
              </w:rPr>
              <w:t>Distributor channel</w:t>
            </w: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3,535</w:t>
            </w:r>
          </w:p>
        </w:tc>
        <w:tc>
          <w:tcPr>
            <w:tcW w:w="2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3,896</w:t>
            </w:r>
          </w:p>
        </w:tc>
        <w:tc>
          <w:tcPr>
            <w:tcW w:w="3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(361 )</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12,650</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8,983</w:t>
            </w:r>
          </w:p>
        </w:tc>
        <w:tc>
          <w:tcPr>
            <w:tcW w:w="3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3,667</w:t>
            </w:r>
          </w:p>
        </w:tc>
      </w:tr>
      <w:tr>
        <w:trPr>
          <w:trHeight w:val="202"/>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Total revenue, net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34,376</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25,096</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9,280</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89,056</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62,220</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26,836</w:t>
            </w:r>
          </w:p>
        </w:tc>
      </w:tr>
      <w:tr>
        <w:trPr>
          <w:trHeight w:val="20"/>
        </w:trPr>
        <w:tc>
          <w:tcPr>
            <w:tcW w:w="47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Customer mix</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r>
      <w:tr>
        <w:trPr>
          <w:trHeight w:val="197"/>
        </w:trPr>
        <w:tc>
          <w:tcPr>
            <w:tcW w:w="4740" w:type="dxa"/>
            <w:vAlign w:val="bottom"/>
            <w:gridSpan w:val="2"/>
          </w:tcPr>
          <w:p>
            <w:pPr>
              <w:ind w:left="120"/>
              <w:spacing w:after="0"/>
              <w:rPr>
                <w:sz w:val="20"/>
                <w:szCs w:val="20"/>
                <w:color w:val="auto"/>
              </w:rPr>
            </w:pPr>
            <w:r>
              <w:rPr>
                <w:rFonts w:ascii="Arial" w:cs="Arial" w:eastAsia="Arial" w:hAnsi="Arial"/>
                <w:sz w:val="14"/>
                <w:szCs w:val="14"/>
                <w:color w:val="auto"/>
              </w:rPr>
              <w:t>Academia and government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18,593</w:t>
            </w:r>
          </w:p>
        </w:tc>
        <w:tc>
          <w:tcPr>
            <w:tcW w:w="2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10,589</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8,004</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42,463</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31,501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10,962</w:t>
            </w:r>
          </w:p>
        </w:tc>
      </w:tr>
      <w:tr>
        <w:trPr>
          <w:trHeight w:val="203"/>
        </w:trPr>
        <w:tc>
          <w:tcPr>
            <w:tcW w:w="4740" w:type="dxa"/>
            <w:vAlign w:val="bottom"/>
            <w:tcBorders>
              <w:bottom w:val="single" w:sz="8" w:color="CFF0FC"/>
            </w:tcBorders>
            <w:gridSpan w:val="2"/>
            <w:shd w:val="clear" w:color="auto" w:fill="CFF0FC"/>
          </w:tcPr>
          <w:p>
            <w:pPr>
              <w:ind w:left="160"/>
              <w:spacing w:after="0"/>
              <w:rPr>
                <w:sz w:val="20"/>
                <w:szCs w:val="20"/>
                <w:color w:val="auto"/>
              </w:rPr>
            </w:pPr>
            <w:r>
              <w:rPr>
                <w:rFonts w:ascii="Arial" w:cs="Arial" w:eastAsia="Arial" w:hAnsi="Arial"/>
                <w:sz w:val="14"/>
                <w:szCs w:val="14"/>
                <w:color w:val="auto"/>
              </w:rPr>
              <w:t>Biotechnology, pharmaceutical, distributor and CRO</w:t>
            </w:r>
          </w:p>
        </w:tc>
        <w:tc>
          <w:tcPr>
            <w:tcW w:w="2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15,783</w:t>
            </w:r>
          </w:p>
        </w:tc>
        <w:tc>
          <w:tcPr>
            <w:tcW w:w="2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14,507</w:t>
            </w:r>
          </w:p>
        </w:tc>
        <w:tc>
          <w:tcPr>
            <w:tcW w:w="3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1,276</w:t>
            </w: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46,593</w:t>
            </w: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30,719</w:t>
            </w:r>
          </w:p>
        </w:tc>
        <w:tc>
          <w:tcPr>
            <w:tcW w:w="32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15,874</w:t>
            </w:r>
          </w:p>
        </w:tc>
      </w:tr>
      <w:tr>
        <w:trPr>
          <w:trHeight w:val="202"/>
        </w:trPr>
        <w:tc>
          <w:tcPr>
            <w:tcW w:w="4740" w:type="dxa"/>
            <w:vAlign w:val="bottom"/>
            <w:gridSpan w:val="2"/>
          </w:tcPr>
          <w:p>
            <w:pPr>
              <w:ind w:left="20"/>
              <w:spacing w:after="0"/>
              <w:rPr>
                <w:sz w:val="20"/>
                <w:szCs w:val="20"/>
                <w:color w:val="auto"/>
              </w:rPr>
            </w:pPr>
            <w:r>
              <w:rPr>
                <w:rFonts w:ascii="Arial" w:cs="Arial" w:eastAsia="Arial" w:hAnsi="Arial"/>
                <w:sz w:val="14"/>
                <w:szCs w:val="14"/>
                <w:color w:val="auto"/>
              </w:rPr>
              <w:t>Total revenue, net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34,376</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25,096</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9,280</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89,056</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62,220</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26,836</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Distributors typically sell to end customers identified in other customer categories.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sets forth our cumulative instruments shipped as of the dates presented: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3820" w:type="dxa"/>
            <w:vAlign w:val="bottom"/>
          </w:tcPr>
          <w:p>
            <w:pPr>
              <w:jc w:val="center"/>
              <w:ind w:left="2228"/>
              <w:spacing w:after="0"/>
              <w:rPr>
                <w:sz w:val="20"/>
                <w:szCs w:val="20"/>
                <w:color w:val="auto"/>
              </w:rPr>
            </w:pPr>
            <w:r>
              <w:rPr>
                <w:rFonts w:ascii="Arial" w:cs="Arial" w:eastAsia="Arial" w:hAnsi="Arial"/>
                <w:sz w:val="14"/>
                <w:szCs w:val="14"/>
                <w:b w:val="1"/>
                <w:bCs w:val="1"/>
                <w:color w:val="auto"/>
                <w:w w:val="92"/>
              </w:rPr>
              <w:t>December 31,</w:t>
            </w:r>
          </w:p>
        </w:tc>
        <w:tc>
          <w:tcPr>
            <w:tcW w:w="1220" w:type="dxa"/>
            <w:vAlign w:val="bottom"/>
          </w:tcPr>
          <w:p>
            <w:pPr>
              <w:jc w:val="center"/>
              <w:ind w:right="168"/>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2"/>
              </w:rPr>
              <w:t>June 30,</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September 30,</w:t>
            </w:r>
          </w:p>
        </w:tc>
      </w:tr>
      <w:tr>
        <w:trPr>
          <w:trHeight w:val="208"/>
        </w:trPr>
        <w:tc>
          <w:tcPr>
            <w:tcW w:w="38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r>
      <w:tr>
        <w:trPr>
          <w:trHeight w:val="202"/>
        </w:trPr>
        <w:tc>
          <w:tcPr>
            <w:tcW w:w="3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Instruments shipped</w:t>
            </w:r>
          </w:p>
        </w:tc>
        <w:tc>
          <w:tcPr>
            <w:tcW w:w="38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657</w:t>
            </w:r>
          </w:p>
        </w:tc>
        <w:tc>
          <w:tcPr>
            <w:tcW w:w="12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751</w:t>
            </w:r>
          </w:p>
        </w:tc>
        <w:tc>
          <w:tcPr>
            <w:tcW w:w="11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855</w:t>
            </w:r>
          </w:p>
        </w:tc>
        <w:tc>
          <w:tcPr>
            <w:tcW w:w="12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970</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COVID-19 update</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global COVID-19 pandemic continues to evolve rapidly and we intend to continue to monitor it closely. In response to the COVID-19 pandemic and various resulting government directives, we took proactive measures to protect the health and safety of our employees, contractors, customers and visiting vendors and suppliers. We continue to monitor the implications of the COVID-19 pandemic on our business, as well as our customers’ and suppliers’ business. Some of the measures we have taken are as follows:</w:t>
      </w:r>
    </w:p>
    <w:p>
      <w:pPr>
        <w:spacing w:after="0" w:line="77" w:lineRule="exact"/>
        <w:rPr>
          <w:sz w:val="20"/>
          <w:szCs w:val="20"/>
          <w:color w:val="auto"/>
        </w:rPr>
      </w:pPr>
    </w:p>
    <w:p>
      <w:pPr>
        <w:jc w:val="both"/>
        <w:ind w:left="960"/>
        <w:spacing w:after="0" w:line="289" w:lineRule="auto"/>
        <w:rPr>
          <w:sz w:val="20"/>
          <w:szCs w:val="20"/>
          <w:color w:val="auto"/>
        </w:rPr>
      </w:pPr>
      <w:r>
        <w:rPr>
          <w:rFonts w:ascii="Arial" w:cs="Arial" w:eastAsia="Arial" w:hAnsi="Arial"/>
          <w:sz w:val="13"/>
          <w:szCs w:val="13"/>
          <w:color w:val="auto"/>
        </w:rPr>
        <w:t>As an “essential business” under the criteria set forth in executive orders issued by the State of California, we have continued operations during the COVID-19 pandemic within the applicable safety guidelines. In early March 2020, we promptly instituted protocols to have most of our personnel work remotely. Certain employees engaged in research and development and manufacturing operations have continued to work on-site at our facility in Fremont, California. Our employees in Wuxi and Shanghai, China returned to normal activities in March 2020 to undertake research and development and manufacturing operations due to the lifting of local restrictions in the country. In the United States, we have implemented social distancing and other protective measures in an effort to protect the health and safety of our personnel working on-site. We have also restricted business travel and have limited access to our facilities to vendors, suppliers and partners who are critical to our business operations. While these arrangements have not to date materially affected our ability to maintain our business operations, including the operation of financial reporting systems, internal control over financial reporting and disclosure controls and procedures, given the considerable uncertainty around the duration and extent of the pandemic, the related financial and operational impact cannot be reasonably estimated.</w:t>
      </w:r>
    </w:p>
    <w:p>
      <w:pPr>
        <w:spacing w:after="0" w:line="72" w:lineRule="exact"/>
        <w:rPr>
          <w:sz w:val="20"/>
          <w:szCs w:val="20"/>
          <w:color w:val="auto"/>
        </w:rPr>
      </w:pPr>
    </w:p>
    <w:p>
      <w:pPr>
        <w:jc w:val="both"/>
        <w:ind w:left="960"/>
        <w:spacing w:after="0" w:line="308" w:lineRule="auto"/>
        <w:rPr>
          <w:sz w:val="20"/>
          <w:szCs w:val="20"/>
          <w:color w:val="auto"/>
        </w:rPr>
      </w:pPr>
      <w:r>
        <w:rPr>
          <w:rFonts w:ascii="Arial" w:cs="Arial" w:eastAsia="Arial" w:hAnsi="Arial"/>
          <w:sz w:val="13"/>
          <w:szCs w:val="13"/>
          <w:color w:val="auto"/>
        </w:rPr>
        <w:t>Our production, shipping and customer service functions remain operational to maintain a continuous supply of products and services to our customers and for our internal research and development activities. We are communicating regularly with our suppliers so that our supply chain remains intact, and we have not yet experienced any material supply issues. Our customer service teams around the world are operating remotely and remain available to assist our customers and partners as needed.</w:t>
      </w:r>
    </w:p>
    <w:p>
      <w:pPr>
        <w:spacing w:after="0" w:line="59" w:lineRule="exact"/>
        <w:rPr>
          <w:sz w:val="20"/>
          <w:szCs w:val="20"/>
          <w:color w:val="auto"/>
        </w:rPr>
      </w:pPr>
    </w:p>
    <w:p>
      <w:pPr>
        <w:jc w:val="both"/>
        <w:ind w:left="960"/>
        <w:spacing w:after="0" w:line="272" w:lineRule="auto"/>
        <w:rPr>
          <w:sz w:val="20"/>
          <w:szCs w:val="20"/>
          <w:color w:val="auto"/>
        </w:rPr>
      </w:pPr>
      <w:r>
        <w:rPr>
          <w:rFonts w:ascii="Arial" w:cs="Arial" w:eastAsia="Arial" w:hAnsi="Arial"/>
          <w:sz w:val="14"/>
          <w:szCs w:val="14"/>
          <w:color w:val="auto"/>
        </w:rPr>
        <w:t>Initially, as a result of travel restrictions and shelter-in-place orders, we experienced some delay in our ability to ship and install our FSP systems, as well as train customers in certain geographies. In March 2020, we began developing, and continue to develop, remote learning capabilities to help our customers and partners operate and reduce the number of required customer/partner on-site visits for our field application scientists and field support engineers to comply with travel restrictions and country-specific quarantine requirements.</w:t>
      </w:r>
    </w:p>
    <w:p>
      <w:pPr>
        <w:spacing w:after="0" w:line="80" w:lineRule="exact"/>
        <w:rPr>
          <w:sz w:val="20"/>
          <w:szCs w:val="20"/>
          <w:color w:val="auto"/>
        </w:rPr>
      </w:pPr>
    </w:p>
    <w:p>
      <w:pPr>
        <w:jc w:val="both"/>
        <w:ind w:left="960"/>
        <w:spacing w:after="0" w:line="293" w:lineRule="auto"/>
        <w:rPr>
          <w:sz w:val="20"/>
          <w:szCs w:val="20"/>
          <w:color w:val="auto"/>
        </w:rPr>
      </w:pPr>
      <w:r>
        <w:rPr>
          <w:rFonts w:ascii="Arial" w:cs="Arial" w:eastAsia="Arial" w:hAnsi="Arial"/>
          <w:sz w:val="14"/>
          <w:szCs w:val="14"/>
          <w:color w:val="auto"/>
        </w:rPr>
        <w:t>We are actively reviewing and managing costs to navigate the current environment. To date, the COVID-19 pandemic has not had a material adverse effect on our business or results of operations.</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Potential impacts of the COVID-19 pandemic, some of which we have already experienced, include those described throughout the “Risk Factors” section, including “A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Total revenue, net</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currently generate our total revenue, net from product revenue and service revenue.</w:t>
      </w:r>
    </w:p>
    <w:p>
      <w:pPr>
        <w:spacing w:after="0" w:line="2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Product</w:t>
      </w:r>
      <w:r>
        <w:rPr>
          <w:rFonts w:ascii="Arial" w:cs="Arial" w:eastAsia="Arial" w:hAnsi="Arial"/>
          <w:sz w:val="14"/>
          <w:szCs w:val="14"/>
          <w:color w:val="auto"/>
        </w:rPr>
        <w:t>. Our product revenue primarily consists of sales of our instruments, including the Aurora and Northern Lights systems and the Aurora CS, instrument accessories,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loaders and, to a lesser extent, consumables, such as reagents. We offer multiple versions of our Aurora and Northern Lights systems with different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jc w:val="both"/>
        <w:spacing w:after="0" w:line="293" w:lineRule="auto"/>
        <w:rPr>
          <w:sz w:val="20"/>
          <w:szCs w:val="20"/>
          <w:color w:val="auto"/>
        </w:rPr>
      </w:pPr>
      <w:r>
        <w:rPr>
          <w:rFonts w:ascii="Arial" w:cs="Arial" w:eastAsia="Arial" w:hAnsi="Arial"/>
          <w:sz w:val="14"/>
          <w:szCs w:val="14"/>
          <w:color w:val="auto"/>
        </w:rPr>
        <w:t>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Service</w:t>
      </w:r>
      <w:r>
        <w:rPr>
          <w:rFonts w:ascii="Arial" w:cs="Arial" w:eastAsia="Arial" w:hAnsi="Arial"/>
          <w:sz w:val="14"/>
          <w:szCs w:val="14"/>
          <w:color w:val="auto"/>
        </w:rPr>
        <w:t>. Our service revenue primarily consists of post-warranty service contracts, installations and repairs which are recognized over time. Post-warranty service contracts are</w:t>
      </w:r>
      <w:r>
        <w:rPr>
          <w:rFonts w:ascii="Arial" w:cs="Arial" w:eastAsia="Arial" w:hAnsi="Arial"/>
          <w:sz w:val="14"/>
          <w:szCs w:val="14"/>
          <w:i w:val="1"/>
          <w:iCs w:val="1"/>
          <w:color w:val="auto"/>
        </w:rPr>
        <w:t xml:space="preserve"> </w:t>
      </w:r>
      <w:r>
        <w:rPr>
          <w:rFonts w:ascii="Arial" w:cs="Arial" w:eastAsia="Arial" w:hAnsi="Arial"/>
          <w:sz w:val="14"/>
          <w:szCs w:val="14"/>
          <w:color w:val="auto"/>
        </w:rPr>
        <w:t>recognized ratably over the term of the contract and installations and repair services are recognized as they are delivered to the customer.</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expect our revenue to increase in absolute dollars as we expand our sales organization and sales territories, broaden our customer base, and expand awareness of our products with new and existing customers. Our revenue was $34.4 million and $25.1 million for the three months ended September 30, 2021 and 2020, respectively, and $89.1 million and $62.2 million for the nine months ended September 30, 2021 and 2020, respectively.</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Total cost of sales, gross profit and gross margin</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total cost of sales is comprised of product cost of sales and service cost of sales.</w:t>
      </w:r>
    </w:p>
    <w:p>
      <w:pPr>
        <w:spacing w:after="0" w:line="2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 xml:space="preserve">Product. </w:t>
      </w:r>
      <w:r>
        <w:rPr>
          <w:rFonts w:ascii="Arial" w:cs="Arial" w:eastAsia="Arial" w:hAnsi="Arial"/>
          <w:sz w:val="14"/>
          <w:szCs w:val="14"/>
          <w:color w:val="auto"/>
        </w:rPr>
        <w:t>Cost of sales associated with our products primarily consist of manufacturing-related costs incurred in the production process, inventory write-downs, warranty costs, third party</w:t>
      </w:r>
      <w:r>
        <w:rPr>
          <w:rFonts w:ascii="Arial" w:cs="Arial" w:eastAsia="Arial" w:hAnsi="Arial"/>
          <w:sz w:val="14"/>
          <w:szCs w:val="14"/>
          <w:i w:val="1"/>
          <w:iCs w:val="1"/>
          <w:color w:val="auto"/>
        </w:rPr>
        <w:t xml:space="preserve"> </w:t>
      </w:r>
      <w:r>
        <w:rPr>
          <w:rFonts w:ascii="Arial" w:cs="Arial" w:eastAsia="Arial" w:hAnsi="Arial"/>
          <w:sz w:val="14"/>
          <w:szCs w:val="14"/>
          <w:color w:val="auto"/>
        </w:rPr>
        <w:t>royalty costs, personnel and related costs, costs of component materials, overhead, packaging and delivery and depreciation expense.</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Service</w:t>
      </w:r>
      <w:r>
        <w:rPr>
          <w:rFonts w:ascii="Arial" w:cs="Arial" w:eastAsia="Arial" w:hAnsi="Arial"/>
          <w:sz w:val="14"/>
          <w:szCs w:val="14"/>
          <w:color w:val="auto"/>
        </w:rPr>
        <w:t>. Cost of sales associated with our services primarily consists of personnel and related costs, expenses related to product replacements, product updates and qualification</w:t>
      </w:r>
      <w:r>
        <w:rPr>
          <w:rFonts w:ascii="Arial" w:cs="Arial" w:eastAsia="Arial" w:hAnsi="Arial"/>
          <w:sz w:val="14"/>
          <w:szCs w:val="14"/>
          <w:i w:val="1"/>
          <w:iCs w:val="1"/>
          <w:color w:val="auto"/>
        </w:rPr>
        <w:t xml:space="preserve"> </w:t>
      </w:r>
      <w:r>
        <w:rPr>
          <w:rFonts w:ascii="Arial" w:cs="Arial" w:eastAsia="Arial" w:hAnsi="Arial"/>
          <w:sz w:val="14"/>
          <w:szCs w:val="14"/>
          <w:color w:val="auto"/>
        </w:rPr>
        <w:t>validation of our products and depreciation expense.</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Our operating expenses are primarily comprised of research and development, sales and marketing, and general and administrative expenses, depreciation and amortization, and related overhead.</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Research and development</w:t>
      </w:r>
      <w:r>
        <w:rPr>
          <w:rFonts w:ascii="Arial" w:cs="Arial" w:eastAsia="Arial" w:hAnsi="Arial"/>
          <w:sz w:val="14"/>
          <w:szCs w:val="14"/>
          <w:color w:val="auto"/>
        </w:rPr>
        <w:t>. Our research and development expenses primarily consist of salaries, benefits, stock-based compensation costs for employees in our research and</w:t>
      </w:r>
      <w:r>
        <w:rPr>
          <w:rFonts w:ascii="Arial" w:cs="Arial" w:eastAsia="Arial" w:hAnsi="Arial"/>
          <w:sz w:val="14"/>
          <w:szCs w:val="14"/>
          <w:i w:val="1"/>
          <w:iCs w:val="1"/>
          <w:color w:val="auto"/>
        </w:rPr>
        <w:t xml:space="preserve"> </w:t>
      </w:r>
      <w:r>
        <w:rPr>
          <w:rFonts w:ascii="Arial" w:cs="Arial" w:eastAsia="Arial" w:hAnsi="Arial"/>
          <w:sz w:val="14"/>
          <w:szCs w:val="14"/>
          <w:color w:val="auto"/>
        </w:rPr>
        <w:t>development department, independent contractor costs, laboratory supplies, equipment maintenance and materials expenses.</w:t>
      </w:r>
    </w:p>
    <w:p>
      <w:pPr>
        <w:spacing w:after="0" w:line="174"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We plan to continue to invest in our research and development efforts, including hiring additional employees to enhance existing products and develop new products. We expect research and development expense will increase in absolute dollars in future periods and vary from period to period as a percentage of revenue due to our continuing investment in product development.</w:t>
      </w:r>
    </w:p>
    <w:p>
      <w:pPr>
        <w:spacing w:after="0" w:line="15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i w:val="1"/>
          <w:iCs w:val="1"/>
          <w:color w:val="auto"/>
        </w:rPr>
        <w:t>Sales and marketing</w:t>
      </w:r>
      <w:r>
        <w:rPr>
          <w:rFonts w:ascii="Arial" w:cs="Arial" w:eastAsia="Arial" w:hAnsi="Arial"/>
          <w:sz w:val="14"/>
          <w:szCs w:val="14"/>
          <w:color w:val="auto"/>
        </w:rPr>
        <w:t>. Our sales and marketing expenses consist primarily of salaries, benefits, and stock-based compensation costs for employees in our sales and marketing department,</w:t>
      </w:r>
      <w:r>
        <w:rPr>
          <w:rFonts w:ascii="Arial" w:cs="Arial" w:eastAsia="Arial" w:hAnsi="Arial"/>
          <w:sz w:val="14"/>
          <w:szCs w:val="14"/>
          <w:i w:val="1"/>
          <w:iCs w:val="1"/>
          <w:color w:val="auto"/>
        </w:rPr>
        <w:t xml:space="preserve"> </w:t>
      </w:r>
      <w:r>
        <w:rPr>
          <w:rFonts w:ascii="Arial" w:cs="Arial" w:eastAsia="Arial" w:hAnsi="Arial"/>
          <w:sz w:val="14"/>
          <w:szCs w:val="14"/>
          <w:color w:val="auto"/>
        </w:rPr>
        <w:t>sales 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 While these expenses may vary from period to period as a percentage of revenue, we expect these expenses to increase as a percentage of sales in the short-term as we continue to grow our commercial organization to support anticipated growth of the business.</w:t>
      </w:r>
    </w:p>
    <w:p>
      <w:pPr>
        <w:spacing w:after="0" w:line="19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Our general and administrative expenses primarily consist of salaries, benefits, and stock-based compensation costs for employees in our executive,</w:t>
      </w:r>
      <w:r>
        <w:rPr>
          <w:rFonts w:ascii="Arial" w:cs="Arial" w:eastAsia="Arial" w:hAnsi="Arial"/>
          <w:sz w:val="14"/>
          <w:szCs w:val="14"/>
          <w:i w:val="1"/>
          <w:iCs w:val="1"/>
          <w:color w:val="auto"/>
        </w:rPr>
        <w:t xml:space="preserve"> </w:t>
      </w:r>
      <w:r>
        <w:rPr>
          <w:rFonts w:ascii="Arial" w:cs="Arial" w:eastAsia="Arial" w:hAnsi="Arial"/>
          <w:sz w:val="14"/>
          <w:szCs w:val="14"/>
          <w:color w:val="auto"/>
        </w:rPr>
        <w:t>accounting and finance, legal and human resource functions, as well as professional services fees, such as consulting, audit, tax, legal, general corporate costs and allocated overhead expenses.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 and governance functions, maintain IT costs, review internal controls over financial reporting in accordance with the Sarbanes-Oxley Act and prepare and distribute periodic reports as required by the rules and regulations of the U.S. Securities and Exchange Commission. As a result, our historical results of operations may not be indicative of our results of operations in future periods.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expect these expenses to vary from period to period as a percentage of revenue.</w:t>
      </w:r>
    </w:p>
    <w:p>
      <w:pPr>
        <w:spacing w:after="0" w:line="33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i w:val="1"/>
          <w:iCs w:val="1"/>
          <w:color w:val="auto"/>
        </w:rPr>
        <w:t xml:space="preserve">Interest expense. </w:t>
      </w:r>
      <w:r>
        <w:rPr>
          <w:rFonts w:ascii="Arial" w:cs="Arial" w:eastAsia="Arial" w:hAnsi="Arial"/>
          <w:sz w:val="14"/>
          <w:szCs w:val="14"/>
          <w:color w:val="auto"/>
        </w:rPr>
        <w:t>Interest expense consists primarily of accretion of the present value of the litigation settlement liability. See Note 15 included in the notes to our unaudited interim</w:t>
      </w:r>
      <w:r>
        <w:rPr>
          <w:rFonts w:ascii="Arial" w:cs="Arial" w:eastAsia="Arial" w:hAnsi="Arial"/>
          <w:sz w:val="14"/>
          <w:szCs w:val="14"/>
          <w:i w:val="1"/>
          <w:iCs w:val="1"/>
          <w:color w:val="auto"/>
        </w:rPr>
        <w:t xml:space="preserve"> </w:t>
      </w:r>
      <w:r>
        <w:rPr>
          <w:rFonts w:ascii="Arial" w:cs="Arial" w:eastAsia="Arial" w:hAnsi="Arial"/>
          <w:sz w:val="14"/>
          <w:szCs w:val="14"/>
          <w:color w:val="auto"/>
        </w:rPr>
        <w:t>consolidated financial statements included elsewhere in this Quarterly Report on Form 10-Q for further details regarding the settlement.</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Interest income. </w:t>
      </w:r>
      <w:r>
        <w:rPr>
          <w:rFonts w:ascii="Arial" w:cs="Arial" w:eastAsia="Arial" w:hAnsi="Arial"/>
          <w:sz w:val="14"/>
          <w:szCs w:val="14"/>
          <w:color w:val="auto"/>
        </w:rPr>
        <w:t>Our interest income consists primarily of interest earned on our cash and cash equivalents which are invested in cash deposits and in money market funds.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 xml:space="preserve">Other income (expense), net. </w:t>
      </w:r>
      <w:r>
        <w:rPr>
          <w:rFonts w:ascii="Arial" w:cs="Arial" w:eastAsia="Arial" w:hAnsi="Arial"/>
          <w:sz w:val="14"/>
          <w:szCs w:val="14"/>
          <w:color w:val="auto"/>
        </w:rPr>
        <w:t>Our other income (expense), net consists primarily of foreign exchange gains and losses.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4"/>
          <w:szCs w:val="14"/>
          <w:b w:val="1"/>
          <w:bCs w:val="1"/>
          <w:i w:val="1"/>
          <w:iCs w:val="1"/>
          <w:color w:val="auto"/>
        </w:rPr>
        <w:t>Income taxes</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Our provision for (benefit from) income taxes consists primarily of provision for federal taxes, local taxes and state minimum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Comparison of the three and nine months ended September 30, 2021 and 2020</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The results of operations presented below should be reviewed in conjunction with the unaudited interim consolidated financial statements and related notes included elsewhere in this Quarterly Report on Form 10-Q.</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our interim consolidated results of operations and comprehensive income data for the periods presented: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Borders>
              <w:bottom w:val="single" w:sz="8" w:color="auto"/>
            </w:tcBorders>
          </w:tcPr>
          <w:p>
            <w:pPr>
              <w:spacing w:after="0"/>
              <w:rPr>
                <w:sz w:val="16"/>
                <w:szCs w:val="16"/>
                <w:color w:val="auto"/>
              </w:rPr>
            </w:pPr>
          </w:p>
        </w:tc>
      </w:tr>
      <w:tr>
        <w:trPr>
          <w:trHeight w:val="196"/>
        </w:trPr>
        <w:tc>
          <w:tcPr>
            <w:tcW w:w="4720" w:type="dxa"/>
            <w:vAlign w:val="bottom"/>
          </w:tcPr>
          <w:p>
            <w:pPr>
              <w:ind w:left="20"/>
              <w:spacing w:after="0"/>
              <w:rPr>
                <w:sz w:val="20"/>
                <w:szCs w:val="20"/>
                <w:color w:val="auto"/>
              </w:rPr>
            </w:pPr>
            <w:r>
              <w:rPr>
                <w:rFonts w:ascii="Arial" w:cs="Arial" w:eastAsia="Arial" w:hAnsi="Arial"/>
                <w:sz w:val="13"/>
                <w:szCs w:val="13"/>
                <w:b w:val="1"/>
                <w:bCs w:val="1"/>
                <w:color w:val="auto"/>
              </w:rPr>
              <w:t>(In thousands, except share and per share data)</w:t>
            </w: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10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7"/>
                <w:szCs w:val="17"/>
                <w:color w:val="auto"/>
              </w:rPr>
            </w:pPr>
          </w:p>
        </w:tc>
      </w:tr>
      <w:tr>
        <w:trPr>
          <w:trHeight w:val="202"/>
        </w:trPr>
        <w:tc>
          <w:tcPr>
            <w:tcW w:w="47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Revenue, net:</w:t>
            </w:r>
          </w:p>
        </w:tc>
        <w:tc>
          <w:tcPr>
            <w:tcW w:w="10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r>
      <w:tr>
        <w:trPr>
          <w:trHeight w:val="197"/>
        </w:trPr>
        <w:tc>
          <w:tcPr>
            <w:tcW w:w="4720" w:type="dxa"/>
            <w:vAlign w:val="bottom"/>
          </w:tcPr>
          <w:p>
            <w:pPr>
              <w:ind w:left="120"/>
              <w:spacing w:after="0"/>
              <w:rPr>
                <w:sz w:val="20"/>
                <w:szCs w:val="20"/>
                <w:color w:val="auto"/>
              </w:rPr>
            </w:pPr>
            <w:r>
              <w:rPr>
                <w:rFonts w:ascii="Arial" w:cs="Arial" w:eastAsia="Arial" w:hAnsi="Arial"/>
                <w:sz w:val="14"/>
                <w:szCs w:val="14"/>
                <w:color w:val="auto"/>
              </w:rPr>
              <w:t>Product</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32,191</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23,153</w:t>
            </w:r>
          </w:p>
        </w:tc>
        <w:tc>
          <w:tcPr>
            <w:tcW w:w="10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83,567</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56,688</w:t>
            </w:r>
          </w:p>
        </w:tc>
      </w:tr>
      <w:tr>
        <w:trPr>
          <w:trHeight w:val="203"/>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Service</w:t>
            </w:r>
          </w:p>
        </w:tc>
        <w:tc>
          <w:tcPr>
            <w:tcW w:w="10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2,185</w:t>
            </w: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1,943</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5,489</w:t>
            </w:r>
          </w:p>
        </w:tc>
        <w:tc>
          <w:tcPr>
            <w:tcW w:w="10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5,532</w:t>
            </w:r>
          </w:p>
        </w:tc>
      </w:tr>
      <w:tr>
        <w:trPr>
          <w:trHeight w:val="196"/>
        </w:trPr>
        <w:tc>
          <w:tcPr>
            <w:tcW w:w="4720" w:type="dxa"/>
            <w:vAlign w:val="bottom"/>
          </w:tcPr>
          <w:p>
            <w:pPr>
              <w:ind w:left="160"/>
              <w:spacing w:after="0"/>
              <w:rPr>
                <w:sz w:val="20"/>
                <w:szCs w:val="20"/>
                <w:color w:val="auto"/>
              </w:rPr>
            </w:pPr>
            <w:r>
              <w:rPr>
                <w:rFonts w:ascii="Arial" w:cs="Arial" w:eastAsia="Arial" w:hAnsi="Arial"/>
                <w:sz w:val="14"/>
                <w:szCs w:val="14"/>
                <w:color w:val="auto"/>
              </w:rPr>
              <w:t>Total revenue, net</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34,376</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25,096</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89,056</w:t>
            </w: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62,220</w:t>
            </w:r>
          </w:p>
        </w:tc>
      </w:tr>
      <w:tr>
        <w:trPr>
          <w:trHeight w:val="202"/>
        </w:trPr>
        <w:tc>
          <w:tcPr>
            <w:tcW w:w="4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sales:</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r>
      <w:tr>
        <w:trPr>
          <w:trHeight w:val="197"/>
        </w:trPr>
        <w:tc>
          <w:tcPr>
            <w:tcW w:w="4720" w:type="dxa"/>
            <w:vAlign w:val="bottom"/>
          </w:tcPr>
          <w:p>
            <w:pPr>
              <w:ind w:left="120"/>
              <w:spacing w:after="0"/>
              <w:rPr>
                <w:sz w:val="20"/>
                <w:szCs w:val="20"/>
                <w:color w:val="auto"/>
              </w:rPr>
            </w:pPr>
            <w:r>
              <w:rPr>
                <w:rFonts w:ascii="Arial" w:cs="Arial" w:eastAsia="Arial" w:hAnsi="Arial"/>
                <w:sz w:val="14"/>
                <w:szCs w:val="14"/>
                <w:color w:val="auto"/>
              </w:rPr>
              <w:t>Product</w:t>
            </w:r>
          </w:p>
        </w:tc>
        <w:tc>
          <w:tcPr>
            <w:tcW w:w="102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10,024</w:t>
            </w:r>
          </w:p>
        </w:tc>
        <w:tc>
          <w:tcPr>
            <w:tcW w:w="110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7,556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25,264</w:t>
            </w:r>
          </w:p>
        </w:tc>
        <w:tc>
          <w:tcPr>
            <w:tcW w:w="106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23,644</w:t>
            </w:r>
          </w:p>
        </w:tc>
      </w:tr>
      <w:tr>
        <w:trPr>
          <w:trHeight w:val="203"/>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Service</w:t>
            </w:r>
          </w:p>
        </w:tc>
        <w:tc>
          <w:tcPr>
            <w:tcW w:w="10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3,075</w:t>
            </w: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1,924</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8,284</w:t>
            </w:r>
          </w:p>
        </w:tc>
        <w:tc>
          <w:tcPr>
            <w:tcW w:w="10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6,315</w:t>
            </w:r>
          </w:p>
        </w:tc>
      </w:tr>
      <w:tr>
        <w:trPr>
          <w:trHeight w:val="196"/>
        </w:trPr>
        <w:tc>
          <w:tcPr>
            <w:tcW w:w="4720" w:type="dxa"/>
            <w:vAlign w:val="bottom"/>
          </w:tcPr>
          <w:p>
            <w:pPr>
              <w:ind w:left="160"/>
              <w:spacing w:after="0"/>
              <w:rPr>
                <w:sz w:val="20"/>
                <w:szCs w:val="20"/>
                <w:color w:val="auto"/>
              </w:rPr>
            </w:pPr>
            <w:r>
              <w:rPr>
                <w:rFonts w:ascii="Arial" w:cs="Arial" w:eastAsia="Arial" w:hAnsi="Arial"/>
                <w:sz w:val="14"/>
                <w:szCs w:val="14"/>
                <w:color w:val="auto"/>
              </w:rPr>
              <w:t>Total cost of sales</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13,099</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9,480</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33,548</w:t>
            </w: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29,959</w:t>
            </w:r>
          </w:p>
        </w:tc>
      </w:tr>
      <w:tr>
        <w:trPr>
          <w:trHeight w:val="202"/>
        </w:trPr>
        <w:tc>
          <w:tcPr>
            <w:tcW w:w="4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Gross profit</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21,277</w:t>
            </w: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15,616</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55,508</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93"/>
              </w:rPr>
              <w:t>32,261</w:t>
            </w:r>
          </w:p>
        </w:tc>
      </w:tr>
      <w:tr>
        <w:trPr>
          <w:trHeight w:val="196"/>
        </w:trPr>
        <w:tc>
          <w:tcPr>
            <w:tcW w:w="47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9"/>
        </w:trPr>
        <w:tc>
          <w:tcPr>
            <w:tcW w:w="4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Research and development</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6,078</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3,376</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17,366</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9,308</w:t>
            </w:r>
          </w:p>
        </w:tc>
      </w:tr>
      <w:tr>
        <w:trPr>
          <w:trHeight w:val="196"/>
        </w:trPr>
        <w:tc>
          <w:tcPr>
            <w:tcW w:w="472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102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6,553</w:t>
            </w:r>
          </w:p>
        </w:tc>
        <w:tc>
          <w:tcPr>
            <w:tcW w:w="110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3,838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16,406</w:t>
            </w:r>
          </w:p>
        </w:tc>
        <w:tc>
          <w:tcPr>
            <w:tcW w:w="106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10,428</w:t>
            </w:r>
          </w:p>
        </w:tc>
      </w:tr>
      <w:tr>
        <w:trPr>
          <w:trHeight w:val="203"/>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General and administrative</w:t>
            </w:r>
          </w:p>
        </w:tc>
        <w:tc>
          <w:tcPr>
            <w:tcW w:w="10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5,749</w:t>
            </w: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1,691</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13,896</w:t>
            </w:r>
          </w:p>
        </w:tc>
        <w:tc>
          <w:tcPr>
            <w:tcW w:w="10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6,742</w:t>
            </w:r>
          </w:p>
        </w:tc>
      </w:tr>
      <w:tr>
        <w:trPr>
          <w:trHeight w:val="196"/>
        </w:trPr>
        <w:tc>
          <w:tcPr>
            <w:tcW w:w="4720" w:type="dxa"/>
            <w:vAlign w:val="bottom"/>
          </w:tcPr>
          <w:p>
            <w:pPr>
              <w:ind w:left="16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18,380</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8,905</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47,668</w:t>
            </w: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3"/>
              </w:rPr>
              <w:t>26,478</w:t>
            </w:r>
          </w:p>
        </w:tc>
      </w:tr>
      <w:tr>
        <w:trPr>
          <w:trHeight w:val="202"/>
        </w:trPr>
        <w:tc>
          <w:tcPr>
            <w:tcW w:w="47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Income (loss) from operations</w:t>
            </w:r>
          </w:p>
        </w:tc>
        <w:tc>
          <w:tcPr>
            <w:tcW w:w="10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2,897</w:t>
            </w:r>
          </w:p>
        </w:tc>
        <w:tc>
          <w:tcPr>
            <w:tcW w:w="110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6,711</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7,840</w:t>
            </w:r>
          </w:p>
        </w:tc>
        <w:tc>
          <w:tcPr>
            <w:tcW w:w="106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5,783</w:t>
            </w:r>
          </w:p>
        </w:tc>
      </w:tr>
      <w:tr>
        <w:trPr>
          <w:trHeight w:val="197"/>
        </w:trPr>
        <w:tc>
          <w:tcPr>
            <w:tcW w:w="47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8"/>
        </w:trPr>
        <w:tc>
          <w:tcPr>
            <w:tcW w:w="47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expense</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(441 )</w:t>
            </w:r>
          </w:p>
        </w:tc>
        <w:tc>
          <w:tcPr>
            <w:tcW w:w="11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(1,249 )</w:t>
            </w:r>
          </w:p>
        </w:tc>
        <w:tc>
          <w:tcPr>
            <w:tcW w:w="106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(3 )</w:t>
            </w:r>
          </w:p>
        </w:tc>
      </w:tr>
      <w:tr>
        <w:trPr>
          <w:trHeight w:val="197"/>
        </w:trPr>
        <w:tc>
          <w:tcPr>
            <w:tcW w:w="472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1020" w:type="dxa"/>
            <w:vAlign w:val="bottom"/>
          </w:tcPr>
          <w:p>
            <w:pPr>
              <w:spacing w:after="0"/>
              <w:rPr>
                <w:sz w:val="17"/>
                <w:szCs w:val="17"/>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100" w:type="dxa"/>
            <w:vAlign w:val="bottom"/>
          </w:tcPr>
          <w:p>
            <w:pPr>
              <w:spacing w:after="0"/>
              <w:rPr>
                <w:sz w:val="17"/>
                <w:szCs w:val="17"/>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06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105</w:t>
            </w:r>
          </w:p>
        </w:tc>
      </w:tr>
      <w:tr>
        <w:trPr>
          <w:trHeight w:val="203"/>
        </w:trPr>
        <w:tc>
          <w:tcPr>
            <w:tcW w:w="47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4"/>
                <w:szCs w:val="14"/>
                <w:color w:val="auto"/>
              </w:rPr>
              <w:t>Other income (expense), net</w:t>
            </w:r>
          </w:p>
        </w:tc>
        <w:tc>
          <w:tcPr>
            <w:tcW w:w="10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(393 )</w:t>
            </w: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(1,128 )</w:t>
            </w:r>
          </w:p>
        </w:tc>
        <w:tc>
          <w:tcPr>
            <w:tcW w:w="10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543</w:t>
            </w:r>
          </w:p>
        </w:tc>
      </w:tr>
      <w:tr>
        <w:trPr>
          <w:trHeight w:val="196"/>
        </w:trPr>
        <w:tc>
          <w:tcPr>
            <w:tcW w:w="472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2,075</w:t>
            </w:r>
          </w:p>
        </w:tc>
        <w:tc>
          <w:tcPr>
            <w:tcW w:w="1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6,897</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5,494</w:t>
            </w:r>
          </w:p>
        </w:tc>
        <w:tc>
          <w:tcPr>
            <w:tcW w:w="10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6,428</w:t>
            </w:r>
          </w:p>
        </w:tc>
      </w:tr>
      <w:tr>
        <w:trPr>
          <w:trHeight w:val="196"/>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0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655</w:t>
            </w: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1,302</w:t>
            </w:r>
          </w:p>
        </w:tc>
        <w:tc>
          <w:tcPr>
            <w:tcW w:w="10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(7,384 )</w:t>
            </w:r>
          </w:p>
        </w:tc>
      </w:tr>
      <w:tr>
        <w:trPr>
          <w:trHeight w:val="196"/>
        </w:trPr>
        <w:tc>
          <w:tcPr>
            <w:tcW w:w="472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1,420</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6,540</w:t>
            </w:r>
          </w:p>
        </w:tc>
        <w:tc>
          <w:tcPr>
            <w:tcW w:w="10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4,192</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13,812</w:t>
            </w:r>
          </w:p>
        </w:tc>
      </w:tr>
      <w:tr>
        <w:trPr>
          <w:trHeight w:val="203"/>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Foreign currency translation adjustment, net of tax</w:t>
            </w:r>
          </w:p>
        </w:tc>
        <w:tc>
          <w:tcPr>
            <w:tcW w:w="10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w:t>
            </w:r>
          </w:p>
        </w:tc>
        <w:tc>
          <w:tcPr>
            <w:tcW w:w="1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505</w:t>
            </w:r>
          </w:p>
        </w:tc>
        <w:tc>
          <w:tcPr>
            <w:tcW w:w="10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49</w:t>
            </w:r>
          </w:p>
        </w:tc>
      </w:tr>
      <w:tr>
        <w:trPr>
          <w:trHeight w:val="202"/>
        </w:trPr>
        <w:tc>
          <w:tcPr>
            <w:tcW w:w="4720" w:type="dxa"/>
            <w:vAlign w:val="bottom"/>
          </w:tcPr>
          <w:p>
            <w:pPr>
              <w:ind w:left="240"/>
              <w:spacing w:after="0"/>
              <w:rPr>
                <w:sz w:val="20"/>
                <w:szCs w:val="20"/>
                <w:color w:val="auto"/>
              </w:rPr>
            </w:pPr>
            <w:r>
              <w:rPr>
                <w:rFonts w:ascii="Arial" w:cs="Arial" w:eastAsia="Arial" w:hAnsi="Arial"/>
                <w:sz w:val="14"/>
                <w:szCs w:val="14"/>
                <w:color w:val="auto"/>
              </w:rPr>
              <w:t>Net comprehensive income</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1,454</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6,685</w:t>
            </w:r>
          </w:p>
        </w:tc>
        <w:tc>
          <w:tcPr>
            <w:tcW w:w="1020" w:type="dxa"/>
            <w:vAlign w:val="bottom"/>
            <w:gridSpan w:val="2"/>
          </w:tcPr>
          <w:p>
            <w:pPr>
              <w:jc w:val="right"/>
              <w:ind w:right="7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4,697</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w w:val="93"/>
              </w:rPr>
              <w:t>13,861</w:t>
            </w:r>
          </w:p>
        </w:tc>
      </w:tr>
      <w:tr>
        <w:trPr>
          <w:trHeight w:val="20"/>
        </w:trPr>
        <w:tc>
          <w:tcPr>
            <w:tcW w:w="4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-2807970</wp:posOffset>
            </wp:positionV>
            <wp:extent cx="5969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-2276475</wp:posOffset>
            </wp:positionV>
            <wp:extent cx="5969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-1487805</wp:posOffset>
            </wp:positionV>
            <wp:extent cx="5969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-699135</wp:posOffset>
            </wp:positionV>
            <wp:extent cx="5969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-424815</wp:posOffset>
            </wp:positionV>
            <wp:extent cx="5969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-159385</wp:posOffset>
            </wp:positionV>
            <wp:extent cx="5969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53" w:lineRule="exact"/>
        <w:rPr>
          <w:sz w:val="20"/>
          <w:szCs w:val="20"/>
          <w:color w:val="auto"/>
        </w:rPr>
      </w:pPr>
    </w:p>
    <w:p>
      <w:pPr>
        <w:ind w:left="1060"/>
        <w:spacing w:after="0"/>
        <w:rPr>
          <w:sz w:val="20"/>
          <w:szCs w:val="20"/>
          <w:color w:val="auto"/>
        </w:rPr>
      </w:pPr>
      <w:r>
        <w:rPr>
          <w:rFonts w:ascii="Arial" w:cs="Arial" w:eastAsia="Arial" w:hAnsi="Arial"/>
          <w:sz w:val="14"/>
          <w:szCs w:val="14"/>
          <w:b w:val="1"/>
          <w:bCs w:val="1"/>
          <w:i w:val="1"/>
          <w:iCs w:val="1"/>
          <w:color w:val="auto"/>
        </w:rPr>
        <w:t>Total revenue, net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91"/>
              </w:rPr>
              <w:t>Three months ended September 30,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w w:val="91"/>
              </w:rPr>
              <w:t>Nine months ended September 30,</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r>
      <w:tr>
        <w:trPr>
          <w:trHeight w:val="197"/>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8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 net</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r>
      <w:tr>
        <w:trPr>
          <w:trHeight w:val="197"/>
        </w:trPr>
        <w:tc>
          <w:tcPr>
            <w:tcW w:w="2840" w:type="dxa"/>
            <w:vAlign w:val="bottom"/>
          </w:tcPr>
          <w:p>
            <w:pPr>
              <w:ind w:left="120"/>
              <w:spacing w:after="0"/>
              <w:rPr>
                <w:sz w:val="20"/>
                <w:szCs w:val="20"/>
                <w:color w:val="auto"/>
              </w:rPr>
            </w:pPr>
            <w:r>
              <w:rPr>
                <w:rFonts w:ascii="Arial" w:cs="Arial" w:eastAsia="Arial" w:hAnsi="Arial"/>
                <w:sz w:val="14"/>
                <w:szCs w:val="14"/>
                <w:color w:val="auto"/>
              </w:rPr>
              <w:t>Product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32,191</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23,153</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9,038</w:t>
            </w:r>
          </w:p>
        </w:tc>
        <w:tc>
          <w:tcPr>
            <w:tcW w:w="580" w:type="dxa"/>
            <w:vAlign w:val="bottom"/>
          </w:tcPr>
          <w:p>
            <w:pPr>
              <w:jc w:val="right"/>
              <w:spacing w:after="0"/>
              <w:rPr>
                <w:sz w:val="20"/>
                <w:szCs w:val="20"/>
                <w:color w:val="auto"/>
              </w:rPr>
            </w:pPr>
            <w:r>
              <w:rPr>
                <w:rFonts w:ascii="Arial" w:cs="Arial" w:eastAsia="Arial" w:hAnsi="Arial"/>
                <w:sz w:val="14"/>
                <w:szCs w:val="14"/>
                <w:color w:val="auto"/>
              </w:rPr>
              <w:t>39 %</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83,567</w:t>
            </w:r>
          </w:p>
        </w:tc>
        <w:tc>
          <w:tcPr>
            <w:tcW w:w="3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56,688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26,879</w:t>
            </w:r>
          </w:p>
        </w:tc>
        <w:tc>
          <w:tcPr>
            <w:tcW w:w="580" w:type="dxa"/>
            <w:vAlign w:val="bottom"/>
          </w:tcPr>
          <w:p>
            <w:pPr>
              <w:jc w:val="right"/>
              <w:spacing w:after="0"/>
              <w:rPr>
                <w:sz w:val="20"/>
                <w:szCs w:val="20"/>
                <w:color w:val="auto"/>
              </w:rPr>
            </w:pPr>
            <w:r>
              <w:rPr>
                <w:rFonts w:ascii="Arial" w:cs="Arial" w:eastAsia="Arial" w:hAnsi="Arial"/>
                <w:sz w:val="14"/>
                <w:szCs w:val="14"/>
                <w:color w:val="auto"/>
              </w:rPr>
              <w:t>47 %</w:t>
            </w:r>
          </w:p>
        </w:tc>
      </w:tr>
      <w:tr>
        <w:trPr>
          <w:trHeight w:val="203"/>
        </w:trPr>
        <w:tc>
          <w:tcPr>
            <w:tcW w:w="28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Service</w:t>
            </w:r>
          </w:p>
        </w:tc>
        <w:tc>
          <w:tcPr>
            <w:tcW w:w="1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2,185</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1,943</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242</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12 %</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5,489</w:t>
            </w: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5,532</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(43 )</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-1 %</w:t>
            </w:r>
          </w:p>
        </w:tc>
      </w:tr>
      <w:tr>
        <w:trPr>
          <w:trHeight w:val="196"/>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revenue,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34,376</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25,096</w:t>
            </w:r>
          </w:p>
        </w:tc>
        <w:tc>
          <w:tcPr>
            <w:tcW w:w="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9,280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37 %</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89,056</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62,220</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26,836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-142240</wp:posOffset>
            </wp:positionV>
            <wp:extent cx="5143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-142240</wp:posOffset>
            </wp:positionV>
            <wp:extent cx="857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-142240</wp:posOffset>
            </wp:positionV>
            <wp:extent cx="431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0"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Total revenue, net increased by $9.3 million, or 37%, for the three months ended September 30, 2021 as compared to the three months ended September 30, 2020. Total revenue, net increased by $26.8 million, or 43%, for the nine months ended September 30, 2021 as compared to the nine months ended September 30, 2020. The increase in revenue was primarily driven by an increase in product revenue due to higher unit sales of our Aurora, Aurora Cell Sorter, and Northern Lights systems and an increase in the average blended selling price due to product mix.</w:t>
      </w:r>
    </w:p>
    <w:p>
      <w:pPr>
        <w:spacing w:after="0" w:line="11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Product revenue increased by $9.0 million, or 39%, to $32.2 million, for the three months ended September 30, 2021 as compared to the three months ended September 30, 2020. Product revenue increased by $26.9 million, or 47%, to $83.6 million, for the nine months ended September 30, 2021 as compared to the nine months ended September 30, 2020. The increase was primarily driven by an increase in our instrument sales due to higher unit sales of our Aurora, Aurora Cell Sorter, and Northern Lights systems and an increase in the average blended selling price due to product mix.</w:t>
      </w:r>
    </w:p>
    <w:p>
      <w:pPr>
        <w:spacing w:after="0" w:line="1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Service revenue increased by $242,000, or 12%, to $2.2 million, for the three months ended September 30, 2021 as compared to the three months ended September 30, 2020. Service revenue decreased by $43,000, or 1%, to $5.5 million, for the nine months ended September 30, 2021 as compared to the nine months ended September 30, 2020. The increase in service revenue for the three months ended September 30, 2021 was related primarily to instruments coming off warranty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jc w:val="both"/>
        <w:spacing w:after="0" w:line="267" w:lineRule="auto"/>
        <w:rPr>
          <w:sz w:val="20"/>
          <w:szCs w:val="20"/>
          <w:color w:val="auto"/>
        </w:rPr>
      </w:pPr>
      <w:r>
        <w:rPr>
          <w:rFonts w:ascii="Arial" w:cs="Arial" w:eastAsia="Arial" w:hAnsi="Arial"/>
          <w:sz w:val="14"/>
          <w:szCs w:val="14"/>
          <w:color w:val="auto"/>
        </w:rPr>
        <w:t>transitioning to service contracts. The decrease in service revenue for the nine months ended September 30, 2021 was driven by reduced service contract revenue associated with non-Cytek instruments. While we have historically performed maintenance services and support functions for non-Cytek instruments, we ceased sales of service contracts for non-Cytek instruments as of January 1, 2021 while continuing to honor pre-existing multi-year service contracts. We perform on-demand professional services to support non-Cytek instruments provided that resources are available. As a result of our decision to no longer service non-Cytek instruments, revenue associated with service contracts for non-Cytek instruments decreased in the nine months ended September 30, 2021. Our strategy was to shift resources in anticipation of the increasing demand for our Aurora and Northern Lights instruments, and to allow us to fully support our instruments when they come out of warranty.</w:t>
      </w:r>
    </w:p>
    <w:p>
      <w:pPr>
        <w:spacing w:after="0" w:line="30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Total cost of sales, gross profit and gross margin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91"/>
              </w:rPr>
              <w:t>Three months ended September 30,</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w w:val="90"/>
              </w:rPr>
              <w:t>Nine months ended September 30,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r>
      <w:tr>
        <w:trPr>
          <w:trHeight w:val="196"/>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Cost of sales:</w:t>
            </w: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r>
      <w:tr>
        <w:trPr>
          <w:trHeight w:val="197"/>
        </w:trPr>
        <w:tc>
          <w:tcPr>
            <w:tcW w:w="2800" w:type="dxa"/>
            <w:vAlign w:val="bottom"/>
          </w:tcPr>
          <w:p>
            <w:pPr>
              <w:ind w:left="120"/>
              <w:spacing w:after="0"/>
              <w:rPr>
                <w:sz w:val="20"/>
                <w:szCs w:val="20"/>
                <w:color w:val="auto"/>
              </w:rPr>
            </w:pPr>
            <w:r>
              <w:rPr>
                <w:rFonts w:ascii="Arial" w:cs="Arial" w:eastAsia="Arial" w:hAnsi="Arial"/>
                <w:sz w:val="14"/>
                <w:szCs w:val="14"/>
                <w:color w:val="auto"/>
              </w:rPr>
              <w:t>Product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10,024</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7,556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2,468</w:t>
            </w:r>
          </w:p>
        </w:tc>
        <w:tc>
          <w:tcPr>
            <w:tcW w:w="580" w:type="dxa"/>
            <w:vAlign w:val="bottom"/>
          </w:tcPr>
          <w:p>
            <w:pPr>
              <w:jc w:val="right"/>
              <w:spacing w:after="0"/>
              <w:rPr>
                <w:sz w:val="20"/>
                <w:szCs w:val="20"/>
                <w:color w:val="auto"/>
              </w:rPr>
            </w:pPr>
            <w:r>
              <w:rPr>
                <w:rFonts w:ascii="Arial" w:cs="Arial" w:eastAsia="Arial" w:hAnsi="Arial"/>
                <w:sz w:val="14"/>
                <w:szCs w:val="14"/>
                <w:color w:val="auto"/>
              </w:rPr>
              <w:t>33 %</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25,264</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23,644</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1,620</w:t>
            </w:r>
          </w:p>
        </w:tc>
        <w:tc>
          <w:tcPr>
            <w:tcW w:w="58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203"/>
        </w:trPr>
        <w:tc>
          <w:tcPr>
            <w:tcW w:w="2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Service</w:t>
            </w:r>
          </w:p>
        </w:tc>
        <w:tc>
          <w:tcPr>
            <w:tcW w:w="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3,075</w:t>
            </w: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1,924</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1,151</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60 %</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8,284</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6,315</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1,969</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31 %</w:t>
            </w: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color w:val="auto"/>
              </w:rPr>
              <w:t>Total cost of sales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13,099</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9,480</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3,619</w:t>
            </w:r>
          </w:p>
        </w:tc>
        <w:tc>
          <w:tcPr>
            <w:tcW w:w="580" w:type="dxa"/>
            <w:vAlign w:val="bottom"/>
          </w:tcPr>
          <w:p>
            <w:pPr>
              <w:jc w:val="right"/>
              <w:spacing w:after="0"/>
              <w:rPr>
                <w:sz w:val="20"/>
                <w:szCs w:val="20"/>
                <w:color w:val="auto"/>
              </w:rPr>
            </w:pPr>
            <w:r>
              <w:rPr>
                <w:rFonts w:ascii="Arial" w:cs="Arial" w:eastAsia="Arial" w:hAnsi="Arial"/>
                <w:sz w:val="14"/>
                <w:szCs w:val="14"/>
                <w:color w:val="auto"/>
              </w:rPr>
              <w:t>38 %</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33,548</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29,959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3,589</w:t>
            </w:r>
          </w:p>
        </w:tc>
        <w:tc>
          <w:tcPr>
            <w:tcW w:w="58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209"/>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profit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21,277</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15,616</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5,661</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36 %</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55,508</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32,261</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23,247</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72 %</w:t>
            </w:r>
          </w:p>
        </w:tc>
      </w:tr>
      <w:tr>
        <w:trPr>
          <w:trHeight w:val="196"/>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Gross margin</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62 %</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62 %</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62 %</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-399415</wp:posOffset>
            </wp:positionV>
            <wp:extent cx="5143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-399415</wp:posOffset>
            </wp:positionV>
            <wp:extent cx="857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-399415</wp:posOffset>
            </wp:positionV>
            <wp:extent cx="431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Total cost of sales increased by $3.6 million, or 38%, for the three months ended September 30, 2021 as compared to the three months ended September 30, 2020 and increased by $3.6 million, or 12%, for the nine months ended September 30, 2021 as compared to the nine months ended September 30, 2020. This is primarily due to more instruments shipped and increased service headcount, offset by lower inventory write-downs as a result of operational efficiencies.</w:t>
      </w:r>
    </w:p>
    <w:p>
      <w:pPr>
        <w:spacing w:after="0" w:line="185"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4"/>
          <w:szCs w:val="14"/>
          <w:color w:val="auto"/>
        </w:rPr>
        <w:t>Gross profit margin was 62% as a percent of total revenue for the three months ended September 30, 2021 and 2020, and improved 1,000 basis point to 62% from 52% as a percent of total revenue for the nine months ended September 30, 2021 and 2020, respectively. The increase is primarily due to an increase of core instruments delivered to customers, an increase in the average blended selling price, lower inventory write-downs, and an improved product mix for the three and nine months ended September 30, 2021.</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91"/>
              </w:rPr>
              <w:t>Three months ended September 30,</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90"/>
              </w:rPr>
              <w:t>Nine months ended September 30,</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Borders>
              <w:bottom w:val="single" w:sz="8" w:color="auto"/>
            </w:tcBorders>
          </w:tcPr>
          <w:p>
            <w:pPr>
              <w:spacing w:after="0"/>
              <w:rPr>
                <w:sz w:val="16"/>
                <w:szCs w:val="16"/>
                <w:color w:val="auto"/>
              </w:rPr>
            </w:pPr>
          </w:p>
        </w:tc>
      </w:tr>
      <w:tr>
        <w:trPr>
          <w:trHeight w:val="196"/>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Product:</w:t>
            </w:r>
          </w:p>
        </w:tc>
        <w:tc>
          <w:tcPr>
            <w:tcW w:w="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r>
      <w:tr>
        <w:trPr>
          <w:trHeight w:val="197"/>
        </w:trPr>
        <w:tc>
          <w:tcPr>
            <w:tcW w:w="2800" w:type="dxa"/>
            <w:vAlign w:val="bottom"/>
          </w:tcPr>
          <w:p>
            <w:pPr>
              <w:ind w:left="120"/>
              <w:spacing w:after="0"/>
              <w:rPr>
                <w:sz w:val="20"/>
                <w:szCs w:val="20"/>
                <w:color w:val="auto"/>
              </w:rPr>
            </w:pPr>
            <w:r>
              <w:rPr>
                <w:rFonts w:ascii="Arial" w:cs="Arial" w:eastAsia="Arial" w:hAnsi="Arial"/>
                <w:sz w:val="14"/>
                <w:szCs w:val="14"/>
                <w:color w:val="auto"/>
              </w:rPr>
              <w:t>Revenue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32,191</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23,153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9,038</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39 %</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83,567</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56,688</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26,879</w:t>
            </w:r>
          </w:p>
        </w:tc>
        <w:tc>
          <w:tcPr>
            <w:tcW w:w="580" w:type="dxa"/>
            <w:vAlign w:val="bottom"/>
          </w:tcPr>
          <w:p>
            <w:pPr>
              <w:jc w:val="right"/>
              <w:spacing w:after="0"/>
              <w:rPr>
                <w:sz w:val="20"/>
                <w:szCs w:val="20"/>
                <w:color w:val="auto"/>
              </w:rPr>
            </w:pPr>
            <w:r>
              <w:rPr>
                <w:rFonts w:ascii="Arial" w:cs="Arial" w:eastAsia="Arial" w:hAnsi="Arial"/>
                <w:sz w:val="14"/>
                <w:szCs w:val="14"/>
                <w:color w:val="auto"/>
              </w:rPr>
              <w:t>47 %</w:t>
            </w:r>
          </w:p>
        </w:tc>
      </w:tr>
      <w:tr>
        <w:trPr>
          <w:trHeight w:val="203"/>
        </w:trPr>
        <w:tc>
          <w:tcPr>
            <w:tcW w:w="2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Cost of sales</w:t>
            </w:r>
          </w:p>
        </w:tc>
        <w:tc>
          <w:tcPr>
            <w:tcW w:w="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10,024</w:t>
            </w: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7,556</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2,468</w:t>
            </w:r>
          </w:p>
        </w:tc>
        <w:tc>
          <w:tcPr>
            <w:tcW w:w="60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33 %</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rPr>
              <w:t>25,264</w:t>
            </w: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23,644</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1,620</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7 %</w:t>
            </w:r>
          </w:p>
        </w:tc>
      </w:tr>
      <w:tr>
        <w:trPr>
          <w:trHeight w:val="196"/>
        </w:trPr>
        <w:tc>
          <w:tcPr>
            <w:tcW w:w="2800" w:type="dxa"/>
            <w:vAlign w:val="bottom"/>
          </w:tcPr>
          <w:p>
            <w:pPr>
              <w:ind w:left="20"/>
              <w:spacing w:after="0"/>
              <w:rPr>
                <w:sz w:val="20"/>
                <w:szCs w:val="20"/>
                <w:color w:val="auto"/>
              </w:rPr>
            </w:pPr>
            <w:r>
              <w:rPr>
                <w:rFonts w:ascii="Arial" w:cs="Arial" w:eastAsia="Arial" w:hAnsi="Arial"/>
                <w:sz w:val="14"/>
                <w:szCs w:val="14"/>
                <w:color w:val="auto"/>
              </w:rPr>
              <w:t>Product gross profit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22,167</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15,597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6,570</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42 %</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58,303</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33,044</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68"/>
              <w:spacing w:after="0"/>
              <w:rPr>
                <w:sz w:val="20"/>
                <w:szCs w:val="20"/>
                <w:color w:val="auto"/>
              </w:rPr>
            </w:pPr>
            <w:r>
              <w:rPr>
                <w:rFonts w:ascii="Arial" w:cs="Arial" w:eastAsia="Arial" w:hAnsi="Arial"/>
                <w:sz w:val="14"/>
                <w:szCs w:val="14"/>
                <w:color w:val="auto"/>
              </w:rPr>
              <w:t>25,258</w:t>
            </w:r>
          </w:p>
        </w:tc>
        <w:tc>
          <w:tcPr>
            <w:tcW w:w="580" w:type="dxa"/>
            <w:vAlign w:val="bottom"/>
          </w:tcPr>
          <w:p>
            <w:pPr>
              <w:jc w:val="right"/>
              <w:spacing w:after="0"/>
              <w:rPr>
                <w:sz w:val="20"/>
                <w:szCs w:val="20"/>
                <w:color w:val="auto"/>
              </w:rPr>
            </w:pPr>
            <w:r>
              <w:rPr>
                <w:rFonts w:ascii="Arial" w:cs="Arial" w:eastAsia="Arial" w:hAnsi="Arial"/>
                <w:sz w:val="14"/>
                <w:szCs w:val="14"/>
                <w:color w:val="auto"/>
              </w:rPr>
              <w:t>76 %</w:t>
            </w:r>
          </w:p>
        </w:tc>
      </w:tr>
      <w:tr>
        <w:trPr>
          <w:trHeight w:val="208"/>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Gross margin</w:t>
            </w:r>
          </w:p>
        </w:tc>
        <w:tc>
          <w:tcPr>
            <w:tcW w:w="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69 %</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67 %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70 %</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58 %</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r>
      <w:tr>
        <w:trPr>
          <w:trHeight w:val="399"/>
        </w:trPr>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Service:</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8"/>
        </w:trPr>
        <w:tc>
          <w:tcPr>
            <w:tcW w:w="28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Revenue</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2,185</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1,943</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242</w:t>
            </w:r>
          </w:p>
        </w:tc>
        <w:tc>
          <w:tcPr>
            <w:tcW w:w="6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5,489</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5,532</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(43 )</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-1 %</w:t>
            </w:r>
          </w:p>
        </w:tc>
      </w:tr>
      <w:tr>
        <w:trPr>
          <w:trHeight w:val="197"/>
        </w:trPr>
        <w:tc>
          <w:tcPr>
            <w:tcW w:w="2800" w:type="dxa"/>
            <w:vAlign w:val="bottom"/>
          </w:tcPr>
          <w:p>
            <w:pPr>
              <w:ind w:left="120"/>
              <w:spacing w:after="0"/>
              <w:rPr>
                <w:sz w:val="20"/>
                <w:szCs w:val="20"/>
                <w:color w:val="auto"/>
              </w:rPr>
            </w:pPr>
            <w:r>
              <w:rPr>
                <w:rFonts w:ascii="Arial" w:cs="Arial" w:eastAsia="Arial" w:hAnsi="Arial"/>
                <w:sz w:val="14"/>
                <w:szCs w:val="14"/>
                <w:color w:val="auto"/>
              </w:rPr>
              <w:t>Cost of sales</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3,075</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1,924</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1,151</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60 %</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8,284</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6,315</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1,969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31 %</w:t>
            </w:r>
          </w:p>
        </w:tc>
      </w:tr>
      <w:tr>
        <w:trPr>
          <w:trHeight w:val="202"/>
        </w:trPr>
        <w:tc>
          <w:tcPr>
            <w:tcW w:w="2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Service gross profit</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(890 )</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19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(909 )</w:t>
            </w:r>
          </w:p>
        </w:tc>
        <w:tc>
          <w:tcPr>
            <w:tcW w:w="6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95"/>
              </w:rPr>
              <w:t>-4784 %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(2,795 )</w:t>
            </w:r>
          </w:p>
        </w:tc>
        <w:tc>
          <w:tcPr>
            <w:tcW w:w="2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(783 )</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(2,012 )</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257 %</w:t>
            </w:r>
          </w:p>
        </w:tc>
      </w:tr>
      <w:tr>
        <w:trPr>
          <w:trHeight w:val="197"/>
        </w:trPr>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Gross margin</w:t>
            </w:r>
          </w:p>
        </w:tc>
        <w:tc>
          <w:tcPr>
            <w:tcW w:w="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1 %</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-51 %</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-14 %</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-1050925</wp:posOffset>
            </wp:positionV>
            <wp:extent cx="5143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-1050925</wp:posOffset>
            </wp:positionV>
            <wp:extent cx="857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-1050925</wp:posOffset>
            </wp:positionV>
            <wp:extent cx="431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3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While we have seen a significant increase in total gross profit margin, the gross profit margin of our service revenue has decreased from 1% and (14)% in the three and nine months ended September 30, 2020, respectively, to (41)% and (51)% in the three and nine months ended September 30, 2021, respectively. This was due to an increase in personnel-related expenses due to an increase in headcount. The decrease was also driven by reduced service contract revenue consistent with our expectations after not renewing contracts on non-Cytek instruments.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auto"/>
        </w:rPr>
        <w:t>Research and development</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16"/>
                <w:szCs w:val="16"/>
                <w:color w:val="auto"/>
              </w:rPr>
            </w:pPr>
          </w:p>
        </w:tc>
      </w:tr>
      <w:tr>
        <w:trPr>
          <w:trHeight w:val="196"/>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r>
      <w:tr>
        <w:trPr>
          <w:trHeight w:val="202"/>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Research and development</w:t>
            </w: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6,078  $</w:t>
            </w: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3,376</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2,702</w:t>
            </w: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80 %</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17,366</w:t>
            </w:r>
          </w:p>
        </w:tc>
        <w:tc>
          <w:tcPr>
            <w:tcW w:w="3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9,308</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8,058</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87 %</w:t>
            </w:r>
          </w:p>
        </w:tc>
      </w:tr>
    </w:tbl>
    <w:p>
      <w:pPr>
        <w:spacing w:after="0" w:line="400" w:lineRule="exact"/>
        <w:rPr>
          <w:sz w:val="20"/>
          <w:szCs w:val="20"/>
          <w:color w:val="auto"/>
        </w:rPr>
      </w:pPr>
    </w:p>
    <w:p>
      <w:pPr>
        <w:jc w:val="both"/>
        <w:ind w:firstLine="509"/>
        <w:spacing w:after="0" w:line="382" w:lineRule="auto"/>
        <w:rPr>
          <w:sz w:val="20"/>
          <w:szCs w:val="20"/>
          <w:color w:val="auto"/>
        </w:rPr>
      </w:pPr>
      <w:r>
        <w:rPr>
          <w:rFonts w:ascii="Arial" w:cs="Arial" w:eastAsia="Arial" w:hAnsi="Arial"/>
          <w:sz w:val="12"/>
          <w:szCs w:val="12"/>
          <w:color w:val="auto"/>
        </w:rPr>
        <w:t>Research and development expenses were $6.1 million for the three months ended September 30, 2021 as compared to $3.4 million for the three months ended September 30, 2020. The increase of $2.7 million in research and development expenses was primarily due to an increase in headcount and personnel-related expenses including stock-based compensation of $671,000.</w:t>
      </w:r>
    </w:p>
    <w:p>
      <w:pPr>
        <w:spacing w:after="0" w:line="128"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4"/>
          <w:szCs w:val="14"/>
          <w:color w:val="auto"/>
        </w:rPr>
        <w:t>Research and development expenses were $17.4 million for the nine months ended September 30, 2021 as compared to $9.3 million for the nine months ended September 30, 2020. The increase of $8.1 million in research and development expenses was primarily due to an increase in headcount and personnel-related expenses of $4.8 million, which includes stock-based compensation of $936,000, and a $2.2 million increase in engineering expenses related to cell sorter and reagent developments.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ind w:left="520"/>
        <w:spacing w:after="0"/>
        <w:rPr>
          <w:sz w:val="20"/>
          <w:szCs w:val="20"/>
          <w:color w:val="auto"/>
        </w:rPr>
      </w:pPr>
      <w:r>
        <w:rPr>
          <w:rFonts w:ascii="Arial" w:cs="Arial" w:eastAsia="Arial" w:hAnsi="Arial"/>
          <w:sz w:val="13"/>
          <w:szCs w:val="13"/>
          <w:color w:val="auto"/>
        </w:rPr>
        <w:t>We expect our research and development expense to increase in absolute dollars as we continue to develop new products and enhance existing instruments and technologies.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00" w:type="dxa"/>
            <w:vAlign w:val="bottom"/>
          </w:tcPr>
          <w:p>
            <w:pPr>
              <w:ind w:left="520"/>
              <w:spacing w:after="0"/>
              <w:rPr>
                <w:sz w:val="20"/>
                <w:szCs w:val="20"/>
                <w:color w:val="auto"/>
              </w:rPr>
            </w:pPr>
            <w:r>
              <w:rPr>
                <w:rFonts w:ascii="Arial" w:cs="Arial" w:eastAsia="Arial" w:hAnsi="Arial"/>
                <w:sz w:val="14"/>
                <w:szCs w:val="14"/>
                <w:i w:val="1"/>
                <w:iCs w:val="1"/>
                <w:color w:val="auto"/>
              </w:rPr>
              <w:t>Sales and marketing</w:t>
            </w: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70"/>
        </w:trPr>
        <w:tc>
          <w:tcPr>
            <w:tcW w:w="25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w w:val="92"/>
              </w:rPr>
              <w:t>Nine months ended September 30,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24"/>
                <w:szCs w:val="24"/>
                <w:color w:val="auto"/>
              </w:rPr>
            </w:pPr>
          </w:p>
        </w:tc>
      </w:tr>
      <w:tr>
        <w:trPr>
          <w:trHeight w:val="196"/>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r>
      <w:tr>
        <w:trPr>
          <w:trHeight w:val="202"/>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Sales and marketing</w:t>
            </w: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6,553  $</w:t>
            </w: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3,838</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2,715</w:t>
            </w: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71 %</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16,406</w:t>
            </w:r>
          </w:p>
        </w:tc>
        <w:tc>
          <w:tcPr>
            <w:tcW w:w="3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10,428</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5,978</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57 %</w:t>
            </w:r>
          </w:p>
        </w:tc>
      </w:tr>
    </w:tbl>
    <w:p>
      <w:pPr>
        <w:spacing w:after="0" w:line="200" w:lineRule="exact"/>
        <w:rPr>
          <w:sz w:val="20"/>
          <w:szCs w:val="20"/>
          <w:color w:val="auto"/>
        </w:rPr>
      </w:pPr>
    </w:p>
    <w:p>
      <w:pPr>
        <w:spacing w:after="0" w:line="34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Sales and marketing expenses were $6.6 million for the three months ended September 30, 2021 as compared to $3.8 million for the three months ended September 30, 2020. The increase</w:t>
      </w:r>
    </w:p>
    <w:p>
      <w:pPr>
        <w:spacing w:after="0" w:line="65" w:lineRule="exact"/>
        <w:rPr>
          <w:sz w:val="20"/>
          <w:szCs w:val="20"/>
          <w:color w:val="auto"/>
        </w:rPr>
      </w:pPr>
    </w:p>
    <w:p>
      <w:pPr>
        <w:jc w:val="both"/>
        <w:spacing w:after="0" w:line="334" w:lineRule="auto"/>
        <w:rPr>
          <w:sz w:val="20"/>
          <w:szCs w:val="20"/>
          <w:color w:val="auto"/>
        </w:rPr>
      </w:pPr>
      <w:r>
        <w:rPr>
          <w:rFonts w:ascii="Arial" w:cs="Arial" w:eastAsia="Arial" w:hAnsi="Arial"/>
          <w:sz w:val="13"/>
          <w:szCs w:val="13"/>
          <w:color w:val="auto"/>
        </w:rPr>
        <w:t>of $2.7 million was primarily due to an increase in headcount, commissions, and personnel-related expenses of $2.0 million, which includes stock-based compensation of $440,000. The increase in personnel-related costs was primarily due to increased commissions, headcount, and stock-based compensation. There was also an increase in advertising and marketing activities of $268,000.</w:t>
      </w:r>
    </w:p>
    <w:p>
      <w:pPr>
        <w:spacing w:after="0" w:line="15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Sales and marketing expenses were $16.4 million for the nine months ended September 30, 2021 as compared to $10.4 million for the nine months ended September 30, 2020. The increase of $6.0 million was primarily due to an increase in headcount, commissions, and other personnel-related expenses of $5.0 million, which includes stock-based compensation of $675,000. There was also an increase in advertising and marketing activities of $448,000 and outside services of $402,000.</w:t>
      </w:r>
    </w:p>
    <w:p>
      <w:pPr>
        <w:spacing w:after="0" w:line="18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00" w:type="dxa"/>
            <w:vAlign w:val="bottom"/>
          </w:tcPr>
          <w:p>
            <w:pPr>
              <w:jc w:val="right"/>
              <w:ind w:right="288"/>
              <w:spacing w:after="0"/>
              <w:rPr>
                <w:sz w:val="20"/>
                <w:szCs w:val="20"/>
                <w:color w:val="auto"/>
              </w:rPr>
            </w:pPr>
            <w:r>
              <w:rPr>
                <w:rFonts w:ascii="Arial" w:cs="Arial" w:eastAsia="Arial" w:hAnsi="Arial"/>
                <w:sz w:val="14"/>
                <w:szCs w:val="14"/>
                <w:b w:val="1"/>
                <w:bCs w:val="1"/>
                <w:i w:val="1"/>
                <w:iCs w:val="1"/>
                <w:color w:val="auto"/>
              </w:rPr>
              <w:t>General and administrative</w:t>
            </w: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70"/>
        </w:trPr>
        <w:tc>
          <w:tcPr>
            <w:tcW w:w="2500" w:type="dxa"/>
            <w:vAlign w:val="bottom"/>
          </w:tcPr>
          <w:p>
            <w:pPr>
              <w:spacing w:after="0"/>
              <w:rPr>
                <w:sz w:val="24"/>
                <w:szCs w:val="24"/>
                <w:color w:val="auto"/>
              </w:rPr>
            </w:pPr>
          </w:p>
        </w:tc>
        <w:tc>
          <w:tcPr>
            <w:tcW w:w="236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w w:val="94"/>
              </w:rPr>
              <w:t>Three months ended September 30,</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93"/>
              </w:rPr>
              <w:t>Change</w:t>
            </w:r>
          </w:p>
        </w:tc>
        <w:tc>
          <w:tcPr>
            <w:tcW w:w="5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7"/>
              </w:rPr>
              <w:t>Change</w:t>
            </w: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96"/>
        </w:trPr>
        <w:tc>
          <w:tcPr>
            <w:tcW w:w="25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0"/>
              </w:rPr>
              <w:t>(In thousands, except percentages)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5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r>
      <w:tr>
        <w:trPr>
          <w:trHeight w:val="202"/>
        </w:trPr>
        <w:tc>
          <w:tcPr>
            <w:tcW w:w="25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93"/>
              </w:rPr>
              <w:t>General and administrative</w:t>
            </w: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700" w:type="dxa"/>
            <w:vAlign w:val="bottom"/>
            <w:gridSpan w:val="3"/>
            <w:shd w:val="clear" w:color="auto" w:fill="CFF0FC"/>
          </w:tcPr>
          <w:p>
            <w:pPr>
              <w:jc w:val="right"/>
              <w:ind w:right="160"/>
              <w:spacing w:after="0"/>
              <w:rPr>
                <w:sz w:val="20"/>
                <w:szCs w:val="20"/>
                <w:color w:val="auto"/>
              </w:rPr>
            </w:pPr>
            <w:r>
              <w:rPr>
                <w:rFonts w:ascii="Arial" w:cs="Arial" w:eastAsia="Arial" w:hAnsi="Arial"/>
                <w:sz w:val="14"/>
                <w:szCs w:val="14"/>
                <w:color w:val="auto"/>
              </w:rPr>
              <w:t>5,749  $</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1,691</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4,058</w:t>
            </w:r>
          </w:p>
        </w:tc>
        <w:tc>
          <w:tcPr>
            <w:tcW w:w="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240 %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13,896</w:t>
            </w: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6,742</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7,154</w:t>
            </w:r>
          </w:p>
        </w:tc>
        <w:tc>
          <w:tcPr>
            <w:tcW w:w="6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106 %</w:t>
            </w:r>
          </w:p>
        </w:tc>
      </w:tr>
    </w:tbl>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General and administrative expenses were $5.7 million for the three months ended September 30, 2021 as compared to $1.7 million for the three months ended September 30, 2020. The</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increase of $4.0 million in general and administrative expenses was primarily due to an increase in general corporate personnel-related costs, professional fees relating to our IPO, and infrastructure services to support the growth of our overall operations. The increase in personnel-related costs was primarily due to increased headcount and stock-based compensation of $698,000.</w:t>
      </w:r>
    </w:p>
    <w:p>
      <w:pPr>
        <w:spacing w:after="0" w:line="14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General and administrative expenses were $13.9 million for the nine months ended September 30, 2021 as compared to $6.7 million for the nine months ended September 30, 2020. The increase of $7.2 million in general and administrative expenses was primarily due to an increase in general corporate personnel-related costs of $2.7 million, which includes stock-based compensation of $943,000, professional fees relating to our IPO of $3.1 million, and increased infrastructure costs of 2.6 million to support the growth of our overall operations. This increase is partially offset by $1.4 million litigation legal expenses decrease.</w:t>
      </w:r>
    </w:p>
    <w:p>
      <w:pPr>
        <w:spacing w:after="0" w:line="18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4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Interest expense</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370"/>
        </w:trPr>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1"/>
              </w:rPr>
              <w:t>Three months ended September 30,</w:t>
            </w:r>
          </w:p>
        </w:tc>
        <w:tc>
          <w:tcPr>
            <w:tcW w:w="122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89"/>
              </w:rPr>
              <w:t>Change</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0"/>
              </w:rPr>
              <w:t>Nine months ended September 30,</w:t>
            </w:r>
          </w:p>
        </w:tc>
        <w:tc>
          <w:tcPr>
            <w:tcW w:w="1200" w:type="dxa"/>
            <w:vAlign w:val="bottom"/>
            <w:gridSpan w:val="3"/>
          </w:tcPr>
          <w:p>
            <w:pPr>
              <w:ind w:left="62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24"/>
                <w:szCs w:val="24"/>
                <w:color w:val="auto"/>
              </w:rPr>
            </w:pPr>
          </w:p>
        </w:tc>
      </w:tr>
      <w:tr>
        <w:trPr>
          <w:trHeight w:val="197"/>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9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9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r>
      <w:tr>
        <w:trPr>
          <w:trHeight w:val="202"/>
        </w:trPr>
        <w:tc>
          <w:tcPr>
            <w:tcW w:w="25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(441 ) $</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(2 )</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(439 )</w:t>
            </w:r>
          </w:p>
        </w:tc>
        <w:tc>
          <w:tcPr>
            <w:tcW w:w="140" w:type="dxa"/>
            <w:vAlign w:val="bottom"/>
            <w:shd w:val="clear" w:color="auto" w:fill="CFF0FC"/>
          </w:tcPr>
          <w:p>
            <w:pPr>
              <w:spacing w:after="0"/>
              <w:rPr>
                <w:sz w:val="17"/>
                <w:szCs w:val="17"/>
                <w:color w:val="auto"/>
              </w:rPr>
            </w:pPr>
          </w:p>
        </w:tc>
        <w:tc>
          <w:tcPr>
            <w:tcW w:w="800" w:type="dxa"/>
            <w:vAlign w:val="bottom"/>
            <w:gridSpan w:val="3"/>
            <w:shd w:val="clear" w:color="auto" w:fill="CFF0FC"/>
          </w:tcPr>
          <w:p>
            <w:pPr>
              <w:ind w:left="280"/>
              <w:spacing w:after="0"/>
              <w:rPr>
                <w:sz w:val="20"/>
                <w:szCs w:val="20"/>
                <w:color w:val="auto"/>
              </w:rPr>
            </w:pPr>
            <w:r>
              <w:rPr>
                <w:rFonts w:ascii="Arial" w:cs="Arial" w:eastAsia="Arial" w:hAnsi="Arial"/>
                <w:sz w:val="14"/>
                <w:szCs w:val="14"/>
                <w:color w:val="auto"/>
              </w:rPr>
              <w:t>n/m   $</w:t>
            </w:r>
          </w:p>
        </w:tc>
        <w:tc>
          <w:tcPr>
            <w:tcW w:w="1360" w:type="dxa"/>
            <w:vAlign w:val="bottom"/>
            <w:gridSpan w:val="3"/>
            <w:shd w:val="clear" w:color="auto" w:fill="CFF0FC"/>
          </w:tcPr>
          <w:p>
            <w:pPr>
              <w:jc w:val="right"/>
              <w:ind w:right="180"/>
              <w:spacing w:after="0"/>
              <w:rPr>
                <w:sz w:val="20"/>
                <w:szCs w:val="20"/>
                <w:color w:val="auto"/>
              </w:rPr>
            </w:pPr>
            <w:r>
              <w:rPr>
                <w:rFonts w:ascii="Arial" w:cs="Arial" w:eastAsia="Arial" w:hAnsi="Arial"/>
                <w:sz w:val="14"/>
                <w:szCs w:val="14"/>
                <w:color w:val="auto"/>
              </w:rPr>
              <w:t>(1,249 ) $</w:t>
            </w: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(3 )</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(1,246 )</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n/m</w:t>
            </w:r>
          </w:p>
        </w:tc>
      </w:tr>
    </w:tbl>
    <w:p>
      <w:pPr>
        <w:spacing w:after="0" w:line="38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Interest expense was $441,000 and $1.2 million for the three and nine months ended September 30, 2021. This was due to the accretion of the present value discount related to the settlement agreement entered into with Becton, Dickinson and Company (“BD”). See Note 15 included in the notes to our unaudited interim consolidated financial statements included elsewhere in this Quarterly Report on Form 10-Q for further details.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0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Interest income</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70"/>
        </w:trPr>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w w:val="90"/>
              </w:rPr>
              <w:t>Nine months ended September 30,</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24"/>
                <w:szCs w:val="24"/>
                <w:color w:val="auto"/>
              </w:rPr>
            </w:pPr>
          </w:p>
        </w:tc>
      </w:tr>
      <w:tr>
        <w:trPr>
          <w:trHeight w:val="196"/>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w:t>
            </w:r>
          </w:p>
        </w:tc>
        <w:tc>
          <w:tcPr>
            <w:tcW w:w="12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9</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300 %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(74 )</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-70 %</w:t>
            </w:r>
          </w:p>
        </w:tc>
      </w:tr>
    </w:tbl>
    <w:p>
      <w:pPr>
        <w:spacing w:after="0" w:line="386"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Interest income was $12,000 for the three months ended September 30, 2021 as compared to $3,000 for the three months ended September 30, 2020. Interest income was $31,000 for the nine months ended September 30, 2021 as compared to $105,000 for the nine months ended September 30, 2020. The decrease of $74,000 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8" w:name="page29"/>
    <w:bookmarkEnd w:id="28"/>
    <w:p>
      <w:pPr>
        <w:jc w:val="both"/>
        <w:spacing w:after="0" w:line="293" w:lineRule="auto"/>
        <w:rPr>
          <w:sz w:val="20"/>
          <w:szCs w:val="20"/>
          <w:color w:val="auto"/>
        </w:rPr>
      </w:pPr>
      <w:r>
        <w:rPr>
          <w:rFonts w:ascii="Arial" w:cs="Arial" w:eastAsia="Arial" w:hAnsi="Arial"/>
          <w:sz w:val="14"/>
          <w:szCs w:val="14"/>
          <w:color w:val="auto"/>
        </w:rPr>
        <w:t>interest income for the nine months ended September 30, 2021 was the result of lower interest earned on our cash and short-term deposits due to a decline in interest rates as compared to nine months ended September 30, 2020.</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00" w:type="dxa"/>
            <w:vAlign w:val="bottom"/>
          </w:tcPr>
          <w:p>
            <w:pPr>
              <w:ind w:left="520"/>
              <w:spacing w:after="0"/>
              <w:rPr>
                <w:sz w:val="20"/>
                <w:szCs w:val="20"/>
                <w:color w:val="auto"/>
              </w:rPr>
            </w:pPr>
            <w:r>
              <w:rPr>
                <w:rFonts w:ascii="Arial" w:cs="Arial" w:eastAsia="Arial" w:hAnsi="Arial"/>
                <w:sz w:val="14"/>
                <w:szCs w:val="14"/>
                <w:b w:val="1"/>
                <w:bCs w:val="1"/>
                <w:i w:val="1"/>
                <w:iCs w:val="1"/>
                <w:color w:val="auto"/>
              </w:rPr>
              <w:t>Other income (expense), net</w:t>
            </w: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70"/>
        </w:trPr>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w w:val="90"/>
              </w:rPr>
              <w:t>Nine months ended September 30,</w:t>
            </w:r>
          </w:p>
        </w:tc>
        <w:tc>
          <w:tcPr>
            <w:tcW w:w="80" w:type="dxa"/>
            <w:vAlign w:val="bottom"/>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24"/>
                <w:szCs w:val="24"/>
                <w:color w:val="auto"/>
              </w:rPr>
            </w:pPr>
          </w:p>
        </w:tc>
      </w:tr>
      <w:tr>
        <w:trPr>
          <w:trHeight w:val="19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2021</w:t>
            </w: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2021</w:t>
            </w:r>
          </w:p>
        </w:tc>
        <w:tc>
          <w:tcPr>
            <w:tcW w:w="9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(393 ) $</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185</w:t>
            </w:r>
          </w:p>
        </w:tc>
        <w:tc>
          <w:tcPr>
            <w:tcW w:w="12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(578 )</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(1,128 ) $</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543</w:t>
            </w:r>
          </w:p>
        </w:tc>
        <w:tc>
          <w:tcPr>
            <w:tcW w:w="1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(1,671 )</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-308 %</w:t>
            </w:r>
          </w:p>
        </w:tc>
      </w:tr>
    </w:tbl>
    <w:p>
      <w:pPr>
        <w:spacing w:after="0" w:line="386"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Other expense, net was $393,000 for the three months ended September 30, 2021 as compared to Other income of $185,000 for the three months ended September 30, 2020. The net change of $578,000 was primarily the result of the net impact of foreign exchange gains and losses during the three months ended September 30, 2021.</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Other expense, net was $1.1 million for the nine months ended September 30, 2021 as compared to Other income of $543,000 for the nine months ended September 30, 2020. The net change of $1.7 million was the result of increased foreign currency losses on transactions and remeasurement during the nine months ended September 30, 2021.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00" w:type="dxa"/>
            <w:vAlign w:val="bottom"/>
            <w:gridSpan w:val="2"/>
          </w:tcPr>
          <w:p>
            <w:pPr>
              <w:ind w:left="520"/>
              <w:spacing w:after="0"/>
              <w:rPr>
                <w:sz w:val="20"/>
                <w:szCs w:val="20"/>
                <w:color w:val="auto"/>
              </w:rPr>
            </w:pPr>
            <w:r>
              <w:rPr>
                <w:rFonts w:ascii="Arial" w:cs="Arial" w:eastAsia="Arial" w:hAnsi="Arial"/>
                <w:sz w:val="14"/>
                <w:szCs w:val="14"/>
                <w:b w:val="1"/>
                <w:bCs w:val="1"/>
                <w:i w:val="1"/>
                <w:iCs w:val="1"/>
                <w:color w:val="auto"/>
              </w:rPr>
              <w:t>Income Taxes</w:t>
            </w: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71"/>
        </w:trPr>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w w:val="90"/>
              </w:rPr>
              <w:t>Three months ended September 30,</w:t>
            </w:r>
          </w:p>
        </w:tc>
        <w:tc>
          <w:tcPr>
            <w:tcW w:w="100" w:type="dxa"/>
            <w:vAlign w:val="bottom"/>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w w:val="91"/>
              </w:rPr>
              <w:t>Nine months ended September 30,</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4"/>
                <w:szCs w:val="24"/>
                <w:color w:val="auto"/>
              </w:rPr>
            </w:pPr>
          </w:p>
        </w:tc>
      </w:tr>
      <w:tr>
        <w:trPr>
          <w:trHeight w:val="196"/>
        </w:trPr>
        <w:tc>
          <w:tcPr>
            <w:tcW w:w="2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r>
      <w:tr>
        <w:trPr>
          <w:trHeight w:val="202"/>
        </w:trPr>
        <w:tc>
          <w:tcPr>
            <w:tcW w:w="260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w w:val="99"/>
              </w:rPr>
              <w:t>Provision for (benefit from) income tax   $</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30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357</w:t>
            </w:r>
          </w:p>
        </w:tc>
        <w:tc>
          <w:tcPr>
            <w:tcW w:w="12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298</w:t>
            </w: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83 %</w:t>
            </w:r>
          </w:p>
        </w:tc>
        <w:tc>
          <w:tcPr>
            <w:tcW w:w="2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1,302</w:t>
            </w:r>
          </w:p>
        </w:tc>
        <w:tc>
          <w:tcPr>
            <w:tcW w:w="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(7,384 )</w:t>
            </w:r>
          </w:p>
        </w:tc>
        <w:tc>
          <w:tcPr>
            <w:tcW w:w="11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8,686</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-118 %</w:t>
            </w:r>
          </w:p>
        </w:tc>
      </w:tr>
    </w:tbl>
    <w:p>
      <w:pPr>
        <w:spacing w:after="0" w:line="386"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Provision for income tax was $655,000 for the three months ended September 30, 2021 as compared to $357,000 for the three months ended September 30, 2020. Provision for income tax was $1.3 million for the nine months ended September 30, 2021 as compared to an income tax benefit of $7.4 million for the nine months ended September 30, 2020.</w:t>
      </w:r>
    </w:p>
    <w:p>
      <w:pPr>
        <w:spacing w:after="0" w:line="151"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The net change of $298,000 and $8.7 million for the three and nine months ended September 30, 2021, respectively, was the result of a United States income tax valuation allowance release of $8.1 million in the second quarter of fiscal 2020 and an increase in state income tax from higher taxable sales in the three and nine months ended September 30, 2020.</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Overview</w:t>
      </w:r>
    </w:p>
    <w:p>
      <w:pPr>
        <w:spacing w:after="0" w:line="123"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To date, our primary sources of capital have been through sales of our securities, revenue from the sale of our products and services. As of September 30, 2021 and December 31, 2020, we had approximately $376.8 million and $165.2 million, respectively, in cash and cash equivalents, which were primarily held in U.S. short-term bank deposit accounts and money market funds.</w:t>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2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We anticipate continuing to expend significant amounts of cash for fixed assets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new and continued impacts of the COVID-19 pandemic,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19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currently anticipate making additional capital expenditures during the next 12 months, which is expected to primarily include equipment to be used for manufacturing and investment in research and development, as well as spend associated with the expansion of our facilities in Wuxi, China.</w:t>
      </w:r>
    </w:p>
    <w:p>
      <w:pPr>
        <w:spacing w:after="0" w:line="17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 In July 2021, we completed our IPO, which resulted in net proceeds to us of approximately $215.7 million.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2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4"/>
          <w:szCs w:val="14"/>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On May 7, 2020, we received loan proceeds in the amount of approximately $4.1 million under the PPP. The PPP, established as part of the CARES Act, provides for loans to qualifying businesses for amounts up to 2.5 times of the average monthly payroll expenses of the qualifying business. On May 4, 2021, we fully repaid the PPP loan.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left="520"/>
        <w:spacing w:after="0"/>
        <w:rPr>
          <w:sz w:val="20"/>
          <w:szCs w:val="20"/>
          <w:color w:val="auto"/>
        </w:rPr>
      </w:pPr>
      <w:r>
        <w:rPr>
          <w:rFonts w:ascii="Arial" w:cs="Arial" w:eastAsia="Arial" w:hAnsi="Arial"/>
          <w:sz w:val="14"/>
          <w:szCs w:val="14"/>
          <w:b w:val="1"/>
          <w:bCs w:val="1"/>
          <w:i w:val="1"/>
          <w:iCs w:val="1"/>
          <w:color w:val="auto"/>
        </w:rPr>
        <w:t>Cash flows</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98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2020</w:t>
            </w:r>
          </w:p>
        </w:tc>
      </w:tr>
      <w:tr>
        <w:trPr>
          <w:trHeight w:val="202"/>
        </w:trPr>
        <w:tc>
          <w:tcPr>
            <w:tcW w:w="6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provided by:</w:t>
            </w:r>
          </w:p>
        </w:tc>
        <w:tc>
          <w:tcPr>
            <w:tcW w:w="52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r>
      <w:tr>
        <w:trPr>
          <w:trHeight w:val="197"/>
        </w:trPr>
        <w:tc>
          <w:tcPr>
            <w:tcW w:w="6940" w:type="dxa"/>
            <w:vAlign w:val="bottom"/>
          </w:tcPr>
          <w:p>
            <w:pPr>
              <w:ind w:left="120"/>
              <w:spacing w:after="0"/>
              <w:rPr>
                <w:sz w:val="20"/>
                <w:szCs w:val="20"/>
                <w:color w:val="auto"/>
              </w:rPr>
            </w:pPr>
            <w:r>
              <w:rPr>
                <w:rFonts w:ascii="Arial" w:cs="Arial" w:eastAsia="Arial" w:hAnsi="Arial"/>
                <w:sz w:val="14"/>
                <w:szCs w:val="14"/>
                <w:color w:val="auto"/>
              </w:rPr>
              <w:t>Operating activities</w:t>
            </w:r>
          </w:p>
        </w:tc>
        <w:tc>
          <w:tcPr>
            <w:tcW w:w="520" w:type="dxa"/>
            <w:vAlign w:val="bottom"/>
          </w:tcPr>
          <w:p>
            <w:pPr>
              <w:jc w:val="right"/>
              <w:ind w:right="368"/>
              <w:spacing w:after="0"/>
              <w:rPr>
                <w:sz w:val="20"/>
                <w:szCs w:val="20"/>
                <w:color w:val="auto"/>
              </w:rPr>
            </w:pPr>
            <w:r>
              <w:rPr>
                <w:rFonts w:ascii="Arial" w:cs="Arial" w:eastAsia="Arial" w:hAnsi="Arial"/>
                <w:sz w:val="14"/>
                <w:szCs w:val="14"/>
                <w:color w:val="auto"/>
                <w:w w:val="76"/>
              </w:rPr>
              <w:t>$</w:t>
            </w:r>
          </w:p>
        </w:tc>
        <w:tc>
          <w:tcPr>
            <w:tcW w:w="2240" w:type="dxa"/>
            <w:vAlign w:val="bottom"/>
            <w:gridSpan w:val="2"/>
          </w:tcPr>
          <w:p>
            <w:pPr>
              <w:jc w:val="right"/>
              <w:ind w:right="288"/>
              <w:spacing w:after="0"/>
              <w:rPr>
                <w:sz w:val="20"/>
                <w:szCs w:val="20"/>
                <w:color w:val="auto"/>
              </w:rPr>
            </w:pPr>
            <w:r>
              <w:rPr>
                <w:rFonts w:ascii="Arial" w:cs="Arial" w:eastAsia="Arial" w:hAnsi="Arial"/>
                <w:sz w:val="14"/>
                <w:szCs w:val="14"/>
                <w:color w:val="auto"/>
              </w:rPr>
              <w:t>(818 ) $</w:t>
            </w: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3,515</w:t>
            </w:r>
          </w:p>
        </w:tc>
      </w:tr>
      <w:tr>
        <w:trPr>
          <w:trHeight w:val="208"/>
        </w:trPr>
        <w:tc>
          <w:tcPr>
            <w:tcW w:w="69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Investing activities</w:t>
            </w:r>
          </w:p>
        </w:tc>
        <w:tc>
          <w:tcPr>
            <w:tcW w:w="5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(2,697 )</w:t>
            </w:r>
          </w:p>
        </w:tc>
        <w:tc>
          <w:tcPr>
            <w:tcW w:w="4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(1,344 )</w:t>
            </w:r>
          </w:p>
        </w:tc>
      </w:tr>
      <w:tr>
        <w:trPr>
          <w:trHeight w:val="197"/>
        </w:trPr>
        <w:tc>
          <w:tcPr>
            <w:tcW w:w="6940" w:type="dxa"/>
            <w:vAlign w:val="bottom"/>
          </w:tcPr>
          <w:p>
            <w:pPr>
              <w:ind w:left="120"/>
              <w:spacing w:after="0"/>
              <w:rPr>
                <w:sz w:val="20"/>
                <w:szCs w:val="20"/>
                <w:color w:val="auto"/>
              </w:rPr>
            </w:pPr>
            <w:r>
              <w:rPr>
                <w:rFonts w:ascii="Arial" w:cs="Arial" w:eastAsia="Arial" w:hAnsi="Arial"/>
                <w:sz w:val="14"/>
                <w:szCs w:val="14"/>
                <w:color w:val="auto"/>
              </w:rPr>
              <w:t>Financing activities</w:t>
            </w:r>
          </w:p>
        </w:tc>
        <w:tc>
          <w:tcPr>
            <w:tcW w:w="520" w:type="dxa"/>
            <w:vAlign w:val="bottom"/>
          </w:tcPr>
          <w:p>
            <w:pPr>
              <w:spacing w:after="0"/>
              <w:rPr>
                <w:sz w:val="17"/>
                <w:szCs w:val="17"/>
                <w:color w:val="auto"/>
              </w:rPr>
            </w:pPr>
          </w:p>
        </w:tc>
        <w:tc>
          <w:tcPr>
            <w:tcW w:w="1800" w:type="dxa"/>
            <w:vAlign w:val="bottom"/>
          </w:tcPr>
          <w:p>
            <w:pPr>
              <w:jc w:val="right"/>
              <w:ind w:right="28"/>
              <w:spacing w:after="0"/>
              <w:rPr>
                <w:sz w:val="20"/>
                <w:szCs w:val="20"/>
                <w:color w:val="auto"/>
              </w:rPr>
            </w:pPr>
            <w:r>
              <w:rPr>
                <w:rFonts w:ascii="Arial" w:cs="Arial" w:eastAsia="Arial" w:hAnsi="Arial"/>
                <w:sz w:val="14"/>
                <w:szCs w:val="14"/>
                <w:color w:val="auto"/>
              </w:rPr>
              <w:t>213,542</w:t>
            </w:r>
          </w:p>
        </w:tc>
        <w:tc>
          <w:tcPr>
            <w:tcW w:w="440" w:type="dxa"/>
            <w:vAlign w:val="bottom"/>
          </w:tcPr>
          <w:p>
            <w:pPr>
              <w:spacing w:after="0"/>
              <w:rPr>
                <w:sz w:val="17"/>
                <w:szCs w:val="17"/>
                <w:color w:val="auto"/>
              </w:rPr>
            </w:pPr>
          </w:p>
        </w:tc>
        <w:tc>
          <w:tcPr>
            <w:tcW w:w="1540" w:type="dxa"/>
            <w:vAlign w:val="bottom"/>
          </w:tcPr>
          <w:p>
            <w:pPr>
              <w:jc w:val="right"/>
              <w:ind w:right="28"/>
              <w:spacing w:after="0"/>
              <w:rPr>
                <w:sz w:val="20"/>
                <w:szCs w:val="20"/>
                <w:color w:val="auto"/>
              </w:rPr>
            </w:pPr>
            <w:r>
              <w:rPr>
                <w:rFonts w:ascii="Arial" w:cs="Arial" w:eastAsia="Arial" w:hAnsi="Arial"/>
                <w:sz w:val="14"/>
                <w:szCs w:val="14"/>
                <w:color w:val="auto"/>
              </w:rPr>
              <w:t>2,880</w:t>
            </w:r>
          </w:p>
        </w:tc>
      </w:tr>
      <w:tr>
        <w:trPr>
          <w:trHeight w:val="203"/>
        </w:trPr>
        <w:tc>
          <w:tcPr>
            <w:tcW w:w="69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520" w:type="dxa"/>
            <w:vAlign w:val="bottom"/>
            <w:tcBorders>
              <w:bottom w:val="single" w:sz="8" w:color="auto"/>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625</w:t>
            </w:r>
          </w:p>
        </w:tc>
        <w:tc>
          <w:tcPr>
            <w:tcW w:w="44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(13 )</w:t>
            </w:r>
          </w:p>
        </w:tc>
      </w:tr>
      <w:tr>
        <w:trPr>
          <w:trHeight w:val="202"/>
        </w:trPr>
        <w:tc>
          <w:tcPr>
            <w:tcW w:w="6940" w:type="dxa"/>
            <w:vAlign w:val="bottom"/>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210,652</w:t>
            </w: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5,038</w:t>
            </w:r>
          </w:p>
        </w:tc>
      </w:tr>
      <w:tr>
        <w:trPr>
          <w:trHeight w:val="20"/>
        </w:trPr>
        <w:tc>
          <w:tcPr>
            <w:tcW w:w="6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9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Net cash used in operating activities for the nine months ended September 30, 2021 was $0.8 million. Net income was $4.2 million; we also incurred non-cash stock-based compensation expense, interest expenses for accretion of the legal settlement liabilities, and depreciation and amortization of $3.6 million, $1.2 million, and $0.6 million, respectively. Usage of cash included an increase of trade accounts receivable of $11.6 million due to an increase in sales, an increase in prepaid expenses and other assets of $5.0 million and an increase in inventories of $4.8 million. This was partially offset by an increase in deferred revenue of $6.6 million, an increase in the legal settlement liability of $1.6 million, an increase in accrued expenses and other liabilities of $2.1 million, and an increase in trade accounts payable of $486,000.</w:t>
      </w:r>
    </w:p>
    <w:p>
      <w:pPr>
        <w:spacing w:after="0" w:line="8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Net cash provided by operating activities for the nine months ended September 30, 2020 was $3.5 million consisting primarily of our net income of $13.8 million, an increase in accrued expenses and other liabilities of $1.8 million, an increase in the legal settlement liability of $1.7 million, and an increase of deferred revenue of $1.1 million. This was partially offset by an increase in prepaid expenses and other assets of $9.0 million, an increase in inventories of $5.4 million and an increase in trade accounts receivable of $0.8 million directly attributable to increased sales, and an increase in trade accounts payable of $1.7 million.</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23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Net cash used in investing activities during the nine months ended September 30, 2021 was $2.7 million driven by an increase in purchases of property and equipment of $3.1 million partially offset by the payment for the additional investment in Cytek Japan, net of cash acquired of $371,000. See Note 16 included in the notes to our unaudited interim consolidated financial statements included elsewhere in this Quarterly Report on Form 10-Q.</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Net cash used in investing activities during the nine months ended September 30, 2020 was $1.3 million primarily driven by an increase in purchases of property and equipment.</w:t>
      </w:r>
    </w:p>
    <w:p>
      <w:pPr>
        <w:spacing w:after="0" w:line="33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2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Net cash provided by financing activities during the nine months ended September 30, 2021 was $213.5 million primarily driven by our IPO, which resulted in net proceeds to us of approximately $215.7 million.</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Net cash provided by financing activities during the nine months ended September 30, 2020 was $2.9 million primarily driven by the cash received from the PPP loan.</w:t>
      </w:r>
    </w:p>
    <w:p>
      <w:pPr>
        <w:spacing w:after="0" w:line="3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208" w:lineRule="exact"/>
        <w:rPr>
          <w:sz w:val="20"/>
          <w:szCs w:val="20"/>
          <w:color w:val="auto"/>
        </w:rPr>
      </w:pPr>
    </w:p>
    <w:p>
      <w:pPr>
        <w:ind w:left="20" w:right="60" w:firstLine="349"/>
        <w:spacing w:after="0" w:line="355" w:lineRule="auto"/>
        <w:rPr>
          <w:sz w:val="20"/>
          <w:szCs w:val="20"/>
          <w:color w:val="auto"/>
        </w:rPr>
      </w:pPr>
      <w:r>
        <w:rPr>
          <w:rFonts w:ascii="Arial" w:cs="Arial" w:eastAsia="Arial" w:hAnsi="Arial"/>
          <w:sz w:val="13"/>
          <w:szCs w:val="13"/>
          <w:color w:val="auto"/>
        </w:rPr>
        <w:t>During the nine months ended September 30, 2021, there were no material changes to our contractual obligations and commitments from those described under “Management’s Discussion and Analysis of Financial Condition” which is contained in our final prospectus filed with the SEC on July 23, 2021 pursuant to Rule 424(b)(4) under the Securities Act, for our IPO.</w:t>
      </w: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2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Critical accounting policies, significant judgments and use of estimates</w:t>
      </w:r>
    </w:p>
    <w:p>
      <w:pPr>
        <w:spacing w:after="0" w:line="194" w:lineRule="exact"/>
        <w:rPr>
          <w:sz w:val="20"/>
          <w:szCs w:val="20"/>
          <w:color w:val="auto"/>
        </w:rPr>
      </w:pPr>
    </w:p>
    <w:p>
      <w:pPr>
        <w:ind w:left="20" w:right="160" w:firstLine="509"/>
        <w:spacing w:after="0" w:line="287" w:lineRule="auto"/>
        <w:rPr>
          <w:sz w:val="20"/>
          <w:szCs w:val="20"/>
          <w:color w:val="auto"/>
        </w:rPr>
      </w:pPr>
      <w:r>
        <w:rPr>
          <w:rFonts w:ascii="Arial" w:cs="Arial" w:eastAsia="Arial" w:hAnsi="Arial"/>
          <w:sz w:val="14"/>
          <w:szCs w:val="14"/>
          <w:color w:val="auto"/>
        </w:rPr>
        <w:t>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2020 included in our final prospectus filed with the SEC on July 23, 2021 pursuant to Rule 424(b)(4) under the Securities Act for our IPO. There were no material changes to our critical accounting policies during the nine months ended September 30, 2021.</w:t>
      </w:r>
    </w:p>
    <w:p>
      <w:pPr>
        <w:spacing w:after="0" w:line="3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Recently adopted accounting pronouncements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ind w:left="20" w:right="880" w:firstLine="738"/>
        <w:spacing w:after="0" w:line="313" w:lineRule="auto"/>
        <w:rPr>
          <w:sz w:val="20"/>
          <w:szCs w:val="20"/>
          <w:color w:val="auto"/>
        </w:rPr>
      </w:pPr>
      <w:r>
        <w:rPr>
          <w:rFonts w:ascii="Arial" w:cs="Arial" w:eastAsia="Arial" w:hAnsi="Arial"/>
          <w:sz w:val="14"/>
          <w:szCs w:val="14"/>
          <w:color w:val="auto"/>
        </w:rPr>
        <w:t>See Note 2 to our unaudited interim consolidated financial statements included elsewhere in this Quarterly Report on Form 10-Q for a description of recent accounting pronouncements applicable to our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JOBS Act accounting election and smaller reporting company status</w:t>
      </w:r>
    </w:p>
    <w:p>
      <w:pPr>
        <w:spacing w:after="0" w:line="127"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3"/>
          <w:szCs w:val="13"/>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w:t>
      </w:r>
    </w:p>
    <w:p>
      <w:pPr>
        <w:spacing w:after="0" w:line="12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We may take advantage of these exemptions until such earlier time that we are no longer an emerging growth company. We would cease to be an emerging growth company on the date that is the earliest of (i) the last day of the fiscal year following the fifth anniversary of the date of the completion of our IPO; (ii) the last day of the fiscal year in which our total annual gross revenue is equal to or more than $1.07 billion;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8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color w:val="auto"/>
        </w:rPr>
        <w:t>Item 3. Quantitative and Qualitative Disclosure about Market Risk</w:t>
      </w:r>
    </w:p>
    <w:p>
      <w:pPr>
        <w:spacing w:after="0" w:line="22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2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4"/>
          <w:szCs w:val="14"/>
          <w:color w:val="auto"/>
        </w:rPr>
        <w:t>The market risk inherent in our financial instruments and in our financial condition represents the potential loss arising from adverse changes in interest rates or exchange rates. As of September 30, 2021, we had cash and cash equivalents of $376.8 million, which consisted primarily of money market funds and bank deposits. The primary objective of our investment is to preserve principal and provide liquidity. These money market funds and bank deposits generate interest income at variable rates below 1%.</w:t>
      </w:r>
    </w:p>
    <w:p>
      <w:pPr>
        <w:spacing w:after="0" w:line="18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4"/>
          <w:szCs w:val="14"/>
          <w:color w:val="auto"/>
        </w:rPr>
        <w:t>We therefore do not believe we are exposed to, nor do we anticipate being in the near future exposed to, material risk due to changes in interest rates because of the short-term nature of our cash and cash equivalents.</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Foreign currency risk</w:t>
      </w:r>
    </w:p>
    <w:p>
      <w:pPr>
        <w:spacing w:after="0" w:line="123" w:lineRule="exact"/>
        <w:rPr>
          <w:sz w:val="20"/>
          <w:szCs w:val="20"/>
          <w:color w:val="auto"/>
        </w:rPr>
      </w:pPr>
    </w:p>
    <w:p>
      <w:pPr>
        <w:jc w:val="both"/>
        <w:ind w:firstLine="509"/>
        <w:spacing w:after="0" w:line="334" w:lineRule="auto"/>
        <w:rPr>
          <w:sz w:val="20"/>
          <w:szCs w:val="20"/>
          <w:color w:val="auto"/>
        </w:rPr>
      </w:pPr>
      <w:r>
        <w:rPr>
          <w:rFonts w:ascii="Arial" w:cs="Arial" w:eastAsia="Arial" w:hAnsi="Arial"/>
          <w:sz w:val="13"/>
          <w:szCs w:val="13"/>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15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3"/>
          <w:szCs w:val="13"/>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167" w:lineRule="exact"/>
        <w:rPr>
          <w:sz w:val="20"/>
          <w:szCs w:val="20"/>
          <w:color w:val="auto"/>
        </w:rPr>
      </w:pPr>
    </w:p>
    <w:p>
      <w:pPr>
        <w:ind w:right="760" w:firstLine="509"/>
        <w:spacing w:after="0" w:line="293" w:lineRule="auto"/>
        <w:rPr>
          <w:sz w:val="20"/>
          <w:szCs w:val="20"/>
          <w:color w:val="auto"/>
        </w:rPr>
      </w:pPr>
      <w:r>
        <w:rPr>
          <w:rFonts w:ascii="Arial" w:cs="Arial" w:eastAsia="Arial" w:hAnsi="Arial"/>
          <w:sz w:val="14"/>
          <w:szCs w:val="14"/>
          <w:color w:val="auto"/>
        </w:rPr>
        <w:t xml:space="preserve">We do not believe that either inflation or foreign currency risk had a material effect on our business, financial condition, or results of operations during the periods presented. </w:t>
      </w:r>
      <w:r>
        <w:rPr>
          <w:rFonts w:ascii="Arial" w:cs="Arial" w:eastAsia="Arial" w:hAnsi="Arial"/>
          <w:sz w:val="14"/>
          <w:szCs w:val="14"/>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36" w:lineRule="exact"/>
        <w:rPr>
          <w:sz w:val="20"/>
          <w:szCs w:val="20"/>
          <w:color w:val="auto"/>
        </w:rPr>
      </w:pPr>
    </w:p>
    <w:p>
      <w:pPr>
        <w:jc w:val="both"/>
        <w:ind w:left="20" w:right="60" w:firstLine="738"/>
        <w:spacing w:after="0" w:line="303" w:lineRule="auto"/>
        <w:rPr>
          <w:sz w:val="20"/>
          <w:szCs w:val="20"/>
          <w:color w:val="auto"/>
        </w:rPr>
      </w:pPr>
      <w:r>
        <w:rPr>
          <w:rFonts w:ascii="Arial" w:cs="Arial" w:eastAsia="Arial" w:hAnsi="Arial"/>
          <w:sz w:val="13"/>
          <w:szCs w:val="13"/>
          <w:color w:val="auto"/>
        </w:rPr>
        <w:t>Our management, with the participation of our Chief Executive Officer and Chief Financial Officer, have evaluated our disclosure controls and procedures (as defined in Rules 13a-15(e) and 15d-15(e) of the Exchange Act) as of the end of the period covered by this Quarterly Report.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 w:lineRule="exact"/>
        <w:rPr>
          <w:sz w:val="20"/>
          <w:szCs w:val="20"/>
          <w:color w:val="auto"/>
        </w:rPr>
      </w:pPr>
    </w:p>
    <w:p>
      <w:pPr>
        <w:ind w:left="20" w:right="160"/>
        <w:spacing w:after="0" w:line="313" w:lineRule="auto"/>
        <w:rPr>
          <w:sz w:val="20"/>
          <w:szCs w:val="20"/>
          <w:color w:val="auto"/>
        </w:rPr>
      </w:pPr>
      <w:r>
        <w:rPr>
          <w:rFonts w:ascii="Arial" w:cs="Arial" w:eastAsia="Arial" w:hAnsi="Arial"/>
          <w:sz w:val="14"/>
          <w:szCs w:val="14"/>
          <w:color w:val="auto"/>
        </w:rPr>
        <w:t>Based on that evaluation, our Chief Executive Officer and Chief Financial Officer have concluded that, as a result of the material weaknesses in our internal control, our disclosure controls and procedures were not effective as of September 30, 2021.</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Weakness</w:t>
      </w:r>
    </w:p>
    <w:p>
      <w:pPr>
        <w:spacing w:after="0" w:line="204" w:lineRule="exact"/>
        <w:rPr>
          <w:sz w:val="20"/>
          <w:szCs w:val="20"/>
          <w:color w:val="auto"/>
        </w:rPr>
      </w:pPr>
    </w:p>
    <w:p>
      <w:pPr>
        <w:ind w:left="160" w:right="240" w:firstLine="724"/>
        <w:spacing w:after="0" w:line="267" w:lineRule="auto"/>
        <w:rPr>
          <w:sz w:val="20"/>
          <w:szCs w:val="20"/>
          <w:color w:val="auto"/>
        </w:rPr>
      </w:pPr>
      <w:r>
        <w:rPr>
          <w:rFonts w:ascii="Arial" w:cs="Arial" w:eastAsia="Arial" w:hAnsi="Arial"/>
          <w:sz w:val="14"/>
          <w:szCs w:val="14"/>
          <w:color w:val="auto"/>
        </w:rPr>
        <w:t>Prior to the completion of our IPO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our accounting and IT function, and (ii) establishing policies and procedures to identify, select and apply U.S.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Remediation efforts on previously reported material weaknesses</w:t>
      </w:r>
    </w:p>
    <w:p>
      <w:pPr>
        <w:spacing w:after="0" w:line="204" w:lineRule="exact"/>
        <w:rPr>
          <w:sz w:val="20"/>
          <w:szCs w:val="20"/>
          <w:color w:val="auto"/>
        </w:rPr>
      </w:pPr>
    </w:p>
    <w:p>
      <w:pPr>
        <w:ind w:left="20" w:right="100" w:firstLine="733"/>
        <w:spacing w:after="0" w:line="288" w:lineRule="auto"/>
        <w:rPr>
          <w:sz w:val="20"/>
          <w:szCs w:val="20"/>
          <w:color w:val="auto"/>
        </w:rPr>
      </w:pPr>
      <w:r>
        <w:rPr>
          <w:rFonts w:ascii="Arial" w:cs="Arial" w:eastAsia="Arial" w:hAnsi="Arial"/>
          <w:sz w:val="14"/>
          <w:szCs w:val="14"/>
          <w:color w:val="auto"/>
        </w:rPr>
        <w:t>We are committed to remediating the control deficiencies that constituted the above material weakness by implementing changes to our internal control over financial reporting. As part of our remediation plan, we are actively working to hire additional accounting employees with the specific technical accounting and financial reporting experience necessary for a public company. We also expect to engage internal control consultants that will help us design and implement our financial control environment and evaluate and document the design of our internal controls that address the relevant risks; identify any gaps in the internal control environment that require remediation; and perform tests of our systems of internal controls to monitor operating effectiveness of operation of our internal controls. We will continue to assess the adequacy of our accounting personnel, resources, and processes and will add additional personnel, as necessary, commensurate with any increase in the size and complexity of our business.</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204" w:lineRule="exact"/>
        <w:rPr>
          <w:sz w:val="20"/>
          <w:szCs w:val="20"/>
          <w:color w:val="auto"/>
        </w:rPr>
      </w:pPr>
    </w:p>
    <w:p>
      <w:pPr>
        <w:ind w:left="20" w:right="40" w:firstLine="738"/>
        <w:spacing w:after="0" w:line="313" w:lineRule="auto"/>
        <w:rPr>
          <w:sz w:val="20"/>
          <w:szCs w:val="20"/>
          <w:color w:val="auto"/>
        </w:rPr>
      </w:pPr>
      <w:r>
        <w:rPr>
          <w:rFonts w:ascii="Arial" w:cs="Arial" w:eastAsia="Arial" w:hAnsi="Arial"/>
          <w:sz w:val="14"/>
          <w:szCs w:val="14"/>
          <w:color w:val="auto"/>
        </w:rPr>
        <w:t>Other than the changes intended to remediate the material weaknesses noted above, there was no change in our internal control over financial reporting that occurred during the three months ended September 30, 2021 that materially affected, or were reasonably likely to materially affect, our internal control over financial reporting.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i w:val="1"/>
          <w:iCs w:val="1"/>
          <w:color w:val="auto"/>
        </w:rPr>
        <w:t>Inherent Limitation on the Effectiveness of Internal Control</w:t>
      </w:r>
    </w:p>
    <w:p>
      <w:pPr>
        <w:spacing w:after="0" w:line="217" w:lineRule="exact"/>
        <w:rPr>
          <w:sz w:val="20"/>
          <w:szCs w:val="20"/>
          <w:color w:val="auto"/>
        </w:rPr>
      </w:pPr>
    </w:p>
    <w:p>
      <w:pPr>
        <w:ind w:left="20" w:firstLine="738"/>
        <w:spacing w:after="0" w:line="292" w:lineRule="auto"/>
        <w:rPr>
          <w:sz w:val="20"/>
          <w:szCs w:val="20"/>
          <w:color w:val="auto"/>
        </w:rPr>
      </w:pPr>
      <w:r>
        <w:rPr>
          <w:rFonts w:ascii="Arial" w:cs="Arial" w:eastAsia="Arial" w:hAnsi="Arial"/>
          <w:sz w:val="14"/>
          <w:szCs w:val="14"/>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200" w:lineRule="exact"/>
        <w:rPr>
          <w:sz w:val="20"/>
          <w:szCs w:val="20"/>
          <w:color w:val="auto"/>
        </w:rPr>
      </w:pPr>
    </w:p>
    <w:p>
      <w:pPr>
        <w:spacing w:after="0" w:line="326"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688" w:right="619" w:bottom="1440" w:gutter="0" w:footer="0" w:header="0"/>
        </w:sectPr>
      </w:pPr>
    </w:p>
    <w:bookmarkStart w:id="33" w:name="page34"/>
    <w:bookmarkEnd w:id="33"/>
    <w:p>
      <w:pPr>
        <w:jc w:val="center"/>
        <w:spacing w:after="0"/>
        <w:rPr>
          <w:sz w:val="20"/>
          <w:szCs w:val="20"/>
          <w:color w:val="auto"/>
        </w:rPr>
      </w:pPr>
      <w:r>
        <w:rPr>
          <w:rFonts w:ascii="Arial" w:cs="Arial" w:eastAsia="Arial" w:hAnsi="Arial"/>
          <w:sz w:val="14"/>
          <w:szCs w:val="14"/>
          <w:b w:val="1"/>
          <w:bCs w:val="1"/>
          <w:color w:val="auto"/>
        </w:rPr>
        <w:t>PART II—OTHER INFORMATION</w:t>
      </w:r>
    </w:p>
    <w:p>
      <w:pPr>
        <w:spacing w:after="0" w:line="200" w:lineRule="exact"/>
        <w:rPr>
          <w:sz w:val="20"/>
          <w:szCs w:val="20"/>
          <w:color w:val="auto"/>
        </w:rPr>
      </w:pPr>
    </w:p>
    <w:p>
      <w:pPr>
        <w:spacing w:after="0" w:line="233"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343"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4"/>
          <w:szCs w:val="14"/>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our business, operating results, financial condition or cash flows.</w:t>
      </w: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343"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Risk Factors</w:t>
      </w:r>
    </w:p>
    <w:p>
      <w:pPr>
        <w:spacing w:after="0" w:line="221"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148" w:lineRule="exact"/>
        <w:rPr>
          <w:sz w:val="20"/>
          <w:szCs w:val="20"/>
          <w:color w:val="auto"/>
        </w:rPr>
      </w:pPr>
    </w:p>
    <w:p>
      <w:pPr>
        <w:jc w:val="both"/>
        <w:ind w:left="960" w:right="20"/>
        <w:spacing w:after="0" w:line="293" w:lineRule="auto"/>
        <w:rPr>
          <w:sz w:val="20"/>
          <w:szCs w:val="20"/>
          <w:color w:val="auto"/>
        </w:rPr>
      </w:pPr>
      <w:r>
        <w:rPr>
          <w:rFonts w:ascii="Arial" w:cs="Arial" w:eastAsia="Arial" w:hAnsi="Arial"/>
          <w:sz w:val="14"/>
          <w:szCs w:val="14"/>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66" w:lineRule="exact"/>
        <w:rPr>
          <w:sz w:val="20"/>
          <w:szCs w:val="20"/>
          <w:color w:val="auto"/>
        </w:rPr>
      </w:pPr>
    </w:p>
    <w:p>
      <w:pPr>
        <w:jc w:val="both"/>
        <w:ind w:left="960"/>
        <w:spacing w:after="0" w:line="277" w:lineRule="auto"/>
        <w:rPr>
          <w:sz w:val="20"/>
          <w:szCs w:val="20"/>
          <w:color w:val="auto"/>
        </w:rPr>
      </w:pPr>
      <w:r>
        <w:rPr>
          <w:rFonts w:ascii="Arial" w:cs="Arial" w:eastAsia="Arial" w:hAnsi="Arial"/>
          <w:sz w:val="14"/>
          <w:szCs w:val="14"/>
          <w:color w:val="auto"/>
        </w:rPr>
        <w:t>We are highly dependent on a limited number of product offerings. Our revenue has been primarily generated from sales of our core Aurora and Northern Light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77" w:lineRule="exact"/>
        <w:rPr>
          <w:sz w:val="20"/>
          <w:szCs w:val="20"/>
          <w:color w:val="auto"/>
        </w:rPr>
      </w:pPr>
    </w:p>
    <w:p>
      <w:pPr>
        <w:jc w:val="both"/>
        <w:ind w:left="960"/>
        <w:spacing w:after="0" w:line="294" w:lineRule="auto"/>
        <w:rPr>
          <w:sz w:val="20"/>
          <w:szCs w:val="20"/>
          <w:color w:val="auto"/>
        </w:rPr>
      </w:pPr>
      <w:r>
        <w:rPr>
          <w:rFonts w:ascii="Arial" w:cs="Arial" w:eastAsia="Arial" w:hAnsi="Arial"/>
          <w:sz w:val="13"/>
          <w:szCs w:val="13"/>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70" w:lineRule="exact"/>
        <w:rPr>
          <w:sz w:val="20"/>
          <w:szCs w:val="20"/>
          <w:color w:val="auto"/>
        </w:rPr>
      </w:pPr>
    </w:p>
    <w:p>
      <w:pPr>
        <w:ind w:left="960"/>
        <w:spacing w:after="0"/>
        <w:rPr>
          <w:sz w:val="20"/>
          <w:szCs w:val="20"/>
          <w:color w:val="auto"/>
        </w:rPr>
      </w:pPr>
      <w:r>
        <w:rPr>
          <w:rFonts w:ascii="Arial" w:cs="Arial" w:eastAsia="Arial" w:hAnsi="Arial"/>
          <w:sz w:val="14"/>
          <w:szCs w:val="14"/>
          <w:color w:val="auto"/>
        </w:rPr>
        <w:t>Our results of operations will be harmed if we are unable to accurately forecast customer demand for our products and manage our inventory.</w:t>
      </w:r>
    </w:p>
    <w:p>
      <w:pPr>
        <w:spacing w:after="0" w:line="123" w:lineRule="exact"/>
        <w:rPr>
          <w:sz w:val="20"/>
          <w:szCs w:val="20"/>
          <w:color w:val="auto"/>
        </w:rPr>
      </w:pPr>
    </w:p>
    <w:p>
      <w:pPr>
        <w:jc w:val="both"/>
        <w:ind w:left="960"/>
        <w:spacing w:after="0" w:line="308" w:lineRule="auto"/>
        <w:rPr>
          <w:sz w:val="20"/>
          <w:szCs w:val="20"/>
          <w:color w:val="auto"/>
        </w:rPr>
      </w:pPr>
      <w:r>
        <w:rPr>
          <w:rFonts w:ascii="Arial" w:cs="Arial" w:eastAsia="Arial" w:hAnsi="Arial"/>
          <w:sz w:val="13"/>
          <w:szCs w:val="13"/>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59"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If we are unable to manufacture our products in high-quality commercial quantities successfully and consistently to meet demand, our growth will be limited.</w:t>
      </w:r>
    </w:p>
    <w:p>
      <w:pPr>
        <w:spacing w:after="0" w:line="123" w:lineRule="exact"/>
        <w:rPr>
          <w:sz w:val="20"/>
          <w:szCs w:val="20"/>
          <w:color w:val="auto"/>
        </w:rPr>
      </w:pPr>
    </w:p>
    <w:p>
      <w:pPr>
        <w:jc w:val="both"/>
        <w:ind w:left="960"/>
        <w:spacing w:after="0" w:line="277" w:lineRule="auto"/>
        <w:rPr>
          <w:sz w:val="20"/>
          <w:szCs w:val="20"/>
          <w:color w:val="auto"/>
        </w:rPr>
      </w:pPr>
      <w:r>
        <w:rPr>
          <w:rFonts w:ascii="Arial" w:cs="Arial" w:eastAsia="Arial" w:hAnsi="Arial"/>
          <w:sz w:val="14"/>
          <w:szCs w:val="14"/>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77" w:lineRule="exact"/>
        <w:rPr>
          <w:sz w:val="20"/>
          <w:szCs w:val="20"/>
          <w:color w:val="auto"/>
        </w:rPr>
      </w:pPr>
    </w:p>
    <w:p>
      <w:pPr>
        <w:jc w:val="both"/>
        <w:ind w:left="960" w:right="20"/>
        <w:spacing w:after="0" w:line="277" w:lineRule="auto"/>
        <w:rPr>
          <w:sz w:val="20"/>
          <w:szCs w:val="20"/>
          <w:color w:val="auto"/>
        </w:rPr>
      </w:pPr>
      <w:r>
        <w:rPr>
          <w:rFonts w:ascii="Arial" w:cs="Arial" w:eastAsia="Arial" w:hAnsi="Arial"/>
          <w:sz w:val="14"/>
          <w:szCs w:val="14"/>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77" w:lineRule="exact"/>
        <w:rPr>
          <w:sz w:val="20"/>
          <w:szCs w:val="20"/>
          <w:color w:val="auto"/>
        </w:rPr>
      </w:pPr>
    </w:p>
    <w:p>
      <w:pPr>
        <w:jc w:val="both"/>
        <w:ind w:left="960"/>
        <w:spacing w:after="0" w:line="272" w:lineRule="auto"/>
        <w:rPr>
          <w:sz w:val="20"/>
          <w:szCs w:val="20"/>
          <w:color w:val="auto"/>
        </w:rPr>
      </w:pPr>
      <w:r>
        <w:rPr>
          <w:rFonts w:ascii="Arial" w:cs="Arial" w:eastAsia="Arial" w:hAnsi="Arial"/>
          <w:sz w:val="14"/>
          <w:szCs w:val="14"/>
          <w:color w:val="auto"/>
        </w:rPr>
        <w:t>Concentration of ownership of our common stock among our executive officers, directors and principal stockholders may prevent new investors from influencing significant corporate decisions. Based on shares outstanding as of September 30, 2021, our executive officers, directors and current beneficial owners of 5% or more of our common stock, in the aggregate, beneficially owned approximately 44.9% of our common stock. These stockholders, acting together, will be able to significantly influence all matters requiring stockholder approval, including the election and removal of directors and any merger or other significant corporate transactions.</w:t>
      </w:r>
    </w:p>
    <w:p>
      <w:pPr>
        <w:spacing w:after="0" w:line="80" w:lineRule="exact"/>
        <w:rPr>
          <w:sz w:val="20"/>
          <w:szCs w:val="20"/>
          <w:color w:val="auto"/>
        </w:rPr>
      </w:pPr>
    </w:p>
    <w:p>
      <w:pPr>
        <w:jc w:val="both"/>
        <w:ind w:left="960"/>
        <w:spacing w:after="0" w:line="277" w:lineRule="auto"/>
        <w:rPr>
          <w:sz w:val="20"/>
          <w:szCs w:val="20"/>
          <w:color w:val="auto"/>
        </w:rPr>
      </w:pPr>
      <w:r>
        <w:rPr>
          <w:rFonts w:ascii="Arial" w:cs="Arial" w:eastAsia="Arial" w:hAnsi="Arial"/>
          <w:sz w:val="14"/>
          <w:szCs w:val="14"/>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7" w:lineRule="exact"/>
        <w:rPr>
          <w:sz w:val="20"/>
          <w:szCs w:val="20"/>
          <w:color w:val="auto"/>
        </w:rPr>
      </w:pPr>
    </w:p>
    <w:p>
      <w:pPr>
        <w:jc w:val="both"/>
        <w:ind w:left="960"/>
        <w:spacing w:after="0" w:line="293" w:lineRule="auto"/>
        <w:rPr>
          <w:sz w:val="20"/>
          <w:szCs w:val="20"/>
          <w:color w:val="auto"/>
        </w:rPr>
      </w:pPr>
      <w:r>
        <w:rPr>
          <w:rFonts w:ascii="Arial" w:cs="Arial" w:eastAsia="Arial" w:hAnsi="Arial"/>
          <w:sz w:val="14"/>
          <w:szCs w:val="14"/>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4" w:name="page35"/>
    <w:bookmarkEnd w:id="34"/>
    <w:p>
      <w:pPr>
        <w:jc w:val="both"/>
        <w:ind w:left="960" w:right="20"/>
        <w:spacing w:after="0" w:line="293" w:lineRule="auto"/>
        <w:rPr>
          <w:sz w:val="20"/>
          <w:szCs w:val="20"/>
          <w:color w:val="auto"/>
        </w:rPr>
      </w:pPr>
      <w:r>
        <w:rPr>
          <w:rFonts w:ascii="Arial" w:cs="Arial" w:eastAsia="Arial" w:hAnsi="Arial"/>
          <w:sz w:val="14"/>
          <w:szCs w:val="14"/>
          <w:color w:val="auto"/>
        </w:rPr>
        <w:t>International operations and expansion of our international business exposes us to business, regulatory, political, operational, financial and economic risks associated with doing business outside of the United States.</w:t>
      </w:r>
    </w:p>
    <w:p>
      <w:pPr>
        <w:spacing w:after="0" w:line="66" w:lineRule="exact"/>
        <w:rPr>
          <w:sz w:val="20"/>
          <w:szCs w:val="20"/>
          <w:color w:val="auto"/>
        </w:rPr>
      </w:pPr>
    </w:p>
    <w:p>
      <w:pPr>
        <w:jc w:val="both"/>
        <w:ind w:left="960"/>
        <w:spacing w:after="0" w:line="308" w:lineRule="auto"/>
        <w:rPr>
          <w:sz w:val="20"/>
          <w:szCs w:val="20"/>
          <w:color w:val="auto"/>
        </w:rPr>
      </w:pPr>
      <w:r>
        <w:rPr>
          <w:rFonts w:ascii="Arial" w:cs="Arial" w:eastAsia="Arial" w:hAnsi="Arial"/>
          <w:sz w:val="13"/>
          <w:szCs w:val="13"/>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59"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If our products do not perform as expected, our operating results, reputation and business will suffer.</w:t>
      </w:r>
    </w:p>
    <w:p>
      <w:pPr>
        <w:spacing w:after="0" w:line="123" w:lineRule="exact"/>
        <w:rPr>
          <w:sz w:val="20"/>
          <w:szCs w:val="20"/>
          <w:color w:val="auto"/>
        </w:rPr>
      </w:pPr>
    </w:p>
    <w:p>
      <w:pPr>
        <w:jc w:val="both"/>
        <w:ind w:left="960"/>
        <w:spacing w:after="0" w:line="293" w:lineRule="auto"/>
        <w:rPr>
          <w:sz w:val="20"/>
          <w:szCs w:val="20"/>
          <w:color w:val="auto"/>
        </w:rPr>
      </w:pPr>
      <w:r>
        <w:rPr>
          <w:rFonts w:ascii="Arial" w:cs="Arial" w:eastAsia="Arial" w:hAnsi="Arial"/>
          <w:sz w:val="14"/>
          <w:szCs w:val="14"/>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6" w:lineRule="exact"/>
        <w:rPr>
          <w:sz w:val="20"/>
          <w:szCs w:val="20"/>
          <w:color w:val="auto"/>
        </w:rPr>
      </w:pPr>
    </w:p>
    <w:p>
      <w:pPr>
        <w:jc w:val="both"/>
        <w:ind w:left="960"/>
        <w:spacing w:after="0" w:line="293" w:lineRule="auto"/>
        <w:rPr>
          <w:sz w:val="20"/>
          <w:szCs w:val="20"/>
          <w:color w:val="auto"/>
        </w:rPr>
      </w:pPr>
      <w:r>
        <w:rPr>
          <w:rFonts w:ascii="Arial" w:cs="Arial" w:eastAsia="Arial" w:hAnsi="Arial"/>
          <w:sz w:val="14"/>
          <w:szCs w:val="14"/>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66" w:lineRule="exact"/>
        <w:rPr>
          <w:sz w:val="20"/>
          <w:szCs w:val="20"/>
          <w:color w:val="auto"/>
        </w:rPr>
      </w:pPr>
    </w:p>
    <w:p>
      <w:pPr>
        <w:jc w:val="both"/>
        <w:ind w:left="960"/>
        <w:spacing w:after="0" w:line="293" w:lineRule="auto"/>
        <w:rPr>
          <w:sz w:val="20"/>
          <w:szCs w:val="20"/>
          <w:color w:val="auto"/>
        </w:rPr>
      </w:pPr>
      <w:r>
        <w:rPr>
          <w:rFonts w:ascii="Arial" w:cs="Arial" w:eastAsia="Arial" w:hAnsi="Arial"/>
          <w:sz w:val="14"/>
          <w:szCs w:val="14"/>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6" w:lineRule="exact"/>
        <w:rPr>
          <w:sz w:val="20"/>
          <w:szCs w:val="20"/>
          <w:color w:val="auto"/>
        </w:rPr>
      </w:pPr>
    </w:p>
    <w:p>
      <w:pPr>
        <w:jc w:val="both"/>
        <w:ind w:left="960"/>
        <w:spacing w:after="0" w:line="277" w:lineRule="auto"/>
        <w:rPr>
          <w:sz w:val="20"/>
          <w:szCs w:val="20"/>
          <w:color w:val="auto"/>
        </w:rPr>
      </w:pPr>
      <w:r>
        <w:rPr>
          <w:rFonts w:ascii="Arial" w:cs="Arial" w:eastAsia="Arial" w:hAnsi="Arial"/>
          <w:sz w:val="14"/>
          <w:szCs w:val="14"/>
          <w:color w:val="auto"/>
        </w:rPr>
        <w:t>We have identified a material weakness in our internal control over financial reporting. If we are unable to remediate this material weakness, or if we identify additional material weaknesses in the future or otherwise fail to maintain an effective system of internal controls, we may not be able to accurately or timely report our financial condition or results of operations.</w:t>
      </w:r>
    </w:p>
    <w:p>
      <w:pPr>
        <w:spacing w:after="0" w:line="77" w:lineRule="exact"/>
        <w:rPr>
          <w:sz w:val="20"/>
          <w:szCs w:val="20"/>
          <w:color w:val="auto"/>
        </w:rPr>
      </w:pPr>
    </w:p>
    <w:p>
      <w:pPr>
        <w:jc w:val="both"/>
        <w:ind w:left="960" w:right="20"/>
        <w:spacing w:after="0" w:line="293" w:lineRule="auto"/>
        <w:rPr>
          <w:sz w:val="20"/>
          <w:szCs w:val="20"/>
          <w:color w:val="auto"/>
        </w:rPr>
      </w:pPr>
      <w:r>
        <w:rPr>
          <w:rFonts w:ascii="Arial" w:cs="Arial" w:eastAsia="Arial" w:hAnsi="Arial"/>
          <w:sz w:val="14"/>
          <w:szCs w:val="14"/>
          <w:color w:val="auto"/>
        </w:rPr>
        <w:t>Our operating results may fluctuate significantly, which makes our future operating results difficult to predict and could cause our operating results to fall below expectations or any guidance we may provide.</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4"/>
          <w:szCs w:val="14"/>
          <w:color w:val="auto"/>
        </w:rPr>
        <w:t>We may need to raise additional capital to fund our existing operations, develop our products and/or expand our operations.</w:t>
      </w:r>
    </w:p>
    <w:p>
      <w:pPr>
        <w:spacing w:after="0" w:line="123" w:lineRule="exact"/>
        <w:rPr>
          <w:sz w:val="20"/>
          <w:szCs w:val="20"/>
          <w:color w:val="auto"/>
        </w:rPr>
      </w:pPr>
    </w:p>
    <w:p>
      <w:pPr>
        <w:jc w:val="both"/>
        <w:ind w:left="960"/>
        <w:spacing w:after="0" w:line="293" w:lineRule="auto"/>
        <w:rPr>
          <w:sz w:val="20"/>
          <w:szCs w:val="20"/>
          <w:color w:val="auto"/>
        </w:rPr>
      </w:pPr>
      <w:r>
        <w:rPr>
          <w:rFonts w:ascii="Arial" w:cs="Arial" w:eastAsia="Arial" w:hAnsi="Arial"/>
          <w:sz w:val="14"/>
          <w:szCs w:val="14"/>
          <w:color w:val="auto"/>
        </w:rPr>
        <w:t>The COVID-19 pandemic has had and could continue to have an adverse impact on our business, operations, and the markets and communities in which we, our partners, and customers operate.</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Strategy</w:t>
      </w:r>
    </w:p>
    <w:p>
      <w:pPr>
        <w:spacing w:after="0" w:line="19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66"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4"/>
          <w:szCs w:val="14"/>
          <w:color w:val="auto"/>
        </w:rPr>
        <w:t>We have a limited operating history and may encounter unforeseen expenses, difficulties, complications, delays and other known and unknown obstacles. We launched our first core commercial product, the Aurora system, in June 2017. Our limited commercial and operating history makes it difficult to evaluate our current business and predict our future performance. Although we have experienced significant revenue growth in recent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164"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are highly dependent on a limited number of product offerings. Our revenue has been primarily generated from sale of our core Aurora and Northern Lights systems, which require a substantial sales cycle and are prone to quarterly fluctuations in revenue.</w:t>
      </w:r>
    </w:p>
    <w:p>
      <w:pPr>
        <w:spacing w:after="0" w:line="66" w:lineRule="exact"/>
        <w:rPr>
          <w:sz w:val="20"/>
          <w:szCs w:val="20"/>
          <w:color w:val="auto"/>
        </w:rPr>
      </w:pPr>
    </w:p>
    <w:p>
      <w:pPr>
        <w:jc w:val="both"/>
        <w:ind w:firstLine="578"/>
        <w:spacing w:after="0" w:line="312" w:lineRule="auto"/>
        <w:rPr>
          <w:sz w:val="20"/>
          <w:szCs w:val="20"/>
          <w:color w:val="auto"/>
        </w:rPr>
      </w:pPr>
      <w:r>
        <w:rPr>
          <w:rFonts w:ascii="Arial" w:cs="Arial" w:eastAsia="Arial" w:hAnsi="Arial"/>
          <w:sz w:val="13"/>
          <w:szCs w:val="13"/>
          <w:color w:val="auto"/>
        </w:rPr>
        <w:t>Our Aurora system was commercially launched in June 2017 and our Northern Lights system was commercially launched in October 2018. Sales of the Aurora and Northern Lights systems together accounted for a substantial portion of our revenue for the periods presented. We expect that, for at least the foreseeable future, sales of our Aurora and Northern Lights systems will continue to account for a substantial portion of our revenue. The sales cycle for our flow cytometer instruments is slow and can take up to six months or longer to complete. As a result of this lengthy and unpredictable sales cycle, we will be prone to quarterly fluctuations in our revenue as sales of the Aurora and Northern Lights systems are expected to continue to comprise a significant component of our revenue. Additionally, we experience seasonality in our business, with revenue in the fourth quarter typically being higher as a result of higher sales volume due to marketing campaign closing activity.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138" w:lineRule="exact"/>
        <w:rPr>
          <w:sz w:val="20"/>
          <w:szCs w:val="20"/>
          <w:color w:val="auto"/>
        </w:rPr>
      </w:pPr>
    </w:p>
    <w:p>
      <w:pPr>
        <w:jc w:val="both"/>
        <w:ind w:right="20" w:firstLine="578"/>
        <w:spacing w:after="0" w:line="329" w:lineRule="auto"/>
        <w:rPr>
          <w:sz w:val="20"/>
          <w:szCs w:val="20"/>
          <w:color w:val="auto"/>
        </w:rPr>
      </w:pPr>
      <w:r>
        <w:rPr>
          <w:rFonts w:ascii="Arial" w:cs="Arial" w:eastAsia="Arial" w:hAnsi="Arial"/>
          <w:sz w:val="13"/>
          <w:szCs w:val="13"/>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371" w:lineRule="exact"/>
        <w:rPr>
          <w:sz w:val="20"/>
          <w:szCs w:val="20"/>
          <w:color w:val="auto"/>
        </w:rPr>
      </w:pPr>
    </w:p>
    <w:p>
      <w:pPr>
        <w:jc w:val="both"/>
        <w:spacing w:after="0" w:line="334" w:lineRule="auto"/>
        <w:rPr>
          <w:sz w:val="20"/>
          <w:szCs w:val="20"/>
          <w:color w:val="auto"/>
        </w:rPr>
      </w:pPr>
      <w:r>
        <w:rPr>
          <w:rFonts w:ascii="Arial" w:cs="Arial" w:eastAsia="Arial" w:hAnsi="Arial"/>
          <w:sz w:val="13"/>
          <w:szCs w:val="13"/>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43" w:lineRule="exact"/>
        <w:rPr>
          <w:sz w:val="20"/>
          <w:szCs w:val="20"/>
          <w:color w:val="auto"/>
        </w:rPr>
      </w:pPr>
    </w:p>
    <w:p>
      <w:pPr>
        <w:jc w:val="both"/>
        <w:ind w:firstLine="578"/>
        <w:spacing w:after="0" w:line="310" w:lineRule="auto"/>
        <w:rPr>
          <w:sz w:val="20"/>
          <w:szCs w:val="20"/>
          <w:color w:val="auto"/>
        </w:rPr>
      </w:pPr>
      <w:r>
        <w:rPr>
          <w:rFonts w:ascii="Arial" w:cs="Arial" w:eastAsia="Arial" w:hAnsi="Arial"/>
          <w:sz w:val="13"/>
          <w:szCs w:val="13"/>
          <w:color w:val="auto"/>
        </w:rPr>
        <w:t>We have sourced and will continue to source certain components of the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our China Subsidiary entered into the Coherent Agreement with Coherent. Pursuant to the Coherent Agreement, Coherent has agreed to sell and supply to us and the Subsidiary, on a non-exclusive basis, laser products manufactured by Coherent. We and the Subsidiary will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5" w:name="page36"/>
    <w:bookmarkEnd w:id="35"/>
    <w:p>
      <w:pPr>
        <w:jc w:val="both"/>
        <w:spacing w:after="0" w:line="292" w:lineRule="auto"/>
        <w:rPr>
          <w:sz w:val="20"/>
          <w:szCs w:val="20"/>
          <w:color w:val="auto"/>
        </w:rPr>
      </w:pPr>
      <w:r>
        <w:rPr>
          <w:rFonts w:ascii="Arial" w:cs="Arial" w:eastAsia="Arial" w:hAnsi="Arial"/>
          <w:sz w:val="14"/>
          <w:szCs w:val="14"/>
          <w:color w:val="auto"/>
        </w:rPr>
        <w:t>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161"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4"/>
          <w:szCs w:val="14"/>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the COVID-19 pandemic or other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51" w:lineRule="exact"/>
        <w:rPr>
          <w:sz w:val="20"/>
          <w:szCs w:val="20"/>
          <w:color w:val="auto"/>
        </w:rPr>
      </w:pPr>
    </w:p>
    <w:p>
      <w:pPr>
        <w:jc w:val="both"/>
        <w:ind w:firstLine="578"/>
        <w:spacing w:after="0" w:line="355" w:lineRule="auto"/>
        <w:rPr>
          <w:sz w:val="20"/>
          <w:szCs w:val="20"/>
          <w:color w:val="auto"/>
        </w:rPr>
      </w:pPr>
      <w:r>
        <w:rPr>
          <w:rFonts w:ascii="Arial" w:cs="Arial" w:eastAsia="Arial" w:hAnsi="Arial"/>
          <w:sz w:val="13"/>
          <w:szCs w:val="13"/>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25"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4"/>
          <w:szCs w:val="14"/>
          <w:color w:val="auto"/>
        </w:rPr>
        <w:t>Supply interruptions have in the past arisen and could arise in the future from effects of the COVID-19 pandemic, shortages of raw materials, labor disputes or weather conditions affecting products or shipments, transportation disruptions, adjustments to our inventory levels or other factors within and beyond our control, and such supply interruption risk is increased by the limited number of 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results of operations will be harmed if we are unable to accurately forecast customer demand for our products and manage our inventory.</w:t>
      </w:r>
    </w:p>
    <w:p>
      <w:pPr>
        <w:spacing w:after="0" w:line="123"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the COVID-19 pandemic, seasonal demands, regulatory matters or weakening of general economic conditions.</w:t>
      </w:r>
    </w:p>
    <w:p>
      <w:pPr>
        <w:spacing w:after="0" w:line="165" w:lineRule="exact"/>
        <w:rPr>
          <w:sz w:val="20"/>
          <w:szCs w:val="20"/>
          <w:color w:val="auto"/>
        </w:rPr>
      </w:pPr>
    </w:p>
    <w:p>
      <w:pPr>
        <w:jc w:val="both"/>
        <w:ind w:firstLine="578"/>
        <w:spacing w:after="0" w:line="285" w:lineRule="auto"/>
        <w:rPr>
          <w:sz w:val="20"/>
          <w:szCs w:val="20"/>
          <w:color w:val="auto"/>
        </w:rPr>
      </w:pPr>
      <w:r>
        <w:rPr>
          <w:rFonts w:ascii="Arial" w:cs="Arial" w:eastAsia="Arial" w:hAnsi="Arial"/>
          <w:sz w:val="14"/>
          <w:szCs w:val="14"/>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56"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66"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We have limited experience manufacturing our products. We currently manufacture our instruments and reagents at our manufacturing facilities in Fremont, California, and Wuxi, China.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161"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134"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165" w:lineRule="exact"/>
        <w:rPr>
          <w:sz w:val="20"/>
          <w:szCs w:val="20"/>
          <w:color w:val="auto"/>
        </w:rPr>
      </w:pPr>
    </w:p>
    <w:p>
      <w:pPr>
        <w:jc w:val="both"/>
        <w:ind w:right="20" w:firstLine="578"/>
        <w:spacing w:after="0" w:line="313" w:lineRule="auto"/>
        <w:rPr>
          <w:sz w:val="20"/>
          <w:szCs w:val="20"/>
          <w:color w:val="auto"/>
        </w:rPr>
      </w:pPr>
      <w:r>
        <w:rPr>
          <w:rFonts w:ascii="Arial" w:cs="Arial" w:eastAsia="Arial" w:hAnsi="Arial"/>
          <w:sz w:val="14"/>
          <w:szCs w:val="14"/>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is dependent upon our ability to increase penetration in our existing markets and expand into adjacent markets.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6" w:name="page37"/>
    <w:bookmarkEnd w:id="36"/>
    <w:p>
      <w:pPr>
        <w:jc w:val="both"/>
        <w:ind w:firstLine="578"/>
        <w:spacing w:after="0" w:line="316" w:lineRule="auto"/>
        <w:rPr>
          <w:sz w:val="20"/>
          <w:szCs w:val="20"/>
          <w:color w:val="auto"/>
        </w:rPr>
      </w:pPr>
      <w:r>
        <w:rPr>
          <w:rFonts w:ascii="Arial" w:cs="Arial" w:eastAsia="Arial" w:hAnsi="Arial"/>
          <w:sz w:val="13"/>
          <w:szCs w:val="13"/>
          <w:color w:val="auto"/>
        </w:rPr>
        <w:t>Our customer base includes academic and government institutions, pharmaceutical and biotechnology companies, clinical research organizations and clinical laboratories focused on cell analysis. Approximately 49% and 48% of our revenue came from sales to academic and government-owned institutions and 51% and 52% of our revenue came from sales to pharmaceutical and biotechnology companies, distributors and CROs in the year ended December 31, 2020 and the nine months ended September 30, 2021,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150" w:lineRule="exact"/>
        <w:rPr>
          <w:sz w:val="20"/>
          <w:szCs w:val="20"/>
          <w:color w:val="auto"/>
        </w:rPr>
      </w:pPr>
    </w:p>
    <w:p>
      <w:pPr>
        <w:jc w:val="both"/>
        <w:ind w:firstLine="578"/>
        <w:spacing w:after="0" w:line="312" w:lineRule="auto"/>
        <w:rPr>
          <w:sz w:val="20"/>
          <w:szCs w:val="20"/>
          <w:color w:val="auto"/>
        </w:rPr>
      </w:pPr>
      <w:r>
        <w:rPr>
          <w:rFonts w:ascii="Arial" w:cs="Arial" w:eastAsia="Arial" w:hAnsi="Arial"/>
          <w:sz w:val="13"/>
          <w:szCs w:val="13"/>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3"/>
          <w:szCs w:val="13"/>
          <w:i w:val="1"/>
          <w:iCs w:val="1"/>
          <w:color w:val="auto"/>
        </w:rPr>
        <w:t>de novo</w:t>
      </w:r>
      <w:r>
        <w:rPr>
          <w:rFonts w:ascii="Arial" w:cs="Arial" w:eastAsia="Arial" w:hAnsi="Arial"/>
          <w:sz w:val="13"/>
          <w:szCs w:val="13"/>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38" w:lineRule="exact"/>
        <w:rPr>
          <w:sz w:val="20"/>
          <w:szCs w:val="20"/>
          <w:color w:val="auto"/>
        </w:rPr>
      </w:pPr>
    </w:p>
    <w:p>
      <w:pPr>
        <w:jc w:val="both"/>
        <w:spacing w:after="0" w:line="343" w:lineRule="auto"/>
        <w:rPr>
          <w:sz w:val="20"/>
          <w:szCs w:val="20"/>
          <w:color w:val="auto"/>
        </w:rPr>
      </w:pPr>
      <w:r>
        <w:rPr>
          <w:rFonts w:ascii="Arial" w:cs="Arial" w:eastAsia="Arial" w:hAnsi="Arial"/>
          <w:sz w:val="12"/>
          <w:szCs w:val="12"/>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43"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inadequate recruiting or training of talented sales force in existing and new markets to facilitate outreach and further adoption and awareness of our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lack of experience with our products for cell analysis;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perceived inadequacy of evidence supporting benefits or cost-effectiveness of our products over existing alternatives;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liability risks generally associated with the use of new products and processes;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training required to use new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 decrease or delay in the research and development activities using our products as a result of the COVID-19 pandemic;</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competing products and alternatives;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introduction of other novel alternative products for cell analysis.</w:t>
      </w:r>
    </w:p>
    <w:p>
      <w:pPr>
        <w:spacing w:after="0" w:line="352"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66"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Approximately 49% and 48% of our revenue came from sales to academic and government-owned institutions in the year ended December 31, 2020 and in the nine months ended September 30, 2021, respectively. Much of their funding was, in turn, provided by various state, federal and foreign government agencies. In the near term, we expect that a large portion of our revenue will continue to be derived from sales to academic and government-owned institutions. As a result, the demand for our solutions may depend upon the research and development budgets of these customers, which are impacted by factors beyond our control, such as:</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decreases in government funding of research and development, including as a result of the COVID-19 pandemic;</w:t>
      </w:r>
    </w:p>
    <w:p>
      <w:pPr>
        <w:spacing w:after="0" w:line="123" w:lineRule="exact"/>
        <w:rPr>
          <w:sz w:val="20"/>
          <w:szCs w:val="20"/>
          <w:color w:val="auto"/>
        </w:rPr>
      </w:pPr>
    </w:p>
    <w:p>
      <w:pPr>
        <w:ind w:left="960"/>
        <w:spacing w:after="0" w:line="293" w:lineRule="auto"/>
        <w:rPr>
          <w:sz w:val="20"/>
          <w:szCs w:val="20"/>
          <w:color w:val="auto"/>
        </w:rPr>
      </w:pPr>
      <w:r>
        <w:rPr>
          <w:rFonts w:ascii="Arial" w:cs="Arial" w:eastAsia="Arial" w:hAnsi="Arial"/>
          <w:sz w:val="14"/>
          <w:szCs w:val="14"/>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4"/>
          <w:szCs w:val="14"/>
          <w:color w:val="auto"/>
        </w:rPr>
        <w:t>macroeconomic conditions and the political climate;</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scientists’ and customers’ opinions of the utility of new products or services;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changes in the regulatory environment;</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differences in budgetary cycles;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competitor product offerings or pricing;</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market-driven pressures to consolidate operations and reduce costs;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market acceptance of relatively new technologies, such as ours.</w:t>
      </w:r>
    </w:p>
    <w:p>
      <w:pPr>
        <w:spacing w:after="0" w:line="123" w:lineRule="exact"/>
        <w:rPr>
          <w:sz w:val="20"/>
          <w:szCs w:val="20"/>
          <w:color w:val="auto"/>
        </w:rPr>
      </w:pPr>
    </w:p>
    <w:p>
      <w:pPr>
        <w:ind w:firstLine="578"/>
        <w:spacing w:after="0" w:line="313" w:lineRule="auto"/>
        <w:rPr>
          <w:sz w:val="20"/>
          <w:szCs w:val="20"/>
          <w:color w:val="auto"/>
        </w:rPr>
      </w:pPr>
      <w:r>
        <w:rPr>
          <w:rFonts w:ascii="Arial" w:cs="Arial" w:eastAsia="Arial" w:hAnsi="Arial"/>
          <w:sz w:val="14"/>
          <w:szCs w:val="14"/>
          <w:color w:val="auto"/>
        </w:rPr>
        <w:t>In addition, various state, federal and foreign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7" w:name="page38"/>
    <w:bookmarkEnd w:id="37"/>
    <w:p>
      <w:pPr>
        <w:jc w:val="both"/>
        <w:spacing w:after="0" w:line="287" w:lineRule="auto"/>
        <w:rPr>
          <w:sz w:val="20"/>
          <w:szCs w:val="20"/>
          <w:color w:val="auto"/>
        </w:rPr>
      </w:pPr>
      <w:r>
        <w:rPr>
          <w:rFonts w:ascii="Arial" w:cs="Arial" w:eastAsia="Arial" w:hAnsi="Arial"/>
          <w:sz w:val="14"/>
          <w:szCs w:val="14"/>
          <w:color w:val="auto"/>
        </w:rPr>
        <w:t>provide funding, to purchase our solutions. For example, congressional appropriations to the National Institutes of Health (the “NIH”) have generally increased year-over-year in recent years, but the NIH also experiences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394"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66"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In addition to selling our products through our direct sales force and support organizations in North America, Europe, China, and several countries in the Asia-Pacific region, we sell our products through third-party distributors in certain regions of Asia, Europe, Latin America, the Middle East and Africa.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134"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66"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145" w:lineRule="exact"/>
        <w:rPr>
          <w:sz w:val="20"/>
          <w:szCs w:val="20"/>
          <w:color w:val="auto"/>
        </w:rPr>
      </w:pPr>
    </w:p>
    <w:p>
      <w:pPr>
        <w:ind w:left="960"/>
        <w:spacing w:after="0" w:line="293" w:lineRule="auto"/>
        <w:rPr>
          <w:sz w:val="20"/>
          <w:szCs w:val="20"/>
          <w:color w:val="auto"/>
        </w:rPr>
      </w:pPr>
      <w:r>
        <w:rPr>
          <w:rFonts w:ascii="Arial" w:cs="Arial" w:eastAsia="Arial" w:hAnsi="Arial"/>
          <w:sz w:val="14"/>
          <w:szCs w:val="14"/>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4"/>
          <w:szCs w:val="14"/>
          <w:color w:val="auto"/>
        </w:rPr>
        <w:t>failure by us or our distributors to obtain approvals to conduct our business in various countries;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differing intellectual property rights;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complexities and difficulties in obtaining intellectual property protection, enforcing our intellectual property and defending against third party intellectual property claims;</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difficulties in staffing and managing foreign operations;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logistics and regulations associated with shipping systems and parts and components for our products, as well as transportation delays;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travel restrictions that limit the ability of marketing, presales, sales, services and support teams to service customers, including those resulting from the COVID-19 pandemic;</w:t>
      </w:r>
    </w:p>
    <w:p>
      <w:pPr>
        <w:spacing w:after="0" w:line="134" w:lineRule="exact"/>
        <w:rPr>
          <w:sz w:val="20"/>
          <w:szCs w:val="20"/>
          <w:color w:val="auto"/>
        </w:rPr>
      </w:pPr>
    </w:p>
    <w:p>
      <w:pPr>
        <w:ind w:left="960" w:right="20"/>
        <w:spacing w:after="0" w:line="293" w:lineRule="auto"/>
        <w:rPr>
          <w:sz w:val="20"/>
          <w:szCs w:val="20"/>
          <w:color w:val="auto"/>
        </w:rPr>
      </w:pPr>
      <w:r>
        <w:rPr>
          <w:rFonts w:ascii="Arial" w:cs="Arial" w:eastAsia="Arial" w:hAnsi="Arial"/>
          <w:sz w:val="14"/>
          <w:szCs w:val="14"/>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international trade disputes that could result in tariffs and other protective measures;</w:t>
      </w:r>
    </w:p>
    <w:p>
      <w:pPr>
        <w:spacing w:after="0" w:line="123" w:lineRule="exact"/>
        <w:rPr>
          <w:sz w:val="20"/>
          <w:szCs w:val="20"/>
          <w:color w:val="auto"/>
        </w:rPr>
      </w:pPr>
    </w:p>
    <w:p>
      <w:pPr>
        <w:ind w:left="960" w:right="20"/>
        <w:spacing w:after="0" w:line="293" w:lineRule="auto"/>
        <w:rPr>
          <w:sz w:val="20"/>
          <w:szCs w:val="20"/>
          <w:color w:val="auto"/>
        </w:rPr>
      </w:pPr>
      <w:r>
        <w:rPr>
          <w:rFonts w:ascii="Arial" w:cs="Arial" w:eastAsia="Arial" w:hAnsi="Arial"/>
          <w:sz w:val="14"/>
          <w:szCs w:val="14"/>
          <w:color w:val="auto"/>
        </w:rPr>
        <w:t>natural disasters, political and economic instability, including wars, terrorism and political unrest, outbreak of disease, boycotts, curtailment of trade and other business restrictions; and</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regulatory and compliance risks that relate to maintaining accurate information and control over sales and distributors’ activities that may fall within the purview of the U.S.</w:t>
      </w:r>
    </w:p>
    <w:p>
      <w:pPr>
        <w:spacing w:after="0" w:line="3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Foreign Corrupt Practices Act (the “FCPA”), its books and records provisions, or its anti-bribery provisions.</w:t>
      </w:r>
    </w:p>
    <w:p>
      <w:pPr>
        <w:spacing w:after="0" w:line="345"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66"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4"/>
          <w:szCs w:val="14"/>
          <w:color w:val="auto"/>
        </w:rPr>
        <w:t>We face significant competition in the cell analysis and life sciences tools markets. We currently compete with both established and early stage life sciences technology companies that design, manufacture and market conventional flow cytometry (“CFCs”), spectral flow cytometry and mass cytometry instruments,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Fluidigm Corporation,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8" w:name="page39"/>
    <w:bookmarkEnd w:id="38"/>
    <w:p>
      <w:pPr>
        <w:jc w:val="both"/>
        <w:spacing w:after="0" w:line="313" w:lineRule="auto"/>
        <w:rPr>
          <w:sz w:val="20"/>
          <w:szCs w:val="20"/>
          <w:color w:val="auto"/>
        </w:rPr>
      </w:pPr>
      <w:r>
        <w:rPr>
          <w:rFonts w:ascii="Arial" w:cs="Arial" w:eastAsia="Arial" w:hAnsi="Arial"/>
          <w:sz w:val="14"/>
          <w:szCs w:val="14"/>
          <w:color w:val="auto"/>
        </w:rPr>
        <w:t>compete with us in the future. These large, established companies have substantially greater financial and other resources than us, including larger research and development staff or more established marketing and sales forces.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Our competitors and potential competitors may enjoy a number of competitive advantages over us, including:</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longer operating histories;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larger customer bases;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greater brand recognition and market penetration;</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greater financial resources and capabilities;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greater technological and research and development resources;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larger intellectual property portfolios;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better system reliability and robustness;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greater selling and marketing capabilities;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better established, larger scale and lower cost manufacturing capabilities.</w:t>
      </w:r>
    </w:p>
    <w:p>
      <w:pPr>
        <w:spacing w:after="0" w:line="123"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depends on our ability to develop and successfully introduce new and enhanced products that meet the needs of our customers.</w:t>
      </w:r>
    </w:p>
    <w:p>
      <w:pPr>
        <w:spacing w:after="0" w:line="123"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Our current products include instruments, consumables and services to advance high-content and high-sensitivity cell analysis by utilizing our full spectrum profiling (“FSP”) technology.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 Restrictions resulting from the COVID-19 pandemic have had a negative impact on the work on some of our research and development programs due to the inability of some personnel being able to work in our applicable regional facilities.</w:t>
      </w:r>
    </w:p>
    <w:p>
      <w:pPr>
        <w:spacing w:after="0" w:line="151"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148"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148" w:lineRule="exact"/>
        <w:rPr>
          <w:sz w:val="20"/>
          <w:szCs w:val="20"/>
          <w:color w:val="auto"/>
        </w:rPr>
      </w:pPr>
    </w:p>
    <w:p>
      <w:pPr>
        <w:jc w:val="both"/>
        <w:ind w:right="20"/>
        <w:spacing w:after="0" w:line="382" w:lineRule="auto"/>
        <w:rPr>
          <w:sz w:val="20"/>
          <w:szCs w:val="20"/>
          <w:color w:val="auto"/>
        </w:rPr>
      </w:pPr>
      <w:r>
        <w:rPr>
          <w:rFonts w:ascii="Arial" w:cs="Arial" w:eastAsia="Arial" w:hAnsi="Arial"/>
          <w:sz w:val="12"/>
          <w:szCs w:val="12"/>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20"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4"/>
          <w:szCs w:val="14"/>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164" w:lineRule="exact"/>
        <w:rPr>
          <w:sz w:val="20"/>
          <w:szCs w:val="20"/>
          <w:color w:val="auto"/>
        </w:rPr>
      </w:pPr>
    </w:p>
    <w:p>
      <w:pPr>
        <w:jc w:val="both"/>
        <w:ind w:firstLine="578"/>
        <w:spacing w:after="0" w:line="309" w:lineRule="auto"/>
        <w:rPr>
          <w:sz w:val="20"/>
          <w:szCs w:val="20"/>
          <w:color w:val="auto"/>
        </w:rPr>
      </w:pPr>
      <w:r>
        <w:rPr>
          <w:rFonts w:ascii="Arial" w:cs="Arial" w:eastAsia="Arial" w:hAnsi="Arial"/>
          <w:sz w:val="13"/>
          <w:szCs w:val="13"/>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 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i w:val="1"/>
          <w:iCs w:val="1"/>
          <w:color w:val="auto"/>
        </w:rPr>
        <w:t>New product development involves a lengthy and complex process and we may be unable to develop or commercialize products on a timely basis, or at all.</w:t>
      </w:r>
    </w:p>
    <w:p>
      <w:pPr>
        <w:spacing w:after="0" w:line="123" w:lineRule="exact"/>
        <w:rPr>
          <w:sz w:val="20"/>
          <w:szCs w:val="20"/>
          <w:color w:val="auto"/>
        </w:rPr>
      </w:pPr>
    </w:p>
    <w:p>
      <w:pPr>
        <w:jc w:val="both"/>
        <w:ind w:firstLine="578"/>
        <w:spacing w:after="0" w:line="329" w:lineRule="auto"/>
        <w:rPr>
          <w:sz w:val="20"/>
          <w:szCs w:val="20"/>
          <w:color w:val="auto"/>
        </w:rPr>
      </w:pPr>
      <w:r>
        <w:rPr>
          <w:rFonts w:ascii="Arial" w:cs="Arial" w:eastAsia="Arial" w:hAnsi="Arial"/>
          <w:sz w:val="13"/>
          <w:szCs w:val="13"/>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conduct substantial research and development;</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obtain necessary regulatory approval;</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further develop and scale our laboratory, engineering and manufacturing processes to accommodate different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source and enter into agreements with new suppliers;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further develop and scale our infrastructure.</w:t>
      </w:r>
    </w:p>
    <w:p>
      <w:pPr>
        <w:spacing w:after="0" w:line="123"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4"/>
          <w:szCs w:val="14"/>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134"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158" w:lineRule="exact"/>
        <w:rPr>
          <w:sz w:val="20"/>
          <w:szCs w:val="20"/>
          <w:color w:val="auto"/>
        </w:rPr>
      </w:pPr>
    </w:p>
    <w:p>
      <w:pPr>
        <w:jc w:val="both"/>
        <w:spacing w:after="0" w:line="382" w:lineRule="auto"/>
        <w:rPr>
          <w:sz w:val="20"/>
          <w:szCs w:val="20"/>
          <w:color w:val="auto"/>
        </w:rPr>
      </w:pPr>
      <w:r>
        <w:rPr>
          <w:rFonts w:ascii="Arial" w:cs="Arial" w:eastAsia="Arial" w:hAnsi="Arial"/>
          <w:sz w:val="12"/>
          <w:szCs w:val="12"/>
          <w:b w:val="1"/>
          <w:bCs w:val="1"/>
          <w:i w:val="1"/>
          <w:iCs w:val="1"/>
          <w:color w:val="auto"/>
        </w:rPr>
        <w:t>Our FSP systems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20"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4"/>
          <w:szCs w:val="14"/>
          <w:color w:val="auto"/>
        </w:rPr>
        <w:t>Our success depends on our ability to provide reliable, high quality products that enable high-content and high-sensitivity cell analysis through flexible, efficient and cost-effective solutions. Our FSP systems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153"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loss of customers or orders;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increased costs of warranty expenses;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damage to our brand reputation;</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failure to attract new customers;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diversion of development, engineering and manufacturing resources;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regulatory actions by governmental authorities;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legal actions by our customers.</w:t>
      </w:r>
    </w:p>
    <w:p>
      <w:pPr>
        <w:spacing w:after="0" w:line="123"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148"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161"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September 30, 2021, we had accrued approximately $1.6</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auto"/>
        </w:rPr>
        <w:t>million in expenses relating to product warranty accruals. Substantial amounts of warranty claims could have an adverse effect on our business, financial condition and results of operations.</w:t>
      </w:r>
    </w:p>
    <w:p>
      <w:pPr>
        <w:spacing w:after="0" w:line="229" w:lineRule="exact"/>
        <w:rPr>
          <w:sz w:val="20"/>
          <w:szCs w:val="20"/>
          <w:color w:val="auto"/>
        </w:rPr>
      </w:pPr>
    </w:p>
    <w:p>
      <w:pPr>
        <w:jc w:val="both"/>
        <w:ind w:right="20" w:firstLine="578"/>
        <w:spacing w:after="0" w:line="313" w:lineRule="auto"/>
        <w:rPr>
          <w:sz w:val="20"/>
          <w:szCs w:val="20"/>
          <w:color w:val="auto"/>
        </w:rPr>
      </w:pPr>
      <w:r>
        <w:rPr>
          <w:rFonts w:ascii="Arial" w:cs="Arial" w:eastAsia="Arial" w:hAnsi="Arial"/>
          <w:sz w:val="14"/>
          <w:szCs w:val="14"/>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66" w:lineRule="exact"/>
        <w:rPr>
          <w:sz w:val="20"/>
          <w:szCs w:val="20"/>
          <w:color w:val="auto"/>
        </w:rPr>
      </w:pPr>
    </w:p>
    <w:p>
      <w:pPr>
        <w:jc w:val="both"/>
        <w:ind w:firstLine="578"/>
        <w:spacing w:after="0" w:line="309" w:lineRule="auto"/>
        <w:rPr>
          <w:sz w:val="20"/>
          <w:szCs w:val="20"/>
          <w:color w:val="auto"/>
        </w:rPr>
      </w:pPr>
      <w:r>
        <w:rPr>
          <w:rFonts w:ascii="Arial" w:cs="Arial" w:eastAsia="Arial" w:hAnsi="Arial"/>
          <w:sz w:val="13"/>
          <w:szCs w:val="13"/>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California, and Wuxi, China require global shipping services which are subject to certain factors outside of our control, such as delays passing through customs and disruptions to global shipping routes. We have also experienced shipping delays and difficulties due to the COVID-19 pandemic and may again experience such delays or difficulties due to future quarantines, shelter-in-place and similar government orders related to the COVID-19 pandemic or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66"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3"/>
          <w:szCs w:val="13"/>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European, Latin American, Middle Eastern, and Asia-Pacific countries. Our sales and marketing efforts are targeted at academic and governmental institutions, pharmaceutical and 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140" w:lineRule="exact"/>
        <w:rPr>
          <w:sz w:val="20"/>
          <w:szCs w:val="20"/>
          <w:color w:val="auto"/>
        </w:rPr>
      </w:pPr>
    </w:p>
    <w:p>
      <w:pPr>
        <w:jc w:val="both"/>
        <w:ind w:firstLine="578"/>
        <w:spacing w:after="0" w:line="316" w:lineRule="auto"/>
        <w:rPr>
          <w:sz w:val="20"/>
          <w:szCs w:val="20"/>
          <w:color w:val="auto"/>
        </w:rPr>
      </w:pPr>
      <w:r>
        <w:rPr>
          <w:rFonts w:ascii="Arial" w:cs="Arial" w:eastAsia="Arial" w:hAnsi="Arial"/>
          <w:sz w:val="13"/>
          <w:szCs w:val="13"/>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150"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150"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6" w:lineRule="exact"/>
        <w:rPr>
          <w:sz w:val="20"/>
          <w:szCs w:val="20"/>
          <w:color w:val="auto"/>
        </w:rPr>
      </w:pPr>
    </w:p>
    <w:p>
      <w:pPr>
        <w:jc w:val="both"/>
        <w:ind w:firstLine="578"/>
        <w:spacing w:after="0" w:line="312" w:lineRule="auto"/>
        <w:rPr>
          <w:sz w:val="20"/>
          <w:szCs w:val="20"/>
          <w:color w:val="auto"/>
        </w:rPr>
      </w:pPr>
      <w:r>
        <w:rPr>
          <w:rFonts w:ascii="Arial" w:cs="Arial" w:eastAsia="Arial" w:hAnsi="Arial"/>
          <w:sz w:val="13"/>
          <w:szCs w:val="13"/>
          <w:color w:val="auto"/>
        </w:rPr>
        <w:t>We rely on a significant base of peer-reviewed publications to showcase and validate the importance and application of our technology in academic and clinical research settings. As of September 30, 2021, there have been more than 300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146"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148"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Competition for skilled personnel in our market is intense and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1" w:name="page42"/>
    <w:bookmarkEnd w:id="41"/>
    <w:p>
      <w:pPr>
        <w:jc w:val="both"/>
        <w:spacing w:after="0" w:line="313" w:lineRule="auto"/>
        <w:rPr>
          <w:sz w:val="20"/>
          <w:szCs w:val="20"/>
          <w:color w:val="auto"/>
        </w:rPr>
      </w:pPr>
      <w:r>
        <w:rPr>
          <w:rFonts w:ascii="Arial" w:cs="Arial" w:eastAsia="Arial" w:hAnsi="Arial"/>
          <w:sz w:val="14"/>
          <w:szCs w:val="14"/>
          <w:color w:val="auto"/>
        </w:rPr>
        <w:t>with us on short notice. Our employment arrangements with our employees provide for at-will employment, which means that any of our employees could leave our employment at any time, with or without notice.</w:t>
      </w:r>
    </w:p>
    <w:p>
      <w:pPr>
        <w:spacing w:after="0" w:line="147"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 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148"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65" w:lineRule="exact"/>
        <w:rPr>
          <w:sz w:val="20"/>
          <w:szCs w:val="20"/>
          <w:color w:val="auto"/>
        </w:rPr>
      </w:pPr>
    </w:p>
    <w:p>
      <w:pPr>
        <w:jc w:val="both"/>
        <w:ind w:right="20" w:firstLine="578"/>
        <w:spacing w:after="0" w:line="313" w:lineRule="auto"/>
        <w:rPr>
          <w:sz w:val="20"/>
          <w:szCs w:val="20"/>
          <w:color w:val="auto"/>
        </w:rPr>
      </w:pPr>
      <w:r>
        <w:rPr>
          <w:rFonts w:ascii="Arial" w:cs="Arial" w:eastAsia="Arial" w:hAnsi="Arial"/>
          <w:sz w:val="14"/>
          <w:szCs w:val="14"/>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66" w:lineRule="exact"/>
        <w:rPr>
          <w:sz w:val="20"/>
          <w:szCs w:val="20"/>
          <w:color w:val="auto"/>
        </w:rPr>
      </w:pPr>
    </w:p>
    <w:p>
      <w:pPr>
        <w:jc w:val="both"/>
        <w:ind w:firstLine="578"/>
        <w:spacing w:after="0" w:line="355" w:lineRule="auto"/>
        <w:rPr>
          <w:sz w:val="20"/>
          <w:szCs w:val="20"/>
          <w:color w:val="auto"/>
        </w:rPr>
      </w:pPr>
      <w:r>
        <w:rPr>
          <w:rFonts w:ascii="Arial" w:cs="Arial" w:eastAsia="Arial" w:hAnsi="Arial"/>
          <w:sz w:val="13"/>
          <w:szCs w:val="13"/>
          <w:color w:val="auto"/>
        </w:rPr>
        <w:t>As of September 30, 2021, we had 462 full-time employees. As our sales and marketing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25"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identifying, recruiting, integrating, maintaining and motivating additional employees;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managing our internal development efforts effectively, while complying with our contractual obligations to contractors and other third parties;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improving our operational, financial and management controls, reporting systems and procedures.</w:t>
      </w:r>
    </w:p>
    <w:p>
      <w:pPr>
        <w:spacing w:after="0" w:line="123" w:lineRule="exact"/>
        <w:rPr>
          <w:sz w:val="20"/>
          <w:szCs w:val="20"/>
          <w:color w:val="auto"/>
        </w:rPr>
      </w:pPr>
    </w:p>
    <w:p>
      <w:pPr>
        <w:jc w:val="both"/>
        <w:ind w:firstLine="578"/>
        <w:spacing w:after="0" w:line="309" w:lineRule="auto"/>
        <w:rPr>
          <w:sz w:val="20"/>
          <w:szCs w:val="20"/>
          <w:color w:val="auto"/>
        </w:rPr>
      </w:pPr>
      <w:r>
        <w:rPr>
          <w:rFonts w:ascii="Arial" w:cs="Arial" w:eastAsia="Arial" w:hAnsi="Arial"/>
          <w:sz w:val="13"/>
          <w:szCs w:val="13"/>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144" w:lineRule="exact"/>
        <w:rPr>
          <w:sz w:val="20"/>
          <w:szCs w:val="20"/>
          <w:color w:val="auto"/>
        </w:rPr>
      </w:pPr>
    </w:p>
    <w:p>
      <w:pPr>
        <w:jc w:val="both"/>
        <w:spacing w:after="0" w:line="382" w:lineRule="auto"/>
        <w:rPr>
          <w:sz w:val="20"/>
          <w:szCs w:val="20"/>
          <w:color w:val="auto"/>
        </w:rPr>
      </w:pPr>
      <w:r>
        <w:rPr>
          <w:rFonts w:ascii="Arial" w:cs="Arial" w:eastAsia="Arial" w:hAnsi="Arial"/>
          <w:sz w:val="12"/>
          <w:szCs w:val="12"/>
          <w:b w:val="1"/>
          <w:bCs w:val="1"/>
          <w:i w:val="1"/>
          <w:iCs w:val="1"/>
          <w:color w:val="auto"/>
        </w:rPr>
        <w:t>We have identified a material weakness in our internal control over financial reporting. If we are unable to remediate this material weakness, or if we identify additional material weaknesses in the future or otherwise fail to maintain an effective system of internal controls, we may not be able to accurately or timely report our financial condition or results of operations.</w:t>
      </w:r>
    </w:p>
    <w:p>
      <w:pPr>
        <w:spacing w:after="0" w:line="20"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Prior to our initial public offering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its accounting and IT function, and (ii) establishing policies and procedures to identify, select and apply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164"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additional material misstatements to our unaudited interim consolidated financial statements that could not be prevented or detected on a timely basis.</w:t>
      </w:r>
    </w:p>
    <w:p>
      <w:pPr>
        <w:spacing w:after="0" w:line="145"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We cannot be certain that the measures we have taken to date, and actions we may take in the future, will be sufficient to remediate the control deficiencies that led to our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because no such evaluation has been previously required.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to raise additional capital to fund our existing operations, develop our products and/or expand our operations.</w:t>
      </w:r>
    </w:p>
    <w:p>
      <w:pPr>
        <w:spacing w:after="0" w:line="123"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2" w:name="page43"/>
    <w:bookmarkEnd w:id="42"/>
    <w:p>
      <w:pPr>
        <w:jc w:val="both"/>
        <w:ind w:firstLine="578"/>
        <w:spacing w:after="0" w:line="297" w:lineRule="auto"/>
        <w:rPr>
          <w:sz w:val="20"/>
          <w:szCs w:val="20"/>
          <w:color w:val="auto"/>
        </w:rPr>
      </w:pPr>
      <w:r>
        <w:rPr>
          <w:rFonts w:ascii="Arial" w:cs="Arial" w:eastAsia="Arial" w:hAnsi="Arial"/>
          <w:sz w:val="14"/>
          <w:szCs w:val="14"/>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158" w:lineRule="exact"/>
        <w:rPr>
          <w:sz w:val="20"/>
          <w:szCs w:val="20"/>
          <w:color w:val="auto"/>
        </w:rPr>
      </w:pPr>
    </w:p>
    <w:p>
      <w:pPr>
        <w:ind w:left="580"/>
        <w:spacing w:after="0"/>
        <w:rPr>
          <w:sz w:val="20"/>
          <w:szCs w:val="20"/>
          <w:color w:val="auto"/>
        </w:rPr>
      </w:pPr>
      <w:r>
        <w:rPr>
          <w:rFonts w:ascii="Arial" w:cs="Arial" w:eastAsia="Arial" w:hAnsi="Arial"/>
          <w:sz w:val="14"/>
          <w:szCs w:val="14"/>
          <w:color w:val="auto"/>
        </w:rPr>
        <w:t>Our present and future funding requirements will depend on many factors, some of which are beyond our control, including:</w:t>
      </w:r>
    </w:p>
    <w:p>
      <w:pPr>
        <w:spacing w:after="0" w:line="20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our ability to achieve and maintain revenue growth;</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cost of expanding our operations, including our sales and marketing efforts;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our rate of progress in launching and commercializing new products, and the cost of the sales and marketing activities associated with, establishing adoption of our products;</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our rate of progress in, and cost of research and development activities associated with, products in research and development;</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effect of competing technological and market developments;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potential cost of and delays in product development as a result of any regulatory oversight applicable to our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costs associated with any product recall that may occur;</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costs related to domestic and international expansion;</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costs of attaining, defending and enforcing our intellectual property rights;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terms and timing of any other collaborative, licensing and other arrangements that we may establish.</w:t>
      </w:r>
    </w:p>
    <w:p>
      <w:pPr>
        <w:spacing w:after="0" w:line="123" w:lineRule="exact"/>
        <w:rPr>
          <w:sz w:val="20"/>
          <w:szCs w:val="20"/>
          <w:color w:val="auto"/>
        </w:rPr>
      </w:pPr>
    </w:p>
    <w:p>
      <w:pPr>
        <w:jc w:val="both"/>
        <w:ind w:firstLine="578"/>
        <w:spacing w:after="0" w:line="316" w:lineRule="auto"/>
        <w:rPr>
          <w:sz w:val="20"/>
          <w:szCs w:val="20"/>
          <w:color w:val="auto"/>
        </w:rPr>
      </w:pPr>
      <w:r>
        <w:rPr>
          <w:rFonts w:ascii="Arial" w:cs="Arial" w:eastAsia="Arial" w:hAnsi="Arial"/>
          <w:sz w:val="13"/>
          <w:szCs w:val="13"/>
          <w:color w:val="auto"/>
        </w:rPr>
        <w:t>Additional funding may not be available on acceptable terms, or at all.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150"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4"/>
          <w:szCs w:val="14"/>
          <w:color w:val="auto"/>
        </w:rPr>
        <w:t>In addition, our ability to raise additional funds may be adversely impacted by potential worsening global economic conditions and the disruptions to, and volatility in, the credit and financial markets in the United States and worldwide resulting from the COVID-19 pandemic, any resurgence, and actions taken to slow its spread, including severely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additional capital 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15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6" w:lineRule="exact"/>
        <w:rPr>
          <w:sz w:val="20"/>
          <w:szCs w:val="20"/>
          <w:color w:val="auto"/>
        </w:rPr>
      </w:pPr>
    </w:p>
    <w:p>
      <w:pPr>
        <w:jc w:val="both"/>
        <w:ind w:right="20" w:firstLine="578"/>
        <w:spacing w:after="0" w:line="313" w:lineRule="auto"/>
        <w:rPr>
          <w:sz w:val="20"/>
          <w:szCs w:val="20"/>
          <w:color w:val="auto"/>
        </w:rPr>
      </w:pPr>
      <w:r>
        <w:rPr>
          <w:rFonts w:ascii="Arial" w:cs="Arial" w:eastAsia="Arial" w:hAnsi="Arial"/>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47"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level of demand for any of our products, which may vary significantly;</w:t>
      </w:r>
    </w:p>
    <w:p>
      <w:pPr>
        <w:spacing w:after="0" w:line="123" w:lineRule="exact"/>
        <w:rPr>
          <w:sz w:val="20"/>
          <w:szCs w:val="20"/>
          <w:color w:val="auto"/>
        </w:rPr>
      </w:pPr>
    </w:p>
    <w:p>
      <w:pPr>
        <w:ind w:left="960"/>
        <w:spacing w:after="0" w:line="293" w:lineRule="auto"/>
        <w:rPr>
          <w:sz w:val="20"/>
          <w:szCs w:val="20"/>
          <w:color w:val="auto"/>
        </w:rPr>
      </w:pPr>
      <w:r>
        <w:rPr>
          <w:rFonts w:ascii="Arial" w:cs="Arial" w:eastAsia="Arial" w:hAnsi="Arial"/>
          <w:sz w:val="14"/>
          <w:szCs w:val="14"/>
          <w:color w:val="auto"/>
        </w:rPr>
        <w:t>the timing and cost of, and level of investment in, research, development, manufacturing, regulatory approval and commercialization activities relating to our products, which may change from time to time;</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size, seasonality and customer mix of the cell analysis market;</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sales and marketing efforts and expenses;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rate at which we grow our sales force and the speed at which newly-hired salespeople become effective;</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changes in the productivity of our sales force;</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effectiveness of our distribution partners in selling our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positive or negative coverage in the media or publications of our products or competitive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cost of manufacturing our products, which may vary depending on the quantity of production and the terms of our arrangements with our suppliers;</w:t>
      </w:r>
    </w:p>
    <w:p>
      <w:pPr>
        <w:spacing w:after="0" w:line="123" w:lineRule="exact"/>
        <w:rPr>
          <w:sz w:val="20"/>
          <w:szCs w:val="20"/>
          <w:color w:val="auto"/>
        </w:rPr>
      </w:pPr>
    </w:p>
    <w:p>
      <w:pPr>
        <w:ind w:left="960"/>
        <w:spacing w:after="0" w:line="293" w:lineRule="auto"/>
        <w:rPr>
          <w:sz w:val="20"/>
          <w:szCs w:val="20"/>
          <w:color w:val="auto"/>
        </w:rPr>
      </w:pPr>
      <w:r>
        <w:rPr>
          <w:rFonts w:ascii="Arial" w:cs="Arial" w:eastAsia="Arial" w:hAnsi="Arial"/>
          <w:sz w:val="14"/>
          <w:szCs w:val="14"/>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changes in governmental regulations or in the status of our regulatory approvals or applications;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future accounting pronouncements or changes in our accounting policies;</w:t>
      </w:r>
    </w:p>
    <w:p>
      <w:pPr>
        <w:spacing w:after="0" w:line="123" w:lineRule="exact"/>
        <w:rPr>
          <w:sz w:val="20"/>
          <w:szCs w:val="20"/>
          <w:color w:val="auto"/>
        </w:rPr>
      </w:pPr>
    </w:p>
    <w:p>
      <w:pPr>
        <w:ind w:left="960"/>
        <w:spacing w:after="0" w:line="293" w:lineRule="auto"/>
        <w:rPr>
          <w:sz w:val="20"/>
          <w:szCs w:val="20"/>
          <w:color w:val="auto"/>
        </w:rPr>
      </w:pPr>
      <w:r>
        <w:rPr>
          <w:rFonts w:ascii="Arial" w:cs="Arial" w:eastAsia="Arial" w:hAnsi="Arial"/>
          <w:sz w:val="14"/>
          <w:szCs w:val="14"/>
          <w:color w:val="auto"/>
        </w:rPr>
        <w:t>disruptions to our business and operations or to the business and operations of our suppliers, distributors, and other third parties with whom we conduct business resulting from the COVID-19 pandemic or other widespread health crises such as the COVID-19 pandemic;</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shipping delays due to customs requirements, disruptions to global shipping routes and due to the COVID-19 pandemic;</w:t>
      </w:r>
    </w:p>
    <w:p>
      <w:pPr>
        <w:spacing w:after="0" w:line="150"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3" w:name="page44"/>
    <w:bookmarkEnd w:id="43"/>
    <w:p>
      <w:pPr>
        <w:ind w:left="960"/>
        <w:spacing w:after="0"/>
        <w:rPr>
          <w:sz w:val="20"/>
          <w:szCs w:val="20"/>
          <w:color w:val="auto"/>
        </w:rPr>
      </w:pPr>
      <w:r>
        <w:rPr>
          <w:rFonts w:ascii="Arial" w:cs="Arial" w:eastAsia="Arial" w:hAnsi="Arial"/>
          <w:sz w:val="14"/>
          <w:szCs w:val="14"/>
          <w:color w:val="auto"/>
        </w:rPr>
        <w:t>future global financial crises and economic downturns, including those caused by widespread public health crises;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general market conditions and other factors, including factors unrelated to our operating performance or the operating performance of our competitors.</w:t>
      </w:r>
    </w:p>
    <w:p>
      <w:pPr>
        <w:spacing w:after="0" w:line="123"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sizes of the markets for our products may be smaller than we estimate.</w:t>
      </w:r>
    </w:p>
    <w:p>
      <w:pPr>
        <w:spacing w:after="0" w:line="123" w:lineRule="exact"/>
        <w:rPr>
          <w:sz w:val="20"/>
          <w:szCs w:val="20"/>
          <w:color w:val="auto"/>
        </w:rPr>
      </w:pPr>
    </w:p>
    <w:p>
      <w:pPr>
        <w:jc w:val="both"/>
        <w:ind w:firstLine="578"/>
        <w:spacing w:after="0" w:line="307" w:lineRule="auto"/>
        <w:rPr>
          <w:sz w:val="20"/>
          <w:szCs w:val="20"/>
          <w:color w:val="auto"/>
        </w:rPr>
      </w:pPr>
      <w:r>
        <w:rPr>
          <w:rFonts w:ascii="Arial" w:cs="Arial" w:eastAsia="Arial" w:hAnsi="Arial"/>
          <w:sz w:val="13"/>
          <w:szCs w:val="13"/>
          <w:color w:val="auto"/>
        </w:rPr>
        <w:t xml:space="preserve">Within the life sciences technology market, flow cytometry technologies currently provide solutions largely within cell proliferation, cell counting, cell identification, cell quality control and single-cell applications, representing an initial total addressable market (“TAM”) of nearly $8 billion. However, we believe that the enhanced capabilities of our FSP platform has the potential to capture an increasingly greater share of the broader cell analysis TAM,. Our Northern Lights system has been approved for clinical use in the European Union and China.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3"/>
          <w:szCs w:val="13"/>
          <w:i w:val="1"/>
          <w:iCs w:val="1"/>
          <w:color w:val="auto"/>
        </w:rPr>
        <w:t>de novo</w:t>
      </w:r>
      <w:r>
        <w:rPr>
          <w:rFonts w:ascii="Arial" w:cs="Arial" w:eastAsia="Arial" w:hAnsi="Arial"/>
          <w:sz w:val="13"/>
          <w:szCs w:val="13"/>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147"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p>
    <w:p>
      <w:pPr>
        <w:spacing w:after="0" w:line="161"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66"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substantial litigation costs;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distraction of management’s attention from our primary business;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inability to commercialize our products or new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decreased demand for our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damage to our business reputation;</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product recalls or withdrawals from the market;</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loss of sales; or</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termination of existing agreements by our partners and potential partners failing to partner with us.</w:t>
      </w:r>
    </w:p>
    <w:p>
      <w:pPr>
        <w:spacing w:after="0" w:line="123" w:lineRule="exact"/>
        <w:rPr>
          <w:sz w:val="20"/>
          <w:szCs w:val="20"/>
          <w:color w:val="auto"/>
        </w:rPr>
      </w:pPr>
    </w:p>
    <w:p>
      <w:pPr>
        <w:jc w:val="both"/>
        <w:ind w:right="20" w:firstLine="578"/>
        <w:spacing w:after="0" w:line="313" w:lineRule="auto"/>
        <w:rPr>
          <w:sz w:val="20"/>
          <w:szCs w:val="20"/>
          <w:color w:val="auto"/>
        </w:rPr>
      </w:pPr>
      <w:r>
        <w:rPr>
          <w:rFonts w:ascii="Arial" w:cs="Arial" w:eastAsia="Arial" w:hAnsi="Arial"/>
          <w:sz w:val="14"/>
          <w:szCs w:val="14"/>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147"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and other legal proceedings may harm our business.</w:t>
      </w:r>
    </w:p>
    <w:p>
      <w:pPr>
        <w:spacing w:after="0" w:line="123"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4" w:name="page45"/>
    <w:bookmarkEnd w:id="44"/>
    <w:p>
      <w:pPr>
        <w:jc w:val="both"/>
        <w:ind w:right="20"/>
        <w:spacing w:after="0" w:line="292" w:lineRule="auto"/>
        <w:rPr>
          <w:sz w:val="20"/>
          <w:szCs w:val="20"/>
          <w:color w:val="auto"/>
        </w:rPr>
      </w:pPr>
      <w:r>
        <w:rPr>
          <w:rFonts w:ascii="Arial" w:cs="Arial" w:eastAsia="Arial" w:hAnsi="Arial"/>
          <w:sz w:val="14"/>
          <w:szCs w:val="14"/>
          <w:color w:val="auto"/>
        </w:rPr>
        <w:t>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66" w:lineRule="exact"/>
        <w:rPr>
          <w:sz w:val="20"/>
          <w:szCs w:val="20"/>
          <w:color w:val="auto"/>
        </w:rPr>
      </w:pPr>
    </w:p>
    <w:p>
      <w:pPr>
        <w:jc w:val="both"/>
        <w:ind w:firstLine="578"/>
        <w:spacing w:after="0" w:line="312" w:lineRule="auto"/>
        <w:rPr>
          <w:sz w:val="20"/>
          <w:szCs w:val="20"/>
          <w:color w:val="auto"/>
        </w:rPr>
      </w:pPr>
      <w:r>
        <w:rPr>
          <w:rFonts w:ascii="Arial" w:cs="Arial" w:eastAsia="Arial" w:hAnsi="Arial"/>
          <w:sz w:val="13"/>
          <w:szCs w:val="13"/>
          <w:color w:val="auto"/>
        </w:rPr>
        <w:t>If a pandemic, epidemic or outbreak of an infectious disease occurs in the United States or worldwide, our business may be adversely affected. The COVID-19 pandemic has caused general business disruption worldwide beginning in January 2020. As a result of the COVID-19 pandemic, we temporarily closed our headquarters and other offices, and our non-essential employees and contractors continue to work remotely. We have also implemented travel restrictions and other significant changes in how we operate our business. The operations of our partners and customers have likewise been altered. While the duration and extent of the COVID-19 pandemic depends on future developments and potential resurgences that cannot be accurately predicted at this time, such as the extent and effectiveness of containment actions and available vaccines, the pandemic has had an adverse effect on the global economy and the ultimate societal and economic impact of the COVID-19 pandemic remains unknown. The potential impact and duration of the COVID-19 pandemic on the global economy and our business are difficult to assess or predict, due in part to new variant strains of the virus and the degree of their vaccine resistance. Potential impacts, some of which we have already experienced, include:</w:t>
      </w:r>
    </w:p>
    <w:p>
      <w:pPr>
        <w:spacing w:after="0" w:line="138" w:lineRule="exact"/>
        <w:rPr>
          <w:sz w:val="20"/>
          <w:szCs w:val="20"/>
          <w:color w:val="auto"/>
        </w:rPr>
      </w:pPr>
    </w:p>
    <w:p>
      <w:pPr>
        <w:jc w:val="both"/>
        <w:ind w:left="960"/>
        <w:spacing w:after="0" w:line="277" w:lineRule="auto"/>
        <w:rPr>
          <w:sz w:val="20"/>
          <w:szCs w:val="20"/>
          <w:color w:val="auto"/>
        </w:rPr>
      </w:pPr>
      <w:r>
        <w:rPr>
          <w:rFonts w:ascii="Arial" w:cs="Arial" w:eastAsia="Arial" w:hAnsi="Arial"/>
          <w:sz w:val="14"/>
          <w:szCs w:val="14"/>
          <w:color w:val="auto"/>
        </w:rPr>
        <w:t>our customer prospects and our existing customers may experience slowdowns in their businesses, and our academic institution customers may experience decreases in government funding of research and development, which in turn may result in reduced demand for our products, lengthening of sales cycles, loss of customers, difficulties in collections, and inaccurate inventory forecasting;</w:t>
      </w:r>
    </w:p>
    <w:p>
      <w:pPr>
        <w:spacing w:after="0" w:line="7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interruption of or delays in receiving supplies from the third parties we rely on to manufacture components to our products, which may impair our ability sell our products;</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interruption of or delays in installation of our products for our customers;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interruption of or delays in the shipments of purchased products to customers or to our distribution partners;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decreased employee productivity and morale, with increased employee attrition and risk of a cyberattack resulting from our employees working from home;</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disruptions and significant costs to our growth planning, such as for facilities and international expansion;</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costs in fully returning to work from our facilities around the world, including changes to the workplace, such as space planning, food service, and amenities;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legal liability for safe workplace claims;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loss of critical vendors or third-party partners, which may go out of business; and</w:t>
      </w:r>
    </w:p>
    <w:p>
      <w:pPr>
        <w:spacing w:after="0" w:line="123" w:lineRule="exact"/>
        <w:rPr>
          <w:sz w:val="20"/>
          <w:szCs w:val="20"/>
          <w:color w:val="auto"/>
        </w:rPr>
      </w:pPr>
    </w:p>
    <w:p>
      <w:pPr>
        <w:jc w:val="both"/>
        <w:ind w:left="960"/>
        <w:spacing w:after="0" w:line="293" w:lineRule="auto"/>
        <w:rPr>
          <w:sz w:val="20"/>
          <w:szCs w:val="20"/>
          <w:color w:val="auto"/>
        </w:rPr>
      </w:pPr>
      <w:r>
        <w:rPr>
          <w:rFonts w:ascii="Arial" w:cs="Arial" w:eastAsia="Arial" w:hAnsi="Arial"/>
          <w:sz w:val="14"/>
          <w:szCs w:val="14"/>
          <w:color w:val="auto"/>
        </w:rPr>
        <w:t>continued cancellation of in-person marketing events, including industry conferences, and prolonged delays in our ability to reschedule or conduct in-person marketing events and other sales and marketing activities.</w:t>
      </w:r>
    </w:p>
    <w:p>
      <w:pPr>
        <w:spacing w:after="0" w:line="295"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The impact of any of the foregoing, individually or collectively, could adversely affect our business, financial condition, and results of operations. Moreover, to the extent the COVID-19 pandemic adversely affects our business, financial condition, and results of operations, it may also have the effect of heightening many of the other risks described in this “Risk Factors” section.</w:t>
      </w:r>
    </w:p>
    <w:p>
      <w:pPr>
        <w:spacing w:after="0" w:line="158" w:lineRule="exact"/>
        <w:rPr>
          <w:sz w:val="20"/>
          <w:szCs w:val="20"/>
          <w:color w:val="auto"/>
        </w:rPr>
      </w:pPr>
    </w:p>
    <w:p>
      <w:pPr>
        <w:jc w:val="both"/>
        <w:spacing w:after="0" w:line="382" w:lineRule="auto"/>
        <w:rPr>
          <w:sz w:val="20"/>
          <w:szCs w:val="20"/>
          <w:color w:val="auto"/>
        </w:rPr>
      </w:pPr>
      <w:r>
        <w:rPr>
          <w:rFonts w:ascii="Arial" w:cs="Arial" w:eastAsia="Arial" w:hAnsi="Arial"/>
          <w:sz w:val="12"/>
          <w:szCs w:val="12"/>
          <w:b w:val="1"/>
          <w:bCs w:val="1"/>
          <w:i w:val="1"/>
          <w:iCs w:val="1"/>
          <w:color w:val="auto"/>
        </w:rPr>
        <w:t>If our security measures, or those maintained on our behalf, are compromised now, or in the future, or the security, confidentiality, integrity or availability of our information technology, software, services, networks, communications or data is compromised, limited or fails, this could have a material adverse effect on our business, financial condition and results of operations.</w:t>
      </w:r>
    </w:p>
    <w:p>
      <w:pPr>
        <w:spacing w:after="0" w:line="20" w:lineRule="exact"/>
        <w:rPr>
          <w:sz w:val="20"/>
          <w:szCs w:val="20"/>
          <w:color w:val="auto"/>
        </w:rPr>
      </w:pPr>
    </w:p>
    <w:p>
      <w:pPr>
        <w:jc w:val="both"/>
        <w:ind w:right="20" w:firstLine="578"/>
        <w:spacing w:after="0" w:line="297" w:lineRule="auto"/>
        <w:rPr>
          <w:sz w:val="20"/>
          <w:szCs w:val="20"/>
          <w:color w:val="auto"/>
        </w:rPr>
      </w:pPr>
      <w:r>
        <w:rPr>
          <w:rFonts w:ascii="Arial" w:cs="Arial" w:eastAsia="Arial" w:hAnsi="Arial"/>
          <w:sz w:val="14"/>
          <w:szCs w:val="14"/>
          <w:color w:val="auto"/>
        </w:rPr>
        <w:t>In the ordinary course of our business, we may collect, use, store, safeguard, disclose, share, transfer, secure and otherwise process (collectively, “Process” or “Processing”) proprietary, confidential and sensitive data, including personal data (such as key-coded data, health information and other special categories of personal data), intellectual property, trade secrets and proprietary business information owned or controlled by ourselves, our customers and other parties (collectively “Sensitive Information”).</w:t>
      </w:r>
    </w:p>
    <w:p>
      <w:pPr>
        <w:spacing w:after="0" w:line="145"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We may use third-party service providers and subprocessors to help us operate our business and engage in Processing on our behalf. We may also share Sensitive Information with our partners or other third parties in conjunction with our business. We manage and maintain our data utilizing a combination of on-site systems and cloud-based data centers. We utilize external security and infrastructure vendors to manage parts of our data centers. This data encompasses a wide variety of Sensitive Information, including research and development information, commercial information and business and financial information.</w:t>
      </w:r>
    </w:p>
    <w:p>
      <w:pPr>
        <w:spacing w:after="0" w:line="161" w:lineRule="exact"/>
        <w:rPr>
          <w:sz w:val="20"/>
          <w:szCs w:val="20"/>
          <w:color w:val="auto"/>
        </w:rPr>
      </w:pPr>
    </w:p>
    <w:p>
      <w:pPr>
        <w:jc w:val="both"/>
        <w:ind w:firstLine="578"/>
        <w:spacing w:after="0" w:line="310" w:lineRule="auto"/>
        <w:rPr>
          <w:sz w:val="20"/>
          <w:szCs w:val="20"/>
          <w:color w:val="auto"/>
        </w:rPr>
      </w:pPr>
      <w:r>
        <w:rPr>
          <w:rFonts w:ascii="Arial" w:cs="Arial" w:eastAsia="Arial" w:hAnsi="Arial"/>
          <w:sz w:val="13"/>
          <w:szCs w:val="13"/>
          <w:color w:val="auto"/>
        </w:rPr>
        <w:t>Cybersecurity incidents compromising the confidentiality, integrity, and availability of Sensitive Information or our systems could result from cyber-attacks, computer malware, viruses, social engineering (including phishing), ransomware, supply chain attacks, credential stuffing, efforts by individuals or groups of hackers and sophisticated organizations, including state-sponsored organizations, errors or malfeasance of our personnel, and security vulnerabilities in the software or systems on which we rely. Such incidents are prevalent and continue to increase. Due to the COVID-19 pandemic, a significant portion of our workforce works remotely and this has increased the risk to our information technology assets and data. If we, our service providers, partners or other relevant third parties have experienced, or in the future experience, any security incident(s) that result in any data loss, deletion or destruction; unauthorized access, acquisition, disclosure or exposure of Sensitive Information; or compromise related to the security, confidentiality, integrity or availability of our (or their) information technology, software, services, communications or data (any, a “Security Breach”), it may result in a material adverse effect on our business, financial condition and results of operations, including the diversion of funds to address the breach, and interruptions, delays, or outages in our operations.</w:t>
      </w:r>
    </w:p>
    <w:p>
      <w:pPr>
        <w:spacing w:after="0" w:line="143"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We may be required to expend significant resources, fundamentally change our business activities and practices, or modify our operations or information technology in an effort to protect against Security Breaches and to mitigate, detect, and remediate actual and potential vulnerabilities. Various data privacy and security laws, regulations and standards, as well as policies, contracts and other obligations, that apply to the Processing of personal data both by us and on our behalf (collectively,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5" w:name="page46"/>
    <w:bookmarkEnd w:id="45"/>
    <w:p>
      <w:pPr>
        <w:jc w:val="both"/>
        <w:spacing w:after="0" w:line="329" w:lineRule="auto"/>
        <w:rPr>
          <w:sz w:val="20"/>
          <w:szCs w:val="20"/>
          <w:color w:val="auto"/>
        </w:rPr>
      </w:pPr>
      <w:r>
        <w:rPr>
          <w:rFonts w:ascii="Arial" w:cs="Arial" w:eastAsia="Arial" w:hAnsi="Arial"/>
          <w:sz w:val="13"/>
          <w:szCs w:val="13"/>
          <w:color w:val="auto"/>
        </w:rPr>
        <w:t>“Data Protection Requirements”) may require us to implement specific security measures or use industry-standard or reasonable measures to protect against Security Breaches. Even if we were to take and have taken security measures designed to protect against Security Breaches, there can be no assurance that such security measures or those of our service providers, partners and other third parties will be effective in protecting against all Security Breaches and material adverse effects that may arise from such Security Breaches.</w:t>
      </w:r>
    </w:p>
    <w:p>
      <w:pPr>
        <w:spacing w:after="0" w:line="141"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Applicable Data Protection Requirements may require us to notify relevant stakeholders of Security Breaches, including affected individuals, partners, collaborators, customers, regulators, law enforcement agencies, credit reporting agencies and others. Such disclosures are costly, and the disclosures or the failure to comply with such requirements could lead to material adverse effects on our business, financial condition and results of operations. There can be no assurance that any limitations or exclusions of liability in our contracts would be enforceable or adequate or would otherwise protect us from liabilities or damages if we fail to comply with Data Protection Requirements related to information security or Security Breaches.</w:t>
      </w:r>
    </w:p>
    <w:p>
      <w:pPr>
        <w:spacing w:after="0" w:line="134" w:lineRule="exact"/>
        <w:rPr>
          <w:sz w:val="20"/>
          <w:szCs w:val="20"/>
          <w:color w:val="auto"/>
        </w:rPr>
      </w:pPr>
    </w:p>
    <w:p>
      <w:pPr>
        <w:jc w:val="both"/>
        <w:ind w:firstLine="578"/>
        <w:spacing w:after="0" w:line="316" w:lineRule="auto"/>
        <w:rPr>
          <w:sz w:val="20"/>
          <w:szCs w:val="20"/>
          <w:color w:val="auto"/>
        </w:rPr>
      </w:pPr>
      <w:r>
        <w:rPr>
          <w:rFonts w:ascii="Arial" w:cs="Arial" w:eastAsia="Arial" w:hAnsi="Arial"/>
          <w:sz w:val="13"/>
          <w:szCs w:val="13"/>
          <w:color w:val="auto"/>
        </w:rPr>
        <w:t>Any Security Breach could result in legal claims or proceedings, and liability under federal, state or foreign Data Protection Requirements. We cannot be sure that our insurance coverage, if any, will be adequate or otherwise protect us from or adequately mitigate liabilities or damages with respect to claims, costs, expenses, litigation, fines, penalties, business loss, data loss, regulatory actions or other material adverse effects arising out of our Processing operations, privacy and security practices, or Security Breaches we may experience. The successful assertion of one or more large claims against us that exceeds our available insurance coverage, or results in changes to our insurance policies (including premium increases or the imposition of large excess or deductible or co-insurance requirements), could have material adverse effects on our business, financial condition and results of operations.</w:t>
      </w:r>
    </w:p>
    <w:p>
      <w:pPr>
        <w:spacing w:after="0" w:line="150"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Actual or perceived Security Breaches or vulnerabilities, and concerns regarding data privacy, security or Processing may cause some of our actual or prospective customers, collaborators, and/or partners to stop using our products or services or working with us. This discontinuance, or failure to meet the expectations of such third parties, could result in material harm to our operations, financial performance or reputation and affect our ability to grow and operate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disruptions could seriously harm our future revenue and financial condition and increase our costs and expenses.</w:t>
      </w:r>
    </w:p>
    <w:p>
      <w:pPr>
        <w:spacing w:after="0" w:line="123"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3"/>
          <w:szCs w:val="13"/>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including the COVID-19 pandemic,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including interruptions related to the COVID-19 pandemic. In addition, our corporate headquarters is located in Fremont,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53" w:lineRule="exact"/>
        <w:rPr>
          <w:sz w:val="20"/>
          <w:szCs w:val="20"/>
          <w:color w:val="auto"/>
        </w:rPr>
      </w:pPr>
    </w:p>
    <w:p>
      <w:pPr>
        <w:jc w:val="both"/>
        <w:ind w:firstLine="578"/>
        <w:spacing w:after="0" w:line="309" w:lineRule="auto"/>
        <w:rPr>
          <w:sz w:val="20"/>
          <w:szCs w:val="20"/>
          <w:color w:val="auto"/>
        </w:rPr>
      </w:pPr>
      <w:r>
        <w:rPr>
          <w:rFonts w:ascii="Arial" w:cs="Arial" w:eastAsia="Arial" w:hAnsi="Arial"/>
          <w:sz w:val="13"/>
          <w:szCs w:val="13"/>
          <w:color w:val="auto"/>
        </w:rPr>
        <w:t>We manufacture our products at our manufacturing facilities located in Fremont, California,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 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insurance policies are expensive and protect us only from some business risks, which leaves us exposed to significant uninsured liabilities.</w:t>
      </w:r>
    </w:p>
    <w:p>
      <w:pPr>
        <w:spacing w:after="0" w:line="123" w:lineRule="exact"/>
        <w:rPr>
          <w:sz w:val="20"/>
          <w:szCs w:val="20"/>
          <w:color w:val="auto"/>
        </w:rPr>
      </w:pPr>
    </w:p>
    <w:p>
      <w:pPr>
        <w:jc w:val="both"/>
        <w:ind w:firstLine="578"/>
        <w:spacing w:after="0" w:line="310" w:lineRule="auto"/>
        <w:rPr>
          <w:sz w:val="20"/>
          <w:szCs w:val="20"/>
          <w:color w:val="auto"/>
        </w:rPr>
      </w:pPr>
      <w:r>
        <w:rPr>
          <w:rFonts w:ascii="Arial" w:cs="Arial" w:eastAsia="Arial" w:hAnsi="Arial"/>
          <w:sz w:val="13"/>
          <w:szCs w:val="13"/>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w:t>
      </w:r>
    </w:p>
    <w:p>
      <w:pPr>
        <w:spacing w:after="0" w:line="156"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77"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6" w:name="page47"/>
    <w:bookmarkEnd w:id="46"/>
    <w:p>
      <w:pPr>
        <w:jc w:val="both"/>
        <w:spacing w:after="0" w:line="313" w:lineRule="auto"/>
        <w:rPr>
          <w:sz w:val="20"/>
          <w:szCs w:val="20"/>
          <w:color w:val="auto"/>
        </w:rPr>
      </w:pPr>
      <w:r>
        <w:rPr>
          <w:rFonts w:ascii="Arial" w:cs="Arial" w:eastAsia="Arial" w:hAnsi="Arial"/>
          <w:sz w:val="14"/>
          <w:szCs w:val="14"/>
          <w:color w:val="auto"/>
        </w:rPr>
        <w:t>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147" w:lineRule="exact"/>
        <w:rPr>
          <w:sz w:val="20"/>
          <w:szCs w:val="20"/>
          <w:color w:val="auto"/>
        </w:rPr>
      </w:pPr>
    </w:p>
    <w:p>
      <w:pPr>
        <w:jc w:val="both"/>
        <w:ind w:firstLine="578"/>
        <w:spacing w:after="0" w:line="309" w:lineRule="auto"/>
        <w:rPr>
          <w:sz w:val="20"/>
          <w:szCs w:val="20"/>
          <w:color w:val="auto"/>
        </w:rPr>
      </w:pPr>
      <w:r>
        <w:rPr>
          <w:rFonts w:ascii="Arial" w:cs="Arial" w:eastAsia="Arial" w:hAnsi="Arial"/>
          <w:sz w:val="13"/>
          <w:szCs w:val="13"/>
          <w:color w:val="auto"/>
        </w:rPr>
        <w:t>In addition, because our product contains metals and electronic components which are purchased from third-party vendors, we may be required under rules promulgated by the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141" w:lineRule="exact"/>
        <w:rPr>
          <w:sz w:val="20"/>
          <w:szCs w:val="20"/>
          <w:color w:val="auto"/>
        </w:rPr>
      </w:pPr>
    </w:p>
    <w:p>
      <w:pPr>
        <w:jc w:val="both"/>
        <w:ind w:right="20" w:firstLine="578"/>
        <w:spacing w:after="0" w:line="297" w:lineRule="auto"/>
        <w:rPr>
          <w:sz w:val="20"/>
          <w:szCs w:val="20"/>
          <w:color w:val="auto"/>
        </w:rPr>
      </w:pPr>
      <w:r>
        <w:rPr>
          <w:rFonts w:ascii="Arial" w:cs="Arial" w:eastAsia="Arial" w:hAnsi="Arial"/>
          <w:sz w:val="14"/>
          <w:szCs w:val="14"/>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received funding under the Coronavirus Aid, Relief and Economic Security Act, or the CARES Act.</w:t>
      </w:r>
    </w:p>
    <w:p>
      <w:pPr>
        <w:spacing w:after="0" w:line="123"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In June 2020, we executed a note in favor of Wells Fargo Bank, National Association, evidencing an unsecured loan, (“PPP loan”), in the aggregate principal amount of $2,771,609, which was made pursuant to the Paycheck Protection Program, or the PPP. The PPP was established under the CARES Act, which was enacted on March 27, 2020, and is administered by the U.S. Small Business Administration, or the SBA. We have used all of the proceeds from the loan to retain employees, maintain payroll and make lease and utility payments and expect to repay the PPP loan in the second quarter of 2021. On May 4, 2021, we fully repaid the PPP loan.</w:t>
      </w:r>
    </w:p>
    <w:p>
      <w:pPr>
        <w:spacing w:after="0" w:line="148"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The PPP loan application required us to certify, among other things, that the current economic uncertainty made the PPP loan request necessary to support our ongoing operations. In 2020, the SBA, in consultation with the Department of Treasury, issued new guidance requiring borrowers to consider their ability to access other sources of liquidity before certifying in their loan applications that current economic uncertainty makes this loan request necessary to support the ongoing operations. We made the certification in good faith after analyzing our financial situation and access to capital and believe that we satisfied all eligibility criteria for the PPP loan. However, the SBA guidance and criteria are subject to interpretation, including by the new Biden Administration, and if we are found to have been ineligible, we could be subject to significant penalties. If we become subject to penalties, it could result in harm to our business, results of operation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foreign currency exchange risk.</w:t>
      </w:r>
    </w:p>
    <w:p>
      <w:pPr>
        <w:spacing w:after="0" w:line="123" w:lineRule="exact"/>
        <w:rPr>
          <w:sz w:val="20"/>
          <w:szCs w:val="20"/>
          <w:color w:val="auto"/>
        </w:rPr>
      </w:pPr>
    </w:p>
    <w:p>
      <w:pPr>
        <w:jc w:val="both"/>
        <w:ind w:firstLine="578"/>
        <w:spacing w:after="0" w:line="316" w:lineRule="auto"/>
        <w:rPr>
          <w:sz w:val="20"/>
          <w:szCs w:val="20"/>
          <w:color w:val="auto"/>
        </w:rPr>
      </w:pPr>
      <w:r>
        <w:rPr>
          <w:rFonts w:ascii="Arial" w:cs="Arial" w:eastAsia="Arial" w:hAnsi="Arial"/>
          <w:sz w:val="13"/>
          <w:szCs w:val="13"/>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13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66" w:lineRule="exact"/>
        <w:rPr>
          <w:sz w:val="20"/>
          <w:szCs w:val="20"/>
          <w:color w:val="auto"/>
        </w:rPr>
      </w:pPr>
    </w:p>
    <w:p>
      <w:pPr>
        <w:jc w:val="both"/>
        <w:ind w:firstLine="578"/>
        <w:spacing w:after="0" w:line="310" w:lineRule="auto"/>
        <w:rPr>
          <w:sz w:val="20"/>
          <w:szCs w:val="20"/>
          <w:color w:val="auto"/>
        </w:rPr>
      </w:pPr>
      <w:r>
        <w:rPr>
          <w:rFonts w:ascii="Arial" w:cs="Arial" w:eastAsia="Arial" w:hAnsi="Arial"/>
          <w:sz w:val="13"/>
          <w:szCs w:val="13"/>
          <w:color w:val="auto"/>
        </w:rPr>
        <w:t>Although we currently have no agreements or commitments to complete any such transactions, we may pursue acquisitions of businesses and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Government Regulation and Our Industry</w:t>
      </w:r>
    </w:p>
    <w:p>
      <w:pPr>
        <w:spacing w:after="0" w:line="194" w:lineRule="exact"/>
        <w:rPr>
          <w:sz w:val="20"/>
          <w:szCs w:val="20"/>
          <w:color w:val="auto"/>
        </w:rPr>
      </w:pPr>
    </w:p>
    <w:p>
      <w:pPr>
        <w:jc w:val="both"/>
        <w:spacing w:after="0" w:line="382" w:lineRule="auto"/>
        <w:rPr>
          <w:sz w:val="20"/>
          <w:szCs w:val="20"/>
          <w:color w:val="auto"/>
        </w:rPr>
      </w:pPr>
      <w:r>
        <w:rPr>
          <w:rFonts w:ascii="Arial" w:cs="Arial" w:eastAsia="Arial" w:hAnsi="Arial"/>
          <w:sz w:val="12"/>
          <w:szCs w:val="12"/>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20" w:lineRule="exact"/>
        <w:rPr>
          <w:sz w:val="20"/>
          <w:szCs w:val="20"/>
          <w:color w:val="auto"/>
        </w:rPr>
      </w:pPr>
    </w:p>
    <w:p>
      <w:pPr>
        <w:jc w:val="both"/>
        <w:ind w:firstLine="578"/>
        <w:spacing w:after="0" w:line="310" w:lineRule="auto"/>
        <w:rPr>
          <w:sz w:val="20"/>
          <w:szCs w:val="20"/>
          <w:color w:val="auto"/>
        </w:rPr>
      </w:pPr>
      <w:r>
        <w:rPr>
          <w:rFonts w:ascii="Arial" w:cs="Arial" w:eastAsia="Arial" w:hAnsi="Arial"/>
          <w:sz w:val="13"/>
          <w:szCs w:val="13"/>
          <w:color w:val="auto"/>
        </w:rPr>
        <w:t>Currently, our Northern Lights CLC system is available for clinical use in only China and the European Union. Our Aurora and Northern Lights systems are otherwise available to customers as research-use-only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7" w:name="page48"/>
    <w:bookmarkEnd w:id="47"/>
    <w:p>
      <w:pPr>
        <w:jc w:val="both"/>
        <w:spacing w:after="0" w:line="313" w:lineRule="auto"/>
        <w:rPr>
          <w:sz w:val="20"/>
          <w:szCs w:val="20"/>
          <w:color w:val="auto"/>
        </w:rPr>
      </w:pPr>
      <w:r>
        <w:rPr>
          <w:rFonts w:ascii="Arial" w:cs="Arial" w:eastAsia="Arial" w:hAnsi="Arial"/>
          <w:sz w:val="14"/>
          <w:szCs w:val="14"/>
          <w:color w:val="auto"/>
        </w:rPr>
        <w:t>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147" w:lineRule="exact"/>
        <w:rPr>
          <w:sz w:val="20"/>
          <w:szCs w:val="20"/>
          <w:color w:val="auto"/>
        </w:rPr>
      </w:pPr>
    </w:p>
    <w:p>
      <w:pPr>
        <w:jc w:val="both"/>
        <w:ind w:firstLine="578"/>
        <w:spacing w:after="0" w:line="284" w:lineRule="auto"/>
        <w:rPr>
          <w:sz w:val="20"/>
          <w:szCs w:val="20"/>
          <w:color w:val="auto"/>
        </w:rPr>
      </w:pPr>
      <w:r>
        <w:rPr>
          <w:rFonts w:ascii="Arial" w:cs="Arial" w:eastAsia="Arial" w:hAnsi="Arial"/>
          <w:sz w:val="14"/>
          <w:szCs w:val="14"/>
          <w:color w:val="auto"/>
        </w:rPr>
        <w:t>As part of our growth strategy, we plan to seek approval to offer our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15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66"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untitled letters, warning letters, fines, injunctions, consent decrees and civil penalties;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unanticipated expenditures to address or defend such actions;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customer notifications for repair, replacement or refunds;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recall, detention or seizure of our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operating restrictions or partial suspension or total shutdown of production;</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refusing or delaying our requests for 510(k) clearance or PMA approval of new products or modified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withdrawal of 510(k) clearances on PMA approvals that have already been granted;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refusal to grant export approval for our products; or</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criminal prosecution.</w:t>
      </w:r>
    </w:p>
    <w:p>
      <w:pPr>
        <w:spacing w:after="0" w:line="123"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45"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61"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37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66" w:lineRule="exact"/>
        <w:rPr>
          <w:sz w:val="20"/>
          <w:szCs w:val="20"/>
          <w:color w:val="auto"/>
        </w:rPr>
      </w:pPr>
    </w:p>
    <w:p>
      <w:pPr>
        <w:jc w:val="both"/>
        <w:ind w:firstLine="578"/>
        <w:spacing w:after="0" w:line="312" w:lineRule="auto"/>
        <w:rPr>
          <w:sz w:val="20"/>
          <w:szCs w:val="20"/>
          <w:color w:val="auto"/>
        </w:rPr>
      </w:pPr>
      <w:r>
        <w:rPr>
          <w:rFonts w:ascii="Arial" w:cs="Arial" w:eastAsia="Arial" w:hAnsi="Arial"/>
          <w:sz w:val="13"/>
          <w:szCs w:val="13"/>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8" w:name="page49"/>
    <w:bookmarkEnd w:id="48"/>
    <w:p>
      <w:pPr>
        <w:spacing w:after="0"/>
        <w:rPr>
          <w:sz w:val="20"/>
          <w:szCs w:val="20"/>
          <w:color w:val="auto"/>
        </w:rPr>
      </w:pPr>
      <w:r>
        <w:rPr>
          <w:rFonts w:ascii="Arial" w:cs="Arial" w:eastAsia="Arial" w:hAnsi="Arial"/>
          <w:sz w:val="13"/>
          <w:szCs w:val="13"/>
          <w:color w:val="auto"/>
        </w:rPr>
        <w:t>affect our business, financial condition, and results of operations. In addition, the FDA or other agency could take enforcement action for failing to report the recalls when they were conducted.</w:t>
      </w:r>
    </w:p>
    <w:p>
      <w:pPr>
        <w:spacing w:after="0" w:line="229"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misuse or off-label use of our products may harm our reputation in the marketplace, or result in injuries that lead to product liability suits, which could be costly to our business.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Moreover, we could be subject to FDA sanctions if we are deemed to have engaged in off-label promotion.</w:t>
      </w:r>
    </w:p>
    <w:p>
      <w:pPr>
        <w:spacing w:after="0" w:line="116"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3"/>
          <w:szCs w:val="13"/>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153"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tariffs or other government trade policies may materially adversely affect our business and results of operations, including by reducing demand for our products.</w:t>
      </w:r>
    </w:p>
    <w:p>
      <w:pPr>
        <w:spacing w:after="0" w:line="134" w:lineRule="exact"/>
        <w:rPr>
          <w:sz w:val="20"/>
          <w:szCs w:val="20"/>
          <w:color w:val="auto"/>
        </w:rPr>
      </w:pPr>
    </w:p>
    <w:p>
      <w:pPr>
        <w:jc w:val="both"/>
        <w:ind w:firstLine="578"/>
        <w:spacing w:after="0" w:line="308" w:lineRule="auto"/>
        <w:rPr>
          <w:sz w:val="20"/>
          <w:szCs w:val="20"/>
          <w:color w:val="auto"/>
        </w:rPr>
      </w:pPr>
      <w:r>
        <w:rPr>
          <w:rFonts w:ascii="Arial" w:cs="Arial" w:eastAsia="Arial" w:hAnsi="Arial"/>
          <w:sz w:val="13"/>
          <w:szCs w:val="13"/>
          <w:color w:val="auto"/>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66"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3"/>
          <w:szCs w:val="13"/>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i w:val="1"/>
          <w:iCs w:val="1"/>
          <w:color w:val="auto"/>
        </w:rPr>
        <w:t>We are subject to stringent and changing privacy laws, regulations and standards as well as policies, contracts and other obligations related to data privacy and security. Our actual or perceived failure to comply with such obligations could lead to government enforcement actions (that could include fines and penalties), a disruption of our business or commercialization of our products, private litigation, harm to our reputation, or other adverse effects on our business or prospects.</w:t>
      </w:r>
    </w:p>
    <w:p>
      <w:pPr>
        <w:spacing w:after="0" w:line="77"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4"/>
          <w:szCs w:val="14"/>
          <w:color w:val="auto"/>
        </w:rPr>
        <w:t>The legislative and regulatory framework relating to the processing of personal data worldwide is rapidly expanding and evolving and is likely to remain uncertain for the foreseeable future. Globally, virtually every jurisdiction in which we operate has established its own data privacy and security frameworks with which we must comply.</w:t>
      </w:r>
    </w:p>
    <w:p>
      <w:pPr>
        <w:spacing w:after="0" w:line="147"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In the course of our operations, we process an increasing volume of personal data, including from our employees and third parties with whom we conduct business. Accordingly, we are, and may increasingly become, subject to various Data Protection Requirements (as defined above), the number and scope of which are changing, subject to differing applications and interpretations, may be inconsistent among jurisdictions, and may conflict with each other.</w:t>
      </w:r>
    </w:p>
    <w:p>
      <w:pPr>
        <w:spacing w:after="0" w:line="145"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If we fail, or are perceived to have failed, to address or comply with Data Protection Requirements, this could result in government enforcement actions against us that could include investigations, fines, penalties, audits and inspections, additional reporting requirements and/or oversight, temporary or permanent bans on all or some Processing of personal data, orders to destroy or not use personal data, and imprisonment of company officials. Further, individuals or other relevant stakeholders could bring a variety of claims against us for our actual or perceived failure to comply with the Data Protection Requirements. Any of these events could subject us to substantial fines or penalties; have material adverse effects on our reputation, business, or financial condition, and could lead to a loss of actual or prospective customers, collaborators or partners; result in an inability to Process personal data or to operate in certain jurisdictions; limit our ability to develop or commercialize our products; or require us to revise or restructure our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49" w:name="page50"/>
    <w:bookmarkEnd w:id="49"/>
    <w:p>
      <w:pPr>
        <w:jc w:val="both"/>
        <w:ind w:firstLine="578"/>
        <w:spacing w:after="0" w:line="310" w:lineRule="auto"/>
        <w:rPr>
          <w:sz w:val="20"/>
          <w:szCs w:val="20"/>
          <w:color w:val="auto"/>
        </w:rPr>
      </w:pPr>
      <w:r>
        <w:rPr>
          <w:rFonts w:ascii="Arial" w:cs="Arial" w:eastAsia="Arial" w:hAnsi="Arial"/>
          <w:sz w:val="13"/>
          <w:szCs w:val="13"/>
          <w:color w:val="auto"/>
        </w:rPr>
        <w:t>Collectively, European data protection laws (including the European Union’s General Data Protection Regulation (EU) 2016/679 (“GDPR”)) are wide-ranging in scope and impose numerous, significant and complex compliance burdens in relation to the Processing of personal data, including, among others: limiting permitted Processing of personal data to only that which is necessary for specified, explicit and legitimate purposes; requiring the establishment of a legal basis for Processing personal data; broadening the definition of personal data to possibly include ‘pseudonymized’ or key-coded data; creating obligations for controllers and processors to appoint data protection officers in certain circumstances; increasing transparency obligations to data subjects; establishing rights which may be exercised by individuals; establishing limitations on the collection and retention of personal data through ‘data minimization’ and ‘storage limitation’ principles; formalizing a heightened and codified standard of data subject consent; establishing obligations to implement certain technical and organizational safeguards to protect the security and confidentiality of personal data; introducing obligations to agree to certain specific contractual terms and to take certain measures when working with third-party processors or joint controllers; and introducing the obligation to provide notice of certain significant personal data breaches to the relevant supervisory authority(ies) and affected individuals.</w:t>
      </w:r>
    </w:p>
    <w:p>
      <w:pPr>
        <w:spacing w:after="0" w:line="156"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In addition, the GDPR provides that European Economic Area (“EEA”) member states may introduce specific requirements related to the Processing of special categories of personal data. This fact may lead to greater divergence on the law that applies to the Processing of such personal data across the EEA, which may increase our costs and overall compliance risk. Such country-specific regulations could also limit our ability to Process relevant personal data in the context of our EEA operations ultimately having an adverse impact on our business, and harming our business and financial condition.</w:t>
      </w:r>
    </w:p>
    <w:p>
      <w:pPr>
        <w:spacing w:after="0" w:line="148" w:lineRule="exact"/>
        <w:rPr>
          <w:sz w:val="20"/>
          <w:szCs w:val="20"/>
          <w:color w:val="auto"/>
        </w:rPr>
      </w:pPr>
    </w:p>
    <w:p>
      <w:pPr>
        <w:jc w:val="both"/>
        <w:ind w:firstLine="578"/>
        <w:spacing w:after="0" w:line="307" w:lineRule="auto"/>
        <w:rPr>
          <w:sz w:val="20"/>
          <w:szCs w:val="20"/>
          <w:color w:val="auto"/>
        </w:rPr>
      </w:pPr>
      <w:r>
        <w:rPr>
          <w:rFonts w:ascii="Arial" w:cs="Arial" w:eastAsia="Arial" w:hAnsi="Arial"/>
          <w:sz w:val="13"/>
          <w:szCs w:val="13"/>
          <w:color w:val="auto"/>
        </w:rPr>
        <w:t>Further, certain European data protection laws restrict transfers of personal data to the United States and most other countries outside Europe unless the parties to the transfer have implemented specific safeguards to protect the transferred personal data. There are mechanisms intended to permit the transfer of personal data outside Europe, but there is uncertainty as to the future of such mechanisms, which have been under consistent scrutiny and challenge. For example, a decision of the Court of Justice of the European Union in July 2020 (known as “Schrems II”) invalidated the EU-US Privacy Shield Framework, a means that previously permitted transfers of personal data from the EEA to companies in the United States that certified adherence to the Privacy Shield Framework. It is currently unclear what, if any, arrangement may replace the Privacy Shield Framework. Standard contractual clauses approved by the European Commission to permit transfers from the EEA to third countries currently remain, in principle, a basis on which to effect such transfers. However, the standard contractual clauses are also subject to legal challenge and the Court of Justice of the European Union made clear in the Schrems II decision that reliance on the standard contractual clauses alone may not necessarily be sufficient in all circumstances.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personal data. At present, there are few, if any, viable alternatives to the standard contractual clauses. If we are unable to implement a valid mechanism for personal data transfers from Europe, we will face increased exposure to regulatory actions, substantial fines and injunctions against Processing personal data from Europe. Inability to export personal data may also: restrict our activities outside Europe; limit our ability to collaborate with partners as well as other service providers, contractors and other companies outside of Europe; and/or require us to increase our Processing capabilities within Europe at significant expense or otherwise cause us to change the geographical location or segregation of our relevant systems and operations—any or all of which could adversely affect our operations or financial results.</w:t>
      </w:r>
    </w:p>
    <w:p>
      <w:pPr>
        <w:spacing w:after="0" w:line="160" w:lineRule="exact"/>
        <w:rPr>
          <w:sz w:val="20"/>
          <w:szCs w:val="20"/>
          <w:color w:val="auto"/>
        </w:rPr>
      </w:pPr>
    </w:p>
    <w:p>
      <w:pPr>
        <w:jc w:val="both"/>
        <w:ind w:firstLine="578"/>
        <w:spacing w:after="0" w:line="285" w:lineRule="auto"/>
        <w:rPr>
          <w:sz w:val="20"/>
          <w:szCs w:val="20"/>
          <w:color w:val="auto"/>
        </w:rPr>
      </w:pPr>
      <w:r>
        <w:rPr>
          <w:rFonts w:ascii="Arial" w:cs="Arial" w:eastAsia="Arial" w:hAnsi="Arial"/>
          <w:sz w:val="14"/>
          <w:szCs w:val="14"/>
          <w:color w:val="auto"/>
        </w:rPr>
        <w:t>European data protection laws also provide for more robust regulatory enforcement and greater penalties for noncompliance than previous data protection laws, including, for example, under the GDPR, fines of up to €20 million or 4% of global annual revenue of any noncompliant organization for the preceding financial year, whichever is higher. In addition to administrative fines, a wide variety of other potential enforcement powers are available to competent supervisory authorities in respect of potential and suspected violations of the GDPR, including extensive audit and inspection rights, and powers to order temporary or permanent bans on all or some Processing of personal data carried out by noncompliant actors—including permitting authorities to require destruction of improperly gathered or used personal data. The GDPR also confers a private right of action on data subjects and consumer associations to lodge complaints with supervisory authorities, seek judicial remedies, and obtain compensation for damages resulting from violations of the GDPR. There is also uncertainty about compliance with European data protection laws, with the possibilities that data protection authorities located in different EEA member states may interpret the GDPR differently, or requirements of national laws may vary between EEA member states, or guidance on the GDPR and compliance practices may be often updated or otherwise revised. Any of these events will increase the complexity and costs of processing personal data in the EEA or concerning individuals located in the EEA.</w:t>
      </w:r>
    </w:p>
    <w:p>
      <w:pPr>
        <w:spacing w:after="0" w:line="156" w:lineRule="exact"/>
        <w:rPr>
          <w:sz w:val="20"/>
          <w:szCs w:val="20"/>
          <w:color w:val="auto"/>
        </w:rPr>
      </w:pPr>
    </w:p>
    <w:p>
      <w:pPr>
        <w:jc w:val="both"/>
        <w:ind w:firstLine="578"/>
        <w:spacing w:after="0" w:line="309" w:lineRule="auto"/>
        <w:rPr>
          <w:sz w:val="20"/>
          <w:szCs w:val="20"/>
          <w:color w:val="auto"/>
        </w:rPr>
      </w:pPr>
      <w:r>
        <w:rPr>
          <w:rFonts w:ascii="Arial" w:cs="Arial" w:eastAsia="Arial" w:hAnsi="Arial"/>
          <w:sz w:val="13"/>
          <w:szCs w:val="13"/>
          <w:color w:val="auto"/>
        </w:rPr>
        <w:t>Brexit has created uncertainty regarding the regulation of data protection in the United Kingdom. By operation of the so called ‘UK GDPR’ (the GDPR as it continues to form part of the law of the United Kingdom by virtue of Section 3 of the EU (Withdrawal) Act 2018 as subsequently amended) the GDPR continues to apply in substantially equivalent form to processing operations carried out in the United Kingdom or concerning individuals located in the United Kingdom. So, when we refer to the GDPR in this section, we are also making reference to the UK GDPR in the context of the United Kingdom, unless the context requires otherwise. However, it is possible that either the United Kingdom or the EU, and consequently those further states that make up the remainder of the EEA, could elect to change their approach and create differences in legal requirements and regulation in this area. This could expose us to two parallel regimes, each of which potentially authorizes similar fines and other potentially divergent enforcement actions for certain violations. In addition, uncertainty remains regarding how data transfers to and from the United Kingdom will be regulated. As many of our employees providing services to EEA customers are located in the United Kingdom, changes to how data transfers to and from the United Kingdom are regulated could impact how we provide services to our customers in the EEA. EEA customers may require that our employees who are providing services to them be based in the EEA due to data transfer restrictions, which could increase our costs in providing such services.</w:t>
      </w:r>
    </w:p>
    <w:p>
      <w:pPr>
        <w:spacing w:after="0" w:line="158"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4"/>
          <w:szCs w:val="14"/>
          <w:color w:val="auto"/>
        </w:rPr>
        <w:t>Other countries outside of Europe have enacted or are considering enacting similar comprehensive data privacy and security laws and regulations, including similar cross-border data transfer restrictions and laws requiring local data residency, which could increase the cost and complexity of delivering our services and operating our business. For example, China’s cybersecurity law, which took effect in June 2017, and the Personal Information Protection Law, which takes effect on November 1, 2021, broadly regulates data privacy and security practices and their applicability and scope are evolving and aspects of the law are uncertain. As another example, Canada has enacted the Personal Information Protection and Electronic Documents Act and Canada’s Anti-Spam Legislation, which broadly regulate the Processing of personal data and imposes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151"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4"/>
          <w:szCs w:val="14"/>
          <w:color w:val="auto"/>
        </w:rPr>
        <w:t>In the United States, various states and the federal government have adopted, or are considering adopting, laws and regulations relating to privacy and data security, including the Health Insurance Portability and Accountability Act of 1996, or HIPAA. This patchwork of legislation and regulation may give rise to conflicts or differing views of personal privacy rights. Certain state laws may be more stringent or broader in scope, or offer greater individual rights, with respect to personal information than federal, foreign or other state laws, and such laws may differ from each other, all of which may complicate compliance efforts. For example, the California Consumer Privacy Act (“CCPA”), which increases data privacy and security rights for California residents and imposes numerous obligations on covered businesses, came into effect on January 1, 2020. Among other things, the CCPA gives California residents expanded rights related to their personal information, including the right to access and delete their personal information, and receive detailed information about how their personal information is used and shared. The CCPA also created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0" w:name="page51"/>
    <w:bookmarkEnd w:id="50"/>
    <w:p>
      <w:pPr>
        <w:jc w:val="both"/>
        <w:spacing w:after="0" w:line="308" w:lineRule="auto"/>
        <w:rPr>
          <w:sz w:val="20"/>
          <w:szCs w:val="20"/>
          <w:color w:val="auto"/>
        </w:rPr>
      </w:pPr>
      <w:r>
        <w:rPr>
          <w:rFonts w:ascii="Arial" w:cs="Arial" w:eastAsia="Arial" w:hAnsi="Arial"/>
          <w:sz w:val="13"/>
          <w:szCs w:val="13"/>
          <w:color w:val="auto"/>
        </w:rPr>
        <w:t>restrictions on “sales” of personal information that allow California residents to opt-out of certain sharing of their personal information and may restrict the use of cookies and similar technologies for advertising purposes. The CCPA provides for civil penalties for violations and creates a private right of action for certain data breaches that that is expected to increase data breach litigation. Additionally, a new California ballot initiative, the California Privacy Rights Act (“CPRA”) was recently passed in California. The CPRA will restrict use of certain categories of sensitive personal information that we handle, further restrict the use of cross-context behavioral advertising techniques on which our platform relies, establish restrictions on the retention of personal information, expand the types of data breaches subject to the private right of action, and establish the California Privacy Protection Agency to implement and enforce the new law and impose administrative fines. The majority of the CPRA’s provisions will go into effect on January 1, 2023, and additional compliance investment and potential business process changes will likely be required. In addition, both Virginia and Colorado passed new privacy legislation in the form of the Virginia Consumer Data Protection Act, effective on January 1, 2023, and the Colorado Privacy Act, effective on July 1, 2023, respectively. Similar laws have been proposed in other states and at the federal level, reflecting a trend toward more stringent data privacy and security legislation in the United States. New and evolving privacy and data security laws and regulations impose significant compliance and operational requirements that are likely to increase over time, may require us to modify our data Processing practices and policies, divert resources from other initiatives and projects, and could restrict the way products and services involving data are offered, all of which may harm our business, financial condition and results of operations.</w:t>
      </w:r>
    </w:p>
    <w:p>
      <w:pPr>
        <w:spacing w:after="0" w:line="158"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In addition to government regulation, privacy advocates and industry groups have regularly proposed, and may propose in the future, self-regulatory standards by which we are or may become legally or contractually bound. For example, we are subject to the Payment Card Industry (“PCI”) Data Security Standard, which is a standard designed to protect credit card account data as mandated by payment card industry entities. If we fail to comply with such standards or contractual obligations related to data privacy and security, we may face public and regulatory scrutiny, substantial liability, and fines.</w:t>
      </w:r>
    </w:p>
    <w:p>
      <w:pPr>
        <w:spacing w:after="0" w:line="148" w:lineRule="exact"/>
        <w:rPr>
          <w:sz w:val="20"/>
          <w:szCs w:val="20"/>
          <w:color w:val="auto"/>
        </w:rPr>
      </w:pPr>
    </w:p>
    <w:p>
      <w:pPr>
        <w:jc w:val="both"/>
        <w:ind w:firstLine="578"/>
        <w:spacing w:after="0" w:line="312" w:lineRule="auto"/>
        <w:rPr>
          <w:sz w:val="20"/>
          <w:szCs w:val="20"/>
          <w:color w:val="auto"/>
        </w:rPr>
      </w:pPr>
      <w:r>
        <w:rPr>
          <w:rFonts w:ascii="Arial" w:cs="Arial" w:eastAsia="Arial" w:hAnsi="Arial"/>
          <w:sz w:val="13"/>
          <w:szCs w:val="13"/>
          <w:color w:val="auto"/>
        </w:rPr>
        <w:t>We may also be subject to public statements about our use and disclosure of personal information through our privacy policies, information provided on our website and press statements, and contractual obligations to third parties relating to data privacy and security. Although we endeavor to comply with our public statements, documentation, and contractual obligations, we may at times fail to do so or be alleged to have failed to do so. Moreover, despite our efforts, we may not be successful in achieving compliance if our employees, third-party collaborators, service providers, contractors or consultants fail to comply with our policies, documentation, and contractual obligations. Such failures can subject us to potential foreign, local, state and federal government or legal action, including if our policies and documentation are found to be deceptive, unfair or misrepresentative of our actual practices. Claims that we have violated individuals’ privacy rights or failed to comply with data privacy and security laws or applicable privacy notices even if we are not found liable, could be expensive and time-consuming to defend and could result in adverse publicity that could harm our business or have other material adverse effects on our business, financial condition and results of operations.</w:t>
      </w:r>
    </w:p>
    <w:p>
      <w:pPr>
        <w:spacing w:after="0" w:line="152" w:lineRule="exact"/>
        <w:rPr>
          <w:sz w:val="20"/>
          <w:szCs w:val="20"/>
          <w:color w:val="auto"/>
        </w:rPr>
      </w:pPr>
    </w:p>
    <w:p>
      <w:pPr>
        <w:jc w:val="both"/>
        <w:ind w:firstLine="578"/>
        <w:spacing w:after="0" w:line="310" w:lineRule="auto"/>
        <w:rPr>
          <w:sz w:val="20"/>
          <w:szCs w:val="20"/>
          <w:color w:val="auto"/>
        </w:rPr>
      </w:pPr>
      <w:r>
        <w:rPr>
          <w:rFonts w:ascii="Arial" w:cs="Arial" w:eastAsia="Arial" w:hAnsi="Arial"/>
          <w:sz w:val="13"/>
          <w:szCs w:val="13"/>
          <w:color w:val="auto"/>
        </w:rPr>
        <w:t>Although we take reasonable efforts to comply with all Data Protection Requirements and have invested and continue to invest human and technology resources into data privacy and security compliance efforts, there can be no assurance that our actual or perceived non-compliance with Data Protection Requirements will not subject us to litigation, regulatory actions, fines, civil or criminal penalties, limited ability or inability to operate our business, offer our products and services, negative publicity, and harm to our business. We or our third-party service providers could be adversely affected if legislation or regulations are expanded to require changes in our or our third-party service providers’ business practices or if governing jurisdictions interpret or implement their legislation or regulations in ways that negatively affect our or our third-party service providers’ business, results of operations or financial condition. For example, we may find it necessary to establish alternative systems to maintain personal data originating from the EEA, which may involve substantial expense and may cause us to divert resources from other aspects of our business, all of which may adversely affect our results from operations. Further, any inability to adequately address privacy and data security concerns in connection with our solutions, or comply with applicable Data Protection Requirements, could result in additional cost and liability to us, and adversely affect our ability to offer our solutions.</w:t>
      </w:r>
    </w:p>
    <w:p>
      <w:pPr>
        <w:spacing w:after="0" w:line="143"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Anticipated further evolution of regulations on this topic may substantially increase the penalties to which we could be subject in the event of any non-compliance. Compliance with these laws is challenging, constantly evolving, and time consuming and federal regulators, state attorneys general and plaintiff’s attorneys have been and will likely continue to be active in this space. We may incur substantial expense in complying with the new legal obligations to be imposed by new regulations and we may be required to make significant changes to our solutions and expanding business operations, all of which may adversely affect our results of operations.</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66" w:lineRule="exact"/>
        <w:rPr>
          <w:sz w:val="20"/>
          <w:szCs w:val="20"/>
          <w:color w:val="auto"/>
        </w:rPr>
      </w:pPr>
    </w:p>
    <w:p>
      <w:pPr>
        <w:jc w:val="both"/>
        <w:ind w:firstLine="578"/>
        <w:spacing w:after="0" w:line="316" w:lineRule="auto"/>
        <w:rPr>
          <w:sz w:val="20"/>
          <w:szCs w:val="20"/>
          <w:color w:val="auto"/>
        </w:rPr>
      </w:pPr>
      <w:r>
        <w:rPr>
          <w:rFonts w:ascii="Arial" w:cs="Arial" w:eastAsia="Arial" w:hAnsi="Arial"/>
          <w:sz w:val="13"/>
          <w:szCs w:val="13"/>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136"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66"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1" w:name="page52"/>
    <w:bookmarkEnd w:id="51"/>
    <w:p>
      <w:pPr>
        <w:jc w:val="both"/>
        <w:ind w:left="960"/>
        <w:spacing w:after="0" w:line="264" w:lineRule="auto"/>
        <w:rPr>
          <w:sz w:val="20"/>
          <w:szCs w:val="20"/>
          <w:color w:val="auto"/>
        </w:rPr>
      </w:pPr>
      <w:r>
        <w:rPr>
          <w:rFonts w:ascii="Arial" w:cs="Arial" w:eastAsia="Arial" w:hAnsi="Arial"/>
          <w:sz w:val="14"/>
          <w:szCs w:val="14"/>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89" w:lineRule="exact"/>
        <w:rPr>
          <w:sz w:val="20"/>
          <w:szCs w:val="20"/>
          <w:color w:val="auto"/>
        </w:rPr>
      </w:pPr>
    </w:p>
    <w:p>
      <w:pPr>
        <w:jc w:val="both"/>
        <w:ind w:left="960"/>
        <w:spacing w:after="0" w:line="286" w:lineRule="auto"/>
        <w:rPr>
          <w:sz w:val="20"/>
          <w:szCs w:val="20"/>
          <w:color w:val="auto"/>
        </w:rPr>
      </w:pPr>
      <w:r>
        <w:rPr>
          <w:rFonts w:ascii="Arial" w:cs="Arial" w:eastAsia="Arial" w:hAnsi="Arial"/>
          <w:sz w:val="13"/>
          <w:szCs w:val="13"/>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 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74" w:lineRule="exact"/>
        <w:rPr>
          <w:sz w:val="20"/>
          <w:szCs w:val="20"/>
          <w:color w:val="auto"/>
        </w:rPr>
      </w:pPr>
    </w:p>
    <w:p>
      <w:pPr>
        <w:jc w:val="both"/>
        <w:ind w:left="960"/>
        <w:spacing w:after="0" w:line="269" w:lineRule="auto"/>
        <w:rPr>
          <w:sz w:val="20"/>
          <w:szCs w:val="20"/>
          <w:color w:val="auto"/>
        </w:rPr>
      </w:pPr>
      <w:r>
        <w:rPr>
          <w:rFonts w:ascii="Arial" w:cs="Arial" w:eastAsia="Arial" w:hAnsi="Arial"/>
          <w:sz w:val="14"/>
          <w:szCs w:val="14"/>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83" w:lineRule="exact"/>
        <w:rPr>
          <w:sz w:val="20"/>
          <w:szCs w:val="20"/>
          <w:color w:val="auto"/>
        </w:rPr>
      </w:pPr>
    </w:p>
    <w:p>
      <w:pPr>
        <w:jc w:val="both"/>
        <w:ind w:left="960"/>
        <w:spacing w:after="0" w:line="272" w:lineRule="auto"/>
        <w:rPr>
          <w:sz w:val="20"/>
          <w:szCs w:val="20"/>
          <w:color w:val="auto"/>
        </w:rPr>
      </w:pPr>
      <w:r>
        <w:rPr>
          <w:rFonts w:ascii="Arial" w:cs="Arial" w:eastAsia="Arial" w:hAnsi="Arial"/>
          <w:sz w:val="14"/>
          <w:szCs w:val="14"/>
          <w:color w:val="auto"/>
        </w:rPr>
        <w:t>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80" w:lineRule="exact"/>
        <w:rPr>
          <w:sz w:val="20"/>
          <w:szCs w:val="20"/>
          <w:color w:val="auto"/>
        </w:rPr>
      </w:pPr>
    </w:p>
    <w:p>
      <w:pPr>
        <w:jc w:val="both"/>
        <w:ind w:left="960"/>
        <w:spacing w:after="0" w:line="269" w:lineRule="auto"/>
        <w:rPr>
          <w:sz w:val="20"/>
          <w:szCs w:val="20"/>
          <w:color w:val="auto"/>
        </w:rPr>
      </w:pPr>
      <w:r>
        <w:rPr>
          <w:rFonts w:ascii="Arial" w:cs="Arial" w:eastAsia="Arial" w:hAnsi="Arial"/>
          <w:sz w:val="14"/>
          <w:szCs w:val="14"/>
          <w:color w:val="auto"/>
        </w:rPr>
        <w:t>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83" w:lineRule="exact"/>
        <w:rPr>
          <w:sz w:val="20"/>
          <w:szCs w:val="20"/>
          <w:color w:val="auto"/>
        </w:rPr>
      </w:pPr>
    </w:p>
    <w:p>
      <w:pPr>
        <w:jc w:val="both"/>
        <w:ind w:left="960"/>
        <w:spacing w:after="0" w:line="292" w:lineRule="auto"/>
        <w:rPr>
          <w:sz w:val="20"/>
          <w:szCs w:val="20"/>
          <w:color w:val="auto"/>
        </w:rPr>
      </w:pPr>
      <w:r>
        <w:rPr>
          <w:rFonts w:ascii="Arial" w:cs="Arial" w:eastAsia="Arial" w:hAnsi="Arial"/>
          <w:sz w:val="13"/>
          <w:szCs w:val="13"/>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70" w:lineRule="exact"/>
        <w:rPr>
          <w:sz w:val="20"/>
          <w:szCs w:val="20"/>
          <w:color w:val="auto"/>
        </w:rPr>
      </w:pPr>
    </w:p>
    <w:p>
      <w:pPr>
        <w:jc w:val="both"/>
        <w:ind w:left="960"/>
        <w:spacing w:after="0" w:line="292" w:lineRule="auto"/>
        <w:rPr>
          <w:sz w:val="20"/>
          <w:szCs w:val="20"/>
          <w:color w:val="auto"/>
        </w:rPr>
      </w:pPr>
      <w:r>
        <w:rPr>
          <w:rFonts w:ascii="Arial" w:cs="Arial" w:eastAsia="Arial" w:hAnsi="Arial"/>
          <w:sz w:val="13"/>
          <w:szCs w:val="13"/>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70" w:lineRule="exact"/>
        <w:rPr>
          <w:sz w:val="20"/>
          <w:szCs w:val="20"/>
          <w:color w:val="auto"/>
        </w:rPr>
      </w:pPr>
    </w:p>
    <w:p>
      <w:pPr>
        <w:jc w:val="both"/>
        <w:ind w:firstLine="584"/>
        <w:spacing w:after="0" w:line="289" w:lineRule="auto"/>
        <w:rPr>
          <w:sz w:val="20"/>
          <w:szCs w:val="20"/>
          <w:color w:val="auto"/>
        </w:rPr>
      </w:pPr>
      <w:r>
        <w:rPr>
          <w:rFonts w:ascii="Arial" w:cs="Arial" w:eastAsia="Arial" w:hAnsi="Arial"/>
          <w:sz w:val="14"/>
          <w:szCs w:val="14"/>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or the BBA, increased the criminal and civil penalties that can be imposed for violating certain federal health care laws, including the Anti-Kickback Statute. Enforcement agencies also continue to pursue novel theories of liability under these laws. In particular, government agencies have increased regulatory scrutiny and enforcement activity with respect to manufacturer reimbursement support activities, including bringing criminal charges or civil enforcement actions under the Anti-Kickback Statute, FCA and HIPAA’s healthcare fraud and privacy provisions.</w:t>
      </w:r>
    </w:p>
    <w:p>
      <w:pPr>
        <w:spacing w:after="0" w:line="84"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2" w:name="page53"/>
    <w:bookmarkEnd w:id="52"/>
    <w:p>
      <w:pPr>
        <w:jc w:val="both"/>
        <w:ind w:firstLine="578"/>
        <w:spacing w:after="0" w:line="309" w:lineRule="auto"/>
        <w:rPr>
          <w:sz w:val="20"/>
          <w:szCs w:val="20"/>
          <w:color w:val="auto"/>
        </w:rPr>
      </w:pPr>
      <w:r>
        <w:rPr>
          <w:rFonts w:ascii="Arial" w:cs="Arial" w:eastAsia="Arial" w:hAnsi="Arial"/>
          <w:sz w:val="13"/>
          <w:szCs w:val="13"/>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158"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66" w:lineRule="exact"/>
        <w:rPr>
          <w:sz w:val="20"/>
          <w:szCs w:val="20"/>
          <w:color w:val="auto"/>
        </w:rPr>
      </w:pPr>
    </w:p>
    <w:p>
      <w:pPr>
        <w:jc w:val="both"/>
        <w:ind w:firstLine="578"/>
        <w:spacing w:after="0" w:line="312" w:lineRule="auto"/>
        <w:rPr>
          <w:sz w:val="20"/>
          <w:szCs w:val="20"/>
          <w:color w:val="auto"/>
        </w:rPr>
      </w:pPr>
      <w:r>
        <w:rPr>
          <w:rFonts w:ascii="Arial" w:cs="Arial" w:eastAsia="Arial" w:hAnsi="Arial"/>
          <w:sz w:val="13"/>
          <w:szCs w:val="13"/>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138" w:lineRule="exact"/>
        <w:rPr>
          <w:sz w:val="20"/>
          <w:szCs w:val="20"/>
          <w:color w:val="auto"/>
        </w:rPr>
      </w:pPr>
    </w:p>
    <w:p>
      <w:pPr>
        <w:jc w:val="both"/>
        <w:ind w:firstLine="578"/>
        <w:spacing w:after="0" w:line="285" w:lineRule="auto"/>
        <w:rPr>
          <w:sz w:val="20"/>
          <w:szCs w:val="20"/>
          <w:color w:val="auto"/>
        </w:rPr>
      </w:pPr>
      <w:r>
        <w:rPr>
          <w:rFonts w:ascii="Arial" w:cs="Arial" w:eastAsia="Arial" w:hAnsi="Arial"/>
          <w:sz w:val="14"/>
          <w:szCs w:val="14"/>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7"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in the United States and other countries that cover, and other intellectual property with respect to, such products, their manufacturing processes and their intended methods of use and enforcing those patent claims once granted as well as our other intellectual property. In some cases, we may not be able to obtain issued patent claims or other intellectual property covering our technologies which are sufficient to prevent third parties, such as our competitors, from utilizing our products and negate any competitive advantage we may have. Any failure to obtain or maintain patent and other intellectual property protection with respect to our current and any future products or other aspects of our business could harm our business, financial condition and results of operations.</w:t>
      </w:r>
    </w:p>
    <w:p>
      <w:pPr>
        <w:spacing w:after="0" w:line="150"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61" w:lineRule="exact"/>
        <w:rPr>
          <w:sz w:val="20"/>
          <w:szCs w:val="20"/>
          <w:color w:val="auto"/>
        </w:rPr>
      </w:pPr>
    </w:p>
    <w:p>
      <w:pPr>
        <w:jc w:val="both"/>
        <w:ind w:firstLine="578"/>
        <w:spacing w:after="0" w:line="310" w:lineRule="auto"/>
        <w:rPr>
          <w:sz w:val="20"/>
          <w:szCs w:val="20"/>
          <w:color w:val="auto"/>
        </w:rPr>
      </w:pPr>
      <w:r>
        <w:rPr>
          <w:rFonts w:ascii="Arial" w:cs="Arial" w:eastAsia="Arial" w:hAnsi="Arial"/>
          <w:sz w:val="13"/>
          <w:szCs w:val="13"/>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143"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As of September 30, 2021, we own eight issued U.S. patents and one issued foreign patent. There are 34 pending patent applications, including 18 in the United States and 16 foreign applications. Assuming all maintenance fees are paid, the U.S. issued patents are expected to expire between years 2023 and 2038. Patents covering intellectual property relating to design specific technologies invented by our researchers in Shanghai and Wuxi, China are filed in China and owned by our China subsidiaries, respectively. As of September 30, 2021, our Shanghai subsidiary owns 14 issued patents and has nine pending patent applications, and our Wuxi subsidiary owns 17 issued patents and has nine pending patent applications.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3" w:name="page54"/>
    <w:bookmarkEnd w:id="53"/>
    <w:p>
      <w:pPr>
        <w:jc w:val="both"/>
        <w:ind w:firstLine="578"/>
        <w:spacing w:after="0" w:line="285" w:lineRule="auto"/>
        <w:rPr>
          <w:sz w:val="20"/>
          <w:szCs w:val="20"/>
          <w:color w:val="auto"/>
        </w:rPr>
      </w:pPr>
      <w:r>
        <w:rPr>
          <w:rFonts w:ascii="Arial" w:cs="Arial" w:eastAsia="Arial" w:hAnsi="Arial"/>
          <w:sz w:val="14"/>
          <w:szCs w:val="14"/>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69"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150"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164" w:lineRule="exact"/>
        <w:rPr>
          <w:sz w:val="20"/>
          <w:szCs w:val="20"/>
          <w:color w:val="auto"/>
        </w:rPr>
      </w:pPr>
    </w:p>
    <w:p>
      <w:pPr>
        <w:jc w:val="both"/>
        <w:ind w:firstLine="578"/>
        <w:spacing w:after="0" w:line="308" w:lineRule="auto"/>
        <w:rPr>
          <w:sz w:val="20"/>
          <w:szCs w:val="20"/>
          <w:color w:val="auto"/>
        </w:rPr>
      </w:pPr>
      <w:r>
        <w:rPr>
          <w:rFonts w:ascii="Arial" w:cs="Arial" w:eastAsia="Arial" w:hAnsi="Arial"/>
          <w:sz w:val="13"/>
          <w:szCs w:val="13"/>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144" w:lineRule="exact"/>
        <w:rPr>
          <w:sz w:val="20"/>
          <w:szCs w:val="20"/>
          <w:color w:val="auto"/>
        </w:rPr>
      </w:pPr>
    </w:p>
    <w:p>
      <w:pPr>
        <w:jc w:val="both"/>
        <w:ind w:firstLine="578"/>
        <w:spacing w:after="0" w:line="284" w:lineRule="auto"/>
        <w:rPr>
          <w:sz w:val="20"/>
          <w:szCs w:val="20"/>
          <w:color w:val="auto"/>
        </w:rPr>
      </w:pPr>
      <w:r>
        <w:rPr>
          <w:rFonts w:ascii="Arial" w:cs="Arial" w:eastAsia="Arial" w:hAnsi="Arial"/>
          <w:sz w:val="14"/>
          <w:szCs w:val="14"/>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172"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150"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148"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4" w:name="page55"/>
    <w:bookmarkEnd w:id="54"/>
    <w:p>
      <w:pPr>
        <w:jc w:val="both"/>
        <w:spacing w:after="0" w:line="297" w:lineRule="auto"/>
        <w:rPr>
          <w:sz w:val="20"/>
          <w:szCs w:val="20"/>
          <w:color w:val="auto"/>
        </w:rPr>
      </w:pPr>
      <w:r>
        <w:rPr>
          <w:rFonts w:ascii="Arial" w:cs="Arial" w:eastAsia="Arial" w:hAnsi="Arial"/>
          <w:sz w:val="14"/>
          <w:szCs w:val="14"/>
          <w:color w:val="auto"/>
        </w:rPr>
        <w:t>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38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66" w:lineRule="exact"/>
        <w:rPr>
          <w:sz w:val="20"/>
          <w:szCs w:val="20"/>
          <w:color w:val="auto"/>
        </w:rPr>
      </w:pPr>
    </w:p>
    <w:p>
      <w:pPr>
        <w:jc w:val="both"/>
        <w:ind w:firstLine="578"/>
        <w:spacing w:after="0" w:line="285" w:lineRule="auto"/>
        <w:rPr>
          <w:sz w:val="20"/>
          <w:szCs w:val="20"/>
          <w:color w:val="auto"/>
        </w:rPr>
      </w:pPr>
      <w:r>
        <w:rPr>
          <w:rFonts w:ascii="Arial" w:cs="Arial" w:eastAsia="Arial" w:hAnsi="Arial"/>
          <w:sz w:val="14"/>
          <w:szCs w:val="14"/>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154" w:lineRule="exact"/>
        <w:rPr>
          <w:sz w:val="20"/>
          <w:szCs w:val="20"/>
          <w:color w:val="auto"/>
        </w:rPr>
      </w:pPr>
    </w:p>
    <w:p>
      <w:pPr>
        <w:jc w:val="both"/>
        <w:ind w:firstLine="578"/>
        <w:spacing w:after="0" w:line="284" w:lineRule="auto"/>
        <w:rPr>
          <w:sz w:val="20"/>
          <w:szCs w:val="20"/>
          <w:color w:val="auto"/>
        </w:rPr>
      </w:pPr>
      <w:r>
        <w:rPr>
          <w:rFonts w:ascii="Arial" w:cs="Arial" w:eastAsia="Arial" w:hAnsi="Arial"/>
          <w:sz w:val="14"/>
          <w:szCs w:val="14"/>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66"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4"/>
          <w:szCs w:val="14"/>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or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153" w:lineRule="exact"/>
        <w:rPr>
          <w:sz w:val="20"/>
          <w:szCs w:val="20"/>
          <w:color w:val="auto"/>
        </w:rPr>
      </w:pPr>
    </w:p>
    <w:p>
      <w:pPr>
        <w:jc w:val="both"/>
        <w:spacing w:after="0" w:line="382" w:lineRule="auto"/>
        <w:rPr>
          <w:sz w:val="20"/>
          <w:szCs w:val="20"/>
          <w:color w:val="auto"/>
        </w:rPr>
      </w:pPr>
      <w:r>
        <w:rPr>
          <w:rFonts w:ascii="Arial" w:cs="Arial" w:eastAsia="Arial" w:hAnsi="Arial"/>
          <w:sz w:val="12"/>
          <w:szCs w:val="12"/>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20" w:lineRule="exact"/>
        <w:rPr>
          <w:sz w:val="20"/>
          <w:szCs w:val="20"/>
          <w:color w:val="auto"/>
        </w:rPr>
      </w:pPr>
    </w:p>
    <w:p>
      <w:pPr>
        <w:jc w:val="both"/>
        <w:ind w:firstLine="578"/>
        <w:spacing w:after="0" w:line="309" w:lineRule="auto"/>
        <w:rPr>
          <w:sz w:val="20"/>
          <w:szCs w:val="20"/>
          <w:color w:val="auto"/>
        </w:rPr>
      </w:pPr>
      <w:r>
        <w:rPr>
          <w:rFonts w:ascii="Arial" w:cs="Arial" w:eastAsia="Arial" w:hAnsi="Arial"/>
          <w:sz w:val="13"/>
          <w:szCs w:val="13"/>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The various applicable government agencies, including with respect to patents and patent applications the USPTO and similar agencies outside of the United States, require compliance with several procedural, documentary, fee payment and other similar provisions during the application process.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158"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66" w:lineRule="exact"/>
        <w:rPr>
          <w:sz w:val="20"/>
          <w:szCs w:val="20"/>
          <w:color w:val="auto"/>
        </w:rPr>
      </w:pPr>
    </w:p>
    <w:p>
      <w:pPr>
        <w:jc w:val="both"/>
        <w:ind w:firstLine="584"/>
        <w:spacing w:after="0" w:line="288" w:lineRule="auto"/>
        <w:rPr>
          <w:sz w:val="20"/>
          <w:szCs w:val="20"/>
          <w:color w:val="auto"/>
        </w:rPr>
      </w:pPr>
      <w:r>
        <w:rPr>
          <w:rFonts w:ascii="Arial" w:cs="Arial" w:eastAsia="Arial" w:hAnsi="Arial"/>
          <w:sz w:val="14"/>
          <w:szCs w:val="14"/>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products may compete with our current and any future products, and our patents or other intellectual property rights may not be effective or sufficient to prevent them from competing.</w:t>
      </w:r>
    </w:p>
    <w:p>
      <w:pPr>
        <w:spacing w:after="0" w:line="136" w:lineRule="exact"/>
        <w:rPr>
          <w:sz w:val="20"/>
          <w:szCs w:val="20"/>
          <w:color w:val="auto"/>
        </w:rPr>
      </w:pPr>
    </w:p>
    <w:p>
      <w:pPr>
        <w:jc w:val="both"/>
        <w:ind w:firstLine="578"/>
        <w:spacing w:after="0" w:line="310" w:lineRule="auto"/>
        <w:rPr>
          <w:sz w:val="20"/>
          <w:szCs w:val="20"/>
          <w:color w:val="auto"/>
        </w:rPr>
      </w:pPr>
      <w:r>
        <w:rPr>
          <w:rFonts w:ascii="Arial" w:cs="Arial" w:eastAsia="Arial" w:hAnsi="Arial"/>
          <w:sz w:val="13"/>
          <w:szCs w:val="13"/>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U.S. patent law could diminish the value of patents in general, thereby impairing our ability to protect our current and any future products.</w:t>
      </w:r>
    </w:p>
    <w:p>
      <w:pPr>
        <w:spacing w:after="0" w:line="123" w:lineRule="exact"/>
        <w:rPr>
          <w:sz w:val="20"/>
          <w:szCs w:val="20"/>
          <w:color w:val="auto"/>
        </w:rPr>
      </w:pPr>
    </w:p>
    <w:p>
      <w:pPr>
        <w:jc w:val="both"/>
        <w:ind w:firstLine="584"/>
        <w:spacing w:after="0" w:line="310" w:lineRule="auto"/>
        <w:rPr>
          <w:sz w:val="20"/>
          <w:szCs w:val="20"/>
          <w:color w:val="auto"/>
        </w:rPr>
      </w:pPr>
      <w:r>
        <w:rPr>
          <w:rFonts w:ascii="Arial" w:cs="Arial" w:eastAsia="Arial" w:hAnsi="Arial"/>
          <w:sz w:val="13"/>
          <w:szCs w:val="13"/>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75" w:lineRule="exact"/>
        <w:rPr>
          <w:sz w:val="20"/>
          <w:szCs w:val="20"/>
          <w:color w:val="auto"/>
        </w:rPr>
      </w:pPr>
    </w:p>
    <w:p>
      <w:pPr>
        <w:jc w:val="both"/>
        <w:ind w:firstLine="584"/>
        <w:spacing w:after="0" w:line="297" w:lineRule="auto"/>
        <w:rPr>
          <w:sz w:val="20"/>
          <w:szCs w:val="20"/>
          <w:color w:val="auto"/>
        </w:rPr>
      </w:pPr>
      <w:r>
        <w:rPr>
          <w:rFonts w:ascii="Arial" w:cs="Arial" w:eastAsia="Arial" w:hAnsi="Arial"/>
          <w:sz w:val="14"/>
          <w:szCs w:val="14"/>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77"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3"/>
          <w:szCs w:val="13"/>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40"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66" w:lineRule="exact"/>
        <w:rPr>
          <w:sz w:val="20"/>
          <w:szCs w:val="20"/>
          <w:color w:val="auto"/>
        </w:rPr>
      </w:pPr>
    </w:p>
    <w:p>
      <w:pPr>
        <w:jc w:val="both"/>
        <w:ind w:firstLine="584"/>
        <w:spacing w:after="0" w:line="287" w:lineRule="auto"/>
        <w:rPr>
          <w:sz w:val="20"/>
          <w:szCs w:val="20"/>
          <w:color w:val="auto"/>
        </w:rPr>
      </w:pPr>
      <w:r>
        <w:rPr>
          <w:rFonts w:ascii="Arial" w:cs="Arial" w:eastAsia="Arial" w:hAnsi="Arial"/>
          <w:sz w:val="14"/>
          <w:szCs w:val="14"/>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83" w:lineRule="exact"/>
        <w:rPr>
          <w:sz w:val="20"/>
          <w:szCs w:val="20"/>
          <w:color w:val="auto"/>
        </w:rPr>
      </w:pPr>
    </w:p>
    <w:p>
      <w:pPr>
        <w:jc w:val="both"/>
        <w:ind w:firstLine="584"/>
        <w:spacing w:after="0" w:line="316" w:lineRule="auto"/>
        <w:rPr>
          <w:sz w:val="20"/>
          <w:szCs w:val="20"/>
          <w:color w:val="auto"/>
        </w:rPr>
      </w:pPr>
      <w:r>
        <w:rPr>
          <w:rFonts w:ascii="Arial" w:cs="Arial" w:eastAsia="Arial" w:hAnsi="Arial"/>
          <w:sz w:val="13"/>
          <w:szCs w:val="13"/>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69" w:lineRule="exact"/>
        <w:rPr>
          <w:sz w:val="20"/>
          <w:szCs w:val="20"/>
          <w:color w:val="auto"/>
        </w:rPr>
      </w:pPr>
    </w:p>
    <w:p>
      <w:pPr>
        <w:jc w:val="both"/>
        <w:ind w:firstLine="584"/>
        <w:spacing w:after="0" w:line="286" w:lineRule="auto"/>
        <w:rPr>
          <w:sz w:val="20"/>
          <w:szCs w:val="20"/>
          <w:color w:val="auto"/>
        </w:rPr>
      </w:pPr>
      <w:r>
        <w:rPr>
          <w:rFonts w:ascii="Arial" w:cs="Arial" w:eastAsia="Arial" w:hAnsi="Arial"/>
          <w:sz w:val="14"/>
          <w:szCs w:val="14"/>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6" w:name="page57"/>
    <w:bookmarkEnd w:id="56"/>
    <w:p>
      <w:pPr>
        <w:jc w:val="both"/>
        <w:ind w:firstLine="578"/>
        <w:spacing w:after="0" w:line="309" w:lineRule="auto"/>
        <w:rPr>
          <w:sz w:val="20"/>
          <w:szCs w:val="20"/>
          <w:color w:val="auto"/>
        </w:rPr>
      </w:pPr>
      <w:r>
        <w:rPr>
          <w:rFonts w:ascii="Arial" w:cs="Arial" w:eastAsia="Arial" w:hAnsi="Arial"/>
          <w:sz w:val="13"/>
          <w:szCs w:val="13"/>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154" w:lineRule="exact"/>
        <w:rPr>
          <w:sz w:val="20"/>
          <w:szCs w:val="20"/>
          <w:color w:val="auto"/>
        </w:rPr>
      </w:pPr>
    </w:p>
    <w:p>
      <w:pPr>
        <w:jc w:val="both"/>
        <w:ind w:firstLine="578"/>
        <w:spacing w:after="0" w:line="284" w:lineRule="auto"/>
        <w:rPr>
          <w:sz w:val="20"/>
          <w:szCs w:val="20"/>
          <w:color w:val="auto"/>
        </w:rPr>
      </w:pPr>
      <w:r>
        <w:rPr>
          <w:rFonts w:ascii="Arial" w:cs="Arial" w:eastAsia="Arial" w:hAnsi="Arial"/>
          <w:sz w:val="14"/>
          <w:szCs w:val="14"/>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157" w:lineRule="exact"/>
        <w:rPr>
          <w:sz w:val="20"/>
          <w:szCs w:val="20"/>
          <w:color w:val="auto"/>
        </w:rPr>
      </w:pPr>
    </w:p>
    <w:p>
      <w:pPr>
        <w:jc w:val="both"/>
        <w:ind w:firstLine="578"/>
        <w:spacing w:after="0" w:line="316" w:lineRule="auto"/>
        <w:rPr>
          <w:sz w:val="20"/>
          <w:szCs w:val="20"/>
          <w:color w:val="auto"/>
        </w:rPr>
      </w:pPr>
      <w:r>
        <w:rPr>
          <w:rFonts w:ascii="Arial" w:cs="Arial" w:eastAsia="Arial" w:hAnsi="Arial"/>
          <w:sz w:val="13"/>
          <w:szCs w:val="13"/>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150"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4"/>
          <w:szCs w:val="14"/>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become involved in lawsuits to protect or enforce our patents and other intellectual property rights, which could be expensive, time-consuming and unsuccessful.</w:t>
      </w:r>
    </w:p>
    <w:p>
      <w:pPr>
        <w:spacing w:after="0" w:line="134"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48" w:lineRule="exact"/>
        <w:rPr>
          <w:sz w:val="20"/>
          <w:szCs w:val="20"/>
          <w:color w:val="auto"/>
        </w:rPr>
      </w:pPr>
    </w:p>
    <w:p>
      <w:pPr>
        <w:jc w:val="both"/>
        <w:ind w:firstLine="578"/>
        <w:spacing w:after="0" w:line="312" w:lineRule="auto"/>
        <w:rPr>
          <w:sz w:val="20"/>
          <w:szCs w:val="20"/>
          <w:color w:val="auto"/>
        </w:rPr>
      </w:pPr>
      <w:r>
        <w:rPr>
          <w:rFonts w:ascii="Arial" w:cs="Arial" w:eastAsia="Arial" w:hAnsi="Arial"/>
          <w:sz w:val="13"/>
          <w:szCs w:val="13"/>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138"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161"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66"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4"/>
          <w:szCs w:val="14"/>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7" w:name="page58"/>
    <w:bookmarkEnd w:id="57"/>
    <w:p>
      <w:pPr>
        <w:jc w:val="both"/>
        <w:spacing w:after="0" w:line="289" w:lineRule="auto"/>
        <w:rPr>
          <w:sz w:val="20"/>
          <w:szCs w:val="20"/>
          <w:color w:val="auto"/>
        </w:rPr>
      </w:pPr>
      <w:r>
        <w:rPr>
          <w:rFonts w:ascii="Arial" w:cs="Arial" w:eastAsia="Arial" w:hAnsi="Arial"/>
          <w:sz w:val="14"/>
          <w:szCs w:val="14"/>
          <w:color w:val="auto"/>
        </w:rPr>
        <w:t>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65"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trade secrets, our business and competitive position would be harmed.</w:t>
      </w:r>
    </w:p>
    <w:p>
      <w:pPr>
        <w:spacing w:after="0" w:line="123"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64"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4"/>
          <w:szCs w:val="14"/>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 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153"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of a key information technology system, process, or site could have an adverse effect on our business.</w:t>
      </w:r>
    </w:p>
    <w:p>
      <w:pPr>
        <w:spacing w:after="0" w:line="123" w:lineRule="exact"/>
        <w:rPr>
          <w:sz w:val="20"/>
          <w:szCs w:val="20"/>
          <w:color w:val="auto"/>
        </w:rPr>
      </w:pPr>
    </w:p>
    <w:p>
      <w:pPr>
        <w:jc w:val="both"/>
        <w:ind w:firstLine="578"/>
        <w:spacing w:after="0" w:line="308" w:lineRule="auto"/>
        <w:rPr>
          <w:sz w:val="20"/>
          <w:szCs w:val="20"/>
          <w:color w:val="auto"/>
        </w:rPr>
      </w:pPr>
      <w:r>
        <w:rPr>
          <w:rFonts w:ascii="Arial" w:cs="Arial" w:eastAsia="Arial" w:hAnsi="Arial"/>
          <w:sz w:val="13"/>
          <w:szCs w:val="13"/>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In addition, the COVID-19 pandemic has generally increased the risk of cybersecurity intrusions. For example, there has been an increase in phishing and spam emails as well as social engineering attempts from “hackers” hoping to use the COVID-19 pandemic to their advantage.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use of open source software could compromise our ability to offer our services and subject us to possible litigation.</w:t>
      </w:r>
    </w:p>
    <w:p>
      <w:pPr>
        <w:spacing w:after="0" w:line="123" w:lineRule="exact"/>
        <w:rPr>
          <w:sz w:val="20"/>
          <w:szCs w:val="20"/>
          <w:color w:val="auto"/>
        </w:rPr>
      </w:pPr>
    </w:p>
    <w:p>
      <w:pPr>
        <w:jc w:val="both"/>
        <w:ind w:firstLine="578"/>
        <w:spacing w:after="0" w:line="309" w:lineRule="auto"/>
        <w:rPr>
          <w:sz w:val="20"/>
          <w:szCs w:val="20"/>
          <w:color w:val="auto"/>
        </w:rPr>
      </w:pPr>
      <w:r>
        <w:rPr>
          <w:rFonts w:ascii="Arial" w:cs="Arial" w:eastAsia="Arial" w:hAnsi="Arial"/>
          <w:sz w:val="13"/>
          <w:szCs w:val="13"/>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stock price may be volatile, and the value of our common stock may decline.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8" w:name="page59"/>
    <w:bookmarkEnd w:id="58"/>
    <w:p>
      <w:pPr>
        <w:jc w:val="both"/>
        <w:ind w:firstLine="578"/>
        <w:spacing w:after="0" w:line="313" w:lineRule="auto"/>
        <w:rPr>
          <w:sz w:val="20"/>
          <w:szCs w:val="20"/>
          <w:color w:val="auto"/>
        </w:rPr>
      </w:pPr>
      <w:r>
        <w:rPr>
          <w:rFonts w:ascii="Arial" w:cs="Arial" w:eastAsia="Arial" w:hAnsi="Arial"/>
          <w:sz w:val="14"/>
          <w:szCs w:val="14"/>
          <w:color w:val="auto"/>
        </w:rPr>
        <w:t>The market price of our common stock may be highly volatile and may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147"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degree and rate of market adoption of our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variance in our financial performance from expectations of securities analysts or investors;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actual or anticipated fluctuations in our financial condition and results of operations, including as a result of anticipated or unanticipated demand based on seasonal factors;</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changes in our projected operating and financial results;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developments or disputes concerning our intellectual property or other proprietary rights;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significant lawsuits, including patent or stockholder litigation;</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negative publicity associated with issues related to our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changes in senior management or key personnel;</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future sales of our common stock or other securities, by us or our stockholders, as well as the anticipation of lock-up releases;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trading volume of our common stock;</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our ability to obtain and maintain regulatory approvals for our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changes in laws or regulations applicable to our products;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adverse developments concerning any of our third-party distribution partners and suppliers, including our single and sole-source suppliers;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announcements by us or our competitors of significant business developments, acquisitions, or new offerings;</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our inability to engage additional distribution partners and establish collaborations, if needed;</w:t>
      </w:r>
    </w:p>
    <w:p>
      <w:pPr>
        <w:spacing w:after="0" w:line="123" w:lineRule="exact"/>
        <w:rPr>
          <w:sz w:val="20"/>
          <w:szCs w:val="20"/>
          <w:color w:val="auto"/>
        </w:rPr>
      </w:pPr>
    </w:p>
    <w:p>
      <w:pPr>
        <w:ind w:left="960"/>
        <w:spacing w:after="0" w:line="293" w:lineRule="auto"/>
        <w:rPr>
          <w:sz w:val="20"/>
          <w:szCs w:val="20"/>
          <w:color w:val="auto"/>
        </w:rPr>
      </w:pPr>
      <w:r>
        <w:rPr>
          <w:rFonts w:ascii="Arial" w:cs="Arial" w:eastAsia="Arial" w:hAnsi="Arial"/>
          <w:sz w:val="14"/>
          <w:szCs w:val="14"/>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66" w:lineRule="exact"/>
        <w:rPr>
          <w:sz w:val="20"/>
          <w:szCs w:val="20"/>
          <w:color w:val="auto"/>
        </w:rPr>
      </w:pPr>
    </w:p>
    <w:p>
      <w:pPr>
        <w:ind w:left="960" w:right="2600"/>
        <w:spacing w:after="0" w:line="422" w:lineRule="auto"/>
        <w:rPr>
          <w:sz w:val="20"/>
          <w:szCs w:val="20"/>
          <w:color w:val="auto"/>
        </w:rPr>
      </w:pPr>
      <w:r>
        <w:rPr>
          <w:rFonts w:ascii="Arial" w:cs="Arial" w:eastAsia="Arial" w:hAnsi="Arial"/>
          <w:sz w:val="14"/>
          <w:szCs w:val="14"/>
          <w:color w:val="auto"/>
        </w:rPr>
        <w:t>general economic, regulatory and market conditions, including economic recessions or slowdowns and the COVID-19 pandemic; and other events or factors, many of which are beyond our control.</w:t>
      </w:r>
    </w:p>
    <w:p>
      <w:pPr>
        <w:spacing w:after="0" w:line="1"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Broad market and industry fluctuations, as well as general economic, pandemic, political, regulatory, and market conditions, may negatively impact the market price of our common stock. In addition, given the relatively small expected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broad discretion in the use of our cash and may invest or spend the funds in ways with which you do not agree and in ways that may not yield a return.</w:t>
      </w:r>
    </w:p>
    <w:p>
      <w:pPr>
        <w:spacing w:after="0" w:line="123"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We will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 in ways that enhance stockholder value, we may fail to achieve expected financial results, which could cause our stock price to decline.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and issuances of our common stock in the public market could cause the market price of our common stock to decline.</w:t>
      </w:r>
    </w:p>
    <w:p>
      <w:pPr>
        <w:spacing w:after="0" w:line="123"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145"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Based on shares of common stock outstanding as of July 27, 2021, the closing date of our initial public offering, we had a total of 133,663,817 shares of common stock outstanding. Of these shares, only the shares of common stock sold in the initial public offering (including shares sold upon exercise of the underwriters’ option to purchase additional shares), are freely tradable without restriction in the public market (unless purchased by our affiliates).</w:t>
      </w:r>
    </w:p>
    <w:p>
      <w:pPr>
        <w:spacing w:after="0" w:line="158" w:lineRule="exact"/>
        <w:rPr>
          <w:sz w:val="20"/>
          <w:szCs w:val="20"/>
          <w:color w:val="auto"/>
        </w:rPr>
      </w:pPr>
    </w:p>
    <w:p>
      <w:pPr>
        <w:jc w:val="both"/>
        <w:ind w:firstLine="578"/>
        <w:spacing w:after="0" w:line="316" w:lineRule="auto"/>
        <w:rPr>
          <w:sz w:val="20"/>
          <w:szCs w:val="20"/>
          <w:color w:val="auto"/>
        </w:rPr>
      </w:pPr>
      <w:r>
        <w:rPr>
          <w:rFonts w:ascii="Arial" w:cs="Arial" w:eastAsia="Arial" w:hAnsi="Arial"/>
          <w:sz w:val="13"/>
          <w:szCs w:val="13"/>
          <w:color w:val="auto"/>
        </w:rPr>
        <w:t>In addition, all of our executive officers and directors and the holders of substantially all of our equity securities are subject to lock-up agreements that restrict their ability to transfer shares of our common stock, stock options and other securities convertible into, exchangeable for, or exercisable for our common stock during the period ending on, and including, January 18, 2022, subject to specified exceptions. Morgan Stanley &amp; Co. LLC, Goldman Sachs &amp; Co. LLC, Piper Sandler &amp; Co. and Cowen and Company, LLC may, in their discretion, permit our stockholders who are subject to these lock-up agreements to sell shares prior to the expiration of the lock-up agreements. Upon the expiration of the lock-up period, all of such shares will be eligible for sale, of which 30,614,425 shares held by directors, executive officers and other affiliates will be subject to volume limitations under Rule 144 under the Securities Act.</w:t>
      </w:r>
    </w:p>
    <w:p>
      <w:pPr>
        <w:spacing w:after="0" w:line="136"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As of September 30, 2021, there were 8,924,370 shares of common stock subject to outstanding stock options. We registered all of the shares of common stock issuable upon exercise of outstanding stock options, and upon exercise or settlement of any options or other equity incentives we may grant in the future, for public resale under the Securities Act. Accordingly, these shares will be able to be freely sold in the public market upon issuance as permitted by any applicable vesting requirements,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9" w:name="page60"/>
    <w:bookmarkEnd w:id="59"/>
    <w:p>
      <w:pPr>
        <w:jc w:val="both"/>
        <w:ind w:right="20"/>
        <w:spacing w:after="0" w:line="313" w:lineRule="auto"/>
        <w:rPr>
          <w:sz w:val="20"/>
          <w:szCs w:val="20"/>
          <w:color w:val="auto"/>
        </w:rPr>
      </w:pPr>
      <w:r>
        <w:rPr>
          <w:rFonts w:ascii="Arial" w:cs="Arial" w:eastAsia="Arial" w:hAnsi="Arial"/>
          <w:sz w:val="14"/>
          <w:szCs w:val="14"/>
          <w:color w:val="auto"/>
        </w:rPr>
        <w:t>subject to the lock-up agreements described above. These shares of common will become eligible for sale in the public market to the extent such stock options are exercised, subject to the lock-up agreements described above and compliance with applicable securities laws.</w:t>
      </w:r>
    </w:p>
    <w:p>
      <w:pPr>
        <w:spacing w:after="0" w:line="147"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As of the date of our initial public offering, the holders of 87,268,694 shares of our common stock were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an adverse effect on the trading price of our common stock.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66"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Based on the number of shares of common stock outstanding as of September 30, 2021, our executive officers, directors and current beneficial owners of 5% or more of our common stock will, in the aggregate, beneficially own approximately 44.9%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64"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66"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374"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common stock less attractive to investors.</w:t>
      </w:r>
    </w:p>
    <w:p>
      <w:pPr>
        <w:spacing w:after="0" w:line="66"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61"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51"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4"/>
          <w:szCs w:val="14"/>
          <w:color w:val="auto"/>
        </w:rPr>
        <w:t>Investors may find our common stock less attractive as a result of our reliance on these exemptions. If some investors find our common stock less attractive as a result, there may be a less active trading market for our common stock and our stock price may be more volatile.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disclosure controls and procedures may not prevent or detect all errors or acts of fraud.</w:t>
      </w:r>
    </w:p>
    <w:p>
      <w:pPr>
        <w:spacing w:after="0" w:line="123"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48"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58"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66"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4"/>
          <w:szCs w:val="14"/>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34" w:lineRule="exact"/>
        <w:rPr>
          <w:sz w:val="20"/>
          <w:szCs w:val="20"/>
          <w:color w:val="auto"/>
        </w:rPr>
      </w:pPr>
    </w:p>
    <w:p>
      <w:pPr>
        <w:ind w:left="960" w:right="1780"/>
        <w:spacing w:after="0" w:line="493" w:lineRule="auto"/>
        <w:rPr>
          <w:sz w:val="20"/>
          <w:szCs w:val="20"/>
          <w:color w:val="auto"/>
        </w:rPr>
      </w:pPr>
      <w:r>
        <w:rPr>
          <w:rFonts w:ascii="Arial" w:cs="Arial" w:eastAsia="Arial" w:hAnsi="Arial"/>
          <w:sz w:val="12"/>
          <w:szCs w:val="12"/>
          <w:color w:val="auto"/>
        </w:rPr>
        <w:t>a board of directors divided into three classes serving staggered three-year terms, such that not all members of the board will be elected at one time; a prohibition on stockholder action through written consent, which requires that all stockholder actions be taken at a meeting of our stockholders;</w:t>
      </w:r>
    </w:p>
    <w:p>
      <w:pPr>
        <w:ind w:left="960"/>
        <w:spacing w:after="0" w:line="293" w:lineRule="auto"/>
        <w:rPr>
          <w:sz w:val="20"/>
          <w:szCs w:val="20"/>
          <w:color w:val="auto"/>
        </w:rPr>
      </w:pPr>
      <w:r>
        <w:rPr>
          <w:rFonts w:ascii="Arial" w:cs="Arial" w:eastAsia="Arial" w:hAnsi="Arial"/>
          <w:sz w:val="14"/>
          <w:szCs w:val="14"/>
          <w:color w:val="auto"/>
        </w:rPr>
        <w:t>a requirement that special meetings of stockholders be called only by the chairman of the board of directors, the chief executive officer, the president, or by a majority of the total number of authorized directors;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4"/>
          <w:szCs w:val="14"/>
          <w:color w:val="auto"/>
        </w:rPr>
        <w:t>advance notice requirements for stockholder proposals and nominations for election to our board of directors;</w:t>
      </w:r>
    </w:p>
    <w:p>
      <w:pPr>
        <w:spacing w:after="0" w:line="123" w:lineRule="exact"/>
        <w:rPr>
          <w:sz w:val="20"/>
          <w:szCs w:val="20"/>
          <w:color w:val="auto"/>
        </w:rPr>
      </w:pPr>
    </w:p>
    <w:p>
      <w:pPr>
        <w:ind w:left="960"/>
        <w:spacing w:after="0" w:line="293" w:lineRule="auto"/>
        <w:rPr>
          <w:sz w:val="20"/>
          <w:szCs w:val="20"/>
          <w:color w:val="auto"/>
        </w:rPr>
      </w:pPr>
      <w:r>
        <w:rPr>
          <w:rFonts w:ascii="Arial" w:cs="Arial" w:eastAsia="Arial" w:hAnsi="Arial"/>
          <w:sz w:val="14"/>
          <w:szCs w:val="14"/>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0" w:name="page61"/>
    <w:bookmarkEnd w:id="60"/>
    <w:p>
      <w:pPr>
        <w:ind w:left="960"/>
        <w:spacing w:after="0" w:line="293" w:lineRule="auto"/>
        <w:rPr>
          <w:sz w:val="20"/>
          <w:szCs w:val="20"/>
          <w:color w:val="auto"/>
        </w:rPr>
      </w:pPr>
      <w:r>
        <w:rPr>
          <w:rFonts w:ascii="Arial" w:cs="Arial" w:eastAsia="Arial" w:hAnsi="Arial"/>
          <w:sz w:val="14"/>
          <w:szCs w:val="14"/>
          <w:color w:val="auto"/>
        </w:rPr>
        <w:t>a requirement of approval of not less than two-thirds of all outstanding shares of our voting stock to amend any bylaws by stockholder action or to amend specific provisions of our certificate of incorporation; and</w:t>
      </w:r>
    </w:p>
    <w:p>
      <w:pPr>
        <w:spacing w:after="0" w:line="66" w:lineRule="exact"/>
        <w:rPr>
          <w:sz w:val="20"/>
          <w:szCs w:val="20"/>
          <w:color w:val="auto"/>
        </w:rPr>
      </w:pPr>
    </w:p>
    <w:p>
      <w:pPr>
        <w:ind w:left="960"/>
        <w:spacing w:after="0" w:line="293" w:lineRule="auto"/>
        <w:rPr>
          <w:sz w:val="20"/>
          <w:szCs w:val="20"/>
          <w:color w:val="auto"/>
        </w:rPr>
      </w:pPr>
      <w:r>
        <w:rPr>
          <w:rFonts w:ascii="Arial" w:cs="Arial" w:eastAsia="Arial" w:hAnsi="Arial"/>
          <w:sz w:val="14"/>
          <w:szCs w:val="14"/>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66"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4"/>
          <w:szCs w:val="14"/>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7" w:lineRule="exact"/>
        <w:rPr>
          <w:sz w:val="20"/>
          <w:szCs w:val="20"/>
          <w:color w:val="auto"/>
        </w:rPr>
      </w:pPr>
    </w:p>
    <w:p>
      <w:pPr>
        <w:jc w:val="both"/>
        <w:ind w:firstLine="578"/>
        <w:spacing w:after="0" w:line="310" w:lineRule="auto"/>
        <w:rPr>
          <w:sz w:val="20"/>
          <w:szCs w:val="20"/>
          <w:color w:val="auto"/>
        </w:rPr>
      </w:pPr>
      <w:r>
        <w:rPr>
          <w:rFonts w:ascii="Arial" w:cs="Arial" w:eastAsia="Arial" w:hAnsi="Arial"/>
          <w:sz w:val="13"/>
          <w:szCs w:val="13"/>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43"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4"/>
          <w:szCs w:val="14"/>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66"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94" w:lineRule="exact"/>
        <w:rPr>
          <w:sz w:val="20"/>
          <w:szCs w:val="20"/>
          <w:color w:val="auto"/>
        </w:rPr>
      </w:pPr>
    </w:p>
    <w:p>
      <w:pPr>
        <w:jc w:val="both"/>
        <w:ind w:right="20"/>
        <w:spacing w:after="0" w:line="382" w:lineRule="auto"/>
        <w:rPr>
          <w:sz w:val="20"/>
          <w:szCs w:val="20"/>
          <w:color w:val="auto"/>
        </w:rPr>
      </w:pPr>
      <w:r>
        <w:rPr>
          <w:rFonts w:ascii="Arial" w:cs="Arial" w:eastAsia="Arial" w:hAnsi="Arial"/>
          <w:sz w:val="12"/>
          <w:szCs w:val="12"/>
          <w:b w:val="1"/>
          <w:bCs w:val="1"/>
          <w:i w:val="1"/>
          <w:iCs w:val="1"/>
          <w:color w:val="auto"/>
        </w:rPr>
        <w:t>As a result of being a public company, we are obligated to develop and maintain proper and effective internal control and procedures over financial reporting, and any failure to maintain the adequacy of these internal controls in a timely or efficient manner may adversely affect investor confidence in our company and, as a result, the value of our common stock.</w:t>
      </w:r>
    </w:p>
    <w:p>
      <w:pPr>
        <w:spacing w:after="0" w:line="20"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We are required, pursuant to Section 404 of the Sarbanes–Oxley Act, to furnish a report by management on, among other things, the effectiveness of our internal control and procedures over financial reporting for the fiscal year ending December 31, 2022, which is the year covered by the second annual report following the completion of our initial public offering.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65" w:lineRule="exact"/>
        <w:rPr>
          <w:sz w:val="20"/>
          <w:szCs w:val="20"/>
          <w:color w:val="auto"/>
        </w:rPr>
      </w:pPr>
    </w:p>
    <w:p>
      <w:pPr>
        <w:jc w:val="both"/>
        <w:ind w:firstLine="578"/>
        <w:spacing w:after="0" w:line="316" w:lineRule="auto"/>
        <w:rPr>
          <w:sz w:val="20"/>
          <w:szCs w:val="20"/>
          <w:color w:val="auto"/>
        </w:rPr>
      </w:pPr>
      <w:r>
        <w:rPr>
          <w:rFonts w:ascii="Arial" w:cs="Arial" w:eastAsia="Arial" w:hAnsi="Arial"/>
          <w:sz w:val="13"/>
          <w:szCs w:val="13"/>
          <w:color w:val="auto"/>
        </w:rPr>
        <w:t>If we are unable to conclude that our internal control and procedures over financial reporting is effective, or if our independent registered public accounting firm determines we have a material weakness in our internal control over financial reporting, we could lose investor confidence in the accuracy and completeness of our financial reports, it would be possible that a material misstatement of our financial statements would not be prevented or detected on a timely basis, and as a result, the market price of our common stock could decline, and we could be subject to sanctions or investigations by the SEC or other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366"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66" w:lineRule="exact"/>
        <w:rPr>
          <w:sz w:val="20"/>
          <w:szCs w:val="20"/>
          <w:color w:val="auto"/>
        </w:rPr>
      </w:pPr>
    </w:p>
    <w:p>
      <w:pPr>
        <w:jc w:val="both"/>
        <w:ind w:firstLine="578"/>
        <w:spacing w:after="0" w:line="292" w:lineRule="auto"/>
        <w:rPr>
          <w:sz w:val="20"/>
          <w:szCs w:val="20"/>
          <w:color w:val="auto"/>
        </w:rPr>
      </w:pPr>
      <w:r>
        <w:rPr>
          <w:rFonts w:ascii="Arial" w:cs="Arial" w:eastAsia="Arial" w:hAnsi="Arial"/>
          <w:sz w:val="14"/>
          <w:szCs w:val="14"/>
          <w:color w:val="auto"/>
        </w:rPr>
        <w:t>The preparation of our unaudited interim consolidated financial statements in conformity with generally accepted accounting principles requires management to make estimates and assumptions that affect the amounts reported in our unaudited interim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1" w:name="page62"/>
    <w:bookmarkEnd w:id="61"/>
    <w:p>
      <w:pPr>
        <w:jc w:val="both"/>
        <w:spacing w:after="0" w:line="289" w:lineRule="auto"/>
        <w:rPr>
          <w:sz w:val="20"/>
          <w:szCs w:val="20"/>
          <w:color w:val="auto"/>
        </w:rPr>
      </w:pPr>
      <w:r>
        <w:rPr>
          <w:rFonts w:ascii="Arial" w:cs="Arial" w:eastAsia="Arial" w:hAnsi="Arial"/>
          <w:sz w:val="14"/>
          <w:szCs w:val="14"/>
          <w:color w:val="auto"/>
        </w:rPr>
        <w:t>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could be subject to securities class action litigation.</w:t>
      </w:r>
    </w:p>
    <w:p>
      <w:pPr>
        <w:spacing w:after="0" w:line="123"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45"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6"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3"/>
          <w:szCs w:val="13"/>
          <w:color w:val="auto"/>
        </w:rPr>
        <w:t>As a public company, we will incur significant legal, accounting, and other expenses that we did not incur as a private company. We expect such expenses to further increase after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failure to meet Nasdaq’s continued listing requirements could result in a delisting of our common stock.</w:t>
      </w:r>
    </w:p>
    <w:p>
      <w:pPr>
        <w:spacing w:after="0" w:line="123"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4"/>
          <w:szCs w:val="14"/>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146"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58"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34" w:lineRule="exact"/>
        <w:rPr>
          <w:sz w:val="20"/>
          <w:szCs w:val="20"/>
          <w:color w:val="auto"/>
        </w:rPr>
      </w:pPr>
    </w:p>
    <w:p>
      <w:pPr>
        <w:jc w:val="both"/>
        <w:ind w:firstLine="578"/>
        <w:spacing w:after="0" w:line="297" w:lineRule="auto"/>
        <w:rPr>
          <w:sz w:val="20"/>
          <w:szCs w:val="20"/>
          <w:color w:val="auto"/>
        </w:rPr>
      </w:pPr>
      <w:r>
        <w:rPr>
          <w:rFonts w:ascii="Arial" w:cs="Arial" w:eastAsia="Arial" w:hAnsi="Arial"/>
          <w:sz w:val="14"/>
          <w:szCs w:val="14"/>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losses (“NOLs”) to offset future taxable income may be subject to certain limitations.</w:t>
      </w:r>
    </w:p>
    <w:p>
      <w:pPr>
        <w:spacing w:after="0" w:line="123" w:lineRule="exact"/>
        <w:rPr>
          <w:sz w:val="20"/>
          <w:szCs w:val="20"/>
          <w:color w:val="auto"/>
        </w:rPr>
      </w:pPr>
    </w:p>
    <w:p>
      <w:pPr>
        <w:jc w:val="both"/>
        <w:ind w:firstLine="578"/>
        <w:spacing w:after="0" w:line="313" w:lineRule="auto"/>
        <w:rPr>
          <w:sz w:val="20"/>
          <w:szCs w:val="20"/>
          <w:color w:val="auto"/>
        </w:rPr>
      </w:pPr>
      <w:r>
        <w:rPr>
          <w:rFonts w:ascii="Arial" w:cs="Arial" w:eastAsia="Arial" w:hAnsi="Arial"/>
          <w:sz w:val="14"/>
          <w:szCs w:val="14"/>
          <w:color w:val="auto"/>
        </w:rPr>
        <w:t>As of December 31, 2020, we had no federal NOL carryforwards and state NOL carryforwards of approximately $2.2 million. Certain state NOLs will begin to expire in the calendar year 2028, unless previously utilized. Certain NOL carryforwards subject to expiration could expire unused and be unavailable to offset future income tax liabilities.</w:t>
      </w:r>
    </w:p>
    <w:p>
      <w:pPr>
        <w:spacing w:after="0" w:line="134"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Under the Tax Cuts and Jobs Act, or the Tax Act, as modified by the Coronavirus Aid, Relief and Economic Security Act, or CARES Act, federal NOLs incurred in taxable years beginning after December 31, 2017 may be carried forward indefinitely, but the deductibility of such federal NOLs in taxable years beginning after December 31, 2020 is limited to 80% of taxable income in such years. There is variation in how states have responded and may continue to respond to the Tax Act and CARES Act. In addition, for state income tax purposes, there may be periods during which the use of NOLs is suspended or otherwise limited, such as recent California legislation limiting the usability of NOLs for tax years beginning in 2020 and before 2023.</w:t>
      </w:r>
    </w:p>
    <w:p>
      <w:pPr>
        <w:spacing w:after="0" w:line="148"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4"/>
          <w:szCs w:val="14"/>
          <w:color w:val="auto"/>
        </w:rPr>
        <w:t>Separately, under Section 382 of the Internal Revenue Code of 1986, as amended (the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and October 23, 2020. As of September 30, 2021, we had not experienced an ownership change subsequent to the ownership change on October 23, 2020. In addition, we may in the future experience ownership changes, either as a result of our IPO or other changes in our stock ownership (some of which are not in our control). If an ownership change occurs, our ability to utilize our NOL carryforwards and other tax attributes to reduce future tax liabilities may be limited.</w:t>
      </w: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or tax liability may have an adverse effect on our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2" w:name="page63"/>
    <w:bookmarkEnd w:id="62"/>
    <w:p>
      <w:pPr>
        <w:ind w:left="580"/>
        <w:spacing w:after="0"/>
        <w:rPr>
          <w:sz w:val="20"/>
          <w:szCs w:val="20"/>
          <w:color w:val="auto"/>
        </w:rPr>
      </w:pPr>
      <w:r>
        <w:rPr>
          <w:rFonts w:ascii="Arial" w:cs="Arial" w:eastAsia="Arial" w:hAnsi="Arial"/>
          <w:sz w:val="14"/>
          <w:szCs w:val="14"/>
          <w:color w:val="auto"/>
        </w:rPr>
        <w:t>Our effective tax rate could increase due to several factors, including:</w:t>
      </w:r>
    </w:p>
    <w:p>
      <w:pPr>
        <w:spacing w:after="0" w:line="217" w:lineRule="exact"/>
        <w:rPr>
          <w:sz w:val="20"/>
          <w:szCs w:val="20"/>
          <w:color w:val="auto"/>
        </w:rPr>
      </w:pPr>
    </w:p>
    <w:p>
      <w:pPr>
        <w:ind w:left="960" w:right="2160"/>
        <w:spacing w:after="0" w:line="422" w:lineRule="auto"/>
        <w:rPr>
          <w:sz w:val="20"/>
          <w:szCs w:val="20"/>
          <w:color w:val="auto"/>
        </w:rPr>
      </w:pPr>
      <w:r>
        <w:rPr>
          <w:rFonts w:ascii="Arial" w:cs="Arial" w:eastAsia="Arial" w:hAnsi="Arial"/>
          <w:sz w:val="14"/>
          <w:szCs w:val="14"/>
          <w:color w:val="auto"/>
        </w:rPr>
        <w:t>changes in the relative amounts of income before taxes in the various jurisdictions in which we operate that have differing statutory tax rates; changes in tax laws, tax treaties, and regulations or the interpretation of them;</w:t>
      </w:r>
    </w:p>
    <w:p>
      <w:pPr>
        <w:spacing w:after="0" w:line="1" w:lineRule="exact"/>
        <w:rPr>
          <w:sz w:val="20"/>
          <w:szCs w:val="20"/>
          <w:color w:val="auto"/>
        </w:rPr>
      </w:pPr>
    </w:p>
    <w:p>
      <w:pPr>
        <w:ind w:left="960"/>
        <w:spacing w:after="0" w:line="293" w:lineRule="auto"/>
        <w:rPr>
          <w:sz w:val="20"/>
          <w:szCs w:val="20"/>
          <w:color w:val="auto"/>
        </w:rPr>
      </w:pPr>
      <w:r>
        <w:rPr>
          <w:rFonts w:ascii="Arial" w:cs="Arial" w:eastAsia="Arial" w:hAnsi="Arial"/>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66" w:lineRule="exact"/>
        <w:rPr>
          <w:sz w:val="20"/>
          <w:szCs w:val="20"/>
          <w:color w:val="auto"/>
        </w:rPr>
      </w:pPr>
    </w:p>
    <w:p>
      <w:pPr>
        <w:ind w:left="960"/>
        <w:spacing w:after="0"/>
        <w:rPr>
          <w:sz w:val="20"/>
          <w:szCs w:val="20"/>
          <w:color w:val="auto"/>
        </w:rPr>
      </w:pPr>
      <w:r>
        <w:rPr>
          <w:rFonts w:ascii="Arial" w:cs="Arial" w:eastAsia="Arial" w:hAnsi="Arial"/>
          <w:sz w:val="14"/>
          <w:szCs w:val="14"/>
          <w:color w:val="auto"/>
        </w:rPr>
        <w:t>the outcome of current and future tax audits, examinations, or administrative appeals; and</w:t>
      </w:r>
    </w:p>
    <w:p>
      <w:pPr>
        <w:spacing w:after="0" w:line="12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limitations or adverse findings regarding our ability to do business in some jurisdictions.</w:t>
      </w:r>
    </w:p>
    <w:p>
      <w:pPr>
        <w:spacing w:after="0" w:line="123" w:lineRule="exact"/>
        <w:rPr>
          <w:sz w:val="20"/>
          <w:szCs w:val="20"/>
          <w:color w:val="auto"/>
        </w:rPr>
      </w:pPr>
    </w:p>
    <w:p>
      <w:pPr>
        <w:jc w:val="both"/>
        <w:ind w:right="20" w:firstLine="578"/>
        <w:spacing w:after="0" w:line="297" w:lineRule="auto"/>
        <w:rPr>
          <w:sz w:val="20"/>
          <w:szCs w:val="20"/>
          <w:color w:val="auto"/>
        </w:rPr>
      </w:pPr>
      <w:r>
        <w:rPr>
          <w:rFonts w:ascii="Arial" w:cs="Arial" w:eastAsia="Arial" w:hAnsi="Arial"/>
          <w:sz w:val="14"/>
          <w:szCs w:val="14"/>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 and regulations may have a material adverse effect on our business, financial condition and results of operations.</w:t>
      </w:r>
    </w:p>
    <w:p>
      <w:pPr>
        <w:spacing w:after="0" w:line="123" w:lineRule="exact"/>
        <w:rPr>
          <w:sz w:val="20"/>
          <w:szCs w:val="20"/>
          <w:color w:val="auto"/>
        </w:rPr>
      </w:pPr>
    </w:p>
    <w:p>
      <w:pPr>
        <w:jc w:val="both"/>
        <w:ind w:firstLine="578"/>
        <w:spacing w:after="0" w:line="320" w:lineRule="auto"/>
        <w:rPr>
          <w:sz w:val="20"/>
          <w:szCs w:val="20"/>
          <w:color w:val="auto"/>
        </w:rPr>
      </w:pPr>
      <w:r>
        <w:rPr>
          <w:rFonts w:ascii="Arial" w:cs="Arial" w:eastAsia="Arial" w:hAnsi="Arial"/>
          <w:sz w:val="13"/>
          <w:szCs w:val="13"/>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4"/>
          <w:szCs w:val="14"/>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66"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4"/>
          <w:szCs w:val="14"/>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376"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3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Unregistered Sales of Equity Securities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None.</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None.</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Proceeds</w:t>
      </w:r>
    </w:p>
    <w:p>
      <w:pPr>
        <w:spacing w:after="0" w:line="2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4"/>
          <w:szCs w:val="14"/>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 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34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51"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343"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Not applicable.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63" w:name="page64"/>
    <w:bookmarkEnd w:id="63"/>
    <w:p>
      <w:pPr>
        <w:spacing w:after="0"/>
        <w:tabs>
          <w:tab w:leader="none" w:pos="10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4"/>
          <w:szCs w:val="14"/>
          <w:b w:val="1"/>
          <w:bCs w:val="1"/>
          <w:color w:val="auto"/>
        </w:rPr>
        <w:t>OTHER INFORMATION.</w:t>
      </w:r>
    </w:p>
    <w:p>
      <w:pPr>
        <w:spacing w:after="0" w:line="34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697" w:right="1440"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6"/>
        </w:trPr>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ITEM 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gridSpan w:val="17"/>
          </w:tcPr>
          <w:p>
            <w:pPr>
              <w:ind w:left="60"/>
              <w:spacing w:after="0"/>
              <w:rPr>
                <w:sz w:val="20"/>
                <w:szCs w:val="20"/>
                <w:color w:val="auto"/>
              </w:rPr>
            </w:pPr>
            <w:r>
              <w:rPr>
                <w:rFonts w:ascii="Arial" w:cs="Arial" w:eastAsia="Arial" w:hAnsi="Arial"/>
                <w:sz w:val="14"/>
                <w:szCs w:val="14"/>
                <w:b w:val="1"/>
                <w:bCs w:val="1"/>
                <w:color w:val="auto"/>
              </w:rPr>
              <w:t>EXHIBITS.</w:t>
            </w: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83"/>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Incorporated by Reference</w:t>
            </w:r>
          </w:p>
        </w:tc>
        <w:tc>
          <w:tcPr>
            <w:tcW w:w="1000" w:type="dxa"/>
            <w:vAlign w:val="bottom"/>
            <w:tcBorders>
              <w:bottom w:val="single" w:sz="8" w:color="auto"/>
            </w:tcBorders>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ind w:left="320"/>
              <w:spacing w:after="0"/>
              <w:rPr>
                <w:sz w:val="20"/>
                <w:szCs w:val="20"/>
                <w:color w:val="auto"/>
              </w:rPr>
            </w:pPr>
            <w:r>
              <w:rPr>
                <w:rFonts w:ascii="Arial" w:cs="Arial" w:eastAsia="Arial" w:hAnsi="Arial"/>
                <w:sz w:val="14"/>
                <w:szCs w:val="14"/>
                <w:b w:val="1"/>
                <w:bCs w:val="1"/>
                <w:color w:val="auto"/>
              </w:rPr>
              <w:t>Filing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192"/>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14"/>
          </w:tcPr>
          <w:p>
            <w:pPr>
              <w:ind w:left="160"/>
              <w:spacing w:after="0"/>
              <w:rPr>
                <w:sz w:val="20"/>
                <w:szCs w:val="20"/>
                <w:color w:val="auto"/>
              </w:rPr>
            </w:pPr>
            <w:r>
              <w:rPr>
                <w:rFonts w:ascii="Arial" w:cs="Arial" w:eastAsia="Arial" w:hAnsi="Arial"/>
                <w:sz w:val="14"/>
                <w:szCs w:val="14"/>
                <w:b w:val="1"/>
                <w:bCs w:val="1"/>
                <w:color w:val="auto"/>
              </w:rPr>
              <w:t>Exhibit Title</w:t>
            </w: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center"/>
              <w:ind w:right="548"/>
              <w:spacing w:after="0"/>
              <w:rPr>
                <w:sz w:val="20"/>
                <w:szCs w:val="20"/>
                <w:color w:val="auto"/>
              </w:rPr>
            </w:pPr>
            <w:r>
              <w:rPr>
                <w:rFonts w:ascii="Arial" w:cs="Arial" w:eastAsia="Arial" w:hAnsi="Arial"/>
                <w:sz w:val="14"/>
                <w:szCs w:val="14"/>
                <w:b w:val="1"/>
                <w:bCs w:val="1"/>
                <w:color w:val="auto"/>
                <w:w w:val="97"/>
              </w:rPr>
              <w:t>Form</w:t>
            </w:r>
          </w:p>
        </w:tc>
        <w:tc>
          <w:tcPr>
            <w:tcW w:w="10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File No.</w:t>
            </w:r>
          </w:p>
        </w:tc>
        <w:tc>
          <w:tcPr>
            <w:tcW w:w="122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4"/>
              </w:rPr>
              <w:t>Exhibit</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Date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r>
      <w:tr>
        <w:trPr>
          <w:trHeight w:val="161"/>
        </w:trPr>
        <w:tc>
          <w:tcPr>
            <w:tcW w:w="88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60" w:type="dxa"/>
            <w:vAlign w:val="bottom"/>
            <w:gridSpan w:val="17"/>
          </w:tcPr>
          <w:p>
            <w:pPr>
              <w:spacing w:after="0"/>
              <w:rPr>
                <w:rFonts w:ascii="Arial" w:cs="Arial" w:eastAsia="Arial" w:hAnsi="Arial"/>
                <w:sz w:val="14"/>
                <w:szCs w:val="14"/>
                <w:color w:val="0000FF"/>
              </w:rPr>
            </w:pPr>
            <w:hyperlink r:id="rId219">
              <w:r>
                <w:rPr>
                  <w:rFonts w:ascii="Arial" w:cs="Arial" w:eastAsia="Arial" w:hAnsi="Arial"/>
                  <w:sz w:val="14"/>
                  <w:szCs w:val="14"/>
                  <w:color w:val="0000FF"/>
                </w:rPr>
                <w:t>Amended and Restated Certificate of Incorporation</w:t>
              </w:r>
            </w:hyperlink>
          </w:p>
        </w:tc>
        <w:tc>
          <w:tcPr>
            <w:tcW w:w="1360" w:type="dxa"/>
            <w:vAlign w:val="bottom"/>
          </w:tcPr>
          <w:p>
            <w:pPr>
              <w:jc w:val="center"/>
              <w:ind w:right="548"/>
              <w:spacing w:after="0"/>
              <w:rPr>
                <w:sz w:val="20"/>
                <w:szCs w:val="20"/>
                <w:color w:val="auto"/>
              </w:rPr>
            </w:pPr>
            <w:r>
              <w:rPr>
                <w:rFonts w:ascii="Arial" w:cs="Arial" w:eastAsia="Arial" w:hAnsi="Arial"/>
                <w:sz w:val="14"/>
                <w:szCs w:val="14"/>
                <w:color w:val="auto"/>
              </w:rPr>
              <w:t>8-K</w:t>
            </w:r>
          </w:p>
        </w:tc>
        <w:tc>
          <w:tcPr>
            <w:tcW w:w="1080" w:type="dxa"/>
            <w:vAlign w:val="bottom"/>
            <w:gridSpan w:val="2"/>
          </w:tcPr>
          <w:p>
            <w:pPr>
              <w:jc w:val="center"/>
              <w:ind w:right="440"/>
              <w:spacing w:after="0"/>
              <w:rPr>
                <w:rFonts w:ascii="Arial" w:cs="Arial" w:eastAsia="Arial" w:hAnsi="Arial"/>
                <w:sz w:val="14"/>
                <w:szCs w:val="14"/>
                <w:color w:val="0000FF"/>
                <w:w w:val="95"/>
              </w:rPr>
            </w:pPr>
            <w:hyperlink r:id="rId219">
              <w:r>
                <w:rPr>
                  <w:rFonts w:ascii="Arial" w:cs="Arial" w:eastAsia="Arial" w:hAnsi="Arial"/>
                  <w:sz w:val="14"/>
                  <w:szCs w:val="14"/>
                  <w:color w:val="0000FF"/>
                  <w:w w:val="95"/>
                </w:rPr>
                <w:t>001-40632</w:t>
              </w:r>
            </w:hyperlink>
          </w:p>
        </w:tc>
        <w:tc>
          <w:tcPr>
            <w:tcW w:w="1220" w:type="dxa"/>
            <w:vAlign w:val="bottom"/>
            <w:gridSpan w:val="3"/>
          </w:tcPr>
          <w:p>
            <w:pPr>
              <w:jc w:val="center"/>
              <w:ind w:left="88"/>
              <w:spacing w:after="0"/>
              <w:rPr>
                <w:sz w:val="20"/>
                <w:szCs w:val="20"/>
                <w:color w:val="auto"/>
              </w:rPr>
            </w:pPr>
            <w:r>
              <w:rPr>
                <w:rFonts w:ascii="Arial" w:cs="Arial" w:eastAsia="Arial" w:hAnsi="Arial"/>
                <w:sz w:val="14"/>
                <w:szCs w:val="14"/>
                <w:color w:val="0000FF"/>
                <w:w w:val="92"/>
              </w:rPr>
              <w:t>3.</w:t>
            </w:r>
            <w:r>
              <w:rPr>
                <w:rFonts w:ascii="Arial" w:cs="Arial" w:eastAsia="Arial" w:hAnsi="Arial"/>
                <w:sz w:val="14"/>
                <w:szCs w:val="14"/>
                <w:u w:val="single" w:color="auto"/>
                <w:color w:val="0000FF"/>
                <w:w w:val="92"/>
              </w:rPr>
              <w:t>1</w:t>
            </w:r>
          </w:p>
        </w:tc>
        <w:tc>
          <w:tcPr>
            <w:tcW w:w="1000" w:type="dxa"/>
            <w:vAlign w:val="bottom"/>
          </w:tcPr>
          <w:p>
            <w:pPr>
              <w:ind w:left="340"/>
              <w:spacing w:after="0"/>
              <w:rPr>
                <w:sz w:val="20"/>
                <w:szCs w:val="20"/>
                <w:color w:val="auto"/>
              </w:rPr>
            </w:pPr>
            <w:r>
              <w:rPr>
                <w:rFonts w:ascii="Arial" w:cs="Arial" w:eastAsia="Arial" w:hAnsi="Arial"/>
                <w:sz w:val="14"/>
                <w:szCs w:val="14"/>
                <w:color w:val="auto"/>
                <w:w w:val="91"/>
              </w:rPr>
              <w:t>07/27/2021</w:t>
            </w:r>
          </w:p>
        </w:tc>
        <w:tc>
          <w:tcPr>
            <w:tcW w:w="1080" w:type="dxa"/>
            <w:vAlign w:val="bottom"/>
          </w:tcPr>
          <w:p>
            <w:pPr>
              <w:spacing w:after="0"/>
              <w:rPr>
                <w:sz w:val="14"/>
                <w:szCs w:val="14"/>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9"/>
        </w:trPr>
        <w:tc>
          <w:tcPr>
            <w:tcW w:w="88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3"/>
          </w:tcPr>
          <w:p>
            <w:pPr>
              <w:spacing w:after="0"/>
              <w:rPr>
                <w:rFonts w:ascii="Arial" w:cs="Arial" w:eastAsia="Arial" w:hAnsi="Arial"/>
                <w:sz w:val="14"/>
                <w:szCs w:val="14"/>
                <w:color w:val="0000FF"/>
                <w:w w:val="91"/>
              </w:rPr>
            </w:pPr>
            <w:hyperlink r:id="rId220">
              <w:r>
                <w:rPr>
                  <w:rFonts w:ascii="Arial" w:cs="Arial" w:eastAsia="Arial" w:hAnsi="Arial"/>
                  <w:sz w:val="14"/>
                  <w:szCs w:val="14"/>
                  <w:color w:val="0000FF"/>
                  <w:w w:val="91"/>
                </w:rPr>
                <w:t>Amended and Restated Bylaws</w:t>
              </w:r>
            </w:hyperlink>
          </w:p>
        </w:tc>
        <w:tc>
          <w:tcPr>
            <w:tcW w:w="1120" w:type="dxa"/>
            <w:vAlign w:val="bottom"/>
          </w:tcPr>
          <w:p>
            <w:pPr>
              <w:spacing w:after="0"/>
              <w:rPr>
                <w:sz w:val="24"/>
                <w:szCs w:val="24"/>
                <w:color w:val="auto"/>
              </w:rPr>
            </w:pPr>
          </w:p>
        </w:tc>
        <w:tc>
          <w:tcPr>
            <w:tcW w:w="1520" w:type="dxa"/>
            <w:vAlign w:val="bottom"/>
            <w:gridSpan w:val="13"/>
          </w:tcPr>
          <w:p>
            <w:pPr>
              <w:spacing w:after="0"/>
              <w:rPr>
                <w:sz w:val="24"/>
                <w:szCs w:val="24"/>
                <w:color w:val="auto"/>
              </w:rPr>
            </w:pPr>
          </w:p>
        </w:tc>
        <w:tc>
          <w:tcPr>
            <w:tcW w:w="1360" w:type="dxa"/>
            <w:vAlign w:val="bottom"/>
          </w:tcPr>
          <w:p>
            <w:pPr>
              <w:jc w:val="center"/>
              <w:ind w:right="548"/>
              <w:spacing w:after="0"/>
              <w:rPr>
                <w:sz w:val="20"/>
                <w:szCs w:val="20"/>
                <w:color w:val="auto"/>
              </w:rPr>
            </w:pPr>
            <w:r>
              <w:rPr>
                <w:rFonts w:ascii="Arial" w:cs="Arial" w:eastAsia="Arial" w:hAnsi="Arial"/>
                <w:sz w:val="14"/>
                <w:szCs w:val="14"/>
                <w:color w:val="auto"/>
              </w:rPr>
              <w:t>8-K</w:t>
            </w:r>
          </w:p>
        </w:tc>
        <w:tc>
          <w:tcPr>
            <w:tcW w:w="640" w:type="dxa"/>
            <w:vAlign w:val="bottom"/>
          </w:tcPr>
          <w:p>
            <w:pPr>
              <w:jc w:val="center"/>
              <w:spacing w:after="0"/>
              <w:rPr>
                <w:rFonts w:ascii="Arial" w:cs="Arial" w:eastAsia="Arial" w:hAnsi="Arial"/>
                <w:sz w:val="14"/>
                <w:szCs w:val="14"/>
                <w:color w:val="0000FF"/>
                <w:w w:val="95"/>
              </w:rPr>
            </w:pPr>
            <w:hyperlink r:id="rId220">
              <w:r>
                <w:rPr>
                  <w:rFonts w:ascii="Arial" w:cs="Arial" w:eastAsia="Arial" w:hAnsi="Arial"/>
                  <w:sz w:val="14"/>
                  <w:szCs w:val="14"/>
                  <w:color w:val="0000FF"/>
                  <w:w w:val="95"/>
                </w:rPr>
                <w:t>001-40632</w:t>
              </w:r>
            </w:hyperlink>
          </w:p>
        </w:tc>
        <w:tc>
          <w:tcPr>
            <w:tcW w:w="440" w:type="dxa"/>
            <w:vAlign w:val="bottom"/>
          </w:tcPr>
          <w:p>
            <w:pPr>
              <w:spacing w:after="0"/>
              <w:rPr>
                <w:sz w:val="24"/>
                <w:szCs w:val="24"/>
                <w:color w:val="auto"/>
              </w:rPr>
            </w:pPr>
          </w:p>
        </w:tc>
        <w:tc>
          <w:tcPr>
            <w:tcW w:w="1220" w:type="dxa"/>
            <w:vAlign w:val="bottom"/>
            <w:gridSpan w:val="3"/>
          </w:tcPr>
          <w:p>
            <w:pPr>
              <w:jc w:val="center"/>
              <w:ind w:left="88"/>
              <w:spacing w:after="0"/>
              <w:rPr>
                <w:sz w:val="20"/>
                <w:szCs w:val="20"/>
                <w:color w:val="auto"/>
              </w:rPr>
            </w:pPr>
            <w:r>
              <w:rPr>
                <w:rFonts w:ascii="Arial" w:cs="Arial" w:eastAsia="Arial" w:hAnsi="Arial"/>
                <w:sz w:val="14"/>
                <w:szCs w:val="14"/>
                <w:color w:val="0000FF"/>
                <w:w w:val="92"/>
              </w:rPr>
              <w:t>3.</w:t>
            </w:r>
            <w:r>
              <w:rPr>
                <w:rFonts w:ascii="Arial" w:cs="Arial" w:eastAsia="Arial" w:hAnsi="Arial"/>
                <w:sz w:val="14"/>
                <w:szCs w:val="14"/>
                <w:u w:val="single" w:color="auto"/>
                <w:color w:val="0000FF"/>
                <w:w w:val="92"/>
              </w:rPr>
              <w:t>2</w:t>
            </w:r>
          </w:p>
        </w:tc>
        <w:tc>
          <w:tcPr>
            <w:tcW w:w="1000" w:type="dxa"/>
            <w:vAlign w:val="bottom"/>
          </w:tcPr>
          <w:p>
            <w:pPr>
              <w:ind w:left="340"/>
              <w:spacing w:after="0"/>
              <w:rPr>
                <w:sz w:val="20"/>
                <w:szCs w:val="20"/>
                <w:color w:val="auto"/>
              </w:rPr>
            </w:pPr>
            <w:r>
              <w:rPr>
                <w:rFonts w:ascii="Arial" w:cs="Arial" w:eastAsia="Arial" w:hAnsi="Arial"/>
                <w:sz w:val="14"/>
                <w:szCs w:val="14"/>
                <w:color w:val="auto"/>
                <w:w w:val="91"/>
              </w:rPr>
              <w:t>07/27/2021</w:t>
            </w:r>
          </w:p>
        </w:tc>
        <w:tc>
          <w:tcPr>
            <w:tcW w:w="108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tcBorders>
              <w:right w:val="single" w:sz="8" w:color="0000FF"/>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98"/>
        </w:trPr>
        <w:tc>
          <w:tcPr>
            <w:tcW w:w="880" w:type="dxa"/>
            <w:vAlign w:val="bottom"/>
          </w:tcPr>
          <w:p>
            <w:pPr>
              <w:jc w:val="center"/>
              <w:spacing w:after="0"/>
              <w:rPr>
                <w:sz w:val="20"/>
                <w:szCs w:val="20"/>
                <w:color w:val="auto"/>
              </w:rPr>
            </w:pPr>
            <w:r>
              <w:rPr>
                <w:rFonts w:ascii="Arial" w:cs="Arial" w:eastAsia="Arial" w:hAnsi="Arial"/>
                <w:sz w:val="14"/>
                <w:szCs w:val="14"/>
                <w:color w:val="auto"/>
                <w:w w:val="90"/>
              </w:rPr>
              <w:t>10.1+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Borders>
              <w:bottom w:val="single" w:sz="8" w:color="0000FF"/>
            </w:tcBorders>
            <w:gridSpan w:val="13"/>
          </w:tcPr>
          <w:p>
            <w:pPr>
              <w:spacing w:after="0"/>
              <w:rPr>
                <w:rFonts w:ascii="Arial" w:cs="Arial" w:eastAsia="Arial" w:hAnsi="Arial"/>
                <w:sz w:val="14"/>
                <w:szCs w:val="14"/>
                <w:color w:val="0000FF"/>
                <w:w w:val="93"/>
              </w:rPr>
            </w:pPr>
            <w:hyperlink w:anchor="page67">
              <w:r>
                <w:rPr>
                  <w:rFonts w:ascii="Arial" w:cs="Arial" w:eastAsia="Arial" w:hAnsi="Arial"/>
                  <w:sz w:val="14"/>
                  <w:szCs w:val="14"/>
                  <w:color w:val="0000FF"/>
                  <w:w w:val="93"/>
                </w:rPr>
                <w:t>Supply Agreement between the Registrant and Cytek (Wuxi) Biosciences</w:t>
              </w:r>
            </w:hyperlink>
          </w:p>
        </w:tc>
        <w:tc>
          <w:tcPr>
            <w:tcW w:w="200" w:type="dxa"/>
            <w:vAlign w:val="bottom"/>
            <w:gridSpan w:val="4"/>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00" w:type="dxa"/>
            <w:vAlign w:val="bottom"/>
            <w:tcBorders>
              <w:bottom w:val="single" w:sz="8" w:color="0000FF"/>
            </w:tcBorders>
            <w:gridSpan w:val="15"/>
          </w:tcPr>
          <w:p>
            <w:pPr>
              <w:spacing w:after="0" w:line="155" w:lineRule="exact"/>
              <w:rPr>
                <w:rFonts w:ascii="Arial" w:cs="Arial" w:eastAsia="Arial" w:hAnsi="Arial"/>
                <w:sz w:val="14"/>
                <w:szCs w:val="14"/>
                <w:color w:val="0000FF"/>
                <w:w w:val="93"/>
              </w:rPr>
            </w:pPr>
            <w:hyperlink w:anchor="page67">
              <w:r>
                <w:rPr>
                  <w:rFonts w:ascii="Arial" w:cs="Arial" w:eastAsia="Arial" w:hAnsi="Arial"/>
                  <w:sz w:val="14"/>
                  <w:szCs w:val="14"/>
                  <w:color w:val="0000FF"/>
                  <w:w w:val="93"/>
                </w:rPr>
                <w:t>Co., Ltd, a China subsidiary of Cytek Biosciences, Inc., and Coherent NA,</w:t>
              </w:r>
            </w:hyperlink>
          </w:p>
        </w:tc>
        <w:tc>
          <w:tcPr>
            <w:tcW w:w="16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gridSpan w:val="17"/>
          </w:tcPr>
          <w:p>
            <w:pPr>
              <w:spacing w:after="0" w:line="155" w:lineRule="exact"/>
              <w:rPr>
                <w:rFonts w:ascii="Arial" w:cs="Arial" w:eastAsia="Arial" w:hAnsi="Arial"/>
                <w:sz w:val="14"/>
                <w:szCs w:val="14"/>
                <w:color w:val="0000FF"/>
              </w:rPr>
            </w:pPr>
            <w:hyperlink w:anchor="page67">
              <w:r>
                <w:rPr>
                  <w:rFonts w:ascii="Arial" w:cs="Arial" w:eastAsia="Arial" w:hAnsi="Arial"/>
                  <w:sz w:val="14"/>
                  <w:szCs w:val="14"/>
                  <w:color w:val="0000FF"/>
                </w:rPr>
                <w:t>Inc. dated August 25, 2021.</w:t>
              </w:r>
            </w:hyperlink>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88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bottom w:val="single" w:sz="8" w:color="0000FF"/>
            </w:tcBorders>
            <w:gridSpan w:val="11"/>
          </w:tcPr>
          <w:p>
            <w:pPr>
              <w:spacing w:after="0"/>
              <w:rPr>
                <w:rFonts w:ascii="Arial" w:cs="Arial" w:eastAsia="Arial" w:hAnsi="Arial"/>
                <w:sz w:val="14"/>
                <w:szCs w:val="14"/>
                <w:color w:val="0000FF"/>
                <w:w w:val="94"/>
              </w:rPr>
            </w:pPr>
            <w:hyperlink w:anchor="page82">
              <w:r>
                <w:rPr>
                  <w:rFonts w:ascii="Arial" w:cs="Arial" w:eastAsia="Arial" w:hAnsi="Arial"/>
                  <w:sz w:val="14"/>
                  <w:szCs w:val="14"/>
                  <w:color w:val="0000FF"/>
                  <w:w w:val="94"/>
                </w:rPr>
                <w:t>Forms of Restricted Stock Unit Grant Notice and Restricted Stock Unit</w:t>
              </w:r>
            </w:hyperlink>
          </w:p>
        </w:tc>
        <w:tc>
          <w:tcPr>
            <w:tcW w:w="340" w:type="dxa"/>
            <w:vAlign w:val="bottom"/>
            <w:gridSpan w:val="6"/>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gridSpan w:val="17"/>
          </w:tcPr>
          <w:p>
            <w:pPr>
              <w:spacing w:after="0" w:line="155" w:lineRule="exact"/>
              <w:rPr>
                <w:rFonts w:ascii="Arial" w:cs="Arial" w:eastAsia="Arial" w:hAnsi="Arial"/>
                <w:sz w:val="14"/>
                <w:szCs w:val="14"/>
                <w:color w:val="0000FF"/>
              </w:rPr>
            </w:pPr>
            <w:hyperlink w:anchor="page82">
              <w:r>
                <w:rPr>
                  <w:rFonts w:ascii="Arial" w:cs="Arial" w:eastAsia="Arial" w:hAnsi="Arial"/>
                  <w:sz w:val="14"/>
                  <w:szCs w:val="14"/>
                  <w:color w:val="0000FF"/>
                </w:rPr>
                <w:t>Award Agreement under the 2021 Equity Incentive Plan</w:t>
              </w:r>
            </w:hyperlink>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4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88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bottom w:val="single" w:sz="8" w:color="0000FF"/>
            </w:tcBorders>
            <w:gridSpan w:val="14"/>
          </w:tcPr>
          <w:p>
            <w:pPr>
              <w:spacing w:after="0"/>
              <w:rPr>
                <w:rFonts w:ascii="Arial" w:cs="Arial" w:eastAsia="Arial" w:hAnsi="Arial"/>
                <w:sz w:val="14"/>
                <w:szCs w:val="14"/>
                <w:color w:val="0000FF"/>
                <w:w w:val="95"/>
              </w:rPr>
            </w:pPr>
            <w:hyperlink w:anchor="page90">
              <w:r>
                <w:rPr>
                  <w:rFonts w:ascii="Arial" w:cs="Arial" w:eastAsia="Arial" w:hAnsi="Arial"/>
                  <w:sz w:val="14"/>
                  <w:szCs w:val="14"/>
                  <w:color w:val="0000FF"/>
                  <w:w w:val="95"/>
                </w:rPr>
                <w:t>Certification of Principal Executive Officer required by Rule 13a-14(a) or</w:t>
              </w:r>
            </w:hyperlink>
          </w:p>
        </w:tc>
        <w:tc>
          <w:tcPr>
            <w:tcW w:w="180" w:type="dxa"/>
            <w:vAlign w:val="bottom"/>
            <w:gridSpan w:val="3"/>
          </w:tcPr>
          <w:p>
            <w:pPr>
              <w:spacing w:after="0"/>
              <w:rPr>
                <w:sz w:val="15"/>
                <w:szCs w:val="15"/>
                <w:color w:val="auto"/>
              </w:rPr>
            </w:pP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6"/>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bottom w:val="single" w:sz="8" w:color="0000FF"/>
            </w:tcBorders>
            <w:gridSpan w:val="8"/>
          </w:tcPr>
          <w:p>
            <w:pPr>
              <w:spacing w:after="0" w:line="155" w:lineRule="exact"/>
              <w:rPr>
                <w:rFonts w:ascii="Arial" w:cs="Arial" w:eastAsia="Arial" w:hAnsi="Arial"/>
                <w:sz w:val="14"/>
                <w:szCs w:val="14"/>
                <w:color w:val="0000FF"/>
                <w:w w:val="92"/>
              </w:rPr>
            </w:pPr>
            <w:hyperlink w:anchor="page90">
              <w:r>
                <w:rPr>
                  <w:rFonts w:ascii="Arial" w:cs="Arial" w:eastAsia="Arial" w:hAnsi="Arial"/>
                  <w:sz w:val="14"/>
                  <w:szCs w:val="14"/>
                  <w:color w:val="0000FF"/>
                  <w:w w:val="92"/>
                </w:rPr>
                <w:t>Rule 15d-14(a) of the Securities Exchange Act of 1934, as adopted</w:t>
              </w:r>
            </w:hyperlink>
          </w:p>
        </w:tc>
        <w:tc>
          <w:tcPr>
            <w:tcW w:w="580" w:type="dxa"/>
            <w:vAlign w:val="bottom"/>
            <w:gridSpan w:val="9"/>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bottom w:val="single" w:sz="8" w:color="0000FF"/>
            </w:tcBorders>
            <w:gridSpan w:val="6"/>
          </w:tcPr>
          <w:p>
            <w:pPr>
              <w:spacing w:after="0" w:line="155" w:lineRule="exact"/>
              <w:rPr>
                <w:rFonts w:ascii="Arial" w:cs="Arial" w:eastAsia="Arial" w:hAnsi="Arial"/>
                <w:sz w:val="14"/>
                <w:szCs w:val="14"/>
                <w:color w:val="0000FF"/>
                <w:w w:val="92"/>
              </w:rPr>
            </w:pPr>
            <w:hyperlink w:anchor="page90">
              <w:r>
                <w:rPr>
                  <w:rFonts w:ascii="Arial" w:cs="Arial" w:eastAsia="Arial" w:hAnsi="Arial"/>
                  <w:sz w:val="14"/>
                  <w:szCs w:val="14"/>
                  <w:color w:val="0000FF"/>
                  <w:w w:val="92"/>
                </w:rPr>
                <w:t>pursuant to Section 302 of the Sarbanes-Oxley Act of 2002.</w:t>
              </w:r>
            </w:hyperlink>
          </w:p>
        </w:tc>
        <w:tc>
          <w:tcPr>
            <w:tcW w:w="20" w:type="dxa"/>
            <w:vAlign w:val="bottom"/>
            <w:tcBorders>
              <w:bottom w:val="single" w:sz="8" w:color="0000EE"/>
            </w:tcBorders>
          </w:tcPr>
          <w:p>
            <w:pPr>
              <w:spacing w:after="0"/>
              <w:rPr>
                <w:sz w:val="13"/>
                <w:szCs w:val="13"/>
                <w:color w:val="auto"/>
              </w:rPr>
            </w:pPr>
          </w:p>
        </w:tc>
        <w:tc>
          <w:tcPr>
            <w:tcW w:w="1000" w:type="dxa"/>
            <w:vAlign w:val="bottom"/>
            <w:gridSpan w:val="10"/>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85"/>
        </w:trPr>
        <w:tc>
          <w:tcPr>
            <w:tcW w:w="88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FF"/>
            </w:tcBorders>
            <w:gridSpan w:val="12"/>
          </w:tcPr>
          <w:p>
            <w:pPr>
              <w:spacing w:after="0"/>
              <w:rPr>
                <w:rFonts w:ascii="Arial" w:cs="Arial" w:eastAsia="Arial" w:hAnsi="Arial"/>
                <w:sz w:val="14"/>
                <w:szCs w:val="14"/>
                <w:color w:val="0000FF"/>
                <w:w w:val="95"/>
              </w:rPr>
            </w:pPr>
            <w:hyperlink w:anchor="page91">
              <w:r>
                <w:rPr>
                  <w:rFonts w:ascii="Arial" w:cs="Arial" w:eastAsia="Arial" w:hAnsi="Arial"/>
                  <w:sz w:val="14"/>
                  <w:szCs w:val="14"/>
                  <w:color w:val="0000FF"/>
                  <w:w w:val="95"/>
                </w:rPr>
                <w:t>Certification of Principal Financial Officer required by Rule 13a-14(a) or</w:t>
              </w:r>
            </w:hyperlink>
          </w:p>
        </w:tc>
        <w:tc>
          <w:tcPr>
            <w:tcW w:w="220" w:type="dxa"/>
            <w:vAlign w:val="bottom"/>
            <w:gridSpan w:val="5"/>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80" w:type="dxa"/>
            <w:vAlign w:val="bottom"/>
            <w:tcBorders>
              <w:bottom w:val="single" w:sz="8" w:color="0000FF"/>
            </w:tcBorders>
            <w:gridSpan w:val="8"/>
          </w:tcPr>
          <w:p>
            <w:pPr>
              <w:spacing w:after="0" w:line="155" w:lineRule="exact"/>
              <w:rPr>
                <w:rFonts w:ascii="Arial" w:cs="Arial" w:eastAsia="Arial" w:hAnsi="Arial"/>
                <w:sz w:val="14"/>
                <w:szCs w:val="14"/>
                <w:color w:val="0000FF"/>
                <w:w w:val="92"/>
              </w:rPr>
            </w:pPr>
            <w:hyperlink w:anchor="page91">
              <w:r>
                <w:rPr>
                  <w:rFonts w:ascii="Arial" w:cs="Arial" w:eastAsia="Arial" w:hAnsi="Arial"/>
                  <w:sz w:val="14"/>
                  <w:szCs w:val="14"/>
                  <w:color w:val="0000FF"/>
                  <w:w w:val="92"/>
                </w:rPr>
                <w:t>Rule 15d-14(a) of the Securities Exchange Act of 1934, as adopted</w:t>
              </w:r>
            </w:hyperlink>
          </w:p>
        </w:tc>
        <w:tc>
          <w:tcPr>
            <w:tcW w:w="580" w:type="dxa"/>
            <w:vAlign w:val="bottom"/>
            <w:gridSpan w:val="9"/>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bottom w:val="single" w:sz="8" w:color="0000FF"/>
            </w:tcBorders>
            <w:gridSpan w:val="6"/>
          </w:tcPr>
          <w:p>
            <w:pPr>
              <w:spacing w:after="0" w:line="155" w:lineRule="exact"/>
              <w:rPr>
                <w:rFonts w:ascii="Arial" w:cs="Arial" w:eastAsia="Arial" w:hAnsi="Arial"/>
                <w:sz w:val="14"/>
                <w:szCs w:val="14"/>
                <w:color w:val="0000FF"/>
                <w:w w:val="92"/>
              </w:rPr>
            </w:pPr>
            <w:hyperlink w:anchor="page91">
              <w:r>
                <w:rPr>
                  <w:rFonts w:ascii="Arial" w:cs="Arial" w:eastAsia="Arial" w:hAnsi="Arial"/>
                  <w:sz w:val="14"/>
                  <w:szCs w:val="14"/>
                  <w:color w:val="0000FF"/>
                  <w:w w:val="92"/>
                </w:rPr>
                <w:t>pursuant to Section 302 of the Sarbanes-Oxley Act of 2002.</w:t>
              </w:r>
            </w:hyperlink>
          </w:p>
        </w:tc>
        <w:tc>
          <w:tcPr>
            <w:tcW w:w="20" w:type="dxa"/>
            <w:vAlign w:val="bottom"/>
            <w:tcBorders>
              <w:bottom w:val="single" w:sz="8" w:color="0000EE"/>
            </w:tcBorders>
          </w:tcPr>
          <w:p>
            <w:pPr>
              <w:spacing w:after="0"/>
              <w:rPr>
                <w:sz w:val="13"/>
                <w:szCs w:val="13"/>
                <w:color w:val="auto"/>
              </w:rPr>
            </w:pPr>
          </w:p>
        </w:tc>
        <w:tc>
          <w:tcPr>
            <w:tcW w:w="1000" w:type="dxa"/>
            <w:vAlign w:val="bottom"/>
            <w:gridSpan w:val="10"/>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85"/>
        </w:trPr>
        <w:tc>
          <w:tcPr>
            <w:tcW w:w="880" w:type="dxa"/>
            <w:vAlign w:val="bottom"/>
          </w:tcPr>
          <w:p>
            <w:pPr>
              <w:jc w:val="center"/>
              <w:spacing w:after="0"/>
              <w:rPr>
                <w:sz w:val="20"/>
                <w:szCs w:val="20"/>
                <w:color w:val="auto"/>
              </w:rPr>
            </w:pPr>
            <w:r>
              <w:rPr>
                <w:rFonts w:ascii="Arial" w:cs="Arial" w:eastAsia="Arial" w:hAnsi="Arial"/>
                <w:sz w:val="14"/>
                <w:szCs w:val="14"/>
                <w:color w:val="auto"/>
                <w:w w:val="97"/>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80" w:type="dxa"/>
            <w:vAlign w:val="bottom"/>
            <w:tcBorders>
              <w:bottom w:val="single" w:sz="8" w:color="0000FF"/>
            </w:tcBorders>
            <w:gridSpan w:val="10"/>
          </w:tcPr>
          <w:p>
            <w:pPr>
              <w:spacing w:after="0"/>
              <w:rPr>
                <w:rFonts w:ascii="Arial" w:cs="Arial" w:eastAsia="Arial" w:hAnsi="Arial"/>
                <w:sz w:val="14"/>
                <w:szCs w:val="14"/>
                <w:color w:val="0000FF"/>
                <w:w w:val="95"/>
              </w:rPr>
            </w:pPr>
            <w:hyperlink w:anchor="page92">
              <w:r>
                <w:rPr>
                  <w:rFonts w:ascii="Arial" w:cs="Arial" w:eastAsia="Arial" w:hAnsi="Arial"/>
                  <w:sz w:val="14"/>
                  <w:szCs w:val="14"/>
                  <w:color w:val="0000FF"/>
                  <w:w w:val="95"/>
                </w:rPr>
                <w:t>Certification of Chief Executive Officer pursuant to 18 U.S.C. Section</w:t>
              </w:r>
            </w:hyperlink>
          </w:p>
        </w:tc>
        <w:tc>
          <w:tcPr>
            <w:tcW w:w="380" w:type="dxa"/>
            <w:vAlign w:val="bottom"/>
            <w:gridSpan w:val="7"/>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bottom w:val="single" w:sz="8" w:color="0000FF"/>
            </w:tcBorders>
            <w:gridSpan w:val="11"/>
          </w:tcPr>
          <w:p>
            <w:pPr>
              <w:spacing w:after="0" w:line="155" w:lineRule="exact"/>
              <w:rPr>
                <w:rFonts w:ascii="Arial" w:cs="Arial" w:eastAsia="Arial" w:hAnsi="Arial"/>
                <w:sz w:val="14"/>
                <w:szCs w:val="14"/>
                <w:color w:val="0000FF"/>
                <w:w w:val="92"/>
              </w:rPr>
            </w:pPr>
            <w:hyperlink w:anchor="page92">
              <w:r>
                <w:rPr>
                  <w:rFonts w:ascii="Arial" w:cs="Arial" w:eastAsia="Arial" w:hAnsi="Arial"/>
                  <w:sz w:val="14"/>
                  <w:szCs w:val="14"/>
                  <w:color w:val="0000FF"/>
                  <w:w w:val="92"/>
                </w:rPr>
                <w:t>1350, as adopted pursuant to Section 906 of the Sarbanes-Oxley Act of</w:t>
              </w:r>
            </w:hyperlink>
          </w:p>
        </w:tc>
        <w:tc>
          <w:tcPr>
            <w:tcW w:w="340" w:type="dxa"/>
            <w:vAlign w:val="bottom"/>
            <w:gridSpan w:val="6"/>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560" w:type="dxa"/>
            <w:vAlign w:val="bottom"/>
            <w:gridSpan w:val="3"/>
          </w:tcPr>
          <w:p>
            <w:pPr>
              <w:ind w:left="160"/>
              <w:spacing w:after="0" w:line="155" w:lineRule="exact"/>
              <w:rPr>
                <w:rFonts w:ascii="Arial" w:cs="Arial" w:eastAsia="Arial" w:hAnsi="Arial"/>
                <w:sz w:val="14"/>
                <w:szCs w:val="14"/>
                <w:color w:val="0000FF"/>
                <w:w w:val="88"/>
              </w:rPr>
            </w:pPr>
            <w:hyperlink w:anchor="page92">
              <w:r>
                <w:rPr>
                  <w:rFonts w:ascii="Arial" w:cs="Arial" w:eastAsia="Arial" w:hAnsi="Arial"/>
                  <w:sz w:val="14"/>
                  <w:szCs w:val="14"/>
                  <w:color w:val="0000FF"/>
                  <w:w w:val="88"/>
                </w:rPr>
                <w:t>2002.*</w:t>
              </w:r>
            </w:hyperlink>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3640" w:type="dxa"/>
            <w:vAlign w:val="bottom"/>
            <w:gridSpan w:val="8"/>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85"/>
        </w:trPr>
        <w:tc>
          <w:tcPr>
            <w:tcW w:w="880" w:type="dxa"/>
            <w:vAlign w:val="bottom"/>
          </w:tcPr>
          <w:p>
            <w:pPr>
              <w:jc w:val="center"/>
              <w:spacing w:after="0"/>
              <w:rPr>
                <w:sz w:val="20"/>
                <w:szCs w:val="20"/>
                <w:color w:val="auto"/>
              </w:rPr>
            </w:pPr>
            <w:r>
              <w:rPr>
                <w:rFonts w:ascii="Arial" w:cs="Arial" w:eastAsia="Arial" w:hAnsi="Arial"/>
                <w:sz w:val="14"/>
                <w:szCs w:val="14"/>
                <w:color w:val="auto"/>
                <w:w w:val="97"/>
              </w:rPr>
              <w:t>32.2*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bottom w:val="single" w:sz="8" w:color="0000FF"/>
            </w:tcBorders>
            <w:gridSpan w:val="9"/>
          </w:tcPr>
          <w:p>
            <w:pPr>
              <w:spacing w:after="0"/>
              <w:rPr>
                <w:rFonts w:ascii="Arial" w:cs="Arial" w:eastAsia="Arial" w:hAnsi="Arial"/>
                <w:sz w:val="14"/>
                <w:szCs w:val="14"/>
                <w:color w:val="0000FF"/>
                <w:w w:val="95"/>
              </w:rPr>
            </w:pPr>
            <w:hyperlink w:anchor="page93">
              <w:r>
                <w:rPr>
                  <w:rFonts w:ascii="Arial" w:cs="Arial" w:eastAsia="Arial" w:hAnsi="Arial"/>
                  <w:sz w:val="14"/>
                  <w:szCs w:val="14"/>
                  <w:color w:val="0000FF"/>
                  <w:w w:val="95"/>
                </w:rPr>
                <w:t>Certification of Chief Financial Officer pursuant to 18 U.S.C. Section</w:t>
              </w:r>
            </w:hyperlink>
          </w:p>
        </w:tc>
        <w:tc>
          <w:tcPr>
            <w:tcW w:w="420" w:type="dxa"/>
            <w:vAlign w:val="bottom"/>
            <w:gridSpan w:val="8"/>
          </w:tcPr>
          <w:p>
            <w:pPr>
              <w:spacing w:after="0"/>
              <w:rPr>
                <w:sz w:val="24"/>
                <w:szCs w:val="24"/>
                <w:color w:val="auto"/>
              </w:rPr>
            </w:pP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55"/>
        </w:trPr>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bottom w:val="single" w:sz="8" w:color="0000FF"/>
            </w:tcBorders>
            <w:gridSpan w:val="11"/>
          </w:tcPr>
          <w:p>
            <w:pPr>
              <w:spacing w:after="0" w:line="155" w:lineRule="exact"/>
              <w:rPr>
                <w:rFonts w:ascii="Arial" w:cs="Arial" w:eastAsia="Arial" w:hAnsi="Arial"/>
                <w:sz w:val="14"/>
                <w:szCs w:val="14"/>
                <w:color w:val="0000FF"/>
                <w:w w:val="92"/>
              </w:rPr>
            </w:pPr>
            <w:hyperlink w:anchor="page93">
              <w:r>
                <w:rPr>
                  <w:rFonts w:ascii="Arial" w:cs="Arial" w:eastAsia="Arial" w:hAnsi="Arial"/>
                  <w:sz w:val="14"/>
                  <w:szCs w:val="14"/>
                  <w:color w:val="0000FF"/>
                  <w:w w:val="92"/>
                </w:rPr>
                <w:t>1350, as adopted pursuant to Section 906 of the Sarbanes-Oxley Act of</w:t>
              </w:r>
            </w:hyperlink>
          </w:p>
        </w:tc>
        <w:tc>
          <w:tcPr>
            <w:tcW w:w="340" w:type="dxa"/>
            <w:vAlign w:val="bottom"/>
            <w:gridSpan w:val="6"/>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6"/>
        </w:trPr>
        <w:tc>
          <w:tcPr>
            <w:tcW w:w="880" w:type="dxa"/>
            <w:vAlign w:val="bottom"/>
          </w:tcPr>
          <w:p>
            <w:pPr>
              <w:spacing w:after="0"/>
              <w:rPr>
                <w:sz w:val="13"/>
                <w:szCs w:val="13"/>
                <w:color w:val="auto"/>
              </w:rPr>
            </w:pPr>
          </w:p>
        </w:tc>
        <w:tc>
          <w:tcPr>
            <w:tcW w:w="560" w:type="dxa"/>
            <w:vAlign w:val="bottom"/>
            <w:gridSpan w:val="3"/>
          </w:tcPr>
          <w:p>
            <w:pPr>
              <w:ind w:left="160"/>
              <w:spacing w:after="0" w:line="155" w:lineRule="exact"/>
              <w:rPr>
                <w:rFonts w:ascii="Arial" w:cs="Arial" w:eastAsia="Arial" w:hAnsi="Arial"/>
                <w:sz w:val="14"/>
                <w:szCs w:val="14"/>
                <w:color w:val="0000FF"/>
                <w:w w:val="88"/>
              </w:rPr>
            </w:pPr>
            <w:hyperlink w:anchor="page93">
              <w:r>
                <w:rPr>
                  <w:rFonts w:ascii="Arial" w:cs="Arial" w:eastAsia="Arial" w:hAnsi="Arial"/>
                  <w:sz w:val="14"/>
                  <w:szCs w:val="14"/>
                  <w:color w:val="0000FF"/>
                  <w:w w:val="88"/>
                </w:rPr>
                <w:t>2002.*</w:t>
              </w:r>
            </w:hyperlink>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060" w:type="dxa"/>
            <w:vAlign w:val="bottom"/>
            <w:gridSpan w:val="1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07"/>
        </w:trPr>
        <w:tc>
          <w:tcPr>
            <w:tcW w:w="880" w:type="dxa"/>
            <w:vAlign w:val="bottom"/>
          </w:tcPr>
          <w:p>
            <w:pPr>
              <w:jc w:val="center"/>
              <w:spacing w:after="0"/>
              <w:rPr>
                <w:sz w:val="20"/>
                <w:szCs w:val="20"/>
                <w:color w:val="auto"/>
              </w:rPr>
            </w:pPr>
            <w:r>
              <w:rPr>
                <w:rFonts w:ascii="Arial" w:cs="Arial" w:eastAsia="Arial" w:hAnsi="Arial"/>
                <w:sz w:val="14"/>
                <w:szCs w:val="14"/>
                <w:color w:val="auto"/>
                <w:w w:val="94"/>
              </w:rPr>
              <w:t>101.INS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7"/>
          </w:tcPr>
          <w:p>
            <w:pPr>
              <w:spacing w:after="0"/>
              <w:rPr>
                <w:sz w:val="20"/>
                <w:szCs w:val="20"/>
                <w:color w:val="auto"/>
              </w:rPr>
            </w:pPr>
            <w:r>
              <w:rPr>
                <w:rFonts w:ascii="Arial" w:cs="Arial" w:eastAsia="Arial" w:hAnsi="Arial"/>
                <w:sz w:val="14"/>
                <w:szCs w:val="14"/>
                <w:color w:val="auto"/>
                <w:w w:val="96"/>
              </w:rPr>
              <w:t>Inline XBRL Instance Document – the instance document does not appear</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75"/>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17"/>
          </w:tcPr>
          <w:p>
            <w:pPr>
              <w:spacing w:after="0"/>
              <w:rPr>
                <w:sz w:val="20"/>
                <w:szCs w:val="20"/>
                <w:color w:val="auto"/>
              </w:rPr>
            </w:pPr>
            <w:r>
              <w:rPr>
                <w:rFonts w:ascii="Arial" w:cs="Arial" w:eastAsia="Arial" w:hAnsi="Arial"/>
                <w:sz w:val="14"/>
                <w:szCs w:val="14"/>
                <w:color w:val="auto"/>
                <w:w w:val="99"/>
              </w:rPr>
              <w:t>in the Interactive Data File because XBRL tags are embedded within the</w:t>
            </w: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17"/>
          </w:tcPr>
          <w:p>
            <w:pPr>
              <w:spacing w:after="0"/>
              <w:rPr>
                <w:sz w:val="20"/>
                <w:szCs w:val="20"/>
                <w:color w:val="auto"/>
              </w:rPr>
            </w:pPr>
            <w:r>
              <w:rPr>
                <w:rFonts w:ascii="Arial" w:cs="Arial" w:eastAsia="Arial" w:hAnsi="Arial"/>
                <w:sz w:val="14"/>
                <w:szCs w:val="14"/>
                <w:color w:val="auto"/>
              </w:rPr>
              <w:t>Inline XBRL document.</w:t>
            </w: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05"/>
        </w:trPr>
        <w:tc>
          <w:tcPr>
            <w:tcW w:w="880" w:type="dxa"/>
            <w:vAlign w:val="bottom"/>
          </w:tcPr>
          <w:p>
            <w:pPr>
              <w:jc w:val="center"/>
              <w:spacing w:after="0"/>
              <w:rPr>
                <w:sz w:val="20"/>
                <w:szCs w:val="20"/>
                <w:color w:val="auto"/>
              </w:rPr>
            </w:pPr>
            <w:r>
              <w:rPr>
                <w:rFonts w:ascii="Arial" w:cs="Arial" w:eastAsia="Arial" w:hAnsi="Arial"/>
                <w:sz w:val="14"/>
                <w:szCs w:val="14"/>
                <w:color w:val="auto"/>
                <w:w w:val="91"/>
              </w:rPr>
              <w:t>101.SCH</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7"/>
          </w:tcPr>
          <w:p>
            <w:pPr>
              <w:spacing w:after="0"/>
              <w:rPr>
                <w:sz w:val="20"/>
                <w:szCs w:val="20"/>
                <w:color w:val="auto"/>
              </w:rPr>
            </w:pPr>
            <w:r>
              <w:rPr>
                <w:rFonts w:ascii="Arial" w:cs="Arial" w:eastAsia="Arial" w:hAnsi="Arial"/>
                <w:sz w:val="14"/>
                <w:szCs w:val="14"/>
                <w:color w:val="auto"/>
              </w:rPr>
              <w:t>Inline XBRL Taxonomy Extension Schema Document.</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405"/>
        </w:trPr>
        <w:tc>
          <w:tcPr>
            <w:tcW w:w="880" w:type="dxa"/>
            <w:vAlign w:val="bottom"/>
          </w:tcPr>
          <w:p>
            <w:pPr>
              <w:jc w:val="center"/>
              <w:spacing w:after="0"/>
              <w:rPr>
                <w:sz w:val="20"/>
                <w:szCs w:val="20"/>
                <w:color w:val="auto"/>
              </w:rPr>
            </w:pPr>
            <w:r>
              <w:rPr>
                <w:rFonts w:ascii="Arial" w:cs="Arial" w:eastAsia="Arial" w:hAnsi="Arial"/>
                <w:sz w:val="14"/>
                <w:szCs w:val="14"/>
                <w:color w:val="auto"/>
                <w:w w:val="95"/>
              </w:rPr>
              <w:t>101.CAL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7"/>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405"/>
        </w:trPr>
        <w:tc>
          <w:tcPr>
            <w:tcW w:w="880" w:type="dxa"/>
            <w:vAlign w:val="bottom"/>
          </w:tcPr>
          <w:p>
            <w:pPr>
              <w:jc w:val="center"/>
              <w:spacing w:after="0"/>
              <w:rPr>
                <w:sz w:val="20"/>
                <w:szCs w:val="20"/>
                <w:color w:val="auto"/>
              </w:rPr>
            </w:pPr>
            <w:r>
              <w:rPr>
                <w:rFonts w:ascii="Arial" w:cs="Arial" w:eastAsia="Arial" w:hAnsi="Arial"/>
                <w:sz w:val="14"/>
                <w:szCs w:val="14"/>
                <w:color w:val="auto"/>
                <w:w w:val="94"/>
              </w:rPr>
              <w:t>101.DEF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7"/>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405"/>
        </w:trPr>
        <w:tc>
          <w:tcPr>
            <w:tcW w:w="880" w:type="dxa"/>
            <w:vAlign w:val="bottom"/>
          </w:tcPr>
          <w:p>
            <w:pPr>
              <w:jc w:val="center"/>
              <w:spacing w:after="0"/>
              <w:rPr>
                <w:sz w:val="20"/>
                <w:szCs w:val="20"/>
                <w:color w:val="auto"/>
              </w:rPr>
            </w:pPr>
            <w:r>
              <w:rPr>
                <w:rFonts w:ascii="Arial" w:cs="Arial" w:eastAsia="Arial" w:hAnsi="Arial"/>
                <w:sz w:val="14"/>
                <w:szCs w:val="14"/>
                <w:color w:val="auto"/>
                <w:w w:val="96"/>
              </w:rPr>
              <w:t>101.LAB</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7"/>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405"/>
        </w:trPr>
        <w:tc>
          <w:tcPr>
            <w:tcW w:w="880" w:type="dxa"/>
            <w:vAlign w:val="bottom"/>
          </w:tcPr>
          <w:p>
            <w:pPr>
              <w:jc w:val="center"/>
              <w:spacing w:after="0"/>
              <w:rPr>
                <w:sz w:val="20"/>
                <w:szCs w:val="20"/>
                <w:color w:val="auto"/>
              </w:rPr>
            </w:pPr>
            <w:r>
              <w:rPr>
                <w:rFonts w:ascii="Arial" w:cs="Arial" w:eastAsia="Arial" w:hAnsi="Arial"/>
                <w:sz w:val="14"/>
                <w:szCs w:val="14"/>
                <w:color w:val="auto"/>
                <w:w w:val="92"/>
              </w:rPr>
              <w:t>101.PRE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7"/>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398"/>
        </w:trPr>
        <w:tc>
          <w:tcPr>
            <w:tcW w:w="880" w:type="dxa"/>
            <w:vAlign w:val="bottom"/>
          </w:tcPr>
          <w:p>
            <w:pPr>
              <w:jc w:val="center"/>
              <w:spacing w:after="0"/>
              <w:rPr>
                <w:sz w:val="20"/>
                <w:szCs w:val="20"/>
                <w:color w:val="auto"/>
              </w:rPr>
            </w:pPr>
            <w:r>
              <w:rPr>
                <w:rFonts w:ascii="Arial" w:cs="Arial" w:eastAsia="Arial" w:hAnsi="Arial"/>
                <w:sz w:val="14"/>
                <w:szCs w:val="14"/>
                <w:color w:val="auto"/>
                <w:w w:val="85"/>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60" w:type="dxa"/>
            <w:vAlign w:val="bottom"/>
            <w:gridSpan w:val="17"/>
          </w:tcPr>
          <w:p>
            <w:pPr>
              <w:spacing w:after="0"/>
              <w:rPr>
                <w:sz w:val="20"/>
                <w:szCs w:val="20"/>
                <w:color w:val="auto"/>
              </w:rPr>
            </w:pPr>
            <w:r>
              <w:rPr>
                <w:rFonts w:ascii="Arial" w:cs="Arial" w:eastAsia="Arial" w:hAnsi="Arial"/>
                <w:sz w:val="14"/>
                <w:szCs w:val="14"/>
                <w:color w:val="auto"/>
                <w:w w:val="97"/>
              </w:rPr>
              <w:t>Cover Page Interactive Data File (formatted as inline XBRL and contained</w:t>
            </w:r>
          </w:p>
        </w:tc>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182"/>
        </w:trPr>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60" w:type="dxa"/>
            <w:vAlign w:val="bottom"/>
            <w:gridSpan w:val="17"/>
          </w:tcPr>
          <w:p>
            <w:pPr>
              <w:spacing w:after="0"/>
              <w:rPr>
                <w:sz w:val="20"/>
                <w:szCs w:val="20"/>
                <w:color w:val="auto"/>
              </w:rPr>
            </w:pPr>
            <w:r>
              <w:rPr>
                <w:rFonts w:ascii="Arial" w:cs="Arial" w:eastAsia="Arial" w:hAnsi="Arial"/>
                <w:sz w:val="14"/>
                <w:szCs w:val="14"/>
                <w:color w:val="auto"/>
              </w:rPr>
              <w:t>in Exhibits 101).</w:t>
            </w:r>
          </w:p>
        </w:tc>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right="20" w:firstLine="8"/>
        <w:spacing w:after="0" w:line="285" w:lineRule="auto"/>
        <w:tabs>
          <w:tab w:leader="none" w:pos="122" w:val="left"/>
        </w:tabs>
        <w:numPr>
          <w:ilvl w:val="0"/>
          <w:numId w:val="23"/>
        </w:numPr>
        <w:rPr>
          <w:rFonts w:ascii="Arial" w:cs="Arial" w:eastAsia="Arial" w:hAnsi="Arial"/>
          <w:sz w:val="14"/>
          <w:szCs w:val="14"/>
          <w:color w:val="auto"/>
        </w:rPr>
      </w:pPr>
      <w:r>
        <w:rPr>
          <w:rFonts w:ascii="Arial" w:cs="Arial" w:eastAsia="Arial" w:hAnsi="Arial"/>
          <w:sz w:val="14"/>
          <w:szCs w:val="14"/>
          <w:color w:val="auto"/>
        </w:rPr>
        <w:t>Pursuant to Item 601(b)(10) of Regulation S-K, portions of this exhibit have been omitted as the registrant has determined that the omitted information is both not material and is the type that the registrant treats as private and confidential.</w:t>
      </w:r>
    </w:p>
    <w:p>
      <w:pPr>
        <w:spacing w:after="0" w:line="193" w:lineRule="exact"/>
        <w:rPr>
          <w:sz w:val="20"/>
          <w:szCs w:val="20"/>
          <w:color w:val="auto"/>
        </w:rPr>
      </w:pPr>
    </w:p>
    <w:p>
      <w:pPr>
        <w:jc w:val="both"/>
        <w:ind w:firstLine="8"/>
        <w:spacing w:after="0" w:line="277" w:lineRule="auto"/>
        <w:tabs>
          <w:tab w:leader="none" w:pos="114"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 contemplated by SEC Release No. 33-8212, these exhibits are furnished with this Quarterly Report on Form 10-Q and are not deemed filed with the Securities and Exchange Commission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5" w:name="page66"/>
    <w:bookmarkEnd w:id="65"/>
    <w:p>
      <w:pPr>
        <w:jc w:val="center"/>
        <w:ind w:right="-199"/>
        <w:spacing w:after="0"/>
        <w:rPr>
          <w:sz w:val="20"/>
          <w:szCs w:val="20"/>
          <w:color w:val="auto"/>
        </w:rPr>
      </w:pPr>
      <w:r>
        <w:rPr>
          <w:rFonts w:ascii="Arial" w:cs="Arial" w:eastAsia="Arial" w:hAnsi="Arial"/>
          <w:sz w:val="14"/>
          <w:szCs w:val="14"/>
          <w:b w:val="1"/>
          <w:bCs w:val="1"/>
          <w:color w:val="auto"/>
        </w:rPr>
        <w:t>SIGNATURES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23"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Cytek Biosciences, Inc.</w:t>
      </w:r>
    </w:p>
    <w:p>
      <w:pPr>
        <w:spacing w:after="0" w:line="248" w:lineRule="exact"/>
        <w:rPr>
          <w:sz w:val="20"/>
          <w:szCs w:val="20"/>
          <w:color w:val="auto"/>
        </w:rPr>
      </w:pPr>
    </w:p>
    <w:p>
      <w:pPr>
        <w:spacing w:after="0"/>
        <w:tabs>
          <w:tab w:leader="none" w:pos="5660" w:val="left"/>
          <w:tab w:leader="none" w:pos="8120" w:val="left"/>
        </w:tabs>
        <w:rPr>
          <w:sz w:val="20"/>
          <w:szCs w:val="20"/>
          <w:color w:val="auto"/>
        </w:rPr>
      </w:pPr>
      <w:r>
        <w:rPr>
          <w:rFonts w:ascii="Arial" w:cs="Arial" w:eastAsia="Arial" w:hAnsi="Arial"/>
          <w:sz w:val="14"/>
          <w:szCs w:val="14"/>
          <w:color w:val="auto"/>
        </w:rPr>
        <w:t>Date: November 12,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12700</wp:posOffset>
            </wp:positionV>
            <wp:extent cx="330898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2" w:lineRule="exact"/>
        <w:rPr>
          <w:sz w:val="20"/>
          <w:szCs w:val="20"/>
          <w:color w:val="auto"/>
        </w:rPr>
      </w:pPr>
    </w:p>
    <w:p>
      <w:pPr>
        <w:ind w:left="8020"/>
        <w:spacing w:after="0"/>
        <w:rPr>
          <w:sz w:val="20"/>
          <w:szCs w:val="20"/>
          <w:color w:val="auto"/>
        </w:rPr>
      </w:pPr>
      <w:r>
        <w:rPr>
          <w:rFonts w:ascii="Arial" w:cs="Arial" w:eastAsia="Arial" w:hAnsi="Arial"/>
          <w:sz w:val="14"/>
          <w:szCs w:val="14"/>
          <w:color w:val="auto"/>
        </w:rPr>
        <w:t>Wenbin Jiang, Ph.D.</w:t>
      </w:r>
    </w:p>
    <w:p>
      <w:pPr>
        <w:spacing w:after="0" w:line="42" w:lineRule="exact"/>
        <w:rPr>
          <w:sz w:val="20"/>
          <w:szCs w:val="20"/>
          <w:color w:val="auto"/>
        </w:rPr>
      </w:pPr>
    </w:p>
    <w:p>
      <w:pPr>
        <w:ind w:left="7520"/>
        <w:spacing w:after="0"/>
        <w:rPr>
          <w:sz w:val="20"/>
          <w:szCs w:val="20"/>
          <w:color w:val="auto"/>
        </w:rPr>
      </w:pPr>
      <w:r>
        <w:rPr>
          <w:rFonts w:ascii="Arial" w:cs="Arial" w:eastAsia="Arial" w:hAnsi="Arial"/>
          <w:sz w:val="14"/>
          <w:szCs w:val="14"/>
          <w:color w:val="auto"/>
        </w:rPr>
        <w:t>President and Chief Executive Officer</w:t>
      </w:r>
    </w:p>
    <w:p>
      <w:pPr>
        <w:spacing w:after="0" w:line="21" w:lineRule="exact"/>
        <w:rPr>
          <w:sz w:val="20"/>
          <w:szCs w:val="20"/>
          <w:color w:val="auto"/>
        </w:rPr>
      </w:pPr>
    </w:p>
    <w:p>
      <w:pPr>
        <w:ind w:left="7780"/>
        <w:spacing w:after="0"/>
        <w:rPr>
          <w:sz w:val="20"/>
          <w:szCs w:val="20"/>
          <w:color w:val="auto"/>
        </w:rPr>
      </w:pPr>
      <w:r>
        <w:rPr>
          <w:rFonts w:ascii="Arial" w:cs="Arial" w:eastAsia="Arial" w:hAnsi="Arial"/>
          <w:sz w:val="14"/>
          <w:szCs w:val="14"/>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5660" w:val="left"/>
          <w:tab w:leader="none" w:pos="8000" w:val="left"/>
        </w:tabs>
        <w:rPr>
          <w:sz w:val="20"/>
          <w:szCs w:val="20"/>
          <w:color w:val="auto"/>
        </w:rPr>
      </w:pPr>
      <w:r>
        <w:rPr>
          <w:rFonts w:ascii="Arial" w:cs="Arial" w:eastAsia="Arial" w:hAnsi="Arial"/>
          <w:sz w:val="14"/>
          <w:szCs w:val="14"/>
          <w:color w:val="auto"/>
        </w:rPr>
        <w:t>Date: November 12, 2021</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2"/>
          <w:szCs w:val="12"/>
          <w:color w:val="auto"/>
        </w:rPr>
        <w:t>/s/ Patrik Jeanmonod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12700</wp:posOffset>
            </wp:positionV>
            <wp:extent cx="33089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2" w:lineRule="exact"/>
        <w:rPr>
          <w:sz w:val="20"/>
          <w:szCs w:val="20"/>
          <w:color w:val="auto"/>
        </w:rPr>
      </w:pPr>
    </w:p>
    <w:p>
      <w:pPr>
        <w:ind w:left="8100"/>
        <w:spacing w:after="0"/>
        <w:rPr>
          <w:sz w:val="20"/>
          <w:szCs w:val="20"/>
          <w:color w:val="auto"/>
        </w:rPr>
      </w:pPr>
      <w:r>
        <w:rPr>
          <w:rFonts w:ascii="Arial" w:cs="Arial" w:eastAsia="Arial" w:hAnsi="Arial"/>
          <w:sz w:val="14"/>
          <w:szCs w:val="14"/>
          <w:color w:val="auto"/>
        </w:rPr>
        <w:t>Patrik Jeanmonod</w:t>
      </w:r>
    </w:p>
    <w:p>
      <w:pPr>
        <w:spacing w:after="0" w:line="42" w:lineRule="exact"/>
        <w:rPr>
          <w:sz w:val="20"/>
          <w:szCs w:val="20"/>
          <w:color w:val="auto"/>
        </w:rPr>
      </w:pPr>
    </w:p>
    <w:p>
      <w:pPr>
        <w:ind w:left="7940"/>
        <w:spacing w:after="0"/>
        <w:rPr>
          <w:sz w:val="20"/>
          <w:szCs w:val="20"/>
          <w:color w:val="auto"/>
        </w:rPr>
      </w:pPr>
      <w:r>
        <w:rPr>
          <w:rFonts w:ascii="Arial" w:cs="Arial" w:eastAsia="Arial" w:hAnsi="Arial"/>
          <w:sz w:val="14"/>
          <w:szCs w:val="14"/>
          <w:color w:val="auto"/>
        </w:rPr>
        <w:t>Chief Financial Officer</w:t>
      </w:r>
    </w:p>
    <w:p>
      <w:pPr>
        <w:spacing w:after="0" w:line="21" w:lineRule="exact"/>
        <w:rPr>
          <w:sz w:val="20"/>
          <w:szCs w:val="20"/>
          <w:color w:val="auto"/>
        </w:rPr>
      </w:pPr>
    </w:p>
    <w:p>
      <w:pPr>
        <w:ind w:left="7300"/>
        <w:spacing w:after="0"/>
        <w:rPr>
          <w:sz w:val="20"/>
          <w:szCs w:val="20"/>
          <w:color w:val="auto"/>
        </w:rPr>
      </w:pPr>
      <w:r>
        <w:rPr>
          <w:rFonts w:ascii="Arial" w:cs="Arial" w:eastAsia="Arial" w:hAnsi="Arial"/>
          <w:sz w:val="14"/>
          <w:szCs w:val="14"/>
          <w:i w:val="1"/>
          <w:iCs w:val="1"/>
          <w:color w:val="auto"/>
        </w:rPr>
        <w:t>(Principal Financial and Accounting Officer)</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68580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360" w:right="559" w:bottom="1440" w:gutter="0" w:footer="0" w:header="0"/>
        </w:sectPr>
      </w:pPr>
    </w:p>
    <w:bookmarkStart w:id="66" w:name="page67"/>
    <w:bookmarkEnd w:id="66"/>
    <w:p>
      <w:pPr>
        <w:ind w:firstLine="8"/>
        <w:spacing w:after="0" w:line="269" w:lineRule="auto"/>
        <w:tabs>
          <w:tab w:leader="none" w:pos="206"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it is both (i) not material and (ii) is the type that the registrant treats as private or confidential.</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10.1</w:t>
      </w:r>
    </w:p>
    <w:p>
      <w:pPr>
        <w:spacing w:after="0" w:line="12"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SUPPLY AGREEMENT</w:t>
      </w:r>
    </w:p>
    <w:p>
      <w:pPr>
        <w:spacing w:after="0" w:line="17"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(DELIVERY OF GOODS)</w:t>
      </w:r>
    </w:p>
    <w:p>
      <w:pPr>
        <w:spacing w:after="0" w:line="283"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 xml:space="preserve">This Supply Agreement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on the last date of execution set forth on the signature page hereto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by and between</w:t>
      </w:r>
    </w:p>
    <w:p>
      <w:pPr>
        <w:spacing w:after="0" w:line="222" w:lineRule="exact"/>
        <w:rPr>
          <w:sz w:val="20"/>
          <w:szCs w:val="20"/>
          <w:color w:val="auto"/>
        </w:rPr>
      </w:pPr>
    </w:p>
    <w:p>
      <w:pPr>
        <w:ind w:left="760" w:hanging="752"/>
        <w:spacing w:after="0" w:line="264" w:lineRule="auto"/>
        <w:tabs>
          <w:tab w:leader="none" w:pos="47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Cytek Biosciences, Inc.</w:t>
      </w:r>
      <w:r>
        <w:rPr>
          <w:rFonts w:ascii="Arial" w:cs="Arial" w:eastAsia="Arial" w:hAnsi="Arial"/>
          <w:sz w:val="22"/>
          <w:szCs w:val="22"/>
          <w:color w:val="auto"/>
        </w:rPr>
        <w:t>, a Delaware corporation having a place of business at 46107 Landing Parkway, Fremont, CA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94538, and </w:t>
      </w:r>
      <w:r>
        <w:rPr>
          <w:rFonts w:ascii="Arial" w:cs="Arial" w:eastAsia="Arial" w:hAnsi="Arial"/>
          <w:sz w:val="22"/>
          <w:szCs w:val="22"/>
          <w:b w:val="1"/>
          <w:bCs w:val="1"/>
          <w:color w:val="auto"/>
        </w:rPr>
        <w:t>Cytek (Wuxi) Biosciences Co., Ltd</w:t>
      </w:r>
      <w:r>
        <w:rPr>
          <w:rFonts w:ascii="Arial" w:cs="Arial" w:eastAsia="Arial" w:hAnsi="Arial"/>
          <w:sz w:val="22"/>
          <w:szCs w:val="22"/>
          <w:color w:val="auto"/>
        </w:rPr>
        <w:t>, a China subsidiary of Cytek Biosciences, Inc. having a place of business at Room 201 D2, China Sensor Network International Innovation Park, No.200 Linghu Avenue, Wuxi City, Jiangsu Province, China (together, “</w:t>
      </w:r>
      <w:r>
        <w:rPr>
          <w:rFonts w:ascii="Arial" w:cs="Arial" w:eastAsia="Arial" w:hAnsi="Arial"/>
          <w:sz w:val="22"/>
          <w:szCs w:val="22"/>
          <w:b w:val="1"/>
          <w:bCs w:val="1"/>
          <w:i w:val="1"/>
          <w:iCs w:val="1"/>
          <w:color w:val="auto"/>
        </w:rPr>
        <w:t>Cytek Biosciences, Inc.</w:t>
      </w:r>
      <w:r>
        <w:rPr>
          <w:rFonts w:ascii="Arial" w:cs="Arial" w:eastAsia="Arial" w:hAnsi="Arial"/>
          <w:sz w:val="22"/>
          <w:szCs w:val="22"/>
          <w:color w:val="auto"/>
        </w:rPr>
        <w:t>”); and</w:t>
      </w:r>
    </w:p>
    <w:p>
      <w:pPr>
        <w:spacing w:after="0" w:line="236" w:lineRule="exact"/>
        <w:rPr>
          <w:rFonts w:ascii="Arial" w:cs="Arial" w:eastAsia="Arial" w:hAnsi="Arial"/>
          <w:sz w:val="22"/>
          <w:szCs w:val="22"/>
          <w:color w:val="auto"/>
        </w:rPr>
      </w:pPr>
    </w:p>
    <w:p>
      <w:pPr>
        <w:ind w:left="760" w:right="20" w:hanging="752"/>
        <w:spacing w:after="0" w:line="282" w:lineRule="auto"/>
        <w:tabs>
          <w:tab w:leader="none" w:pos="470"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Coherent NA, Inc.</w:t>
      </w:r>
      <w:r>
        <w:rPr>
          <w:rFonts w:ascii="Arial" w:cs="Arial" w:eastAsia="Arial" w:hAnsi="Arial"/>
          <w:sz w:val="22"/>
          <w:szCs w:val="22"/>
          <w:color w:val="auto"/>
        </w:rPr>
        <w:t>, a Delaware corporation having its registered office at 40984 Concept Drive, Plymouth, MI 48170</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Seller</w:t>
      </w:r>
      <w:r>
        <w:rPr>
          <w:rFonts w:ascii="Arial" w:cs="Arial" w:eastAsia="Arial" w:hAnsi="Arial"/>
          <w:sz w:val="22"/>
          <w:szCs w:val="22"/>
          <w:color w:val="auto"/>
        </w:rPr>
        <w:t>”</w:t>
      </w:r>
      <w:r>
        <w:rPr>
          <w:rFonts w:ascii="Arial" w:cs="Arial" w:eastAsia="Arial" w:hAnsi="Arial"/>
          <w:sz w:val="22"/>
          <w:szCs w:val="22"/>
          <w:i w:val="1"/>
          <w:iCs w:val="1"/>
          <w:color w:val="auto"/>
        </w:rPr>
        <w:t>)</w:t>
      </w:r>
      <w:r>
        <w:rPr>
          <w:rFonts w:ascii="Arial" w:cs="Arial" w:eastAsia="Arial" w:hAnsi="Arial"/>
          <w:sz w:val="22"/>
          <w:szCs w:val="22"/>
          <w:color w:val="auto"/>
        </w:rPr>
        <w: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also referred below individually as “</w:t>
      </w:r>
      <w:r>
        <w:rPr>
          <w:rFonts w:ascii="Arial" w:cs="Arial" w:eastAsia="Arial" w:hAnsi="Arial"/>
          <w:sz w:val="22"/>
          <w:szCs w:val="22"/>
          <w:b w:val="1"/>
          <w:bCs w:val="1"/>
          <w:i w:val="1"/>
          <w:iCs w:val="1"/>
          <w:color w:val="auto"/>
        </w:rPr>
        <w:t>Party</w:t>
      </w:r>
      <w:r>
        <w:rPr>
          <w:rFonts w:ascii="Arial" w:cs="Arial" w:eastAsia="Arial" w:hAnsi="Arial"/>
          <w:sz w:val="22"/>
          <w:szCs w:val="22"/>
          <w:color w:val="auto"/>
        </w:rPr>
        <w:t>” and together as “</w:t>
      </w:r>
      <w:r>
        <w:rPr>
          <w:rFonts w:ascii="Arial" w:cs="Arial" w:eastAsia="Arial" w:hAnsi="Arial"/>
          <w:sz w:val="22"/>
          <w:szCs w:val="22"/>
          <w:b w:val="1"/>
          <w:bCs w:val="1"/>
          <w:i w:val="1"/>
          <w:iCs w:val="1"/>
          <w:color w:val="auto"/>
        </w:rPr>
        <w:t>Parties</w:t>
      </w:r>
      <w:r>
        <w:rPr>
          <w:rFonts w:ascii="Arial" w:cs="Arial" w:eastAsia="Arial" w:hAnsi="Arial"/>
          <w:sz w:val="22"/>
          <w:szCs w:val="22"/>
          <w:color w:val="auto"/>
        </w:rPr>
        <w:t>”.</w:t>
      </w:r>
    </w:p>
    <w:p>
      <w:pPr>
        <w:spacing w:after="0" w:line="281" w:lineRule="exact"/>
        <w:rPr>
          <w:sz w:val="20"/>
          <w:szCs w:val="20"/>
          <w:color w:val="auto"/>
        </w:rPr>
      </w:pPr>
    </w:p>
    <w:p>
      <w:pPr>
        <w:jc w:val="both"/>
        <w:ind w:right="20"/>
        <w:spacing w:after="0" w:line="313" w:lineRule="auto"/>
        <w:rPr>
          <w:sz w:val="20"/>
          <w:szCs w:val="20"/>
          <w:color w:val="auto"/>
        </w:rPr>
      </w:pPr>
      <w:r>
        <w:rPr>
          <w:rFonts w:ascii="Arial" w:cs="Arial" w:eastAsia="Arial" w:hAnsi="Arial"/>
          <w:sz w:val="19"/>
          <w:szCs w:val="19"/>
          <w:color w:val="auto"/>
        </w:rPr>
        <w:t xml:space="preserve">In addition to the Parties specified above, </w:t>
      </w:r>
      <w:r>
        <w:rPr>
          <w:rFonts w:ascii="Arial" w:cs="Arial" w:eastAsia="Arial" w:hAnsi="Arial"/>
          <w:sz w:val="19"/>
          <w:szCs w:val="19"/>
          <w:b w:val="1"/>
          <w:bCs w:val="1"/>
          <w:color w:val="auto"/>
        </w:rPr>
        <w:t>Coherent Asia, Inc.</w:t>
      </w:r>
      <w:r>
        <w:rPr>
          <w:rFonts w:ascii="Arial" w:cs="Arial" w:eastAsia="Arial" w:hAnsi="Arial"/>
          <w:sz w:val="19"/>
          <w:szCs w:val="19"/>
          <w:color w:val="auto"/>
        </w:rPr>
        <w:t xml:space="preserve">, a California corporation having its registered office at 5100 Patrick Henry Drive, Santa Clara, CA 95054, and </w:t>
      </w:r>
      <w:r>
        <w:rPr>
          <w:rFonts w:ascii="Arial" w:cs="Arial" w:eastAsia="Arial" w:hAnsi="Arial"/>
          <w:sz w:val="19"/>
          <w:szCs w:val="19"/>
          <w:b w:val="1"/>
          <w:bCs w:val="1"/>
          <w:color w:val="auto"/>
        </w:rPr>
        <w:t>Coherent (Beijing) Commercial Company Ltd.</w:t>
      </w:r>
      <w:r>
        <w:rPr>
          <w:rFonts w:ascii="Arial" w:cs="Arial" w:eastAsia="Arial" w:hAnsi="Arial"/>
          <w:sz w:val="19"/>
          <w:szCs w:val="19"/>
          <w:color w:val="auto"/>
        </w:rPr>
        <w:t>, a PRC corporation having its registered office at Room 1006-1009, Raycom Info Park Tower B, No. 2 Kexueyuan South Road, Haidian District, Beijing 100190, China, shall be party to this Agreement in a limited capacity solely to receive Orders and payments hereunder. For the avoidance of doubt and notwithstanding the foregoing, Coherent NA, Inc. is the primary party to this Agreement for Seller.</w:t>
      </w:r>
    </w:p>
    <w:p>
      <w:pPr>
        <w:spacing w:after="0" w:line="201"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Whereas Cytek Biosciences, Inc. wishes to acquire the supply of the products defined below and whereas Seller wishes to supply and deliver such products to Cytek Biosciences, Inc.</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mutual covenants, terms, and conditions set out herein, Cytek Biosciences, Inc.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Seller agree to the following:</w:t>
      </w:r>
    </w:p>
    <w:p>
      <w:pPr>
        <w:spacing w:after="0" w:line="200" w:lineRule="exact"/>
        <w:rPr>
          <w:sz w:val="20"/>
          <w:szCs w:val="20"/>
          <w:color w:val="auto"/>
        </w:rPr>
      </w:pPr>
    </w:p>
    <w:p>
      <w:pPr>
        <w:spacing w:after="0" w:line="34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SUPPLY OF PRODUCTS</w:t>
      </w:r>
    </w:p>
    <w:p>
      <w:pPr>
        <w:spacing w:after="0" w:line="239" w:lineRule="exact"/>
        <w:rPr>
          <w:sz w:val="20"/>
          <w:szCs w:val="20"/>
          <w:color w:val="auto"/>
        </w:rPr>
      </w:pPr>
    </w:p>
    <w:p>
      <w:pPr>
        <w:jc w:val="both"/>
        <w:ind w:left="940" w:hanging="647"/>
        <w:spacing w:after="0" w:line="276" w:lineRule="auto"/>
        <w:tabs>
          <w:tab w:leader="none" w:pos="9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color w:val="auto"/>
        </w:rPr>
        <w:t xml:space="preserve">During the term of this Agreement and any extension hereof, Seller shall sell and supply the products as set out in </w:t>
      </w:r>
      <w:r>
        <w:rPr>
          <w:rFonts w:ascii="Arial" w:cs="Arial" w:eastAsia="Arial" w:hAnsi="Arial"/>
          <w:sz w:val="21"/>
          <w:szCs w:val="21"/>
          <w:i w:val="1"/>
          <w:iCs w:val="1"/>
          <w:color w:val="auto"/>
        </w:rPr>
        <w:t xml:space="preserve">Schedule 1 </w:t>
      </w:r>
      <w:r>
        <w:rPr>
          <w:rFonts w:ascii="Arial" w:cs="Arial" w:eastAsia="Arial" w:hAnsi="Arial"/>
          <w:sz w:val="21"/>
          <w:szCs w:val="21"/>
          <w:color w:val="auto"/>
        </w:rPr>
        <w:t>hereto</w:t>
      </w:r>
      <w:r>
        <w:rPr>
          <w:rFonts w:ascii="Arial" w:cs="Arial" w:eastAsia="Arial" w:hAnsi="Arial"/>
          <w:sz w:val="21"/>
          <w:szCs w:val="21"/>
          <w:i w:val="1"/>
          <w:iCs w:val="1"/>
          <w:color w:val="auto"/>
        </w:rPr>
        <w:t xml:space="preserve"> (“</w:t>
      </w:r>
      <w:r>
        <w:rPr>
          <w:rFonts w:ascii="Arial" w:cs="Arial" w:eastAsia="Arial" w:hAnsi="Arial"/>
          <w:sz w:val="21"/>
          <w:szCs w:val="21"/>
          <w:b w:val="1"/>
          <w:bCs w:val="1"/>
          <w:i w:val="1"/>
          <w:iCs w:val="1"/>
          <w:color w:val="auto"/>
        </w:rPr>
        <w:t>Products</w:t>
      </w:r>
      <w:r>
        <w:rPr>
          <w:rFonts w:ascii="Arial" w:cs="Arial" w:eastAsia="Arial" w:hAnsi="Arial"/>
          <w:sz w:val="21"/>
          <w:szCs w:val="21"/>
          <w:i w:val="1"/>
          <w:iCs w:val="1"/>
          <w:color w:val="auto"/>
        </w:rPr>
        <w:t xml:space="preserve">”) </w:t>
      </w:r>
      <w:r>
        <w:rPr>
          <w:rFonts w:ascii="Arial" w:cs="Arial" w:eastAsia="Arial" w:hAnsi="Arial"/>
          <w:sz w:val="21"/>
          <w:szCs w:val="21"/>
          <w:color w:val="auto"/>
        </w:rPr>
        <w:t>to Cytek Biosciences, Inc. and Cytek Biosciences, Inc. shall buy from the Seller such</w:t>
      </w:r>
      <w:r>
        <w:rPr>
          <w:rFonts w:ascii="Arial" w:cs="Arial" w:eastAsia="Arial" w:hAnsi="Arial"/>
          <w:sz w:val="21"/>
          <w:szCs w:val="21"/>
          <w:i w:val="1"/>
          <w:iCs w:val="1"/>
          <w:color w:val="auto"/>
        </w:rPr>
        <w:t xml:space="preserve"> </w:t>
      </w:r>
      <w:r>
        <w:rPr>
          <w:rFonts w:ascii="Arial" w:cs="Arial" w:eastAsia="Arial" w:hAnsi="Arial"/>
          <w:sz w:val="21"/>
          <w:szCs w:val="21"/>
          <w:color w:val="auto"/>
        </w:rPr>
        <w:t>Products, in each case as ordered by Cytek Biosciences, Inc. in accordance with the terms of this Agreement and on a non-exclusive basis. The Parties acknowledge and agree that Cytek Biosciences, Inc. is not required to purchase any minimum amount of Products pursuant to this Agreement.</w:t>
      </w:r>
    </w:p>
    <w:p>
      <w:pPr>
        <w:spacing w:after="0" w:line="177" w:lineRule="exact"/>
        <w:rPr>
          <w:sz w:val="20"/>
          <w:szCs w:val="20"/>
          <w:color w:val="auto"/>
        </w:rPr>
      </w:pPr>
    </w:p>
    <w:p>
      <w:pPr>
        <w:jc w:val="both"/>
        <w:ind w:left="940" w:hanging="647"/>
        <w:spacing w:after="0" w:line="327" w:lineRule="auto"/>
        <w:tabs>
          <w:tab w:leader="none" w:pos="92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 xml:space="preserve">This Agreement shall also apply [*] to certain orders [*] as listed in </w:t>
      </w:r>
      <w:r>
        <w:rPr>
          <w:rFonts w:ascii="Arial" w:cs="Arial" w:eastAsia="Arial" w:hAnsi="Arial"/>
          <w:sz w:val="19"/>
          <w:szCs w:val="19"/>
          <w:i w:val="1"/>
          <w:iCs w:val="1"/>
          <w:color w:val="auto"/>
        </w:rPr>
        <w:t>Schedule 1</w:t>
      </w:r>
      <w:r>
        <w:rPr>
          <w:rFonts w:ascii="Arial" w:cs="Arial" w:eastAsia="Arial" w:hAnsi="Arial"/>
          <w:sz w:val="19"/>
          <w:szCs w:val="19"/>
          <w:color w:val="auto"/>
        </w:rPr>
        <w:t xml:space="preserve"> (the “[*] </w:t>
      </w:r>
      <w:r>
        <w:rPr>
          <w:rFonts w:ascii="Arial" w:cs="Arial" w:eastAsia="Arial" w:hAnsi="Arial"/>
          <w:sz w:val="19"/>
          <w:szCs w:val="19"/>
          <w:b w:val="1"/>
          <w:bCs w:val="1"/>
          <w:i w:val="1"/>
          <w:iCs w:val="1"/>
          <w:color w:val="auto"/>
        </w:rPr>
        <w:t>Orders</w:t>
      </w:r>
      <w:r>
        <w:rPr>
          <w:rFonts w:ascii="Arial" w:cs="Arial" w:eastAsia="Arial" w:hAnsi="Arial"/>
          <w:sz w:val="19"/>
          <w:szCs w:val="19"/>
          <w:color w:val="auto"/>
        </w:rPr>
        <w:t>”), provided that, (i) with respect to [*] Orders which [*] as of the Effective Date, in the event of a conflict between Sections [*] of this Agreement and the terms of the [*] Orders, the terms of the [*] Orders shall apply (except with respect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67" w:name="page68"/>
    <w:bookmarkEnd w:id="67"/>
    <w:p>
      <w:pPr>
        <w:jc w:val="both"/>
        <w:ind w:left="940"/>
        <w:spacing w:after="0" w:line="327" w:lineRule="auto"/>
        <w:rPr>
          <w:sz w:val="20"/>
          <w:szCs w:val="20"/>
          <w:color w:val="auto"/>
        </w:rPr>
      </w:pPr>
      <w:r>
        <w:rPr>
          <w:rFonts w:ascii="Arial" w:cs="Arial" w:eastAsia="Arial" w:hAnsi="Arial"/>
          <w:sz w:val="19"/>
          <w:szCs w:val="19"/>
          <w:color w:val="auto"/>
        </w:rPr>
        <w:t>which shall be governed by Section [*] of this Agreement, and with respect to [*] for any [*] Orders, which shall be governed by Section [*] of this Agreement), and (ii) with respect to [*] Orders which [*], in the event of a conflict between Sections [*] of this Agreement and the terms of the [*] Orders, the terms of the [*] Orders shall apply.</w:t>
      </w:r>
    </w:p>
    <w:p>
      <w:pPr>
        <w:spacing w:after="0" w:line="133"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The specifications of the Products (the “</w:t>
      </w:r>
      <w:r>
        <w:rPr>
          <w:rFonts w:ascii="Arial" w:cs="Arial" w:eastAsia="Arial" w:hAnsi="Arial"/>
          <w:sz w:val="19"/>
          <w:szCs w:val="19"/>
          <w:b w:val="1"/>
          <w:bCs w:val="1"/>
          <w:i w:val="1"/>
          <w:iCs w:val="1"/>
          <w:color w:val="auto"/>
        </w:rPr>
        <w:t>Specifications</w:t>
      </w:r>
      <w:r>
        <w:rPr>
          <w:rFonts w:ascii="Arial" w:cs="Arial" w:eastAsia="Arial" w:hAnsi="Arial"/>
          <w:sz w:val="19"/>
          <w:szCs w:val="19"/>
          <w:color w:val="auto"/>
        </w:rPr>
        <w:t xml:space="preserve">”) are set out in </w:t>
      </w:r>
      <w:r>
        <w:rPr>
          <w:rFonts w:ascii="Arial" w:cs="Arial" w:eastAsia="Arial" w:hAnsi="Arial"/>
          <w:sz w:val="19"/>
          <w:szCs w:val="19"/>
          <w:i w:val="1"/>
          <w:iCs w:val="1"/>
          <w:color w:val="auto"/>
        </w:rPr>
        <w:t>Schedule 2</w:t>
      </w:r>
      <w:r>
        <w:rPr>
          <w:rFonts w:ascii="Arial" w:cs="Arial" w:eastAsia="Arial" w:hAnsi="Arial"/>
          <w:sz w:val="19"/>
          <w:szCs w:val="19"/>
          <w:color w:val="auto"/>
        </w:rPr>
        <w:t xml:space="preserve"> hereto.</w:t>
      </w:r>
    </w:p>
    <w:p>
      <w:pPr>
        <w:spacing w:after="0" w:line="233" w:lineRule="exact"/>
        <w:rPr>
          <w:sz w:val="20"/>
          <w:szCs w:val="20"/>
          <w:color w:val="auto"/>
        </w:rPr>
      </w:pPr>
    </w:p>
    <w:p>
      <w:pPr>
        <w:ind w:left="940" w:hanging="647"/>
        <w:spacing w:after="0" w:line="276" w:lineRule="auto"/>
        <w:tabs>
          <w:tab w:leader="none" w:pos="92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 xml:space="preserve">Seller shall provide to Cytek Biosciences, Inc. the technical information and material in regard to the Products as set out in </w:t>
      </w:r>
      <w:r>
        <w:rPr>
          <w:rFonts w:ascii="Arial" w:cs="Arial" w:eastAsia="Arial" w:hAnsi="Arial"/>
          <w:sz w:val="22"/>
          <w:szCs w:val="22"/>
          <w:i w:val="1"/>
          <w:iCs w:val="1"/>
          <w:color w:val="auto"/>
        </w:rPr>
        <w:t>Schedule 3</w:t>
      </w:r>
      <w:r>
        <w:rPr>
          <w:rFonts w:ascii="Arial" w:cs="Arial" w:eastAsia="Arial" w:hAnsi="Arial"/>
          <w:sz w:val="22"/>
          <w:szCs w:val="22"/>
          <w:color w:val="auto"/>
        </w:rPr>
        <w:t xml:space="preserve"> hereto.</w:t>
      </w:r>
    </w:p>
    <w:p>
      <w:pPr>
        <w:spacing w:after="0" w:line="168"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ORDERS</w:t>
      </w:r>
    </w:p>
    <w:p>
      <w:pPr>
        <w:spacing w:after="0" w:line="239" w:lineRule="exact"/>
        <w:rPr>
          <w:sz w:val="20"/>
          <w:szCs w:val="20"/>
          <w:color w:val="auto"/>
        </w:rPr>
      </w:pPr>
    </w:p>
    <w:p>
      <w:pPr>
        <w:jc w:val="both"/>
        <w:ind w:left="940" w:hanging="647"/>
        <w:spacing w:after="0" w:line="261" w:lineRule="auto"/>
        <w:tabs>
          <w:tab w:leader="none" w:pos="9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For planning purposes, on [*] basis, Cytek Biosciences, Inc. shall provide to Seller non-binding rolling forecasts (“</w:t>
      </w:r>
      <w:r>
        <w:rPr>
          <w:rFonts w:ascii="Arial" w:cs="Arial" w:eastAsia="Arial" w:hAnsi="Arial"/>
          <w:sz w:val="22"/>
          <w:szCs w:val="22"/>
          <w:b w:val="1"/>
          <w:bCs w:val="1"/>
          <w:i w:val="1"/>
          <w:iCs w:val="1"/>
          <w:color w:val="auto"/>
        </w:rPr>
        <w:t>Forecasts</w:t>
      </w:r>
      <w:r>
        <w:rPr>
          <w:rFonts w:ascii="Arial" w:cs="Arial" w:eastAsia="Arial" w:hAnsi="Arial"/>
          <w:sz w:val="22"/>
          <w:szCs w:val="22"/>
          <w:color w:val="auto"/>
        </w:rPr>
        <w:t>”) of Cytek Biosciences, Inc.’s anticipated orders for Products for each [*] of the following [*] period. Seller shall notify Cytek Biosciences, Inc. [*] after receiving each Forecast if it anticipates that it will not be able to satisfy any portion of such Forecast. Further, Cytek Biosciences, Inc. shall use its [*] efforts to notify Seller at least [*] in advance of any demand drop greater than [*].</w:t>
      </w:r>
    </w:p>
    <w:p>
      <w:pPr>
        <w:spacing w:after="0" w:line="190" w:lineRule="exact"/>
        <w:rPr>
          <w:sz w:val="20"/>
          <w:szCs w:val="20"/>
          <w:color w:val="auto"/>
        </w:rPr>
      </w:pPr>
    </w:p>
    <w:p>
      <w:pPr>
        <w:jc w:val="both"/>
        <w:ind w:left="940" w:hanging="647"/>
        <w:spacing w:after="0" w:line="305" w:lineRule="auto"/>
        <w:tabs>
          <w:tab w:leader="none" w:pos="9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Each purchase and sale between Cytek Biosciences, Inc. and Seller shall be evidenced by a purchase order placed by Cytek Biosciences, Inc. (“</w:t>
      </w:r>
      <w:r>
        <w:rPr>
          <w:rFonts w:ascii="Arial" w:cs="Arial" w:eastAsia="Arial" w:hAnsi="Arial"/>
          <w:sz w:val="19"/>
          <w:szCs w:val="19"/>
          <w:b w:val="1"/>
          <w:bCs w:val="1"/>
          <w:i w:val="1"/>
          <w:iCs w:val="1"/>
          <w:color w:val="auto"/>
        </w:rPr>
        <w:t>Order</w:t>
      </w:r>
      <w:r>
        <w:rPr>
          <w:rFonts w:ascii="Arial" w:cs="Arial" w:eastAsia="Arial" w:hAnsi="Arial"/>
          <w:sz w:val="19"/>
          <w:szCs w:val="19"/>
          <w:color w:val="auto"/>
        </w:rPr>
        <w:t>” or in plural “</w:t>
      </w:r>
      <w:r>
        <w:rPr>
          <w:rFonts w:ascii="Arial" w:cs="Arial" w:eastAsia="Arial" w:hAnsi="Arial"/>
          <w:sz w:val="19"/>
          <w:szCs w:val="19"/>
          <w:b w:val="1"/>
          <w:bCs w:val="1"/>
          <w:i w:val="1"/>
          <w:iCs w:val="1"/>
          <w:color w:val="auto"/>
        </w:rPr>
        <w:t>Orders</w:t>
      </w:r>
      <w:r>
        <w:rPr>
          <w:rFonts w:ascii="Arial" w:cs="Arial" w:eastAsia="Arial" w:hAnsi="Arial"/>
          <w:sz w:val="19"/>
          <w:szCs w:val="19"/>
          <w:color w:val="auto"/>
        </w:rPr>
        <w:t>”) to Seller in accordance with the terms and conditions of this Agreement. The Order will only be deemed accepted if Seller acknowledges in writing its acceptance of the Order (such written acceptance, an “</w:t>
      </w:r>
      <w:r>
        <w:rPr>
          <w:rFonts w:ascii="Arial" w:cs="Arial" w:eastAsia="Arial" w:hAnsi="Arial"/>
          <w:sz w:val="19"/>
          <w:szCs w:val="19"/>
          <w:b w:val="1"/>
          <w:bCs w:val="1"/>
          <w:i w:val="1"/>
          <w:iCs w:val="1"/>
          <w:color w:val="auto"/>
        </w:rPr>
        <w:t>Order Acknowledgement</w:t>
      </w:r>
      <w:r>
        <w:rPr>
          <w:rFonts w:ascii="Arial" w:cs="Arial" w:eastAsia="Arial" w:hAnsi="Arial"/>
          <w:sz w:val="19"/>
          <w:szCs w:val="19"/>
          <w:color w:val="auto"/>
        </w:rPr>
        <w:t>”). Seller shall accept or reject such Orders in writing [*]. As long as this Agreement is in force and effect, the terms and conditions of this Agreement shall apply to all Orders and all order confirmations of Seller. Any term or condition in any Order, confirmation, or other document furnished by either Party that is in any way inconsistent with the terms and conditions of this Agreement is hereby expressly rejected, unless otherwise expressly agreed in writing by both Parties.</w:t>
      </w:r>
    </w:p>
    <w:p>
      <w:pPr>
        <w:spacing w:after="0" w:line="155"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Orders shall be placed by Cytek Biosciences, Inc. to Seller in writing by e-mail. Each Order shall contain:</w:t>
      </w:r>
    </w:p>
    <w:p>
      <w:pPr>
        <w:spacing w:after="0" w:line="233" w:lineRule="exact"/>
        <w:rPr>
          <w:sz w:val="20"/>
          <w:szCs w:val="20"/>
          <w:color w:val="auto"/>
        </w:rPr>
      </w:pPr>
    </w:p>
    <w:p>
      <w:pPr>
        <w:ind w:left="1400" w:hanging="643"/>
        <w:spacing w:after="0"/>
        <w:tabs>
          <w:tab w:leader="none" w:pos="14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Products and the quantity of each Product ordered by Cytek Biosciences, Inc.,</w:t>
      </w:r>
    </w:p>
    <w:p>
      <w:pPr>
        <w:spacing w:after="0" w:line="233" w:lineRule="exact"/>
        <w:rPr>
          <w:rFonts w:ascii="Arial" w:cs="Arial" w:eastAsia="Arial" w:hAnsi="Arial"/>
          <w:sz w:val="22"/>
          <w:szCs w:val="22"/>
          <w:color w:val="auto"/>
        </w:rPr>
      </w:pPr>
    </w:p>
    <w:p>
      <w:pPr>
        <w:ind w:left="1400" w:hanging="643"/>
        <w:spacing w:after="0"/>
        <w:tabs>
          <w:tab w:leader="none" w:pos="14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price,</w:t>
      </w:r>
    </w:p>
    <w:p>
      <w:pPr>
        <w:spacing w:after="0" w:line="233" w:lineRule="exact"/>
        <w:rPr>
          <w:rFonts w:ascii="Arial" w:cs="Arial" w:eastAsia="Arial" w:hAnsi="Arial"/>
          <w:sz w:val="22"/>
          <w:szCs w:val="22"/>
          <w:color w:val="auto"/>
        </w:rPr>
      </w:pPr>
    </w:p>
    <w:p>
      <w:pPr>
        <w:ind w:left="1400" w:hanging="643"/>
        <w:spacing w:after="0"/>
        <w:tabs>
          <w:tab w:leader="none" w:pos="14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requested delivery date, and</w:t>
      </w:r>
    </w:p>
    <w:p>
      <w:pPr>
        <w:spacing w:after="0" w:line="233" w:lineRule="exact"/>
        <w:rPr>
          <w:rFonts w:ascii="Arial" w:cs="Arial" w:eastAsia="Arial" w:hAnsi="Arial"/>
          <w:sz w:val="22"/>
          <w:szCs w:val="22"/>
          <w:color w:val="auto"/>
        </w:rPr>
      </w:pPr>
    </w:p>
    <w:p>
      <w:pPr>
        <w:ind w:left="1400" w:hanging="643"/>
        <w:spacing w:after="0"/>
        <w:tabs>
          <w:tab w:leader="none" w:pos="14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destination (address) of delivery (“</w:t>
      </w:r>
      <w:r>
        <w:rPr>
          <w:rFonts w:ascii="Arial" w:cs="Arial" w:eastAsia="Arial" w:hAnsi="Arial"/>
          <w:sz w:val="22"/>
          <w:szCs w:val="22"/>
          <w:b w:val="1"/>
          <w:bCs w:val="1"/>
          <w:i w:val="1"/>
          <w:iCs w:val="1"/>
          <w:color w:val="auto"/>
        </w:rPr>
        <w:t>Destination of Delivery</w:t>
      </w:r>
      <w:r>
        <w:rPr>
          <w:rFonts w:ascii="Arial" w:cs="Arial" w:eastAsia="Arial" w:hAnsi="Arial"/>
          <w:sz w:val="22"/>
          <w:szCs w:val="22"/>
          <w:color w:val="auto"/>
        </w:rPr>
        <w:t>”).</w:t>
      </w:r>
    </w:p>
    <w:p>
      <w:pPr>
        <w:spacing w:after="0" w:line="233" w:lineRule="exact"/>
        <w:rPr>
          <w:sz w:val="20"/>
          <w:szCs w:val="20"/>
          <w:color w:val="auto"/>
        </w:rPr>
      </w:pPr>
    </w:p>
    <w:p>
      <w:pPr>
        <w:ind w:left="940" w:right="20" w:hanging="647"/>
        <w:spacing w:after="0" w:line="276" w:lineRule="auto"/>
        <w:tabs>
          <w:tab w:leader="none" w:pos="92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color w:val="auto"/>
        </w:rPr>
        <w:t>Neither Seller’s terms and conditions of sale and delivery nor Cytek Biosciences, Inc.’s terms and conditions of purchase shall apply to any purchase and sale made under this Agreement.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4" w:lineRule="exact"/>
        <w:rPr>
          <w:sz w:val="20"/>
          <w:szCs w:val="20"/>
          <w:color w:val="auto"/>
        </w:rPr>
      </w:pPr>
    </w:p>
    <w:p>
      <w:pPr>
        <w:ind w:right="300" w:firstLine="8"/>
        <w:spacing w:after="0" w:line="293"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8" w:name="page69"/>
    <w:bookmarkEnd w:id="68"/>
    <w:p>
      <w:pPr>
        <w:jc w:val="both"/>
        <w:ind w:left="940" w:hanging="647"/>
        <w:spacing w:after="0" w:line="261" w:lineRule="auto"/>
        <w:tabs>
          <w:tab w:leader="none" w:pos="92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Cytek Biosciences, Inc. may cancel any Order by providing written notice to Seller no later than [*] prior to the [*] date specified therein (a “</w:t>
      </w:r>
      <w:r>
        <w:rPr>
          <w:rFonts w:ascii="Arial" w:cs="Arial" w:eastAsia="Arial" w:hAnsi="Arial"/>
          <w:sz w:val="22"/>
          <w:szCs w:val="22"/>
          <w:b w:val="1"/>
          <w:bCs w:val="1"/>
          <w:i w:val="1"/>
          <w:iCs w:val="1"/>
          <w:color w:val="auto"/>
        </w:rPr>
        <w:t>Permitted Cancellation</w:t>
      </w:r>
      <w:r>
        <w:rPr>
          <w:rFonts w:ascii="Arial" w:cs="Arial" w:eastAsia="Arial" w:hAnsi="Arial"/>
          <w:sz w:val="22"/>
          <w:szCs w:val="22"/>
          <w:color w:val="auto"/>
        </w:rPr>
        <w:t>”). Cytek Biosciences, Inc. shall not be required [*] with respect to a Permitted Cancellation or [*] as a result of a Permitted Cancellation. However, notwithstanding the forgoing sentence, in the event that any Permitted Cancellation [*] for the period during which such Order was placed, the [*] and Cytek Biosciences, Inc. shall [*].</w:t>
      </w:r>
    </w:p>
    <w:p>
      <w:pPr>
        <w:spacing w:after="0" w:line="18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PRICE</w:t>
      </w:r>
    </w:p>
    <w:p>
      <w:pPr>
        <w:spacing w:after="0" w:line="239" w:lineRule="exact"/>
        <w:rPr>
          <w:sz w:val="20"/>
          <w:szCs w:val="20"/>
          <w:color w:val="auto"/>
        </w:rPr>
      </w:pPr>
    </w:p>
    <w:p>
      <w:pPr>
        <w:jc w:val="both"/>
        <w:ind w:left="940" w:hanging="647"/>
        <w:spacing w:after="0" w:line="261" w:lineRule="auto"/>
        <w:tabs>
          <w:tab w:leader="none" w:pos="9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22"/>
          <w:szCs w:val="22"/>
          <w:color w:val="auto"/>
        </w:rPr>
        <w:t>The price (“</w:t>
      </w:r>
      <w:r>
        <w:rPr>
          <w:rFonts w:ascii="Arial" w:cs="Arial" w:eastAsia="Arial" w:hAnsi="Arial"/>
          <w:sz w:val="22"/>
          <w:szCs w:val="22"/>
          <w:b w:val="1"/>
          <w:bCs w:val="1"/>
          <w:i w:val="1"/>
          <w:iCs w:val="1"/>
          <w:color w:val="auto"/>
        </w:rPr>
        <w:t>Price</w:t>
      </w:r>
      <w:r>
        <w:rPr>
          <w:rFonts w:ascii="Arial" w:cs="Arial" w:eastAsia="Arial" w:hAnsi="Arial"/>
          <w:sz w:val="22"/>
          <w:szCs w:val="22"/>
          <w:color w:val="auto"/>
        </w:rPr>
        <w:t xml:space="preserve">”) for the Products is specified in </w:t>
      </w:r>
      <w:r>
        <w:rPr>
          <w:rFonts w:ascii="Arial" w:cs="Arial" w:eastAsia="Arial" w:hAnsi="Arial"/>
          <w:sz w:val="22"/>
          <w:szCs w:val="22"/>
          <w:i w:val="1"/>
          <w:iCs w:val="1"/>
          <w:color w:val="auto"/>
        </w:rPr>
        <w:t>Schedule 1</w:t>
      </w:r>
      <w:r>
        <w:rPr>
          <w:rFonts w:ascii="Arial" w:cs="Arial" w:eastAsia="Arial" w:hAnsi="Arial"/>
          <w:sz w:val="22"/>
          <w:szCs w:val="22"/>
          <w:color w:val="auto"/>
        </w:rPr>
        <w:t xml:space="preserve"> hereof and shall be (i) on the basis of [*] INCOTERMS 2020, for purchases [*], (ii) on the basis of [*] INCOTERMS 2020, for Orders [*] and (iii) on the basis of [*] INCOTERMS 2020, for Orders [*]. Notwithstanding the incoterms specified in this Section 3.1, the Price excludes freight changes, which shall be included as a line item in Seller’s quote, and statutory VAT and other taxes, if any, and Seller shall invoice Cytek Biosciences, Inc. for such charges.</w:t>
      </w:r>
    </w:p>
    <w:p>
      <w:pPr>
        <w:spacing w:after="0" w:line="190"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The price remains fixed for the term of this Agreement.</w:t>
      </w:r>
    </w:p>
    <w:p>
      <w:pPr>
        <w:spacing w:after="0" w:line="22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INVOICING AND PAYMENT</w:t>
      </w:r>
    </w:p>
    <w:p>
      <w:pPr>
        <w:spacing w:after="0" w:line="239" w:lineRule="exact"/>
        <w:rPr>
          <w:sz w:val="20"/>
          <w:szCs w:val="20"/>
          <w:color w:val="auto"/>
        </w:rPr>
      </w:pPr>
    </w:p>
    <w:p>
      <w:pPr>
        <w:jc w:val="both"/>
        <w:ind w:left="940" w:hanging="647"/>
        <w:spacing w:after="0" w:line="266" w:lineRule="auto"/>
        <w:tabs>
          <w:tab w:leader="none" w:pos="92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2"/>
          <w:szCs w:val="22"/>
          <w:color w:val="auto"/>
        </w:rPr>
        <w:t>Seller shall provide to Cytek Biosciences, Inc. a written invoice for each shipment of Product shipped to Cytek Biosciences Inc. Cytek Biosciences, Inc. shall pay to Seller the Price for the Products ordered within [*] days of the receipt of invoice.</w:t>
      </w:r>
    </w:p>
    <w:p>
      <w:pPr>
        <w:spacing w:after="0" w:line="179"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DELIVERY AND STOCK</w:t>
      </w:r>
    </w:p>
    <w:p>
      <w:pPr>
        <w:spacing w:after="0" w:line="239"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8"/>
          <w:szCs w:val="18"/>
          <w:color w:val="auto"/>
        </w:rPr>
        <w:t>Reserved.</w:t>
      </w:r>
    </w:p>
    <w:p>
      <w:pPr>
        <w:spacing w:after="0" w:line="233"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2"/>
          <w:szCs w:val="22"/>
          <w:color w:val="auto"/>
        </w:rPr>
        <w:t>[*].</w:t>
      </w:r>
    </w:p>
    <w:p>
      <w:pPr>
        <w:spacing w:after="0" w:line="233" w:lineRule="exact"/>
        <w:rPr>
          <w:sz w:val="20"/>
          <w:szCs w:val="20"/>
          <w:color w:val="auto"/>
        </w:rPr>
      </w:pPr>
    </w:p>
    <w:p>
      <w:pPr>
        <w:jc w:val="both"/>
        <w:ind w:left="940" w:hanging="647"/>
        <w:spacing w:after="0" w:line="266" w:lineRule="auto"/>
        <w:tabs>
          <w:tab w:leader="none" w:pos="9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22"/>
          <w:szCs w:val="22"/>
          <w:color w:val="auto"/>
        </w:rPr>
        <w:t>[*]. If Seller fails to deliver to Cytek Biosciences, Inc. on a timely basis the full amount of Product under any Order, Seller shall [*]. Further, should either Party [*] that a shortfall in delivery of Product by Seller is [*], the Parties shall discuss [*] appropriate steps to alleviate such a shortfall.</w:t>
      </w:r>
    </w:p>
    <w:p>
      <w:pPr>
        <w:spacing w:after="0" w:line="185" w:lineRule="exact"/>
        <w:rPr>
          <w:sz w:val="20"/>
          <w:szCs w:val="20"/>
          <w:color w:val="auto"/>
        </w:rPr>
      </w:pPr>
    </w:p>
    <w:p>
      <w:pPr>
        <w:jc w:val="both"/>
        <w:ind w:left="940" w:hanging="647"/>
        <w:spacing w:after="0" w:line="276" w:lineRule="auto"/>
        <w:tabs>
          <w:tab w:leader="none" w:pos="92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2"/>
          <w:szCs w:val="22"/>
          <w:color w:val="auto"/>
        </w:rPr>
        <w:t xml:space="preserve">In order to ensure punctual deliveries, Seller shall hold during the term of this Agreement a minimum stock of Products in accordance with the quantities and terms set forth in </w:t>
      </w:r>
      <w:r>
        <w:rPr>
          <w:rFonts w:ascii="Arial" w:cs="Arial" w:eastAsia="Arial" w:hAnsi="Arial"/>
          <w:sz w:val="22"/>
          <w:szCs w:val="22"/>
          <w:i w:val="1"/>
          <w:iCs w:val="1"/>
          <w:color w:val="auto"/>
        </w:rPr>
        <w:t>Schedule 1</w:t>
      </w:r>
      <w:r>
        <w:rPr>
          <w:rFonts w:ascii="Arial" w:cs="Arial" w:eastAsia="Arial" w:hAnsi="Arial"/>
          <w:sz w:val="22"/>
          <w:szCs w:val="22"/>
          <w:color w:val="auto"/>
        </w:rPr>
        <w:t>.</w:t>
      </w:r>
    </w:p>
    <w:p>
      <w:pPr>
        <w:spacing w:after="0" w:line="174" w:lineRule="exact"/>
        <w:rPr>
          <w:sz w:val="20"/>
          <w:szCs w:val="20"/>
          <w:color w:val="auto"/>
        </w:rPr>
      </w:pPr>
    </w:p>
    <w:p>
      <w:pPr>
        <w:jc w:val="both"/>
        <w:ind w:left="940" w:hanging="647"/>
        <w:spacing w:after="0" w:line="260" w:lineRule="auto"/>
        <w:tabs>
          <w:tab w:leader="none" w:pos="92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22"/>
          <w:szCs w:val="22"/>
          <w:color w:val="auto"/>
        </w:rPr>
        <w:t xml:space="preserve">Seller shall deliver to Cytek Biosciences, Inc. or its designee, at the delivery destination and by the delivery date specified in the Order Acknowledgement, the specified quantity of Product conforming with the Specifications and that has been manufactured in accordance with the quality standards set forth in </w:t>
      </w:r>
      <w:r>
        <w:rPr>
          <w:rFonts w:ascii="Arial" w:cs="Arial" w:eastAsia="Arial" w:hAnsi="Arial"/>
          <w:sz w:val="22"/>
          <w:szCs w:val="22"/>
          <w:i w:val="1"/>
          <w:iCs w:val="1"/>
          <w:color w:val="auto"/>
        </w:rPr>
        <w:t>Schedule 1</w:t>
      </w:r>
      <w:r>
        <w:rPr>
          <w:rFonts w:ascii="Arial" w:cs="Arial" w:eastAsia="Arial" w:hAnsi="Arial"/>
          <w:sz w:val="22"/>
          <w:szCs w:val="22"/>
          <w:color w:val="auto"/>
        </w:rPr>
        <w:t>, and other requirements as set forth in this Agreement. Seller shall deliver to Cytek Biosciences, Inc. with the ordered Product a packing note quoting or attaching the following: (a) Order number of the delivered Product; and (b) any documentation that Seller customarily includes.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4" w:lineRule="exact"/>
        <w:rPr>
          <w:sz w:val="20"/>
          <w:szCs w:val="20"/>
          <w:color w:val="auto"/>
        </w:rPr>
      </w:pPr>
    </w:p>
    <w:p>
      <w:pPr>
        <w:ind w:right="300" w:firstLine="8"/>
        <w:spacing w:after="0" w:line="293"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69" w:name="page70"/>
    <w:bookmarkEnd w:id="69"/>
    <w:p>
      <w:pPr>
        <w:ind w:left="660" w:hanging="652"/>
        <w:spacing w:after="0"/>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TITLE AND RISK</w:t>
      </w:r>
    </w:p>
    <w:p>
      <w:pPr>
        <w:spacing w:after="0" w:line="239" w:lineRule="exact"/>
        <w:rPr>
          <w:sz w:val="20"/>
          <w:szCs w:val="20"/>
          <w:color w:val="auto"/>
        </w:rPr>
      </w:pPr>
    </w:p>
    <w:p>
      <w:pPr>
        <w:ind w:left="940" w:hanging="647"/>
        <w:spacing w:after="0" w:line="276" w:lineRule="auto"/>
        <w:tabs>
          <w:tab w:leader="none" w:pos="92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color w:val="auto"/>
        </w:rPr>
        <w:t>Risk of loss or damage to the Products shall pass from the Seller to Cytek Biosciences, Inc. [*]. Title shall transfer to Cytek Biosciences, Inc. [*].</w:t>
      </w:r>
    </w:p>
    <w:p>
      <w:pPr>
        <w:spacing w:after="0" w:line="168"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AUDITS</w:t>
      </w:r>
    </w:p>
    <w:p>
      <w:pPr>
        <w:spacing w:after="0" w:line="239"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8"/>
          <w:szCs w:val="18"/>
          <w:color w:val="auto"/>
        </w:rPr>
        <w:t>Reserved.</w:t>
      </w:r>
    </w:p>
    <w:p>
      <w:pPr>
        <w:spacing w:after="0" w:line="233" w:lineRule="exact"/>
        <w:rPr>
          <w:sz w:val="20"/>
          <w:szCs w:val="20"/>
          <w:color w:val="auto"/>
        </w:rPr>
      </w:pPr>
    </w:p>
    <w:p>
      <w:pPr>
        <w:jc w:val="both"/>
        <w:ind w:left="940" w:hanging="647"/>
        <w:spacing w:after="0" w:line="270" w:lineRule="auto"/>
        <w:tabs>
          <w:tab w:leader="none" w:pos="9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No more than [*] in any [*] period during the Term and upon no less than [*] prior written notice, Cytek Biosciences, Inc. may conduct a reasonable audit of Seller’s facility and business records which are directly related to Seller’s performance of its obligations under this Agreement, provided, however, (a) that such audit may only take place during regular business hours at Seller’s facility (b) that any Cytek Biosciences, Inc. personnel conducting such audit sign Seller’s standard non-disclosure agreement before beginning such audit, (c) that Cytek Biosciences, Inc. personnel comply with applicable laws any and all reasonable instructions from Seller personnel with regards to such individuals’ behaviour and working conditions while at Seller’s facility, and (d) Cytek Biosciences, Inc. hereby expressly agrees to hold Seller harmless from any and all liability, losses or damages which are a direct result from the actions or inactions of such Cytek Biosciences, Inc. personnel while at Seller’s facility or which may arise from a breach by such Cytek Biosciences, Inc. personnel of the aforementioned non-disclosure agreement executed by such individuals. For the avoidance of doubt, Cytek Biosciences, Inc. and Seller acknowledge and agree that Seller shall not disclose to Cytek Biosciences, Inc. any confidential information of any third party or any privileged information during the performance of such an audit, including, for example, the name of any other Seller’s customer or information related thereto.</w:t>
      </w:r>
    </w:p>
    <w:p>
      <w:pPr>
        <w:spacing w:after="0" w:line="18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WARRANTY</w:t>
      </w:r>
    </w:p>
    <w:p>
      <w:pPr>
        <w:spacing w:after="0" w:line="239"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 xml:space="preserve">Seller warrants, for the applicable period specified in </w:t>
      </w:r>
      <w:r>
        <w:rPr>
          <w:rFonts w:ascii="Arial" w:cs="Arial" w:eastAsia="Arial" w:hAnsi="Arial"/>
          <w:sz w:val="19"/>
          <w:szCs w:val="19"/>
          <w:i w:val="1"/>
          <w:iCs w:val="1"/>
          <w:color w:val="auto"/>
        </w:rPr>
        <w:t>Schedule 1</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Warranty Period</w:t>
      </w:r>
      <w:r>
        <w:rPr>
          <w:rFonts w:ascii="Arial" w:cs="Arial" w:eastAsia="Arial" w:hAnsi="Arial"/>
          <w:sz w:val="19"/>
          <w:szCs w:val="19"/>
          <w:color w:val="auto"/>
        </w:rPr>
        <w:t>”) that the Products shall:</w:t>
      </w:r>
    </w:p>
    <w:p>
      <w:pPr>
        <w:spacing w:after="0" w:line="233" w:lineRule="exact"/>
        <w:rPr>
          <w:sz w:val="20"/>
          <w:szCs w:val="20"/>
          <w:color w:val="auto"/>
        </w:rPr>
      </w:pPr>
    </w:p>
    <w:p>
      <w:pPr>
        <w:ind w:left="1400" w:hanging="643"/>
        <w:spacing w:after="0"/>
        <w:tabs>
          <w:tab w:leader="none" w:pos="1400" w:val="left"/>
        </w:tabs>
        <w:numPr>
          <w:ilvl w:val="0"/>
          <w:numId w:val="38"/>
        </w:numPr>
        <w:rPr>
          <w:rFonts w:ascii="Arial" w:cs="Arial" w:eastAsia="Arial" w:hAnsi="Arial"/>
          <w:sz w:val="22"/>
          <w:szCs w:val="22"/>
          <w:color w:val="auto"/>
        </w:rPr>
      </w:pPr>
      <w:r>
        <w:rPr>
          <w:rFonts w:ascii="Arial" w:cs="Arial" w:eastAsia="Arial" w:hAnsi="Arial"/>
          <w:sz w:val="22"/>
          <w:szCs w:val="22"/>
          <w:color w:val="auto"/>
        </w:rPr>
        <w:t xml:space="preserve">conform to the Specifications as set out in </w:t>
      </w:r>
      <w:r>
        <w:rPr>
          <w:rFonts w:ascii="Arial" w:cs="Arial" w:eastAsia="Arial" w:hAnsi="Arial"/>
          <w:sz w:val="22"/>
          <w:szCs w:val="22"/>
          <w:i w:val="1"/>
          <w:iCs w:val="1"/>
          <w:color w:val="auto"/>
        </w:rPr>
        <w:t>Schedule 2</w:t>
      </w:r>
      <w:r>
        <w:rPr>
          <w:rFonts w:ascii="Arial" w:cs="Arial" w:eastAsia="Arial" w:hAnsi="Arial"/>
          <w:sz w:val="22"/>
          <w:szCs w:val="22"/>
          <w:color w:val="auto"/>
        </w:rPr>
        <w:t xml:space="preserve"> hereto, and</w:t>
      </w:r>
    </w:p>
    <w:p>
      <w:pPr>
        <w:spacing w:after="0" w:line="233" w:lineRule="exact"/>
        <w:rPr>
          <w:rFonts w:ascii="Arial" w:cs="Arial" w:eastAsia="Arial" w:hAnsi="Arial"/>
          <w:sz w:val="22"/>
          <w:szCs w:val="22"/>
          <w:color w:val="auto"/>
        </w:rPr>
      </w:pPr>
    </w:p>
    <w:p>
      <w:pPr>
        <w:ind w:left="1400" w:hanging="643"/>
        <w:spacing w:after="0"/>
        <w:tabs>
          <w:tab w:leader="none" w:pos="1400" w:val="left"/>
        </w:tabs>
        <w:numPr>
          <w:ilvl w:val="0"/>
          <w:numId w:val="38"/>
        </w:numPr>
        <w:rPr>
          <w:rFonts w:ascii="Arial" w:cs="Arial" w:eastAsia="Arial" w:hAnsi="Arial"/>
          <w:sz w:val="21"/>
          <w:szCs w:val="21"/>
          <w:color w:val="auto"/>
        </w:rPr>
      </w:pPr>
      <w:r>
        <w:rPr>
          <w:rFonts w:ascii="Arial" w:cs="Arial" w:eastAsia="Arial" w:hAnsi="Arial"/>
          <w:sz w:val="21"/>
          <w:szCs w:val="21"/>
          <w:color w:val="auto"/>
        </w:rPr>
        <w:t>be free from any errors and defects in manufacturing or material under proper use, service and condition.</w:t>
      </w:r>
    </w:p>
    <w:p>
      <w:pPr>
        <w:spacing w:after="0" w:line="245" w:lineRule="exact"/>
        <w:rPr>
          <w:sz w:val="20"/>
          <w:szCs w:val="20"/>
          <w:color w:val="auto"/>
        </w:rPr>
      </w:pPr>
    </w:p>
    <w:p>
      <w:pPr>
        <w:jc w:val="right"/>
        <w:ind w:left="280"/>
        <w:spacing w:after="0" w:line="299" w:lineRule="auto"/>
        <w:rPr>
          <w:sz w:val="20"/>
          <w:szCs w:val="20"/>
          <w:color w:val="auto"/>
        </w:rPr>
      </w:pPr>
      <w:r>
        <w:rPr>
          <w:rFonts w:ascii="Arial" w:cs="Arial" w:eastAsia="Arial" w:hAnsi="Arial"/>
          <w:sz w:val="19"/>
          <w:szCs w:val="19"/>
          <w:color w:val="auto"/>
        </w:rPr>
        <w:t>8.2    Cytek Biosciences, Inc. shall inspect the received Products within [*] after receipt of the delivery and shall inform the Seller within a further period of [*] of any apparent defect. Non-apparent defects shall be informed to the Seller within</w:t>
      </w:r>
    </w:p>
    <w:p>
      <w:pPr>
        <w:jc w:val="both"/>
        <w:ind w:left="940" w:hanging="3"/>
        <w:spacing w:after="0" w:line="264" w:lineRule="auto"/>
        <w:tabs>
          <w:tab w:leader="none" w:pos="1265" w:val="left"/>
        </w:tabs>
        <w:numPr>
          <w:ilvl w:val="0"/>
          <w:numId w:val="39"/>
        </w:numPr>
        <w:rPr>
          <w:rFonts w:ascii="Arial" w:cs="Arial" w:eastAsia="Arial" w:hAnsi="Arial"/>
          <w:sz w:val="22"/>
          <w:szCs w:val="22"/>
          <w:color w:val="auto"/>
        </w:rPr>
      </w:pPr>
      <w:r>
        <w:rPr>
          <w:rFonts w:ascii="Arial" w:cs="Arial" w:eastAsia="Arial" w:hAnsi="Arial"/>
          <w:sz w:val="22"/>
          <w:szCs w:val="22"/>
          <w:color w:val="auto"/>
        </w:rPr>
        <w:t>after they have become apparent. Any defects that Cytek Biosciences, Inc. informs the Seller of pursuant to this paragraph shall be addressed under warranty pursuant to Section 8.3 below and shall not impair the earlier transfer of title.</w:t>
      </w:r>
    </w:p>
    <w:p>
      <w:pPr>
        <w:spacing w:after="0" w:line="187" w:lineRule="exact"/>
        <w:rPr>
          <w:sz w:val="20"/>
          <w:szCs w:val="20"/>
          <w:color w:val="auto"/>
        </w:rPr>
      </w:pPr>
    </w:p>
    <w:p>
      <w:pPr>
        <w:ind w:left="940" w:hanging="647"/>
        <w:spacing w:after="0" w:line="276" w:lineRule="auto"/>
        <w:tabs>
          <w:tab w:leader="none" w:pos="92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2"/>
          <w:szCs w:val="22"/>
          <w:color w:val="auto"/>
        </w:rPr>
        <w:t>If Cytek Biosciences, Inc. notifies Seller that the Products are defective and/or do not conform with the warranty given in Section 8.1 above (“</w:t>
      </w:r>
      <w:r>
        <w:rPr>
          <w:rFonts w:ascii="Arial" w:cs="Arial" w:eastAsia="Arial" w:hAnsi="Arial"/>
          <w:sz w:val="22"/>
          <w:szCs w:val="22"/>
          <w:b w:val="1"/>
          <w:bCs w:val="1"/>
          <w:i w:val="1"/>
          <w:iCs w:val="1"/>
          <w:color w:val="auto"/>
        </w:rPr>
        <w:t>Defective Products</w:t>
      </w:r>
      <w:r>
        <w:rPr>
          <w:rFonts w:ascii="Arial" w:cs="Arial" w:eastAsia="Arial" w:hAnsi="Arial"/>
          <w:sz w:val="22"/>
          <w:szCs w:val="22"/>
          <w:color w:val="auto"/>
        </w:rPr>
        <w:t>”), the Seller shall [*]:</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4" w:lineRule="exact"/>
        <w:rPr>
          <w:sz w:val="20"/>
          <w:szCs w:val="20"/>
          <w:color w:val="auto"/>
        </w:rPr>
      </w:pPr>
    </w:p>
    <w:p>
      <w:pPr>
        <w:ind w:right="300" w:firstLine="8"/>
        <w:spacing w:after="0" w:line="293"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70" w:name="page71"/>
    <w:bookmarkEnd w:id="70"/>
    <w:p>
      <w:pPr>
        <w:ind w:left="1400" w:hanging="643"/>
        <w:spacing w:after="0"/>
        <w:tabs>
          <w:tab w:leader="none" w:pos="14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replace the Defective Products [*], or</w:t>
      </w:r>
    </w:p>
    <w:p>
      <w:pPr>
        <w:spacing w:after="0" w:line="233" w:lineRule="exact"/>
        <w:rPr>
          <w:rFonts w:ascii="Arial" w:cs="Arial" w:eastAsia="Arial" w:hAnsi="Arial"/>
          <w:sz w:val="22"/>
          <w:szCs w:val="22"/>
          <w:color w:val="auto"/>
        </w:rPr>
      </w:pPr>
    </w:p>
    <w:p>
      <w:pPr>
        <w:ind w:left="1400" w:hanging="643"/>
        <w:spacing w:after="0"/>
        <w:tabs>
          <w:tab w:leader="none" w:pos="14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repair the Products, or</w:t>
      </w:r>
    </w:p>
    <w:p>
      <w:pPr>
        <w:spacing w:after="0" w:line="233" w:lineRule="exact"/>
        <w:rPr>
          <w:rFonts w:ascii="Arial" w:cs="Arial" w:eastAsia="Arial" w:hAnsi="Arial"/>
          <w:sz w:val="22"/>
          <w:szCs w:val="22"/>
          <w:color w:val="auto"/>
        </w:rPr>
      </w:pPr>
    </w:p>
    <w:p>
      <w:pPr>
        <w:ind w:left="1400" w:hanging="643"/>
        <w:spacing w:after="0"/>
        <w:tabs>
          <w:tab w:leader="none" w:pos="14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p>
    <w:p>
      <w:pPr>
        <w:spacing w:after="0" w:line="233" w:lineRule="exact"/>
        <w:rPr>
          <w:sz w:val="20"/>
          <w:szCs w:val="20"/>
          <w:color w:val="auto"/>
        </w:rPr>
      </w:pPr>
    </w:p>
    <w:p>
      <w:pPr>
        <w:jc w:val="both"/>
        <w:ind w:left="940" w:hanging="647"/>
        <w:spacing w:after="0" w:line="266" w:lineRule="auto"/>
        <w:tabs>
          <w:tab w:leader="none" w:pos="920" w:val="left"/>
        </w:tabs>
        <w:rPr>
          <w:sz w:val="20"/>
          <w:szCs w:val="20"/>
          <w:color w:val="auto"/>
        </w:rPr>
      </w:pPr>
      <w:r>
        <w:rPr>
          <w:rFonts w:ascii="Arial" w:cs="Arial" w:eastAsia="Arial" w:hAnsi="Arial"/>
          <w:sz w:val="22"/>
          <w:szCs w:val="22"/>
          <w:color w:val="auto"/>
        </w:rPr>
        <w:t>8.4</w:t>
      </w:r>
      <w:r>
        <w:rPr>
          <w:sz w:val="20"/>
          <w:szCs w:val="20"/>
          <w:color w:val="auto"/>
        </w:rPr>
        <w:tab/>
      </w:r>
      <w:r>
        <w:rPr>
          <w:rFonts w:ascii="Arial" w:cs="Arial" w:eastAsia="Arial" w:hAnsi="Arial"/>
          <w:sz w:val="22"/>
          <w:szCs w:val="22"/>
          <w:color w:val="auto"/>
        </w:rPr>
        <w:t>Cytek Biosciences, Inc. will return Products to Seller [*]. Seller will ship the repaired or replaced item [*]. [*]. In the event a Product is returned to Seller and it is [*] determined by Seller that such Product is not a Defective Product, Cytek Biosciences, Inc. shall reimburse Seller for [*].</w:t>
      </w:r>
    </w:p>
    <w:p>
      <w:pPr>
        <w:spacing w:after="0" w:line="185" w:lineRule="exact"/>
        <w:rPr>
          <w:sz w:val="20"/>
          <w:szCs w:val="20"/>
          <w:color w:val="auto"/>
        </w:rPr>
      </w:pPr>
    </w:p>
    <w:p>
      <w:pPr>
        <w:jc w:val="both"/>
        <w:ind w:left="940" w:hanging="647"/>
        <w:spacing w:after="0" w:line="269" w:lineRule="auto"/>
        <w:tabs>
          <w:tab w:leader="none" w:pos="92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1"/>
          <w:szCs w:val="21"/>
          <w:color w:val="auto"/>
        </w:rPr>
        <w:t>TO THE MAXIMUM EXTENT PERMITTED BY APPLICABLE LAW, THE WARRANTY CONSTITUTES SELLER’S EXCLUSIVE LIABILITY AND OBLIGATION, AND CYTEK BIOSCIENCES, INC.’S EXCLUSIVE REMEDY FOR ANY DEFECT OR NONCONFORMITY. THIS WARRANTY IS EXCLUSIVE, AND IN LIEU OF ALL OTHER WARRANTIES. SELLER MAKES NO OTHER WARRANTIES, EXPRESS, IMPLIED, OR STATUTORY, INCLUDING WITHOUT LIMITATION ANY WARRANTIES OF MERCHANTABILITY, FITNESS FOR A PARTICULAR PURPOSE, OR NONINFRINGEMENT (EXCEPT AS PROVIDED IN SECTION 9.1(e)</w:t>
      </w:r>
    </w:p>
    <w:p>
      <w:pPr>
        <w:ind w:left="940"/>
        <w:spacing w:after="0" w:line="272" w:lineRule="auto"/>
        <w:rPr>
          <w:sz w:val="20"/>
          <w:szCs w:val="20"/>
          <w:color w:val="auto"/>
        </w:rPr>
      </w:pPr>
      <w:r>
        <w:rPr>
          <w:rFonts w:ascii="Arial" w:cs="Arial" w:eastAsia="Arial" w:hAnsi="Arial"/>
          <w:sz w:val="22"/>
          <w:szCs w:val="22"/>
          <w:color w:val="auto"/>
        </w:rPr>
        <w:t>BELOW), OR THAT MAY ARISE FROM ANY COURSE OF DEALING, COURSE OF PERFORMANCE, OR USAGE IN THE TRADE.</w:t>
      </w:r>
    </w:p>
    <w:p>
      <w:pPr>
        <w:spacing w:after="0" w:line="178" w:lineRule="exact"/>
        <w:rPr>
          <w:sz w:val="20"/>
          <w:szCs w:val="20"/>
          <w:color w:val="auto"/>
        </w:rPr>
      </w:pPr>
    </w:p>
    <w:p>
      <w:pPr>
        <w:jc w:val="both"/>
        <w:ind w:left="940" w:hanging="647"/>
        <w:spacing w:after="0" w:line="261" w:lineRule="auto"/>
        <w:tabs>
          <w:tab w:leader="none" w:pos="92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22"/>
          <w:szCs w:val="22"/>
          <w:color w:val="auto"/>
        </w:rPr>
        <w:t>OTHER THAN AS PROVIDED WITH RESPECT TO SELLER’S EXPRESS WARRANTY OBLIGATIONS IN THIS AGREEMENT, SELLER IS NOT LIABLE FOR ANY COSTS ASSOCIATED WITH THE REPLACEMENT OR REPAIR OF ANY PRODUCT, INCLUDING LABOR, INSTALLATION, OR OTHER COSTS INCURRED BY CYTEK BIOSCIENCES, INC. AND, IN PARTICULAR, ANY COSTS RELATING TO THE REMOVAL OR REPLACEMENT OF ANY PRODUCT.</w:t>
      </w:r>
    </w:p>
    <w:p>
      <w:pPr>
        <w:spacing w:after="0" w:line="18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REPRESENTATIONS</w:t>
      </w:r>
    </w:p>
    <w:p>
      <w:pPr>
        <w:spacing w:after="0" w:line="239" w:lineRule="exact"/>
        <w:rPr>
          <w:sz w:val="20"/>
          <w:szCs w:val="20"/>
          <w:color w:val="auto"/>
        </w:rPr>
      </w:pPr>
    </w:p>
    <w:p>
      <w:pPr>
        <w:jc w:val="both"/>
        <w:ind w:left="940" w:hanging="647"/>
        <w:spacing w:after="0" w:line="306" w:lineRule="auto"/>
        <w:tabs>
          <w:tab w:leader="none" w:pos="92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Seller represents and covenants that (a) it has not been debarred by any applicable regulatory authority, and has not been convicted of a crime that could lead to such debarment, (b) it shall not enter into any agreement or arrangement with any other entity that would prevent or in any way interfere with Seller’s ability to perform its obligations pursuant to this Agreement; (c) the Products shall be free and clear of any and all encumbrances, liens, or other third party claims; (d) the Product shall be manufactured in compliance with all laws, regulations, and administrative rules applicable to Seller; and (e) the Products, in the form provided by Seller to Cytek Biosciences, Inc., shall not infringe or misappropriate the intellectual property rights of any Third Party.</w:t>
      </w:r>
    </w:p>
    <w:p>
      <w:pPr>
        <w:spacing w:after="0" w:line="156" w:lineRule="exact"/>
        <w:rPr>
          <w:sz w:val="20"/>
          <w:szCs w:val="20"/>
          <w:color w:val="auto"/>
        </w:rPr>
      </w:pPr>
    </w:p>
    <w:p>
      <w:pPr>
        <w:jc w:val="both"/>
        <w:ind w:left="940" w:hanging="647"/>
        <w:spacing w:after="0" w:line="327" w:lineRule="auto"/>
        <w:tabs>
          <w:tab w:leader="none" w:pos="9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Each Party hereby represents and warrants to the other Party that: (a) such Party has taken all necessary action on its part to authorize the execution and delivery of this Agreement and the performance of its obligations hereunder; (b) this Agreement has been duly executed and delivered on behalf of such Party, and constitutes a legal, valid,</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4" w:lineRule="exact"/>
        <w:rPr>
          <w:sz w:val="20"/>
          <w:szCs w:val="20"/>
          <w:color w:val="auto"/>
        </w:rPr>
      </w:pPr>
    </w:p>
    <w:p>
      <w:pPr>
        <w:ind w:right="300" w:firstLine="8"/>
        <w:spacing w:after="0" w:line="293"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1" w:name="page72"/>
    <w:bookmarkEnd w:id="71"/>
    <w:p>
      <w:pPr>
        <w:jc w:val="both"/>
        <w:ind w:left="940"/>
        <w:spacing w:after="0" w:line="266" w:lineRule="auto"/>
        <w:rPr>
          <w:sz w:val="20"/>
          <w:szCs w:val="20"/>
          <w:color w:val="auto"/>
        </w:rPr>
      </w:pPr>
      <w:r>
        <w:rPr>
          <w:rFonts w:ascii="Arial" w:cs="Arial" w:eastAsia="Arial" w:hAnsi="Arial"/>
          <w:sz w:val="22"/>
          <w:szCs w:val="22"/>
          <w:color w:val="auto"/>
        </w:rPr>
        <w:t>binding obligation, enforceable against such Party in accordance with its terms; and (c) the execution and delivery of this Agreement and the performance of such Party’s obligations hereunder do not conflict with, or constitute a default or require any consent under, any contractual obligation of such Party.</w:t>
      </w:r>
    </w:p>
    <w:p>
      <w:pPr>
        <w:spacing w:after="0" w:line="17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INDEMNIFICATION</w:t>
      </w:r>
    </w:p>
    <w:p>
      <w:pPr>
        <w:spacing w:after="0" w:line="239" w:lineRule="exact"/>
        <w:rPr>
          <w:sz w:val="20"/>
          <w:szCs w:val="20"/>
          <w:color w:val="auto"/>
        </w:rPr>
      </w:pPr>
    </w:p>
    <w:p>
      <w:pPr>
        <w:jc w:val="both"/>
        <w:ind w:left="940" w:hanging="647"/>
        <w:spacing w:after="0" w:line="260" w:lineRule="auto"/>
        <w:tabs>
          <w:tab w:leader="none" w:pos="920" w:val="left"/>
        </w:tabs>
        <w:rPr>
          <w:sz w:val="20"/>
          <w:szCs w:val="20"/>
          <w:color w:val="auto"/>
        </w:rPr>
      </w:pPr>
      <w:r>
        <w:rPr>
          <w:rFonts w:ascii="Arial" w:cs="Arial" w:eastAsia="Arial" w:hAnsi="Arial"/>
          <w:sz w:val="22"/>
          <w:szCs w:val="22"/>
          <w:color w:val="auto"/>
        </w:rPr>
        <w:t>10.1</w:t>
        <w:tab/>
        <w:t>Seller shall indemnify, defend and hold Cytek Biosciences, Inc. harmless from and against [*]. Cytek Biosciences, Inc. shall give written notice to Seller of any claim that may be subject to indemnification [*] after learning of such claim, and Seller shall assume the defense of such claim with competent counsel. Cytek Biosciences, Inc. shall give Seller sole control over the defence and settlement of such suit; and shall provide Seller with all needed information, assistance and authority, at [*] expense, to enable Seller to defend or settle such suit. [*]. In the case of Section 10.1(b), Seller [*] may [*].</w:t>
      </w:r>
    </w:p>
    <w:p>
      <w:pPr>
        <w:spacing w:after="0" w:line="192" w:lineRule="exact"/>
        <w:rPr>
          <w:sz w:val="20"/>
          <w:szCs w:val="20"/>
          <w:color w:val="auto"/>
        </w:rPr>
      </w:pPr>
    </w:p>
    <w:p>
      <w:pPr>
        <w:jc w:val="both"/>
        <w:ind w:left="940" w:hanging="647"/>
        <w:spacing w:after="0" w:line="297" w:lineRule="auto"/>
        <w:tabs>
          <w:tab w:leader="none" w:pos="92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Seller will have no liability for, and the obligations of Seller under Section 10.1 will not apply to any claim arising from or related to (i) the use of Products as a part of or in combination with any other devices, parts, processes or methods [*] or [*]; (ii) Seller’s compliance with any designs, specifications, or instructions provided by or for Cytek Biosciences, Inc.; (iii) the use of Products contrary to any instructions issued by Seller or in breach of this Agreement;</w:t>
      </w:r>
    </w:p>
    <w:p>
      <w:pPr>
        <w:spacing w:after="0" w:line="3" w:lineRule="exact"/>
        <w:rPr>
          <w:sz w:val="20"/>
          <w:szCs w:val="20"/>
          <w:color w:val="auto"/>
        </w:rPr>
      </w:pPr>
    </w:p>
    <w:p>
      <w:pPr>
        <w:jc w:val="both"/>
        <w:ind w:left="940" w:hanging="3"/>
        <w:spacing w:after="0" w:line="264" w:lineRule="auto"/>
        <w:tabs>
          <w:tab w:leader="none" w:pos="1367" w:val="left"/>
        </w:tabs>
        <w:numPr>
          <w:ilvl w:val="0"/>
          <w:numId w:val="45"/>
        </w:numPr>
        <w:rPr>
          <w:rFonts w:ascii="Arial" w:cs="Arial" w:eastAsia="Arial" w:hAnsi="Arial"/>
          <w:sz w:val="22"/>
          <w:szCs w:val="22"/>
          <w:color w:val="auto"/>
        </w:rPr>
      </w:pPr>
      <w:r>
        <w:rPr>
          <w:rFonts w:ascii="Arial" w:cs="Arial" w:eastAsia="Arial" w:hAnsi="Arial"/>
          <w:sz w:val="22"/>
          <w:szCs w:val="22"/>
          <w:color w:val="auto"/>
        </w:rPr>
        <w:t>modifications or alterations to the Products; (v) the practice of any process or method relating to Cytek Biosciences, Inc.’s or its customers’ use of the Products; or (vi) use of the Products after receiving notice of such third party claim or by Seller (collectively, “</w:t>
      </w:r>
      <w:r>
        <w:rPr>
          <w:rFonts w:ascii="Arial" w:cs="Arial" w:eastAsia="Arial" w:hAnsi="Arial"/>
          <w:sz w:val="22"/>
          <w:szCs w:val="22"/>
          <w:b w:val="1"/>
          <w:bCs w:val="1"/>
          <w:i w:val="1"/>
          <w:iCs w:val="1"/>
          <w:color w:val="auto"/>
        </w:rPr>
        <w:t>Excluded Claims</w:t>
      </w:r>
      <w:r>
        <w:rPr>
          <w:rFonts w:ascii="Arial" w:cs="Arial" w:eastAsia="Arial" w:hAnsi="Arial"/>
          <w:sz w:val="22"/>
          <w:szCs w:val="22"/>
          <w:color w:val="auto"/>
        </w:rPr>
        <w:t>”).</w:t>
      </w:r>
    </w:p>
    <w:p>
      <w:pPr>
        <w:spacing w:after="0" w:line="187" w:lineRule="exact"/>
        <w:rPr>
          <w:sz w:val="20"/>
          <w:szCs w:val="20"/>
          <w:color w:val="auto"/>
        </w:rPr>
      </w:pPr>
    </w:p>
    <w:p>
      <w:pPr>
        <w:jc w:val="both"/>
        <w:ind w:left="940" w:hanging="647"/>
        <w:spacing w:after="0" w:line="272" w:lineRule="auto"/>
        <w:tabs>
          <w:tab w:leader="none" w:pos="92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21"/>
          <w:szCs w:val="21"/>
          <w:color w:val="auto"/>
        </w:rPr>
        <w:t>Cytek Biosciences, Inc. will, at its own expense, indemnify and hold Seller harmless from and against any liabilities, costs, damages, or losses resulting from any Excluded Claim, and will defend or settle at its own expense, including attorney’s fees and costs, any suit brought against Seller based on allegation arising from any Excluded Claim. Seller shall give written notice to Cytek Biosciences, Inc. of any claim that may be subject to indemnification [*] after learning of such claim, and Cytek Biosciences, Inc. shall assume the defense of such claim with competent counsel. Seller shall give Cytek Biosciences, Inc. sole control over the defense and settlement of such suit; and shall provide Cytek Biosciences, Inc. with all needed information, assistance and authority, at [*] expense, to enable Cytek Biosciences, Inc. to defend or settle such suit. Cytek Biosciences, Inc. shall not settle any such claim without the prior written consent of Seller [*].</w:t>
      </w:r>
    </w:p>
    <w:p>
      <w:pPr>
        <w:spacing w:after="0" w:line="183" w:lineRule="exact"/>
        <w:rPr>
          <w:sz w:val="20"/>
          <w:szCs w:val="20"/>
          <w:color w:val="auto"/>
        </w:rPr>
      </w:pPr>
    </w:p>
    <w:p>
      <w:pPr>
        <w:jc w:val="both"/>
        <w:ind w:left="940" w:hanging="647"/>
        <w:spacing w:after="0" w:line="308" w:lineRule="auto"/>
        <w:tabs>
          <w:tab w:leader="none" w:pos="92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THIS SECTION 10 STATES SELLER’S SOLE AND EXCLUSIVE LIABILITY AND OBLIGATION AND CYTEK BIOSCIENCES, INC.’S SOLE AND EXCLUSIVE REMEDY FOR ANY ACTUAL OR ALLEGED INFRINGEMENT OR MISAPPROPRIATION OF ANY PATENT, TRADEMARK, COPYRIGHT, TRADE SECRET OR OTHER INTELLECTUAL PROPERTY RIGHT BY ANY PRODUCTS OR SERVICES DELIVERED UNDER THESE TERMS, OR ANY PART THEREOF. THIS SECTION 10 IS IN LIEU OF AND REPLACES ANY OTHER EXPRESSED, IMPLIED OR STATUTORY WARRANTY AGAINST INFRINGEMENT. IN NO</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4" w:lineRule="exact"/>
        <w:rPr>
          <w:sz w:val="20"/>
          <w:szCs w:val="20"/>
          <w:color w:val="auto"/>
        </w:rPr>
      </w:pPr>
    </w:p>
    <w:p>
      <w:pPr>
        <w:ind w:right="300" w:firstLine="8"/>
        <w:spacing w:after="0" w:line="293"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2" w:name="page73"/>
    <w:bookmarkEnd w:id="72"/>
    <w:p>
      <w:pPr>
        <w:ind w:left="940" w:right="20"/>
        <w:spacing w:after="0" w:line="276" w:lineRule="auto"/>
        <w:rPr>
          <w:sz w:val="20"/>
          <w:szCs w:val="20"/>
          <w:color w:val="auto"/>
        </w:rPr>
      </w:pPr>
      <w:r>
        <w:rPr>
          <w:rFonts w:ascii="Arial" w:cs="Arial" w:eastAsia="Arial" w:hAnsi="Arial"/>
          <w:sz w:val="22"/>
          <w:szCs w:val="22"/>
          <w:color w:val="auto"/>
        </w:rPr>
        <w:t>EVENT WILL SELLER BE LIABLE FOR ANY CONSEQUENTIAL, INCIDENTAL, INDIRECT, EXEMPLARY, SPECIAL, OR OTHER DAMAGES RESULTING FROM ANY SUCH INFRINGEMENT.</w:t>
      </w:r>
    </w:p>
    <w:p>
      <w:pPr>
        <w:spacing w:after="0" w:line="168"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239" w:lineRule="exact"/>
        <w:rPr>
          <w:sz w:val="20"/>
          <w:szCs w:val="20"/>
          <w:color w:val="auto"/>
        </w:rPr>
      </w:pPr>
    </w:p>
    <w:p>
      <w:pPr>
        <w:jc w:val="both"/>
        <w:ind w:left="940" w:hanging="647"/>
        <w:spacing w:after="0" w:line="266" w:lineRule="auto"/>
        <w:tabs>
          <w:tab w:leader="none" w:pos="920" w:val="left"/>
        </w:tabs>
        <w:rPr>
          <w:sz w:val="20"/>
          <w:szCs w:val="20"/>
          <w:color w:val="auto"/>
        </w:rPr>
      </w:pPr>
      <w:r>
        <w:rPr>
          <w:rFonts w:ascii="Arial" w:cs="Arial" w:eastAsia="Arial" w:hAnsi="Arial"/>
          <w:sz w:val="22"/>
          <w:szCs w:val="22"/>
          <w:color w:val="auto"/>
        </w:rPr>
        <w:t>11.1</w:t>
        <w:tab/>
        <w:t>During the term of this Agreement and for [*] years thereafter, Seller shall maintain in effect and good standing policies for the following insurance coverages: [*]. At Cytek Biosciences, Inc.’s request, Seller shall provide Cytek Biosciences, Inc. with [*]</w:t>
      </w:r>
    </w:p>
    <w:p>
      <w:pPr>
        <w:spacing w:after="0" w:line="17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RESERVED</w:t>
      </w:r>
    </w:p>
    <w:p>
      <w:pPr>
        <w:spacing w:after="0" w:line="233" w:lineRule="exact"/>
        <w:rPr>
          <w:rFonts w:ascii="Arial" w:cs="Arial" w:eastAsia="Arial" w:hAnsi="Arial"/>
          <w:sz w:val="22"/>
          <w:szCs w:val="22"/>
          <w:b w:val="1"/>
          <w:bCs w:val="1"/>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39" w:lineRule="exact"/>
        <w:rPr>
          <w:sz w:val="20"/>
          <w:szCs w:val="20"/>
          <w:color w:val="auto"/>
        </w:rPr>
      </w:pPr>
    </w:p>
    <w:p>
      <w:pPr>
        <w:jc w:val="both"/>
        <w:ind w:left="1040" w:hanging="748"/>
        <w:spacing w:after="0" w:line="279" w:lineRule="auto"/>
        <w:rPr>
          <w:sz w:val="20"/>
          <w:szCs w:val="20"/>
          <w:color w:val="auto"/>
        </w:rPr>
      </w:pPr>
      <w:r>
        <w:rPr>
          <w:rFonts w:ascii="Arial" w:cs="Arial" w:eastAsia="Arial" w:hAnsi="Arial"/>
          <w:sz w:val="21"/>
          <w:szCs w:val="21"/>
          <w:color w:val="auto"/>
        </w:rPr>
        <w:t>13.1 The mutual non-disclosure agreement entered into by and between Seller and Cytek Biosciences, Inc., effective as of [*] (the “</w:t>
      </w:r>
      <w:r>
        <w:rPr>
          <w:rFonts w:ascii="Arial" w:cs="Arial" w:eastAsia="Arial" w:hAnsi="Arial"/>
          <w:sz w:val="21"/>
          <w:szCs w:val="21"/>
          <w:b w:val="1"/>
          <w:bCs w:val="1"/>
          <w:i w:val="1"/>
          <w:iCs w:val="1"/>
          <w:color w:val="auto"/>
        </w:rPr>
        <w:t>NDA</w:t>
      </w:r>
      <w:r>
        <w:rPr>
          <w:rFonts w:ascii="Arial" w:cs="Arial" w:eastAsia="Arial" w:hAnsi="Arial"/>
          <w:sz w:val="21"/>
          <w:szCs w:val="21"/>
          <w:color w:val="auto"/>
        </w:rPr>
        <w:t>”), is hereby incorporated herein, and shall apply to this Agreement, save only that (i) the term of the non-disclosure agreement shall continue for at least the Term of this Agreement, and (ii) the purpose of the NDA is modified to include disclosures pursuant to any Orders issued and filled hereunder. [*].</w:t>
      </w:r>
    </w:p>
    <w:p>
      <w:pPr>
        <w:spacing w:after="0" w:line="167"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39" w:lineRule="exact"/>
        <w:rPr>
          <w:sz w:val="20"/>
          <w:szCs w:val="20"/>
          <w:color w:val="auto"/>
        </w:rPr>
      </w:pPr>
    </w:p>
    <w:p>
      <w:pPr>
        <w:jc w:val="both"/>
        <w:ind w:left="940" w:hanging="647"/>
        <w:spacing w:after="0" w:line="303" w:lineRule="auto"/>
        <w:tabs>
          <w:tab w:leader="none" w:pos="92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19"/>
          <w:szCs w:val="19"/>
          <w:color w:val="auto"/>
        </w:rPr>
        <w:t>Cytek Biosciences, Inc. acknowledges that, as of the date of this Agreement, Cytek Biosciences, Inc. neither has nor is acquiring hereby any license, concession, rights for use (except as granted herein) or any other right, title or interest in or to any trademarks, trade names, patents, developments, specifications, techniques or other proprietary or confidential information related to the Products. Seller retains all rights in and to specifications, designs, engineering details, discoveries, inventions, patents, copyrights, trademarks, trade secrets and other intellectual and proprietary rights relating to the Products sold hereunder. The design, development or production of Products hereunder will not be deemed to be a “work made for hire” or “commissioned work” and Seller retains for itself all intellectual property and proprietary rights in and to all designs, engineering details, and other data and materials pertaining to any Products supplied by Seller and to all discoveries, inventions, patents and other proprietary rights arising out of the work done by Seller in connection with the Products or with any and all products developed by Seller as a result thereof. [*].</w:t>
      </w:r>
    </w:p>
    <w:p>
      <w:pPr>
        <w:spacing w:after="0" w:line="158"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8"/>
          <w:szCs w:val="18"/>
          <w:color w:val="auto"/>
        </w:rPr>
        <w:t>Reserved.</w:t>
      </w:r>
    </w:p>
    <w:p>
      <w:pPr>
        <w:spacing w:after="0" w:line="233"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18"/>
          <w:szCs w:val="18"/>
          <w:color w:val="auto"/>
        </w:rPr>
        <w:t>Reserved.</w:t>
      </w:r>
    </w:p>
    <w:p>
      <w:pPr>
        <w:spacing w:after="0" w:line="227"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2"/>
          <w:szCs w:val="22"/>
          <w:b w:val="1"/>
          <w:bCs w:val="1"/>
          <w:u w:val="single" w:color="auto"/>
          <w:color w:val="auto"/>
        </w:rPr>
      </w:pPr>
      <w:r>
        <w:rPr>
          <w:rFonts w:ascii="Arial" w:cs="Arial" w:eastAsia="Arial" w:hAnsi="Arial"/>
          <w:sz w:val="22"/>
          <w:szCs w:val="22"/>
          <w:b w:val="1"/>
          <w:bCs w:val="1"/>
          <w:u w:val="single" w:color="auto"/>
          <w:color w:val="auto"/>
        </w:rPr>
        <w:t>LIMITATION OF LIABILITY</w:t>
      </w:r>
    </w:p>
    <w:p>
      <w:pPr>
        <w:spacing w:after="0" w:line="239" w:lineRule="exact"/>
        <w:rPr>
          <w:sz w:val="20"/>
          <w:szCs w:val="20"/>
          <w:color w:val="auto"/>
        </w:rPr>
      </w:pPr>
    </w:p>
    <w:p>
      <w:pPr>
        <w:jc w:val="both"/>
        <w:ind w:left="940" w:hanging="647"/>
        <w:spacing w:after="0" w:line="266" w:lineRule="auto"/>
        <w:tabs>
          <w:tab w:leader="none" w:pos="920" w:val="left"/>
        </w:tabs>
        <w:rPr>
          <w:sz w:val="20"/>
          <w:szCs w:val="20"/>
          <w:color w:val="auto"/>
        </w:rPr>
      </w:pPr>
      <w:r>
        <w:rPr>
          <w:rFonts w:ascii="Arial" w:cs="Arial" w:eastAsia="Arial" w:hAnsi="Arial"/>
          <w:sz w:val="22"/>
          <w:szCs w:val="22"/>
          <w:color w:val="auto"/>
        </w:rPr>
        <w:t>15.1</w:t>
        <w:tab/>
        <w:t>TO THE EXTENT PERMITTED UNDER APPLICABLE LAW AND NOTWITHSTANDING ANYTHING TO THE CONTRARY CONTAINED IN THESE TERMS, IN NO EVENT WILL SELLER BE LIABLE FOR COSTS OF PROCUREMENT OF SUBSTITUTED PRODUCTS OR SERVICES, OR FOR LOST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4" w:lineRule="exact"/>
        <w:rPr>
          <w:sz w:val="20"/>
          <w:szCs w:val="20"/>
          <w:color w:val="auto"/>
        </w:rPr>
      </w:pPr>
    </w:p>
    <w:p>
      <w:pPr>
        <w:ind w:right="300" w:firstLine="8"/>
        <w:spacing w:after="0" w:line="293"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3" w:name="page74"/>
    <w:bookmarkEnd w:id="73"/>
    <w:p>
      <w:pPr>
        <w:jc w:val="both"/>
        <w:ind w:left="940"/>
        <w:spacing w:after="0" w:line="258" w:lineRule="auto"/>
        <w:rPr>
          <w:sz w:val="20"/>
          <w:szCs w:val="20"/>
          <w:color w:val="auto"/>
        </w:rPr>
      </w:pPr>
      <w:r>
        <w:rPr>
          <w:rFonts w:ascii="Arial" w:cs="Arial" w:eastAsia="Arial" w:hAnsi="Arial"/>
          <w:sz w:val="22"/>
          <w:szCs w:val="22"/>
          <w:color w:val="auto"/>
        </w:rPr>
        <w:t>PROFITS OR LOSS OF BUSINESS WHETHER OR NOT SELLER HAS BEEN ADVISED OF THE POSSIBILITY OF SUCH LOSS HOWEVER CAUSED, UNDER ANY LEGAL THEORY WHETHER FOR BREACH OR REPUDIATION OF CONTRACT, BREACH OF WARRANTY, NEGLIGENCE OR OTHERWISE. THE ESSENTIAL PURPOSE OF THIS PROVISION IS TO LIMIT THE POTENTIAL LIABILITY OF SELLER ARISING OUT OF OR RELATED TO THE TERMS AND/OR SALE, EVEN IF SELLER IS APPRISED OF OR SHOULD HAVE KNOWN THE LIKELIHOOD OF SUCH DAMAGES OCCURRING. NOTWITHSTANDING ANY PROVISION HEREIN TO THE CONTRARY, SELLER WILL NOT UNDER ANY CIRCUMSTANCES BE LIABLE FOR EXCESS COSTS OF REPROCUREMENT. FURTHER, UNDER NO CIRCUMSTANCES SHALL SELLER HAVE ANY LIABILITY FOR ANY CONSEQUENTIAL, INCIDENTAL, INDIRECT, EXEMPLARY, SPECIAL, OR OTHER DAMAGES.</w:t>
      </w:r>
    </w:p>
    <w:p>
      <w:pPr>
        <w:spacing w:after="0" w:line="197" w:lineRule="exact"/>
        <w:rPr>
          <w:sz w:val="20"/>
          <w:szCs w:val="20"/>
          <w:color w:val="auto"/>
        </w:rPr>
      </w:pPr>
    </w:p>
    <w:p>
      <w:pPr>
        <w:jc w:val="both"/>
        <w:ind w:left="940" w:hanging="647"/>
        <w:spacing w:after="0" w:line="272" w:lineRule="auto"/>
        <w:tabs>
          <w:tab w:leader="none" w:pos="920" w:val="left"/>
        </w:tabs>
        <w:rPr>
          <w:sz w:val="20"/>
          <w:szCs w:val="20"/>
          <w:color w:val="auto"/>
        </w:rPr>
      </w:pPr>
      <w:r>
        <w:rPr>
          <w:rFonts w:ascii="Arial" w:cs="Arial" w:eastAsia="Arial" w:hAnsi="Arial"/>
          <w:sz w:val="22"/>
          <w:szCs w:val="22"/>
          <w:color w:val="auto"/>
        </w:rPr>
        <w:t>15.2</w:t>
      </w:r>
      <w:r>
        <w:rPr>
          <w:sz w:val="20"/>
          <w:szCs w:val="20"/>
          <w:color w:val="auto"/>
        </w:rPr>
        <w:tab/>
      </w:r>
      <w:r>
        <w:rPr>
          <w:rFonts w:ascii="Arial" w:cs="Arial" w:eastAsia="Arial" w:hAnsi="Arial"/>
          <w:sz w:val="21"/>
          <w:szCs w:val="21"/>
          <w:color w:val="auto"/>
        </w:rPr>
        <w:t>NOTWITHSTANDING ANYTHING TO THE CONTRARY IN THESE TERMS, IN NO EVENT WILL SELLER’S TOTAL LIABILITY ARISING OUT OF OR RELATED TO THE TRANSACTION CONTEMPLATED HEREUNDER (INCLUDING BUT NOT LIMITED TO ANY WARRANTY OR INDEMNITY CLAIMS), REGARDLESS OF THE FORUM AND REGARDLESS OF WHETHER ANY ACTION OR CLAIM IS BASED ON CONTRACT, TORT OR OTHERWISE, EXCEED [*]. THIS LIMITATION IS CUMULATIVE, WITH ALL PAYMENTS TO CYTEK BIOSCIENCES, INC. FOR CLAIMS OR DAMAGES BEING AGGREGATED TO DETERMINE SATISFACTION OF THE LIMIT. THE EXISTENCE OF ONE OR MORE CLAIMS WILL NOT ENLARGE THE LIMIT. NO CLAIM, SUIT OR ACTION WILL BE BROUGHT AGAINST SELLER MORE THAN [*] AFTER THE RELATED CAUSE OF ACTION HAS TRANSPIRED.</w:t>
      </w:r>
    </w:p>
    <w:p>
      <w:pPr>
        <w:spacing w:after="0" w:line="183" w:lineRule="exact"/>
        <w:rPr>
          <w:sz w:val="20"/>
          <w:szCs w:val="20"/>
          <w:color w:val="auto"/>
        </w:rPr>
      </w:pPr>
    </w:p>
    <w:p>
      <w:pPr>
        <w:jc w:val="both"/>
        <w:ind w:left="940" w:hanging="647"/>
        <w:spacing w:after="0" w:line="259" w:lineRule="auto"/>
        <w:tabs>
          <w:tab w:leader="none" w:pos="920" w:val="left"/>
        </w:tabs>
        <w:rPr>
          <w:sz w:val="20"/>
          <w:szCs w:val="20"/>
          <w:color w:val="auto"/>
        </w:rPr>
      </w:pPr>
      <w:r>
        <w:rPr>
          <w:rFonts w:ascii="Arial" w:cs="Arial" w:eastAsia="Arial" w:hAnsi="Arial"/>
          <w:sz w:val="22"/>
          <w:szCs w:val="22"/>
          <w:color w:val="auto"/>
        </w:rPr>
        <w:t>15.3</w:t>
        <w:tab/>
        <w:t>CYTEK BIOSCIENCES, INC. ACKNOWLEDGES THAT SELLER HAS SET ITS PRICES AND FEES AND AGREED TO SELL PRODUCTS AND SERVICES TO CYTEK BIOSCIENCES, INC. IN RELIANCE UPON THE LIMITATIONS OF LIABILITY, DISCLAIMER OF WARRANTIES, EXCLUSION OF DAMAGES AND EXCLUSIVE REMEDIES SET FORTH HEREIN, AND THAT THE SAME FORM AN ESSENTIAL BASIS OF THE BARGAIN BETWEEN THE PARTIES, WITHOUT WHICH SELLER WOULD NOT HAVE AGREED TO SELL PRODUCTS AND SERVICES TO CYTEK BIOSCIENCES, INC. CYTEK BIOSCIENCES, INC. AGREES THAT SUCH PROVISIONS WILL SURVIVE AND APPLY NOTWITHSTANDING ANY FAILURE OF ESSENTIAL PURPOSE.</w:t>
      </w:r>
    </w:p>
    <w:p>
      <w:pPr>
        <w:spacing w:after="0" w:line="18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TERM AND TERMINATION</w:t>
      </w:r>
    </w:p>
    <w:p>
      <w:pPr>
        <w:spacing w:after="0" w:line="239"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This Agreement shall come into force and effect on the Effective Date and shall remain effective for a period of three</w:t>
      </w:r>
    </w:p>
    <w:p>
      <w:pPr>
        <w:spacing w:after="0" w:line="21" w:lineRule="exact"/>
        <w:rPr>
          <w:sz w:val="20"/>
          <w:szCs w:val="20"/>
          <w:color w:val="auto"/>
        </w:rPr>
      </w:pPr>
    </w:p>
    <w:p>
      <w:pPr>
        <w:ind w:left="940" w:hanging="3"/>
        <w:spacing w:after="0" w:line="272" w:lineRule="auto"/>
        <w:tabs>
          <w:tab w:leader="none" w:pos="1264" w:val="left"/>
        </w:tabs>
        <w:numPr>
          <w:ilvl w:val="1"/>
          <w:numId w:val="53"/>
        </w:numPr>
        <w:rPr>
          <w:rFonts w:ascii="Arial" w:cs="Arial" w:eastAsia="Arial" w:hAnsi="Arial"/>
          <w:sz w:val="22"/>
          <w:szCs w:val="22"/>
          <w:color w:val="auto"/>
        </w:rPr>
      </w:pPr>
      <w:r>
        <w:rPr>
          <w:rFonts w:ascii="Arial" w:cs="Arial" w:eastAsia="Arial" w:hAnsi="Arial"/>
          <w:sz w:val="22"/>
          <w:szCs w:val="22"/>
          <w:color w:val="auto"/>
        </w:rPr>
        <w:t>years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 Following the Term, it shall be automatically renewed for one subsequent period of one (1) year (the “</w:t>
      </w:r>
      <w:r>
        <w:rPr>
          <w:rFonts w:ascii="Arial" w:cs="Arial" w:eastAsia="Arial" w:hAnsi="Arial"/>
          <w:sz w:val="22"/>
          <w:szCs w:val="22"/>
          <w:b w:val="1"/>
          <w:bCs w:val="1"/>
          <w:i w:val="1"/>
          <w:iCs w:val="1"/>
          <w:color w:val="auto"/>
        </w:rPr>
        <w:t>Extension Term</w:t>
      </w:r>
      <w:r>
        <w:rPr>
          <w:rFonts w:ascii="Arial" w:cs="Arial" w:eastAsia="Arial" w:hAnsi="Arial"/>
          <w:sz w:val="22"/>
          <w:szCs w:val="22"/>
          <w:color w:val="auto"/>
        </w:rPr>
        <w:t>”), unless:</w:t>
      </w:r>
    </w:p>
    <w:p>
      <w:pPr>
        <w:spacing w:after="0" w:line="178" w:lineRule="exact"/>
        <w:rPr>
          <w:rFonts w:ascii="Arial" w:cs="Arial" w:eastAsia="Arial" w:hAnsi="Arial"/>
          <w:sz w:val="22"/>
          <w:szCs w:val="22"/>
          <w:color w:val="auto"/>
        </w:rPr>
      </w:pPr>
    </w:p>
    <w:p>
      <w:pPr>
        <w:ind w:left="1400" w:hanging="643"/>
        <w:spacing w:after="0" w:line="276" w:lineRule="auto"/>
        <w:tabs>
          <w:tab w:leader="none" w:pos="140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Party gives to the other Party a written notice not to renew this Agreement at least four (4) months prior to the expiration of the initial term, or</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4" w:lineRule="exact"/>
        <w:rPr>
          <w:sz w:val="20"/>
          <w:szCs w:val="20"/>
          <w:color w:val="auto"/>
        </w:rPr>
      </w:pPr>
    </w:p>
    <w:p>
      <w:pPr>
        <w:ind w:right="300" w:firstLine="8"/>
        <w:spacing w:after="0" w:line="293"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4" w:name="page75"/>
    <w:bookmarkEnd w:id="74"/>
    <w:p>
      <w:pPr>
        <w:ind w:left="1400" w:hanging="643"/>
        <w:spacing w:after="0"/>
        <w:tabs>
          <w:tab w:leader="none" w:pos="14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this Agreement terminates in accordance with Section 16.2 below.</w:t>
      </w:r>
    </w:p>
    <w:p>
      <w:pPr>
        <w:spacing w:after="0" w:line="233" w:lineRule="exact"/>
        <w:rPr>
          <w:sz w:val="20"/>
          <w:szCs w:val="20"/>
          <w:color w:val="auto"/>
        </w:rPr>
      </w:pPr>
    </w:p>
    <w:p>
      <w:pPr>
        <w:jc w:val="both"/>
        <w:ind w:left="740"/>
        <w:spacing w:after="0" w:line="266" w:lineRule="auto"/>
        <w:rPr>
          <w:sz w:val="20"/>
          <w:szCs w:val="20"/>
          <w:color w:val="auto"/>
        </w:rPr>
      </w:pPr>
      <w:r>
        <w:rPr>
          <w:rFonts w:ascii="Arial" w:cs="Arial" w:eastAsia="Arial" w:hAnsi="Arial"/>
          <w:sz w:val="22"/>
          <w:szCs w:val="22"/>
          <w:color w:val="auto"/>
        </w:rPr>
        <w:t xml:space="preserve">Following the Extension Term (if any), this Agreement shall renew for subsequent periods of </w:t>
      </w:r>
      <w:r>
        <w:rPr>
          <w:rFonts w:ascii="Arial" w:cs="Arial" w:eastAsia="Arial" w:hAnsi="Arial"/>
          <w:sz w:val="17"/>
          <w:szCs w:val="17"/>
          <w:color w:val="auto"/>
        </w:rPr>
        <w:t>[*]</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Additional</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Extension Terms</w:t>
      </w:r>
      <w:r>
        <w:rPr>
          <w:rFonts w:ascii="Arial" w:cs="Arial" w:eastAsia="Arial" w:hAnsi="Arial"/>
          <w:sz w:val="22"/>
          <w:szCs w:val="22"/>
          <w:color w:val="auto"/>
        </w:rPr>
        <w:t>”), subject to mutual written (including electronic) agreement of the Parties for each Additional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Extension Term.</w:t>
      </w:r>
    </w:p>
    <w:p>
      <w:pPr>
        <w:spacing w:after="0" w:line="198"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This Agreement may be terminated:</w:t>
      </w:r>
    </w:p>
    <w:p>
      <w:pPr>
        <w:spacing w:after="0" w:line="233" w:lineRule="exact"/>
        <w:rPr>
          <w:sz w:val="20"/>
          <w:szCs w:val="20"/>
          <w:color w:val="auto"/>
        </w:rPr>
      </w:pPr>
    </w:p>
    <w:p>
      <w:pPr>
        <w:jc w:val="both"/>
        <w:ind w:left="1400" w:hanging="643"/>
        <w:spacing w:after="0" w:line="279" w:lineRule="auto"/>
        <w:tabs>
          <w:tab w:leader="none" w:pos="1400" w:val="left"/>
        </w:tabs>
        <w:numPr>
          <w:ilvl w:val="0"/>
          <w:numId w:val="57"/>
        </w:numPr>
        <w:rPr>
          <w:rFonts w:ascii="Arial" w:cs="Arial" w:eastAsia="Arial" w:hAnsi="Arial"/>
          <w:sz w:val="21"/>
          <w:szCs w:val="21"/>
          <w:color w:val="auto"/>
        </w:rPr>
      </w:pPr>
      <w:r>
        <w:rPr>
          <w:rFonts w:ascii="Arial" w:cs="Arial" w:eastAsia="Arial" w:hAnsi="Arial"/>
          <w:sz w:val="21"/>
          <w:szCs w:val="21"/>
          <w:color w:val="auto"/>
        </w:rPr>
        <w:t>at any time by each Party on written notice with immediate effect in the event that proceedings in bankruptcy or insolvency are instituted by or against the other Party or a receiver, trustee, administrator or liquidator is appointed in respect of any part of the other Party’s assets, and not dismissed within [*] days, or any similar relief is granted under any applicable bankruptcy or equivalent law; or</w:t>
      </w:r>
    </w:p>
    <w:p>
      <w:pPr>
        <w:spacing w:after="0" w:line="173" w:lineRule="exact"/>
        <w:rPr>
          <w:rFonts w:ascii="Arial" w:cs="Arial" w:eastAsia="Arial" w:hAnsi="Arial"/>
          <w:sz w:val="21"/>
          <w:szCs w:val="21"/>
          <w:color w:val="auto"/>
        </w:rPr>
      </w:pPr>
    </w:p>
    <w:p>
      <w:pPr>
        <w:ind w:left="1400" w:hanging="643"/>
        <w:spacing w:after="0" w:line="276" w:lineRule="auto"/>
        <w:tabs>
          <w:tab w:leader="none" w:pos="1400" w:val="left"/>
        </w:tabs>
        <w:numPr>
          <w:ilvl w:val="0"/>
          <w:numId w:val="57"/>
        </w:numPr>
        <w:rPr>
          <w:rFonts w:ascii="Arial" w:cs="Arial" w:eastAsia="Arial" w:hAnsi="Arial"/>
          <w:sz w:val="22"/>
          <w:szCs w:val="22"/>
          <w:color w:val="auto"/>
        </w:rPr>
      </w:pPr>
      <w:r>
        <w:rPr>
          <w:rFonts w:ascii="Arial" w:cs="Arial" w:eastAsia="Arial" w:hAnsi="Arial"/>
          <w:sz w:val="22"/>
          <w:szCs w:val="22"/>
          <w:color w:val="auto"/>
        </w:rPr>
        <w:t>by Seller in the event that Cytek Biosciences fails to pay outstanding invoices and does not remedy the same within [*];</w:t>
      </w:r>
    </w:p>
    <w:p>
      <w:pPr>
        <w:spacing w:after="0" w:line="174" w:lineRule="exact"/>
        <w:rPr>
          <w:sz w:val="20"/>
          <w:szCs w:val="20"/>
          <w:color w:val="auto"/>
        </w:rPr>
      </w:pPr>
    </w:p>
    <w:p>
      <w:pPr>
        <w:ind w:left="1500" w:right="80" w:hanging="690"/>
        <w:spacing w:after="0" w:line="284" w:lineRule="auto"/>
        <w:tabs>
          <w:tab w:leader="none" w:pos="1237" w:val="left"/>
        </w:tabs>
        <w:numPr>
          <w:ilvl w:val="0"/>
          <w:numId w:val="58"/>
        </w:numPr>
        <w:rPr>
          <w:rFonts w:ascii="Arial" w:cs="Arial" w:eastAsia="Arial" w:hAnsi="Arial"/>
          <w:sz w:val="21"/>
          <w:szCs w:val="21"/>
          <w:color w:val="auto"/>
        </w:rPr>
      </w:pPr>
      <w:r>
        <w:rPr>
          <w:rFonts w:ascii="Arial" w:cs="Arial" w:eastAsia="Arial" w:hAnsi="Arial"/>
          <w:sz w:val="21"/>
          <w:szCs w:val="21"/>
          <w:color w:val="auto"/>
        </w:rPr>
        <w:t>except as otherwise provided in Section 16.2(b) above, at any time by each Party on written notice with immediate effect in the event that one Party shall have materially breached this Agreement and does not remedy the same within [*] of written notice of such breach being served upon it by the other Party.</w:t>
      </w:r>
    </w:p>
    <w:p>
      <w:pPr>
        <w:spacing w:after="0" w:line="169" w:lineRule="exact"/>
        <w:rPr>
          <w:sz w:val="20"/>
          <w:szCs w:val="20"/>
          <w:color w:val="auto"/>
        </w:rPr>
      </w:pPr>
    </w:p>
    <w:p>
      <w:pPr>
        <w:jc w:val="both"/>
        <w:ind w:left="940" w:hanging="647"/>
        <w:spacing w:after="0" w:line="259" w:lineRule="auto"/>
        <w:tabs>
          <w:tab w:leader="none" w:pos="920" w:val="left"/>
        </w:tabs>
        <w:rPr>
          <w:sz w:val="20"/>
          <w:szCs w:val="20"/>
          <w:color w:val="auto"/>
        </w:rPr>
      </w:pPr>
      <w:r>
        <w:rPr>
          <w:rFonts w:ascii="Arial" w:cs="Arial" w:eastAsia="Arial" w:hAnsi="Arial"/>
          <w:sz w:val="22"/>
          <w:szCs w:val="22"/>
          <w:color w:val="auto"/>
        </w:rPr>
        <w:t>16.3</w:t>
        <w:tab/>
        <w:t>Termination or expiration of this Agreement shall not (a) affect any other rights of either Party which may have accrued up to the date of such termination or expiration or (b) relieve Cytek Biosciences, Inc. of its obligation to pay to Seller sums due in respect of [*]. Seller shall manufacture and supply to Cytek Biosciences, Inc. all Products ordered under Orders accepted by Seller prior to the effective date of termination, provided that Seller shall not be obligated to manufacture and supply such Products in the event that [*]. The provisions of this Agreement that by their nature are intended to survive the termination or expiration of this Agreement shall survive the termination or expiration of this Agreement.</w:t>
      </w:r>
    </w:p>
    <w:p>
      <w:pPr>
        <w:spacing w:after="0" w:line="189"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39" w:lineRule="exact"/>
        <w:rPr>
          <w:sz w:val="20"/>
          <w:szCs w:val="20"/>
          <w:color w:val="auto"/>
        </w:rPr>
      </w:pPr>
    </w:p>
    <w:p>
      <w:pPr>
        <w:ind w:left="740" w:right="240"/>
        <w:spacing w:after="0" w:line="266" w:lineRule="auto"/>
        <w:rPr>
          <w:sz w:val="20"/>
          <w:szCs w:val="20"/>
          <w:color w:val="auto"/>
        </w:rPr>
      </w:pPr>
      <w:r>
        <w:rPr>
          <w:rFonts w:ascii="Arial" w:cs="Arial" w:eastAsia="Arial" w:hAnsi="Arial"/>
          <w:sz w:val="22"/>
          <w:szCs w:val="22"/>
          <w:color w:val="auto"/>
        </w:rPr>
        <w:t>All notices, requests, demands and other communications shall be in writing and delivered by overnight courier or in person in the English language and shall be addressed as follows (or to such other address as notified in writing by one party to the other party):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Cytek Biosciences, Inc.:</w:t>
      </w:r>
    </w:p>
    <w:p>
      <w:pPr>
        <w:spacing w:after="0" w:line="2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Cytek Biosciences, Inc.</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46107 Landing Parkway</w:t>
      </w:r>
    </w:p>
    <w:p>
      <w:pPr>
        <w:spacing w:after="0" w:line="1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Fremont, California 94538</w:t>
      </w:r>
    </w:p>
    <w:p>
      <w:pPr>
        <w:spacing w:after="0" w:line="1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Attn: [*]</w:t>
      </w:r>
    </w:p>
    <w:p>
      <w:pPr>
        <w:spacing w:after="0" w:line="28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With a copy to:</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4" w:lineRule="exact"/>
        <w:rPr>
          <w:sz w:val="20"/>
          <w:szCs w:val="20"/>
          <w:color w:val="auto"/>
        </w:rPr>
      </w:pPr>
    </w:p>
    <w:p>
      <w:pPr>
        <w:ind w:right="300" w:firstLine="8"/>
        <w:spacing w:after="0" w:line="293" w:lineRule="auto"/>
        <w:tabs>
          <w:tab w:leader="none" w:pos="2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5" w:name="page76"/>
    <w:bookmarkEnd w:id="75"/>
    <w:p>
      <w:pPr>
        <w:ind w:left="2960"/>
        <w:spacing w:after="0"/>
        <w:rPr>
          <w:sz w:val="20"/>
          <w:szCs w:val="20"/>
          <w:color w:val="auto"/>
        </w:rPr>
      </w:pPr>
      <w:r>
        <w:rPr>
          <w:rFonts w:ascii="Arial" w:cs="Arial" w:eastAsia="Arial" w:hAnsi="Arial"/>
          <w:sz w:val="22"/>
          <w:szCs w:val="22"/>
          <w:color w:val="auto"/>
        </w:rPr>
        <w:t>Cytek Biosciences, Inc.</w:t>
      </w:r>
    </w:p>
    <w:p>
      <w:pPr>
        <w:spacing w:after="0" w:line="21"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46107 Landing Parkway</w:t>
      </w:r>
    </w:p>
    <w:p>
      <w:pPr>
        <w:spacing w:after="0" w:line="1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Fremont, California 94538</w:t>
      </w:r>
    </w:p>
    <w:p>
      <w:pPr>
        <w:spacing w:after="0" w:line="17"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Attn: Legal Department</w:t>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22"/>
          <w:szCs w:val="22"/>
          <w:color w:val="auto"/>
        </w:rPr>
        <w:t>If to the Seller to:</w:t>
      </w:r>
    </w:p>
    <w:p>
      <w:pPr>
        <w:spacing w:after="0" w:line="21"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Coherent, Inc.</w:t>
      </w:r>
    </w:p>
    <w:p>
      <w:pPr>
        <w:spacing w:after="0" w:line="1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5100 Patrick Henry Drive</w:t>
      </w:r>
    </w:p>
    <w:p>
      <w:pPr>
        <w:spacing w:after="0" w:line="1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Santa Clara, CA 95054</w:t>
      </w:r>
    </w:p>
    <w:p>
      <w:pPr>
        <w:spacing w:after="0" w:line="17"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Attn: Legal Department</w:t>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Notices will be deemed given upon receipt.</w:t>
      </w:r>
    </w:p>
    <w:p>
      <w:pPr>
        <w:spacing w:after="0" w:line="227" w:lineRule="exact"/>
        <w:rPr>
          <w:sz w:val="20"/>
          <w:szCs w:val="20"/>
          <w:color w:val="auto"/>
        </w:rPr>
      </w:pPr>
    </w:p>
    <w:p>
      <w:pPr>
        <w:ind w:left="660" w:hanging="652"/>
        <w:spacing w:after="0"/>
        <w:tabs>
          <w:tab w:leader="none" w:pos="6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39" w:lineRule="exact"/>
        <w:rPr>
          <w:sz w:val="20"/>
          <w:szCs w:val="20"/>
          <w:color w:val="auto"/>
        </w:rPr>
      </w:pPr>
    </w:p>
    <w:p>
      <w:pPr>
        <w:jc w:val="both"/>
        <w:ind w:left="940" w:hanging="647"/>
        <w:spacing w:after="0" w:line="311" w:lineRule="auto"/>
        <w:tabs>
          <w:tab w:leader="none" w:pos="920" w:val="left"/>
        </w:tabs>
        <w:rPr>
          <w:sz w:val="20"/>
          <w:szCs w:val="20"/>
          <w:color w:val="auto"/>
        </w:rPr>
      </w:pPr>
      <w:r>
        <w:rPr>
          <w:rFonts w:ascii="Arial" w:cs="Arial" w:eastAsia="Arial" w:hAnsi="Arial"/>
          <w:sz w:val="22"/>
          <w:szCs w:val="22"/>
          <w:color w:val="auto"/>
        </w:rPr>
        <w:t>18.1</w:t>
      </w:r>
      <w:r>
        <w:rPr>
          <w:sz w:val="20"/>
          <w:szCs w:val="20"/>
          <w:color w:val="auto"/>
        </w:rPr>
        <w:tab/>
      </w:r>
      <w:r>
        <w:rPr>
          <w:rFonts w:ascii="Arial" w:cs="Arial" w:eastAsia="Arial" w:hAnsi="Arial"/>
          <w:sz w:val="19"/>
          <w:szCs w:val="19"/>
          <w:color w:val="auto"/>
        </w:rPr>
        <w:t>Neither party shall be deemed liable for delays in the performance or the non-performance of any of its obligations under this Agreement, other than payment and indemnity obligations, if such default is the result of laws or other acts of government, disruption of public utilities, strikes, natural disasters, pandemics, or other circumstances beyond the control of the affected party; provided, however, that the affected party shall promptly notify the other of such circumstances and exert all commercially reasonable efforts to correct the action at the earliest reasonable opportunity.</w:t>
      </w:r>
    </w:p>
    <w:p>
      <w:pPr>
        <w:spacing w:after="0" w:line="150" w:lineRule="exact"/>
        <w:rPr>
          <w:sz w:val="20"/>
          <w:szCs w:val="20"/>
          <w:color w:val="auto"/>
        </w:rPr>
      </w:pPr>
    </w:p>
    <w:p>
      <w:pPr>
        <w:jc w:val="both"/>
        <w:ind w:left="940" w:hanging="647"/>
        <w:spacing w:after="0" w:line="311" w:lineRule="auto"/>
        <w:tabs>
          <w:tab w:leader="none" w:pos="920" w:val="left"/>
        </w:tabs>
        <w:rPr>
          <w:sz w:val="20"/>
          <w:szCs w:val="20"/>
          <w:color w:val="auto"/>
        </w:rPr>
      </w:pPr>
      <w:r>
        <w:rPr>
          <w:rFonts w:ascii="Arial" w:cs="Arial" w:eastAsia="Arial" w:hAnsi="Arial"/>
          <w:sz w:val="22"/>
          <w:szCs w:val="22"/>
          <w:color w:val="auto"/>
        </w:rPr>
        <w:t>18.2</w:t>
      </w:r>
      <w:r>
        <w:rPr>
          <w:sz w:val="20"/>
          <w:szCs w:val="20"/>
          <w:color w:val="auto"/>
        </w:rPr>
        <w:tab/>
      </w:r>
      <w:r>
        <w:rPr>
          <w:rFonts w:ascii="Arial" w:cs="Arial" w:eastAsia="Arial" w:hAnsi="Arial"/>
          <w:sz w:val="19"/>
          <w:szCs w:val="19"/>
          <w:color w:val="auto"/>
        </w:rPr>
        <w:t>This Agreement is governed by the laws of the State of California without reference to any conflict of laws principles that may require the application of the laws of a different jurisdiction. The parties expressly disclaim application of the United Nations Convention on the International Sale of Goods. All disputes arising out of this Agreement shall be subject to the exclusive jurisdiction of the state and federal courts located in the State of California, and the Parties agree and submit to the personal and exclusive jurisdiction and venue of these courts.</w:t>
      </w:r>
    </w:p>
    <w:p>
      <w:pPr>
        <w:spacing w:after="0" w:line="150" w:lineRule="exact"/>
        <w:rPr>
          <w:sz w:val="20"/>
          <w:szCs w:val="20"/>
          <w:color w:val="auto"/>
        </w:rPr>
      </w:pPr>
    </w:p>
    <w:p>
      <w:pPr>
        <w:ind w:left="280"/>
        <w:spacing w:after="0"/>
        <w:tabs>
          <w:tab w:leader="none" w:pos="920" w:val="left"/>
        </w:tabs>
        <w:rPr>
          <w:sz w:val="20"/>
          <w:szCs w:val="20"/>
          <w:color w:val="auto"/>
        </w:rPr>
      </w:pPr>
      <w:r>
        <w:rPr>
          <w:rFonts w:ascii="Arial" w:cs="Arial" w:eastAsia="Arial" w:hAnsi="Arial"/>
          <w:sz w:val="22"/>
          <w:szCs w:val="22"/>
          <w:color w:val="auto"/>
        </w:rPr>
        <w:t>18.3</w:t>
      </w:r>
      <w:r>
        <w:rPr>
          <w:sz w:val="20"/>
          <w:szCs w:val="20"/>
          <w:color w:val="auto"/>
        </w:rPr>
        <w:tab/>
      </w:r>
      <w:r>
        <w:rPr>
          <w:rFonts w:ascii="Arial" w:cs="Arial" w:eastAsia="Arial" w:hAnsi="Arial"/>
          <w:sz w:val="19"/>
          <w:szCs w:val="19"/>
          <w:color w:val="auto"/>
        </w:rPr>
        <w:t>All Schedules attached to this Agreement are incorporated herein and shall be part of this Agreement.</w:t>
      </w:r>
    </w:p>
    <w:p>
      <w:pPr>
        <w:spacing w:after="0" w:line="233" w:lineRule="exact"/>
        <w:rPr>
          <w:sz w:val="20"/>
          <w:szCs w:val="20"/>
          <w:color w:val="auto"/>
        </w:rPr>
      </w:pPr>
    </w:p>
    <w:p>
      <w:pPr>
        <w:jc w:val="both"/>
        <w:ind w:left="940" w:hanging="647"/>
        <w:spacing w:after="0" w:line="266" w:lineRule="auto"/>
        <w:tabs>
          <w:tab w:leader="none" w:pos="920" w:val="left"/>
        </w:tabs>
        <w:rPr>
          <w:sz w:val="20"/>
          <w:szCs w:val="20"/>
          <w:color w:val="auto"/>
        </w:rPr>
      </w:pPr>
      <w:r>
        <w:rPr>
          <w:rFonts w:ascii="Arial" w:cs="Arial" w:eastAsia="Arial" w:hAnsi="Arial"/>
          <w:sz w:val="22"/>
          <w:szCs w:val="22"/>
          <w:color w:val="auto"/>
        </w:rPr>
        <w:t>18.4</w:t>
        <w:tab/>
        <w:t>[*]. This Agreement shall be binding upon, and inure to the benefit of, the successors, executors, heirs, representatives, administrators and permitted assigns of the Parties hereto. Any purported assignment in violation of the foregoing will be null and void.</w:t>
      </w:r>
    </w:p>
    <w:p>
      <w:pPr>
        <w:spacing w:after="0" w:line="185" w:lineRule="exact"/>
        <w:rPr>
          <w:sz w:val="20"/>
          <w:szCs w:val="20"/>
          <w:color w:val="auto"/>
        </w:rPr>
      </w:pPr>
    </w:p>
    <w:p>
      <w:pPr>
        <w:jc w:val="both"/>
        <w:ind w:left="940" w:hanging="647"/>
        <w:spacing w:after="0" w:line="284" w:lineRule="auto"/>
        <w:tabs>
          <w:tab w:leader="none" w:pos="920" w:val="left"/>
        </w:tabs>
        <w:rPr>
          <w:sz w:val="20"/>
          <w:szCs w:val="20"/>
          <w:color w:val="auto"/>
        </w:rPr>
      </w:pPr>
      <w:r>
        <w:rPr>
          <w:rFonts w:ascii="Arial" w:cs="Arial" w:eastAsia="Arial" w:hAnsi="Arial"/>
          <w:sz w:val="22"/>
          <w:szCs w:val="22"/>
          <w:color w:val="auto"/>
        </w:rPr>
        <w:t>18.5</w:t>
      </w:r>
      <w:r>
        <w:rPr>
          <w:sz w:val="20"/>
          <w:szCs w:val="20"/>
          <w:color w:val="auto"/>
        </w:rPr>
        <w:tab/>
      </w:r>
      <w:r>
        <w:rPr>
          <w:rFonts w:ascii="Arial" w:cs="Arial" w:eastAsia="Arial" w:hAnsi="Arial"/>
          <w:sz w:val="21"/>
          <w:szCs w:val="21"/>
          <w:color w:val="auto"/>
        </w:rPr>
        <w:t>NEITHER PARTY SHALL BE LIABLE TO THE OTHER FOR ANY SPECIAL, CONSEQUENTIAL, INCIDENTAL, PUNITIVE, OR INDIRECT DAMAGES ARISING FROM OR RELATING TO ANY BREACH OF THIS AGREEMENT, REGARDLESS OF ANY NOTICE OF THE POSSIBILITY OF SUCH DAMAGES. [*].</w:t>
      </w:r>
    </w:p>
    <w:p>
      <w:pPr>
        <w:spacing w:after="0" w:line="169" w:lineRule="exact"/>
        <w:rPr>
          <w:sz w:val="20"/>
          <w:szCs w:val="20"/>
          <w:color w:val="auto"/>
        </w:rPr>
      </w:pPr>
    </w:p>
    <w:p>
      <w:pPr>
        <w:jc w:val="both"/>
        <w:ind w:left="940" w:hanging="647"/>
        <w:spacing w:after="0" w:line="276" w:lineRule="auto"/>
        <w:tabs>
          <w:tab w:leader="none" w:pos="920" w:val="left"/>
        </w:tabs>
        <w:rPr>
          <w:sz w:val="20"/>
          <w:szCs w:val="20"/>
          <w:color w:val="auto"/>
        </w:rPr>
      </w:pPr>
      <w:r>
        <w:rPr>
          <w:rFonts w:ascii="Arial" w:cs="Arial" w:eastAsia="Arial" w:hAnsi="Arial"/>
          <w:sz w:val="22"/>
          <w:szCs w:val="22"/>
          <w:color w:val="auto"/>
        </w:rPr>
        <w:t>18.6</w:t>
        <w:tab/>
        <w:t>The Parties are not employees or legal representatives of the other Party for any purpose. Neither Party shall have the authority to enter into any contracts in the name of or on behalf of the other Party.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4" w:lineRule="exact"/>
        <w:rPr>
          <w:sz w:val="20"/>
          <w:szCs w:val="20"/>
          <w:color w:val="auto"/>
        </w:rPr>
      </w:pPr>
    </w:p>
    <w:p>
      <w:pPr>
        <w:ind w:right="300" w:firstLine="8"/>
        <w:spacing w:after="0" w:line="293" w:lineRule="auto"/>
        <w:tabs>
          <w:tab w:leader="none" w:pos="2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6" w:name="page77"/>
    <w:bookmarkEnd w:id="76"/>
    <w:p>
      <w:pPr>
        <w:jc w:val="both"/>
        <w:ind w:left="940" w:hanging="647"/>
        <w:spacing w:after="0" w:line="301" w:lineRule="auto"/>
        <w:tabs>
          <w:tab w:leader="none" w:pos="920" w:val="left"/>
        </w:tabs>
        <w:rPr>
          <w:sz w:val="20"/>
          <w:szCs w:val="20"/>
          <w:color w:val="auto"/>
        </w:rPr>
      </w:pPr>
      <w:r>
        <w:rPr>
          <w:rFonts w:ascii="Arial" w:cs="Arial" w:eastAsia="Arial" w:hAnsi="Arial"/>
          <w:sz w:val="22"/>
          <w:szCs w:val="22"/>
          <w:color w:val="auto"/>
        </w:rPr>
        <w:t>18.7</w:t>
      </w:r>
      <w:r>
        <w:rPr>
          <w:sz w:val="20"/>
          <w:szCs w:val="20"/>
          <w:color w:val="auto"/>
        </w:rPr>
        <w:tab/>
      </w:r>
      <w:r>
        <w:rPr>
          <w:rFonts w:ascii="Arial" w:cs="Arial" w:eastAsia="Arial" w:hAnsi="Arial"/>
          <w:sz w:val="21"/>
          <w:szCs w:val="21"/>
          <w:color w:val="auto"/>
        </w:rPr>
        <w:t>In the event any provision of this Agreement is held to be invalid or unenforceable, the valid or enforceable portion thereof and the remaining provisions of this Agreement will remain in full force and effect.</w:t>
      </w:r>
    </w:p>
    <w:p>
      <w:pPr>
        <w:spacing w:after="0" w:line="150" w:lineRule="exact"/>
        <w:rPr>
          <w:sz w:val="20"/>
          <w:szCs w:val="20"/>
          <w:color w:val="auto"/>
        </w:rPr>
      </w:pPr>
    </w:p>
    <w:p>
      <w:pPr>
        <w:jc w:val="both"/>
        <w:ind w:left="940" w:hanging="647"/>
        <w:spacing w:after="0" w:line="276" w:lineRule="auto"/>
        <w:tabs>
          <w:tab w:leader="none" w:pos="920" w:val="left"/>
        </w:tabs>
        <w:rPr>
          <w:sz w:val="20"/>
          <w:szCs w:val="20"/>
          <w:color w:val="auto"/>
        </w:rPr>
      </w:pPr>
      <w:r>
        <w:rPr>
          <w:rFonts w:ascii="Arial" w:cs="Arial" w:eastAsia="Arial" w:hAnsi="Arial"/>
          <w:sz w:val="22"/>
          <w:szCs w:val="22"/>
          <w:color w:val="auto"/>
        </w:rPr>
        <w:t>18.8</w:t>
        <w:tab/>
        <w:t>Any waiver (express or implied) by either Party of any breach of this Agreement shall not constitute a waiver of any other or subsequent breach.</w:t>
      </w:r>
    </w:p>
    <w:p>
      <w:pPr>
        <w:spacing w:after="0" w:line="174" w:lineRule="exact"/>
        <w:rPr>
          <w:sz w:val="20"/>
          <w:szCs w:val="20"/>
          <w:color w:val="auto"/>
        </w:rPr>
      </w:pPr>
    </w:p>
    <w:p>
      <w:pPr>
        <w:jc w:val="both"/>
        <w:ind w:left="940" w:hanging="647"/>
        <w:spacing w:after="0" w:line="262" w:lineRule="auto"/>
        <w:tabs>
          <w:tab w:leader="none" w:pos="920" w:val="left"/>
        </w:tabs>
        <w:rPr>
          <w:sz w:val="20"/>
          <w:szCs w:val="20"/>
          <w:color w:val="auto"/>
        </w:rPr>
      </w:pPr>
      <w:r>
        <w:rPr>
          <w:rFonts w:ascii="Arial" w:cs="Arial" w:eastAsia="Arial" w:hAnsi="Arial"/>
          <w:sz w:val="22"/>
          <w:szCs w:val="22"/>
          <w:color w:val="auto"/>
        </w:rPr>
        <w:t>18.9</w:t>
        <w:tab/>
        <w:t>This Agreement and the schedules attached hereto constitute the entire, final, complete and exclusive agreement between the Parties and supersede all previous agreements or representations, written or oral, with respect to the subject matter of this Agreement. This Agreement may not be modified or amended except in a writing signed by a duly authorized representative of each Party.</w:t>
      </w:r>
    </w:p>
    <w:p>
      <w:pPr>
        <w:spacing w:after="0" w:line="191" w:lineRule="exact"/>
        <w:rPr>
          <w:sz w:val="20"/>
          <w:szCs w:val="20"/>
          <w:color w:val="auto"/>
        </w:rPr>
      </w:pPr>
    </w:p>
    <w:p>
      <w:pPr>
        <w:jc w:val="both"/>
        <w:ind w:left="940" w:hanging="647"/>
        <w:spacing w:after="0" w:line="358" w:lineRule="auto"/>
        <w:rPr>
          <w:sz w:val="20"/>
          <w:szCs w:val="20"/>
          <w:color w:val="auto"/>
        </w:rPr>
      </w:pPr>
      <w:r>
        <w:rPr>
          <w:rFonts w:ascii="Arial" w:cs="Arial" w:eastAsia="Arial" w:hAnsi="Arial"/>
          <w:sz w:val="19"/>
          <w:szCs w:val="19"/>
          <w:color w:val="auto"/>
        </w:rPr>
        <w:t>18.10 Neither Party will make any announcement or other public statement concerning the existence of this Agreement without the consent of the other Party, except as necessary to comply with applicable law or regulations.</w:t>
      </w:r>
    </w:p>
    <w:p>
      <w:pPr>
        <w:spacing w:after="0" w:line="104" w:lineRule="exact"/>
        <w:rPr>
          <w:sz w:val="20"/>
          <w:szCs w:val="20"/>
          <w:color w:val="auto"/>
        </w:rPr>
      </w:pPr>
    </w:p>
    <w:p>
      <w:pPr>
        <w:jc w:val="both"/>
        <w:ind w:left="940" w:hanging="647"/>
        <w:spacing w:after="0" w:line="276" w:lineRule="auto"/>
        <w:tabs>
          <w:tab w:leader="none" w:pos="920" w:val="left"/>
        </w:tabs>
        <w:rPr>
          <w:sz w:val="20"/>
          <w:szCs w:val="20"/>
          <w:color w:val="auto"/>
        </w:rPr>
      </w:pPr>
      <w:r>
        <w:rPr>
          <w:rFonts w:ascii="Arial" w:cs="Arial" w:eastAsia="Arial" w:hAnsi="Arial"/>
          <w:sz w:val="22"/>
          <w:szCs w:val="22"/>
          <w:color w:val="auto"/>
        </w:rPr>
        <w:t>18.11</w:t>
        <w:tab/>
        <w:t>This Agreement may be executed in two or more counterparts, each of which shall be deemed an original and all of which shall constitute together the same instrument.</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4" w:lineRule="exact"/>
        <w:rPr>
          <w:sz w:val="20"/>
          <w:szCs w:val="20"/>
          <w:color w:val="auto"/>
        </w:rPr>
      </w:pPr>
    </w:p>
    <w:p>
      <w:pPr>
        <w:ind w:right="300" w:firstLine="8"/>
        <w:spacing w:after="0" w:line="293"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The parties have executed this Agreement as of the date(s) set forth below.</w:t>
      </w:r>
    </w:p>
    <w:p>
      <w:pPr>
        <w:spacing w:after="0" w:line="200" w:lineRule="exact"/>
        <w:rPr>
          <w:sz w:val="20"/>
          <w:szCs w:val="20"/>
          <w:color w:val="auto"/>
        </w:rPr>
      </w:pPr>
    </w:p>
    <w:p>
      <w:pPr>
        <w:spacing w:after="0" w:line="351" w:lineRule="exact"/>
        <w:rPr>
          <w:sz w:val="20"/>
          <w:szCs w:val="20"/>
          <w:color w:val="auto"/>
        </w:rPr>
      </w:pPr>
    </w:p>
    <w:p>
      <w:pPr>
        <w:spacing w:after="0"/>
        <w:tabs>
          <w:tab w:leader="none" w:pos="3880" w:val="left"/>
        </w:tabs>
        <w:rPr>
          <w:sz w:val="20"/>
          <w:szCs w:val="20"/>
          <w:color w:val="auto"/>
        </w:rPr>
      </w:pPr>
      <w:r>
        <w:rPr>
          <w:rFonts w:ascii="Arial" w:cs="Arial" w:eastAsia="Arial" w:hAnsi="Arial"/>
          <w:sz w:val="22"/>
          <w:szCs w:val="22"/>
          <w:b w:val="1"/>
          <w:bCs w:val="1"/>
          <w:color w:val="auto"/>
        </w:rPr>
        <w:t>CYTEK BIOSCIENCES, INC.</w:t>
      </w:r>
      <w:r>
        <w:rPr>
          <w:sz w:val="20"/>
          <w:szCs w:val="20"/>
          <w:color w:val="auto"/>
        </w:rPr>
        <w:tab/>
      </w:r>
      <w:r>
        <w:rPr>
          <w:rFonts w:ascii="Arial" w:cs="Arial" w:eastAsia="Arial" w:hAnsi="Arial"/>
          <w:sz w:val="21"/>
          <w:szCs w:val="21"/>
          <w:b w:val="1"/>
          <w:bCs w:val="1"/>
          <w:color w:val="auto"/>
        </w:rPr>
        <w:t>COHERENT NA,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Wenbin Jiang</w:t>
            </w:r>
          </w:p>
        </w:tc>
        <w:tc>
          <w:tcPr>
            <w:tcW w:w="860" w:type="dxa"/>
            <w:vAlign w:val="bottom"/>
          </w:tcPr>
          <w:p>
            <w:pPr>
              <w:spacing w:after="0"/>
              <w:rPr>
                <w:sz w:val="21"/>
                <w:szCs w:val="21"/>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Robert Lingscheit</w:t>
            </w: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60" w:type="dxa"/>
            <w:vAlign w:val="bottom"/>
          </w:tcPr>
          <w:p>
            <w:pPr>
              <w:spacing w:after="0"/>
              <w:rPr>
                <w:sz w:val="21"/>
                <w:szCs w:val="21"/>
                <w:color w:val="auto"/>
              </w:rPr>
            </w:pPr>
          </w:p>
        </w:tc>
        <w:tc>
          <w:tcPr>
            <w:tcW w:w="3040" w:type="dxa"/>
            <w:vAlign w:val="bottom"/>
          </w:tcPr>
          <w:p>
            <w:pPr>
              <w:spacing w:after="0"/>
              <w:rPr>
                <w:sz w:val="21"/>
                <w:szCs w:val="21"/>
                <w:color w:val="auto"/>
              </w:rPr>
            </w:pPr>
          </w:p>
        </w:tc>
      </w:tr>
      <w:tr>
        <w:trPr>
          <w:trHeight w:val="296"/>
        </w:trPr>
        <w:tc>
          <w:tcPr>
            <w:tcW w:w="720" w:type="dxa"/>
            <w:vAlign w:val="bottom"/>
          </w:tcPr>
          <w:p>
            <w:pPr>
              <w:spacing w:after="0"/>
              <w:rPr>
                <w:sz w:val="20"/>
                <w:szCs w:val="20"/>
                <w:color w:val="auto"/>
              </w:rPr>
            </w:pPr>
            <w:r>
              <w:rPr>
                <w:rFonts w:ascii="Arial" w:cs="Arial" w:eastAsia="Arial" w:hAnsi="Arial"/>
                <w:sz w:val="22"/>
                <w:szCs w:val="22"/>
                <w:color w:val="auto"/>
              </w:rPr>
              <w:t>Name:</w:t>
            </w:r>
          </w:p>
        </w:tc>
        <w:tc>
          <w:tcPr>
            <w:tcW w:w="2740" w:type="dxa"/>
            <w:vAlign w:val="bottom"/>
            <w:gridSpan w:val="2"/>
          </w:tcPr>
          <w:p>
            <w:pPr>
              <w:ind w:left="160"/>
              <w:spacing w:after="0"/>
              <w:rPr>
                <w:sz w:val="20"/>
                <w:szCs w:val="20"/>
                <w:color w:val="auto"/>
              </w:rPr>
            </w:pPr>
            <w:r>
              <w:rPr>
                <w:rFonts w:ascii="Arial" w:cs="Arial" w:eastAsia="Arial" w:hAnsi="Arial"/>
                <w:sz w:val="22"/>
                <w:szCs w:val="22"/>
                <w:color w:val="auto"/>
              </w:rPr>
              <w:t>Wenbin Jiang</w:t>
            </w:r>
          </w:p>
        </w:tc>
        <w:tc>
          <w:tcPr>
            <w:tcW w:w="1160" w:type="dxa"/>
            <w:vAlign w:val="bottom"/>
          </w:tcPr>
          <w:p>
            <w:pPr>
              <w:ind w:left="440"/>
              <w:spacing w:after="0"/>
              <w:rPr>
                <w:sz w:val="20"/>
                <w:szCs w:val="20"/>
                <w:color w:val="auto"/>
              </w:rPr>
            </w:pPr>
            <w:r>
              <w:rPr>
                <w:rFonts w:ascii="Arial" w:cs="Arial" w:eastAsia="Arial" w:hAnsi="Arial"/>
                <w:sz w:val="22"/>
                <w:szCs w:val="22"/>
                <w:color w:val="auto"/>
              </w:rPr>
              <w:t>Name:</w:t>
            </w:r>
          </w:p>
        </w:tc>
        <w:tc>
          <w:tcPr>
            <w:tcW w:w="6180" w:type="dxa"/>
            <w:vAlign w:val="bottom"/>
            <w:gridSpan w:val="6"/>
          </w:tcPr>
          <w:p>
            <w:pPr>
              <w:ind w:left="140"/>
              <w:spacing w:after="0"/>
              <w:rPr>
                <w:sz w:val="20"/>
                <w:szCs w:val="20"/>
                <w:color w:val="auto"/>
              </w:rPr>
            </w:pPr>
            <w:r>
              <w:rPr>
                <w:rFonts w:ascii="Arial" w:cs="Arial" w:eastAsia="Arial" w:hAnsi="Arial"/>
                <w:sz w:val="22"/>
                <w:szCs w:val="22"/>
                <w:color w:val="auto"/>
              </w:rPr>
              <w:t>Robert Lingscheit</w:t>
            </w:r>
          </w:p>
        </w:tc>
      </w:tr>
      <w:tr>
        <w:trPr>
          <w:trHeight w:val="270"/>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2740" w:type="dxa"/>
            <w:vAlign w:val="bottom"/>
            <w:gridSpan w:val="2"/>
          </w:tcPr>
          <w:p>
            <w:pPr>
              <w:ind w:left="160"/>
              <w:spacing w:after="0"/>
              <w:rPr>
                <w:sz w:val="20"/>
                <w:szCs w:val="20"/>
                <w:color w:val="auto"/>
              </w:rPr>
            </w:pPr>
            <w:r>
              <w:rPr>
                <w:rFonts w:ascii="Arial" w:cs="Arial" w:eastAsia="Arial" w:hAnsi="Arial"/>
                <w:sz w:val="22"/>
                <w:szCs w:val="22"/>
                <w:color w:val="auto"/>
              </w:rPr>
              <w:t>Chief Executive Officer</w:t>
            </w:r>
          </w:p>
        </w:tc>
        <w:tc>
          <w:tcPr>
            <w:tcW w:w="1160" w:type="dxa"/>
            <w:vAlign w:val="bottom"/>
          </w:tcPr>
          <w:p>
            <w:pPr>
              <w:ind w:left="440"/>
              <w:spacing w:after="0"/>
              <w:rPr>
                <w:sz w:val="20"/>
                <w:szCs w:val="20"/>
                <w:color w:val="auto"/>
              </w:rPr>
            </w:pPr>
            <w:r>
              <w:rPr>
                <w:rFonts w:ascii="Arial" w:cs="Arial" w:eastAsia="Arial" w:hAnsi="Arial"/>
                <w:sz w:val="22"/>
                <w:szCs w:val="22"/>
                <w:color w:val="auto"/>
              </w:rPr>
              <w:t>Title:</w:t>
            </w:r>
          </w:p>
        </w:tc>
        <w:tc>
          <w:tcPr>
            <w:tcW w:w="6180" w:type="dxa"/>
            <w:vAlign w:val="bottom"/>
            <w:gridSpan w:val="6"/>
          </w:tcPr>
          <w:p>
            <w:pPr>
              <w:ind w:left="140"/>
              <w:spacing w:after="0"/>
              <w:rPr>
                <w:sz w:val="20"/>
                <w:szCs w:val="20"/>
                <w:color w:val="auto"/>
              </w:rPr>
            </w:pPr>
            <w:r>
              <w:rPr>
                <w:rFonts w:ascii="Arial" w:cs="Arial" w:eastAsia="Arial" w:hAnsi="Arial"/>
                <w:sz w:val="22"/>
                <w:szCs w:val="22"/>
                <w:color w:val="auto"/>
              </w:rPr>
              <w:t>VP of Sales - Americas</w:t>
            </w:r>
          </w:p>
        </w:tc>
      </w:tr>
      <w:tr>
        <w:trPr>
          <w:trHeight w:val="274"/>
        </w:trPr>
        <w:tc>
          <w:tcPr>
            <w:tcW w:w="720" w:type="dxa"/>
            <w:vAlign w:val="bottom"/>
          </w:tcPr>
          <w:p>
            <w:pPr>
              <w:spacing w:after="0"/>
              <w:rPr>
                <w:sz w:val="20"/>
                <w:szCs w:val="20"/>
                <w:color w:val="auto"/>
              </w:rPr>
            </w:pPr>
            <w:r>
              <w:rPr>
                <w:rFonts w:ascii="Arial" w:cs="Arial" w:eastAsia="Arial" w:hAnsi="Arial"/>
                <w:sz w:val="22"/>
                <w:szCs w:val="22"/>
                <w:color w:val="auto"/>
              </w:rPr>
              <w:t>Date:</w:t>
            </w:r>
          </w:p>
        </w:tc>
        <w:tc>
          <w:tcPr>
            <w:tcW w:w="1880" w:type="dxa"/>
            <w:vAlign w:val="bottom"/>
          </w:tcPr>
          <w:p>
            <w:pPr>
              <w:ind w:left="160"/>
              <w:spacing w:after="0"/>
              <w:rPr>
                <w:sz w:val="20"/>
                <w:szCs w:val="20"/>
                <w:color w:val="auto"/>
              </w:rPr>
            </w:pPr>
            <w:r>
              <w:rPr>
                <w:rFonts w:ascii="Arial" w:cs="Arial" w:eastAsia="Arial" w:hAnsi="Arial"/>
                <w:sz w:val="22"/>
                <w:szCs w:val="22"/>
                <w:color w:val="auto"/>
              </w:rPr>
              <w:t>8/16/2021</w:t>
            </w:r>
          </w:p>
        </w:tc>
        <w:tc>
          <w:tcPr>
            <w:tcW w:w="860" w:type="dxa"/>
            <w:vAlign w:val="bottom"/>
          </w:tcPr>
          <w:p>
            <w:pPr>
              <w:spacing w:after="0"/>
              <w:rPr>
                <w:sz w:val="23"/>
                <w:szCs w:val="23"/>
                <w:color w:val="auto"/>
              </w:rPr>
            </w:pPr>
          </w:p>
        </w:tc>
        <w:tc>
          <w:tcPr>
            <w:tcW w:w="1160" w:type="dxa"/>
            <w:vAlign w:val="bottom"/>
          </w:tcPr>
          <w:p>
            <w:pPr>
              <w:ind w:left="440"/>
              <w:spacing w:after="0"/>
              <w:rPr>
                <w:sz w:val="20"/>
                <w:szCs w:val="20"/>
                <w:color w:val="auto"/>
              </w:rPr>
            </w:pPr>
            <w:r>
              <w:rPr>
                <w:rFonts w:ascii="Arial" w:cs="Arial" w:eastAsia="Arial" w:hAnsi="Arial"/>
                <w:sz w:val="22"/>
                <w:szCs w:val="22"/>
                <w:color w:val="auto"/>
              </w:rPr>
              <w:t>Date:</w:t>
            </w:r>
          </w:p>
        </w:tc>
        <w:tc>
          <w:tcPr>
            <w:tcW w:w="1360" w:type="dxa"/>
            <w:vAlign w:val="bottom"/>
            <w:gridSpan w:val="2"/>
          </w:tcPr>
          <w:p>
            <w:pPr>
              <w:ind w:left="140"/>
              <w:spacing w:after="0"/>
              <w:rPr>
                <w:sz w:val="20"/>
                <w:szCs w:val="20"/>
                <w:color w:val="auto"/>
              </w:rPr>
            </w:pPr>
            <w:r>
              <w:rPr>
                <w:rFonts w:ascii="Arial" w:cs="Arial" w:eastAsia="Arial" w:hAnsi="Arial"/>
                <w:sz w:val="22"/>
                <w:szCs w:val="22"/>
                <w:color w:val="auto"/>
                <w:w w:val="94"/>
              </w:rPr>
              <w:t>13-Aug-2021</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40" w:type="dxa"/>
            <w:vAlign w:val="bottom"/>
          </w:tcPr>
          <w:p>
            <w:pPr>
              <w:spacing w:after="0"/>
              <w:rPr>
                <w:sz w:val="23"/>
                <w:szCs w:val="23"/>
                <w:color w:val="auto"/>
              </w:rPr>
            </w:pPr>
          </w:p>
        </w:tc>
      </w:tr>
      <w:tr>
        <w:trPr>
          <w:trHeight w:val="1070"/>
        </w:trPr>
        <w:tc>
          <w:tcPr>
            <w:tcW w:w="3460" w:type="dxa"/>
            <w:vAlign w:val="bottom"/>
            <w:gridSpan w:val="3"/>
          </w:tcPr>
          <w:p>
            <w:pPr>
              <w:spacing w:after="0"/>
              <w:rPr>
                <w:sz w:val="20"/>
                <w:szCs w:val="20"/>
                <w:color w:val="auto"/>
              </w:rPr>
            </w:pPr>
            <w:r>
              <w:rPr>
                <w:rFonts w:ascii="Arial" w:cs="Arial" w:eastAsia="Arial" w:hAnsi="Arial"/>
                <w:sz w:val="22"/>
                <w:szCs w:val="22"/>
                <w:b w:val="1"/>
                <w:bCs w:val="1"/>
                <w:color w:val="auto"/>
              </w:rPr>
              <w:t>CYTEK (WUXI) BIOSCIENCES</w:t>
            </w:r>
          </w:p>
        </w:tc>
        <w:tc>
          <w:tcPr>
            <w:tcW w:w="7340" w:type="dxa"/>
            <w:vAlign w:val="bottom"/>
            <w:gridSpan w:val="7"/>
          </w:tcPr>
          <w:p>
            <w:pPr>
              <w:ind w:left="860"/>
              <w:spacing w:after="0"/>
              <w:rPr>
                <w:sz w:val="20"/>
                <w:szCs w:val="20"/>
                <w:color w:val="auto"/>
              </w:rPr>
            </w:pPr>
            <w:r>
              <w:rPr>
                <w:rFonts w:ascii="Arial" w:cs="Arial" w:eastAsia="Arial" w:hAnsi="Arial"/>
                <w:sz w:val="22"/>
                <w:szCs w:val="22"/>
                <w:b w:val="1"/>
                <w:bCs w:val="1"/>
                <w:color w:val="auto"/>
              </w:rPr>
              <w:t>COHERENT ASIA, INC.</w:t>
            </w:r>
          </w:p>
        </w:tc>
      </w:tr>
      <w:tr>
        <w:trPr>
          <w:trHeight w:val="280"/>
        </w:trPr>
        <w:tc>
          <w:tcPr>
            <w:tcW w:w="3460" w:type="dxa"/>
            <w:vAlign w:val="bottom"/>
            <w:gridSpan w:val="3"/>
          </w:tcPr>
          <w:p>
            <w:pPr>
              <w:spacing w:after="0"/>
              <w:rPr>
                <w:sz w:val="20"/>
                <w:szCs w:val="20"/>
                <w:color w:val="auto"/>
              </w:rPr>
            </w:pPr>
            <w:r>
              <w:rPr>
                <w:rFonts w:ascii="Arial" w:cs="Arial" w:eastAsia="Arial" w:hAnsi="Arial"/>
                <w:sz w:val="22"/>
                <w:szCs w:val="22"/>
                <w:b w:val="1"/>
                <w:bCs w:val="1"/>
                <w:color w:val="auto"/>
              </w:rPr>
              <w:t>CO., LTD</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029"/>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Long Chen</w:t>
            </w:r>
          </w:p>
        </w:tc>
        <w:tc>
          <w:tcPr>
            <w:tcW w:w="860" w:type="dxa"/>
            <w:vAlign w:val="bottom"/>
          </w:tcPr>
          <w:p>
            <w:pPr>
              <w:spacing w:after="0"/>
              <w:rPr>
                <w:sz w:val="24"/>
                <w:szCs w:val="24"/>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rPr>
              <w:t>/s/ Mitchell McPeek</w:t>
            </w: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96"/>
        </w:trPr>
        <w:tc>
          <w:tcPr>
            <w:tcW w:w="720" w:type="dxa"/>
            <w:vAlign w:val="bottom"/>
          </w:tcPr>
          <w:p>
            <w:pPr>
              <w:spacing w:after="0"/>
              <w:rPr>
                <w:sz w:val="20"/>
                <w:szCs w:val="20"/>
                <w:color w:val="auto"/>
              </w:rPr>
            </w:pPr>
            <w:r>
              <w:rPr>
                <w:rFonts w:ascii="Arial" w:cs="Arial" w:eastAsia="Arial" w:hAnsi="Arial"/>
                <w:sz w:val="22"/>
                <w:szCs w:val="22"/>
                <w:color w:val="auto"/>
              </w:rPr>
              <w:t>Name:</w:t>
            </w:r>
          </w:p>
        </w:tc>
        <w:tc>
          <w:tcPr>
            <w:tcW w:w="2740" w:type="dxa"/>
            <w:vAlign w:val="bottom"/>
            <w:gridSpan w:val="2"/>
          </w:tcPr>
          <w:p>
            <w:pPr>
              <w:ind w:left="160"/>
              <w:spacing w:after="0"/>
              <w:rPr>
                <w:sz w:val="20"/>
                <w:szCs w:val="20"/>
                <w:color w:val="auto"/>
              </w:rPr>
            </w:pPr>
            <w:r>
              <w:rPr>
                <w:rFonts w:ascii="Arial" w:cs="Arial" w:eastAsia="Arial" w:hAnsi="Arial"/>
                <w:sz w:val="22"/>
                <w:szCs w:val="22"/>
                <w:color w:val="auto"/>
              </w:rPr>
              <w:t>Long Chen</w:t>
            </w:r>
          </w:p>
        </w:tc>
        <w:tc>
          <w:tcPr>
            <w:tcW w:w="1160" w:type="dxa"/>
            <w:vAlign w:val="bottom"/>
          </w:tcPr>
          <w:p>
            <w:pPr>
              <w:ind w:left="440"/>
              <w:spacing w:after="0"/>
              <w:rPr>
                <w:sz w:val="20"/>
                <w:szCs w:val="20"/>
                <w:color w:val="auto"/>
              </w:rPr>
            </w:pPr>
            <w:r>
              <w:rPr>
                <w:rFonts w:ascii="Arial" w:cs="Arial" w:eastAsia="Arial" w:hAnsi="Arial"/>
                <w:sz w:val="22"/>
                <w:szCs w:val="22"/>
                <w:color w:val="auto"/>
              </w:rPr>
              <w:t>Name:</w:t>
            </w:r>
          </w:p>
        </w:tc>
        <w:tc>
          <w:tcPr>
            <w:tcW w:w="6180" w:type="dxa"/>
            <w:vAlign w:val="bottom"/>
            <w:gridSpan w:val="6"/>
          </w:tcPr>
          <w:p>
            <w:pPr>
              <w:ind w:left="140"/>
              <w:spacing w:after="0"/>
              <w:rPr>
                <w:sz w:val="20"/>
                <w:szCs w:val="20"/>
                <w:color w:val="auto"/>
              </w:rPr>
            </w:pPr>
            <w:r>
              <w:rPr>
                <w:rFonts w:ascii="Arial" w:cs="Arial" w:eastAsia="Arial" w:hAnsi="Arial"/>
                <w:sz w:val="22"/>
                <w:szCs w:val="22"/>
                <w:color w:val="auto"/>
              </w:rPr>
              <w:t>Mitchell McPeek</w:t>
            </w:r>
          </w:p>
        </w:tc>
      </w:tr>
      <w:tr>
        <w:trPr>
          <w:trHeight w:val="270"/>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2740" w:type="dxa"/>
            <w:vAlign w:val="bottom"/>
            <w:gridSpan w:val="2"/>
          </w:tcPr>
          <w:p>
            <w:pPr>
              <w:ind w:left="160"/>
              <w:spacing w:after="0"/>
              <w:rPr>
                <w:sz w:val="20"/>
                <w:szCs w:val="20"/>
                <w:color w:val="auto"/>
              </w:rPr>
            </w:pPr>
            <w:r>
              <w:rPr>
                <w:rFonts w:ascii="Arial" w:cs="Arial" w:eastAsia="Arial" w:hAnsi="Arial"/>
                <w:sz w:val="22"/>
                <w:szCs w:val="22"/>
                <w:color w:val="auto"/>
              </w:rPr>
              <w:t>General Manager</w:t>
            </w:r>
          </w:p>
        </w:tc>
        <w:tc>
          <w:tcPr>
            <w:tcW w:w="1160" w:type="dxa"/>
            <w:vAlign w:val="bottom"/>
          </w:tcPr>
          <w:p>
            <w:pPr>
              <w:ind w:left="440"/>
              <w:spacing w:after="0"/>
              <w:rPr>
                <w:sz w:val="20"/>
                <w:szCs w:val="20"/>
                <w:color w:val="auto"/>
              </w:rPr>
            </w:pPr>
            <w:r>
              <w:rPr>
                <w:rFonts w:ascii="Arial" w:cs="Arial" w:eastAsia="Arial" w:hAnsi="Arial"/>
                <w:sz w:val="22"/>
                <w:szCs w:val="22"/>
                <w:color w:val="auto"/>
              </w:rPr>
              <w:t>Title:</w:t>
            </w:r>
          </w:p>
        </w:tc>
        <w:tc>
          <w:tcPr>
            <w:tcW w:w="1360" w:type="dxa"/>
            <w:vAlign w:val="bottom"/>
            <w:gridSpan w:val="2"/>
          </w:tcPr>
          <w:p>
            <w:pPr>
              <w:ind w:left="140"/>
              <w:spacing w:after="0"/>
              <w:rPr>
                <w:sz w:val="20"/>
                <w:szCs w:val="20"/>
                <w:color w:val="auto"/>
              </w:rPr>
            </w:pPr>
            <w:r>
              <w:rPr>
                <w:rFonts w:ascii="Arial" w:cs="Arial" w:eastAsia="Arial" w:hAnsi="Arial"/>
                <w:sz w:val="22"/>
                <w:szCs w:val="22"/>
                <w:color w:val="auto"/>
              </w:rPr>
              <w:t>President</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40" w:type="dxa"/>
            <w:vAlign w:val="bottom"/>
          </w:tcPr>
          <w:p>
            <w:pPr>
              <w:spacing w:after="0"/>
              <w:rPr>
                <w:sz w:val="23"/>
                <w:szCs w:val="23"/>
                <w:color w:val="auto"/>
              </w:rPr>
            </w:pPr>
          </w:p>
        </w:tc>
      </w:tr>
      <w:tr>
        <w:trPr>
          <w:trHeight w:val="274"/>
        </w:trPr>
        <w:tc>
          <w:tcPr>
            <w:tcW w:w="720" w:type="dxa"/>
            <w:vAlign w:val="bottom"/>
          </w:tcPr>
          <w:p>
            <w:pPr>
              <w:spacing w:after="0"/>
              <w:rPr>
                <w:sz w:val="20"/>
                <w:szCs w:val="20"/>
                <w:color w:val="auto"/>
              </w:rPr>
            </w:pPr>
            <w:r>
              <w:rPr>
                <w:rFonts w:ascii="Arial" w:cs="Arial" w:eastAsia="Arial" w:hAnsi="Arial"/>
                <w:sz w:val="22"/>
                <w:szCs w:val="22"/>
                <w:color w:val="auto"/>
              </w:rPr>
              <w:t>Date:</w:t>
            </w:r>
          </w:p>
        </w:tc>
        <w:tc>
          <w:tcPr>
            <w:tcW w:w="2740" w:type="dxa"/>
            <w:vAlign w:val="bottom"/>
            <w:gridSpan w:val="2"/>
          </w:tcPr>
          <w:p>
            <w:pPr>
              <w:ind w:left="160"/>
              <w:spacing w:after="0"/>
              <w:rPr>
                <w:sz w:val="20"/>
                <w:szCs w:val="20"/>
                <w:color w:val="auto"/>
              </w:rPr>
            </w:pPr>
            <w:r>
              <w:rPr>
                <w:rFonts w:ascii="Arial" w:cs="Arial" w:eastAsia="Arial" w:hAnsi="Arial"/>
                <w:sz w:val="22"/>
                <w:szCs w:val="22"/>
                <w:color w:val="auto"/>
              </w:rPr>
              <w:t>August 25, 2021</w:t>
            </w:r>
          </w:p>
        </w:tc>
        <w:tc>
          <w:tcPr>
            <w:tcW w:w="1160" w:type="dxa"/>
            <w:vAlign w:val="bottom"/>
          </w:tcPr>
          <w:p>
            <w:pPr>
              <w:ind w:left="440"/>
              <w:spacing w:after="0"/>
              <w:rPr>
                <w:sz w:val="20"/>
                <w:szCs w:val="20"/>
                <w:color w:val="auto"/>
              </w:rPr>
            </w:pPr>
            <w:r>
              <w:rPr>
                <w:rFonts w:ascii="Arial" w:cs="Arial" w:eastAsia="Arial" w:hAnsi="Arial"/>
                <w:sz w:val="22"/>
                <w:szCs w:val="22"/>
                <w:color w:val="auto"/>
              </w:rPr>
              <w:t>Date:</w:t>
            </w:r>
          </w:p>
        </w:tc>
        <w:tc>
          <w:tcPr>
            <w:tcW w:w="1360" w:type="dxa"/>
            <w:vAlign w:val="bottom"/>
            <w:gridSpan w:val="2"/>
          </w:tcPr>
          <w:p>
            <w:pPr>
              <w:ind w:left="140"/>
              <w:spacing w:after="0"/>
              <w:rPr>
                <w:sz w:val="20"/>
                <w:szCs w:val="20"/>
                <w:color w:val="auto"/>
              </w:rPr>
            </w:pPr>
            <w:r>
              <w:rPr>
                <w:rFonts w:ascii="Arial" w:cs="Arial" w:eastAsia="Arial" w:hAnsi="Arial"/>
                <w:sz w:val="22"/>
                <w:szCs w:val="22"/>
                <w:color w:val="auto"/>
                <w:w w:val="94"/>
              </w:rPr>
              <w:t>13-Aug-2021</w:t>
            </w: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40" w:type="dxa"/>
            <w:vAlign w:val="bottom"/>
          </w:tcPr>
          <w:p>
            <w:pPr>
              <w:spacing w:after="0"/>
              <w:rPr>
                <w:sz w:val="23"/>
                <w:szCs w:val="23"/>
                <w:color w:val="auto"/>
              </w:rPr>
            </w:pPr>
          </w:p>
        </w:tc>
      </w:tr>
      <w:tr>
        <w:trPr>
          <w:trHeight w:val="810"/>
        </w:trPr>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40" w:type="dxa"/>
            <w:vAlign w:val="bottom"/>
            <w:gridSpan w:val="5"/>
          </w:tcPr>
          <w:p>
            <w:pPr>
              <w:spacing w:after="0"/>
              <w:rPr>
                <w:sz w:val="20"/>
                <w:szCs w:val="20"/>
                <w:color w:val="auto"/>
              </w:rPr>
            </w:pPr>
            <w:r>
              <w:rPr>
                <w:rFonts w:ascii="Arial" w:cs="Arial" w:eastAsia="Arial" w:hAnsi="Arial"/>
                <w:sz w:val="22"/>
                <w:szCs w:val="22"/>
                <w:b w:val="1"/>
                <w:bCs w:val="1"/>
                <w:color w:val="auto"/>
                <w:w w:val="99"/>
              </w:rPr>
              <w:t>COHERENT (BEIJING) COMMERCIAL COMPANY LTD.</w:t>
            </w:r>
          </w:p>
        </w:tc>
      </w:tr>
      <w:tr>
        <w:trPr>
          <w:trHeight w:val="760"/>
        </w:trPr>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rPr>
              <w:t>/s/ Peter Chen</w:t>
            </w:r>
          </w:p>
        </w:tc>
        <w:tc>
          <w:tcPr>
            <w:tcW w:w="3040" w:type="dxa"/>
            <w:vAlign w:val="bottom"/>
          </w:tcPr>
          <w:p>
            <w:pPr>
              <w:spacing w:after="0"/>
              <w:rPr>
                <w:sz w:val="24"/>
                <w:szCs w:val="24"/>
                <w:color w:val="auto"/>
              </w:rPr>
            </w:pPr>
          </w:p>
        </w:tc>
      </w:tr>
      <w:tr>
        <w:trPr>
          <w:trHeight w:val="296"/>
        </w:trPr>
        <w:tc>
          <w:tcPr>
            <w:tcW w:w="7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Name:</w:t>
            </w:r>
          </w:p>
        </w:tc>
        <w:tc>
          <w:tcPr>
            <w:tcW w:w="4820" w:type="dxa"/>
            <w:vAlign w:val="bottom"/>
            <w:gridSpan w:val="4"/>
          </w:tcPr>
          <w:p>
            <w:pPr>
              <w:ind w:left="40"/>
              <w:spacing w:after="0"/>
              <w:rPr>
                <w:sz w:val="20"/>
                <w:szCs w:val="20"/>
                <w:color w:val="auto"/>
              </w:rPr>
            </w:pPr>
            <w:r>
              <w:rPr>
                <w:rFonts w:ascii="Arial" w:cs="Arial" w:eastAsia="Arial" w:hAnsi="Arial"/>
                <w:sz w:val="22"/>
                <w:szCs w:val="22"/>
                <w:color w:val="auto"/>
              </w:rPr>
              <w:t>Peter Chen</w:t>
            </w:r>
          </w:p>
        </w:tc>
      </w:tr>
      <w:tr>
        <w:trPr>
          <w:trHeight w:val="270"/>
        </w:trPr>
        <w:tc>
          <w:tcPr>
            <w:tcW w:w="7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Title:</w:t>
            </w:r>
          </w:p>
        </w:tc>
        <w:tc>
          <w:tcPr>
            <w:tcW w:w="4820" w:type="dxa"/>
            <w:vAlign w:val="bottom"/>
            <w:gridSpan w:val="4"/>
          </w:tcPr>
          <w:p>
            <w:pPr>
              <w:ind w:left="40"/>
              <w:spacing w:after="0"/>
              <w:rPr>
                <w:sz w:val="20"/>
                <w:szCs w:val="20"/>
                <w:color w:val="auto"/>
              </w:rPr>
            </w:pPr>
            <w:r>
              <w:rPr>
                <w:rFonts w:ascii="Arial" w:cs="Arial" w:eastAsia="Arial" w:hAnsi="Arial"/>
                <w:sz w:val="22"/>
                <w:szCs w:val="22"/>
                <w:color w:val="auto"/>
              </w:rPr>
              <w:t>General Manager</w:t>
            </w:r>
          </w:p>
        </w:tc>
      </w:tr>
      <w:tr>
        <w:trPr>
          <w:trHeight w:val="274"/>
        </w:trPr>
        <w:tc>
          <w:tcPr>
            <w:tcW w:w="7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0"/>
                <w:szCs w:val="20"/>
                <w:color w:val="auto"/>
              </w:rPr>
            </w:pPr>
            <w:r>
              <w:rPr>
                <w:rFonts w:ascii="Arial" w:cs="Arial" w:eastAsia="Arial" w:hAnsi="Arial"/>
                <w:sz w:val="22"/>
                <w:szCs w:val="22"/>
                <w:color w:val="auto"/>
              </w:rPr>
              <w:t>Date:</w:t>
            </w:r>
          </w:p>
        </w:tc>
        <w:tc>
          <w:tcPr>
            <w:tcW w:w="4820" w:type="dxa"/>
            <w:vAlign w:val="bottom"/>
            <w:gridSpan w:val="4"/>
          </w:tcPr>
          <w:p>
            <w:pPr>
              <w:ind w:left="40"/>
              <w:spacing w:after="0"/>
              <w:rPr>
                <w:sz w:val="20"/>
                <w:szCs w:val="20"/>
                <w:color w:val="auto"/>
              </w:rPr>
            </w:pPr>
            <w:r>
              <w:rPr>
                <w:rFonts w:ascii="Arial" w:cs="Arial" w:eastAsia="Arial" w:hAnsi="Arial"/>
                <w:sz w:val="22"/>
                <w:szCs w:val="22"/>
                <w:color w:val="auto"/>
              </w:rPr>
              <w:t>13-Aug-2021</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4" w:lineRule="exact"/>
        <w:rPr>
          <w:sz w:val="20"/>
          <w:szCs w:val="20"/>
          <w:color w:val="auto"/>
        </w:rPr>
      </w:pPr>
    </w:p>
    <w:p>
      <w:pPr>
        <w:ind w:firstLine="8"/>
        <w:spacing w:after="0" w:line="293"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672" w:right="639" w:bottom="1440" w:gutter="0" w:footer="0" w:header="0"/>
        </w:sectPr>
      </w:pPr>
    </w:p>
    <w:bookmarkStart w:id="78" w:name="page79"/>
    <w:bookmarkEnd w:id="78"/>
    <w:p>
      <w:pPr>
        <w:spacing w:after="0"/>
        <w:rPr>
          <w:sz w:val="20"/>
          <w:szCs w:val="20"/>
          <w:color w:val="auto"/>
        </w:rPr>
      </w:pPr>
      <w:r>
        <w:rPr>
          <w:rFonts w:ascii="Arial" w:cs="Arial" w:eastAsia="Arial" w:hAnsi="Arial"/>
          <w:sz w:val="22"/>
          <w:szCs w:val="22"/>
          <w:b w:val="1"/>
          <w:bCs w:val="1"/>
          <w:color w:val="auto"/>
        </w:rPr>
        <w:t>SCHEDULE 1: LIST OF PRODUCTS AND PRICE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4" w:lineRule="exact"/>
        <w:rPr>
          <w:sz w:val="20"/>
          <w:szCs w:val="20"/>
          <w:color w:val="auto"/>
        </w:rPr>
      </w:pPr>
    </w:p>
    <w:p>
      <w:pPr>
        <w:ind w:firstLine="8"/>
        <w:spacing w:after="0" w:line="293"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96" w:right="639" w:bottom="1440" w:gutter="0" w:footer="0" w:header="0"/>
        </w:sectPr>
      </w:pPr>
    </w:p>
    <w:bookmarkStart w:id="79" w:name="page80"/>
    <w:bookmarkEnd w:id="79"/>
    <w:p>
      <w:pPr>
        <w:spacing w:after="0"/>
        <w:rPr>
          <w:sz w:val="20"/>
          <w:szCs w:val="20"/>
          <w:color w:val="auto"/>
        </w:rPr>
      </w:pPr>
      <w:r>
        <w:rPr>
          <w:rFonts w:ascii="Arial" w:cs="Arial" w:eastAsia="Arial" w:hAnsi="Arial"/>
          <w:sz w:val="22"/>
          <w:szCs w:val="22"/>
          <w:b w:val="1"/>
          <w:bCs w:val="1"/>
          <w:color w:val="auto"/>
        </w:rPr>
        <w:t>SCHEDULE 2: SPECIFICATIONS OF PRODUCTS</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4" w:lineRule="exact"/>
        <w:rPr>
          <w:sz w:val="20"/>
          <w:szCs w:val="20"/>
          <w:color w:val="auto"/>
        </w:rPr>
      </w:pPr>
    </w:p>
    <w:p>
      <w:pPr>
        <w:ind w:firstLine="8"/>
        <w:spacing w:after="0" w:line="293"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96" w:right="63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auto"/>
        </w:rPr>
        <w:t>SCHEDULE 3: TECHNICAL INFORMATION AND MATERIAL</w:t>
      </w:r>
    </w:p>
    <w:p>
      <w:pPr>
        <w:spacing w:after="0" w:line="293" w:lineRule="exact"/>
        <w:rPr>
          <w:sz w:val="20"/>
          <w:szCs w:val="20"/>
          <w:color w:val="auto"/>
        </w:rPr>
      </w:pPr>
    </w:p>
    <w:p>
      <w:pPr>
        <w:ind w:right="1840"/>
        <w:spacing w:after="0" w:line="259" w:lineRule="auto"/>
        <w:rPr>
          <w:sz w:val="20"/>
          <w:szCs w:val="20"/>
          <w:color w:val="auto"/>
        </w:rPr>
      </w:pPr>
      <w:r>
        <w:rPr>
          <w:rFonts w:ascii="Arial" w:cs="Arial" w:eastAsia="Arial" w:hAnsi="Arial"/>
          <w:sz w:val="22"/>
          <w:szCs w:val="22"/>
          <w:color w:val="auto"/>
        </w:rPr>
        <w:t>Delivery of Products shall include standard literature and/or user manuals as Seller customarily provides. 15</w:t>
      </w:r>
    </w:p>
    <w:p>
      <w:pPr>
        <w:spacing w:after="0" w:line="1" w:lineRule="exact"/>
        <w:rPr>
          <w:sz w:val="20"/>
          <w:szCs w:val="20"/>
          <w:color w:val="auto"/>
        </w:rPr>
      </w:pPr>
    </w:p>
    <w:p>
      <w:pPr>
        <w:ind w:firstLine="8"/>
        <w:spacing w:after="0" w:line="293"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because it is both (i) not material and (ii) is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396" w:right="6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10.2</w:t>
      </w:r>
    </w:p>
    <w:p>
      <w:pPr>
        <w:spacing w:after="0" w:line="72" w:lineRule="exact"/>
        <w:rPr>
          <w:sz w:val="20"/>
          <w:szCs w:val="20"/>
          <w:color w:val="auto"/>
        </w:rPr>
      </w:pPr>
    </w:p>
    <w:p>
      <w:pPr>
        <w:jc w:val="center"/>
        <w:ind w:right="120"/>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YTEK</w:t>
      </w:r>
      <w:r>
        <w:rPr>
          <w:rFonts w:ascii="Arial" w:cs="Arial" w:eastAsia="Arial" w:hAnsi="Arial"/>
          <w:sz w:val="25"/>
          <w:szCs w:val="25"/>
          <w:b w:val="1"/>
          <w:bCs w:val="1"/>
          <w:color w:val="auto"/>
        </w:rPr>
        <w:t xml:space="preserve"> B</w:t>
      </w:r>
      <w:r>
        <w:rPr>
          <w:rFonts w:ascii="Arial" w:cs="Arial" w:eastAsia="Arial" w:hAnsi="Arial"/>
          <w:sz w:val="17"/>
          <w:szCs w:val="17"/>
          <w:b w:val="1"/>
          <w:bCs w:val="1"/>
          <w:color w:val="auto"/>
        </w:rPr>
        <w:t>IOSCIENCES</w:t>
      </w:r>
      <w:r>
        <w:rPr>
          <w:rFonts w:ascii="Arial" w:cs="Arial" w:eastAsia="Arial" w:hAnsi="Arial"/>
          <w:sz w:val="25"/>
          <w:szCs w:val="25"/>
          <w:b w:val="1"/>
          <w:bCs w:val="1"/>
          <w:color w:val="auto"/>
        </w:rPr>
        <w:t>, I</w:t>
      </w:r>
      <w:r>
        <w:rPr>
          <w:rFonts w:ascii="Arial" w:cs="Arial" w:eastAsia="Arial" w:hAnsi="Arial"/>
          <w:sz w:val="19"/>
          <w:szCs w:val="19"/>
          <w:b w:val="1"/>
          <w:bCs w:val="1"/>
          <w:color w:val="auto"/>
        </w:rPr>
        <w:t>NC</w:t>
      </w:r>
      <w:r>
        <w:rPr>
          <w:rFonts w:ascii="Arial" w:cs="Arial" w:eastAsia="Arial" w:hAnsi="Arial"/>
          <w:sz w:val="25"/>
          <w:szCs w:val="25"/>
          <w:b w:val="1"/>
          <w:bCs w:val="1"/>
          <w:color w:val="auto"/>
        </w:rPr>
        <w:t>.</w:t>
      </w:r>
    </w:p>
    <w:p>
      <w:pPr>
        <w:spacing w:after="0" w:line="45" w:lineRule="exact"/>
        <w:rPr>
          <w:sz w:val="20"/>
          <w:szCs w:val="20"/>
          <w:color w:val="auto"/>
        </w:rPr>
      </w:pPr>
    </w:p>
    <w:p>
      <w:pPr>
        <w:jc w:val="center"/>
        <w:ind w:right="120"/>
        <w:spacing w:after="0"/>
        <w:rPr>
          <w:sz w:val="20"/>
          <w:szCs w:val="20"/>
          <w:color w:val="auto"/>
        </w:rPr>
      </w:pPr>
      <w:r>
        <w:rPr>
          <w:rFonts w:ascii="Arial" w:cs="Arial" w:eastAsia="Arial" w:hAnsi="Arial"/>
          <w:sz w:val="27"/>
          <w:szCs w:val="27"/>
          <w:b w:val="1"/>
          <w:bCs w:val="1"/>
          <w:color w:val="auto"/>
        </w:rPr>
        <w:t>RSU A</w:t>
      </w:r>
      <w:r>
        <w:rPr>
          <w:rFonts w:ascii="Arial" w:cs="Arial" w:eastAsia="Arial" w:hAnsi="Arial"/>
          <w:sz w:val="21"/>
          <w:szCs w:val="21"/>
          <w:b w:val="1"/>
          <w:bCs w:val="1"/>
          <w:color w:val="auto"/>
        </w:rPr>
        <w:t>WARD</w:t>
      </w:r>
      <w:r>
        <w:rPr>
          <w:rFonts w:ascii="Arial" w:cs="Arial" w:eastAsia="Arial" w:hAnsi="Arial"/>
          <w:sz w:val="27"/>
          <w:szCs w:val="27"/>
          <w:b w:val="1"/>
          <w:bCs w:val="1"/>
          <w:color w:val="auto"/>
        </w:rPr>
        <w:t xml:space="preserve"> </w:t>
      </w:r>
      <w:r>
        <w:rPr>
          <w:rFonts w:ascii="Arial" w:cs="Arial" w:eastAsia="Arial" w:hAnsi="Arial"/>
          <w:sz w:val="25"/>
          <w:szCs w:val="25"/>
          <w:b w:val="1"/>
          <w:bCs w:val="1"/>
          <w:color w:val="auto"/>
        </w:rPr>
        <w:t>G</w:t>
      </w:r>
      <w:r>
        <w:rPr>
          <w:rFonts w:ascii="Arial" w:cs="Arial" w:eastAsia="Arial" w:hAnsi="Arial"/>
          <w:sz w:val="19"/>
          <w:szCs w:val="19"/>
          <w:b w:val="1"/>
          <w:bCs w:val="1"/>
          <w:color w:val="auto"/>
        </w:rPr>
        <w:t>RANT</w:t>
      </w:r>
      <w:r>
        <w:rPr>
          <w:rFonts w:ascii="Arial" w:cs="Arial" w:eastAsia="Arial" w:hAnsi="Arial"/>
          <w:sz w:val="27"/>
          <w:szCs w:val="27"/>
          <w:b w:val="1"/>
          <w:bCs w:val="1"/>
          <w:color w:val="auto"/>
        </w:rPr>
        <w:t xml:space="preserve"> </w:t>
      </w:r>
      <w:r>
        <w:rPr>
          <w:rFonts w:ascii="Arial" w:cs="Arial" w:eastAsia="Arial" w:hAnsi="Arial"/>
          <w:sz w:val="25"/>
          <w:szCs w:val="25"/>
          <w:b w:val="1"/>
          <w:bCs w:val="1"/>
          <w:color w:val="auto"/>
        </w:rPr>
        <w:t>N</w:t>
      </w:r>
      <w:r>
        <w:rPr>
          <w:rFonts w:ascii="Arial" w:cs="Arial" w:eastAsia="Arial" w:hAnsi="Arial"/>
          <w:sz w:val="19"/>
          <w:szCs w:val="19"/>
          <w:b w:val="1"/>
          <w:bCs w:val="1"/>
          <w:color w:val="auto"/>
        </w:rPr>
        <w:t>OTICE</w:t>
      </w:r>
    </w:p>
    <w:p>
      <w:pPr>
        <w:spacing w:after="0" w:line="4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(2021 E</w:t>
      </w:r>
      <w:r>
        <w:rPr>
          <w:rFonts w:ascii="Arial" w:cs="Arial" w:eastAsia="Arial" w:hAnsi="Arial"/>
          <w:sz w:val="17"/>
          <w:szCs w:val="17"/>
          <w:b w:val="1"/>
          <w:bCs w:val="1"/>
          <w:color w:val="auto"/>
        </w:rPr>
        <w:t>QUITY</w:t>
      </w:r>
      <w:r>
        <w:rPr>
          <w:rFonts w:ascii="Arial" w:cs="Arial" w:eastAsia="Arial" w:hAnsi="Arial"/>
          <w:sz w:val="22"/>
          <w:szCs w:val="22"/>
          <w:b w:val="1"/>
          <w:bCs w:val="1"/>
          <w:color w:val="auto"/>
        </w:rPr>
        <w:t xml:space="preserve"> I</w:t>
      </w:r>
      <w:r>
        <w:rPr>
          <w:rFonts w:ascii="Arial" w:cs="Arial" w:eastAsia="Arial" w:hAnsi="Arial"/>
          <w:sz w:val="17"/>
          <w:szCs w:val="17"/>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LAN</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76" w:lineRule="exact"/>
        <w:rPr>
          <w:sz w:val="20"/>
          <w:szCs w:val="20"/>
          <w:color w:val="auto"/>
        </w:rPr>
      </w:pPr>
    </w:p>
    <w:p>
      <w:pPr>
        <w:jc w:val="both"/>
        <w:ind w:right="120" w:firstLine="624"/>
        <w:spacing w:after="0" w:line="272" w:lineRule="auto"/>
        <w:rPr>
          <w:sz w:val="20"/>
          <w:szCs w:val="20"/>
          <w:color w:val="auto"/>
        </w:rPr>
      </w:pPr>
      <w:r>
        <w:rPr>
          <w:rFonts w:ascii="Arial" w:cs="Arial" w:eastAsia="Arial" w:hAnsi="Arial"/>
          <w:sz w:val="18"/>
          <w:szCs w:val="18"/>
          <w:color w:val="auto"/>
        </w:rPr>
        <w:t xml:space="preserve">Cytek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awarded to you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xml:space="preserve">”) the number of restricted stock units specified and on the terms set forth below in consideration of your services (the </w:t>
      </w:r>
      <w:r>
        <w:rPr>
          <w:rFonts w:ascii="Arial" w:cs="Arial" w:eastAsia="Arial" w:hAnsi="Arial"/>
          <w:sz w:val="18"/>
          <w:szCs w:val="18"/>
          <w:b w:val="1"/>
          <w:bCs w:val="1"/>
          <w:i w:val="1"/>
          <w:iCs w:val="1"/>
          <w:color w:val="auto"/>
        </w:rPr>
        <w:t>“RSU Award”</w:t>
      </w:r>
      <w:r>
        <w:rPr>
          <w:rFonts w:ascii="Arial" w:cs="Arial" w:eastAsia="Arial" w:hAnsi="Arial"/>
          <w:sz w:val="18"/>
          <w:szCs w:val="18"/>
          <w:color w:val="auto"/>
        </w:rPr>
        <w:t xml:space="preserve">). Your RSU Award is subject to all of the terms and conditions as set forth herein and in the Company’s 2021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including any additional terms and conditions for your country included in the appendix attached thereto, which are incorporated herein in their entirety. Capitalized terms not explicitly defined herein but defined in the Plan or the Agreement shall have the meanings set forth in the Plan or the Agreement.</w:t>
      </w:r>
    </w:p>
    <w:p>
      <w:pPr>
        <w:spacing w:after="0" w:line="231"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____________________________________</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 Number of Restricted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Units: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Vesting Schedule</w:t>
            </w:r>
            <w:r>
              <w:rPr>
                <w:rFonts w:ascii="Arial" w:cs="Arial" w:eastAsia="Arial" w:hAnsi="Arial"/>
                <w:sz w:val="18"/>
                <w:szCs w:val="18"/>
                <w:color w:val="auto"/>
              </w:rPr>
              <w:t>: [</w:t>
            </w:r>
          </w:p>
        </w:tc>
        <w:tc>
          <w:tcPr>
            <w:tcW w:w="8160" w:type="dxa"/>
            <w:vAlign w:val="bottom"/>
          </w:tcPr>
          <w:p>
            <w:pPr>
              <w:jc w:val="right"/>
              <w:ind w:right="7970"/>
              <w:spacing w:after="0"/>
              <w:rPr>
                <w:sz w:val="20"/>
                <w:szCs w:val="20"/>
                <w:color w:val="auto"/>
              </w:rPr>
            </w:pPr>
            <w:r>
              <w:rPr>
                <w:rFonts w:ascii="Arial" w:cs="Arial" w:eastAsia="Arial" w:hAnsi="Arial"/>
                <w:sz w:val="18"/>
                <w:szCs w:val="18"/>
                <w:color w:val="auto"/>
                <w:w w:val="79"/>
              </w:rPr>
              <w:t>].</w:t>
            </w:r>
          </w:p>
        </w:tc>
      </w:tr>
      <w:tr>
        <w:trPr>
          <w:trHeight w:val="250"/>
        </w:trPr>
        <w:tc>
          <w:tcPr>
            <w:tcW w:w="15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160" w:type="dxa"/>
            <w:vAlign w:val="bottom"/>
          </w:tcPr>
          <w:p>
            <w:pPr>
              <w:jc w:val="right"/>
              <w:spacing w:after="0"/>
              <w:rPr>
                <w:sz w:val="20"/>
                <w:szCs w:val="20"/>
                <w:color w:val="auto"/>
              </w:rPr>
            </w:pPr>
            <w:r>
              <w:rPr>
                <w:rFonts w:ascii="Arial" w:cs="Arial" w:eastAsia="Arial" w:hAnsi="Arial"/>
                <w:sz w:val="18"/>
                <w:szCs w:val="18"/>
                <w:color w:val="auto"/>
                <w:w w:val="91"/>
              </w:rPr>
              <w:t>Notwithstanding the foregoing, vesting shall terminate upon the Participant’s termination of Continuous Service.</w:t>
            </w:r>
          </w:p>
        </w:tc>
      </w:tr>
    </w:tbl>
    <w:p>
      <w:pPr>
        <w:spacing w:after="0" w:line="252" w:lineRule="exact"/>
        <w:rPr>
          <w:sz w:val="20"/>
          <w:szCs w:val="20"/>
          <w:color w:val="auto"/>
        </w:rPr>
      </w:pPr>
    </w:p>
    <w:p>
      <w:pPr>
        <w:ind w:left="1860" w:right="600" w:hanging="1873"/>
        <w:spacing w:after="0" w:line="297" w:lineRule="auto"/>
        <w:rPr>
          <w:sz w:val="20"/>
          <w:szCs w:val="20"/>
          <w:color w:val="auto"/>
        </w:rPr>
      </w:pPr>
      <w:r>
        <w:rPr>
          <w:rFonts w:ascii="Arial" w:cs="Arial" w:eastAsia="Arial" w:hAnsi="Arial"/>
          <w:sz w:val="18"/>
          <w:szCs w:val="18"/>
          <w:b w:val="1"/>
          <w:bCs w:val="1"/>
          <w:color w:val="auto"/>
        </w:rPr>
        <w:t xml:space="preserve">Issuance Schedule: </w:t>
      </w:r>
      <w:r>
        <w:rPr>
          <w:rFonts w:ascii="Arial" w:cs="Arial" w:eastAsia="Arial" w:hAnsi="Arial"/>
          <w:sz w:val="18"/>
          <w:szCs w:val="18"/>
          <w:color w:val="auto"/>
        </w:rPr>
        <w:t>One share of Common Stock will be issued for each restricted stock unit which vests at the time set forth in Section 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311" w:lineRule="exact"/>
        <w:rPr>
          <w:sz w:val="20"/>
          <w:szCs w:val="20"/>
          <w:color w:val="auto"/>
        </w:rPr>
      </w:pPr>
    </w:p>
    <w:p>
      <w:pPr>
        <w:ind w:right="460"/>
        <w:spacing w:after="0" w:line="297" w:lineRule="auto"/>
        <w:rPr>
          <w:sz w:val="20"/>
          <w:szCs w:val="20"/>
          <w:color w:val="auto"/>
        </w:rPr>
      </w:pPr>
      <w:r>
        <w:rPr>
          <w:rFonts w:ascii="Arial" w:cs="Arial" w:eastAsia="Arial" w:hAnsi="Arial"/>
          <w:sz w:val="18"/>
          <w:szCs w:val="18"/>
          <w:b w:val="1"/>
          <w:bCs w:val="1"/>
          <w:color w:val="auto"/>
        </w:rPr>
        <w:t xml:space="preserve">Participant Acknowledgements: </w:t>
      </w:r>
      <w:r>
        <w:rPr>
          <w:rFonts w:ascii="Arial" w:cs="Arial" w:eastAsia="Arial" w:hAnsi="Arial"/>
          <w:sz w:val="18"/>
          <w:szCs w:val="18"/>
          <w:color w:val="auto"/>
        </w:rPr>
        <w:t>By your signature below or by electronic acceptance or authentication in a form authorized by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 and agree that:</w:t>
      </w:r>
    </w:p>
    <w:p>
      <w:pPr>
        <w:spacing w:after="0" w:line="207" w:lineRule="exact"/>
        <w:rPr>
          <w:sz w:val="20"/>
          <w:szCs w:val="20"/>
          <w:color w:val="auto"/>
        </w:rPr>
      </w:pPr>
    </w:p>
    <w:p>
      <w:pPr>
        <w:jc w:val="both"/>
        <w:ind w:left="700" w:right="120"/>
        <w:spacing w:after="0" w:line="273" w:lineRule="auto"/>
        <w:rPr>
          <w:sz w:val="20"/>
          <w:szCs w:val="20"/>
          <w:color w:val="auto"/>
        </w:rPr>
      </w:pPr>
      <w:r>
        <w:rPr>
          <w:rFonts w:ascii="Arial" w:cs="Arial" w:eastAsia="Arial" w:hAnsi="Arial"/>
          <w:sz w:val="18"/>
          <w:szCs w:val="18"/>
          <w:color w:val="auto"/>
        </w:rPr>
        <w:t>The RSU Award is governed by this RSU Award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and the provisions of the Plan and the Global RSU Award Agreement, </w:t>
      </w:r>
      <w:r>
        <w:rPr>
          <w:rFonts w:ascii="Arial" w:cs="Arial" w:eastAsia="Arial" w:hAnsi="Arial"/>
          <w:sz w:val="19"/>
          <w:szCs w:val="19"/>
          <w:color w:val="auto"/>
        </w:rPr>
        <w:t>including any additional terms and conditions for your country included in the appendix attached thereto</w:t>
      </w:r>
      <w:r>
        <w:rPr>
          <w:rFonts w:ascii="Arial" w:cs="Arial" w:eastAsia="Arial" w:hAnsi="Arial"/>
          <w:sz w:val="18"/>
          <w:szCs w:val="18"/>
          <w:color w:val="auto"/>
        </w:rPr>
        <w:t xml:space="preserve"> (collectively,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all of which are made a part of this document. Unless otherwise provided in the Plan or the Agreement, this Grant Notice may not be modified, amended or revised except in a writing signed by you and the Company’s Chief Executive Officer, Chief Financial Officer or General Counsel.</w:t>
      </w:r>
    </w:p>
    <w:p>
      <w:pPr>
        <w:spacing w:after="0" w:line="241" w:lineRule="exact"/>
        <w:rPr>
          <w:sz w:val="20"/>
          <w:szCs w:val="20"/>
          <w:color w:val="auto"/>
        </w:rPr>
      </w:pPr>
    </w:p>
    <w:p>
      <w:pPr>
        <w:jc w:val="both"/>
        <w:ind w:left="700" w:right="140"/>
        <w:spacing w:after="0" w:line="293" w:lineRule="auto"/>
        <w:rPr>
          <w:sz w:val="20"/>
          <w:szCs w:val="20"/>
          <w:color w:val="auto"/>
        </w:rPr>
      </w:pPr>
      <w:r>
        <w:rPr>
          <w:rFonts w:ascii="Arial" w:cs="Arial" w:eastAsia="Arial" w:hAnsi="Arial"/>
          <w:sz w:val="18"/>
          <w:szCs w:val="18"/>
          <w:color w:val="auto"/>
        </w:rPr>
        <w:t>You have read and are familiar with the provisions of the Plan, the Agreement and the Prospectus. In the event of any conflict between the provisions in the Agreement, or the Prospectus and the terms of the Plan, the terms of the Plan shall control.</w:t>
      </w:r>
    </w:p>
    <w:p>
      <w:pPr>
        <w:spacing w:after="0" w:line="224" w:lineRule="exact"/>
        <w:rPr>
          <w:sz w:val="20"/>
          <w:szCs w:val="20"/>
          <w:color w:val="auto"/>
        </w:rPr>
      </w:pPr>
    </w:p>
    <w:p>
      <w:pPr>
        <w:jc w:val="both"/>
        <w:ind w:left="700" w:right="120"/>
        <w:spacing w:after="0" w:line="319" w:lineRule="auto"/>
        <w:rPr>
          <w:sz w:val="20"/>
          <w:szCs w:val="20"/>
          <w:color w:val="auto"/>
        </w:rPr>
      </w:pPr>
      <w:r>
        <w:rPr>
          <w:rFonts w:ascii="Arial" w:cs="Arial" w:eastAsia="Arial" w:hAnsi="Arial"/>
          <w:sz w:val="16"/>
          <w:szCs w:val="16"/>
          <w:color w:val="auto"/>
        </w:rPr>
        <w:t>The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300" w:lineRule="exact"/>
        <w:rPr>
          <w:sz w:val="20"/>
          <w:szCs w:val="20"/>
          <w:color w:val="auto"/>
        </w:rPr>
      </w:pPr>
    </w:p>
    <w:p>
      <w:pPr>
        <w:ind w:left="40"/>
        <w:spacing w:after="0"/>
        <w:tabs>
          <w:tab w:leader="none" w:pos="2180" w:val="left"/>
        </w:tabs>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YTEK</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IOSCIENCES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w:t>
      </w:r>
      <w:r>
        <w:rPr>
          <w:rFonts w:ascii="Arial" w:cs="Arial" w:eastAsia="Arial" w:hAnsi="Arial"/>
          <w:sz w:val="18"/>
          <w:szCs w:val="18"/>
          <w:b w:val="1"/>
          <w:bCs w:val="1"/>
          <w:color w:val="auto"/>
        </w:rPr>
        <w:t>:</w:t>
      </w:r>
    </w:p>
    <w:p>
      <w:pPr>
        <w:spacing w:after="0" w:line="391" w:lineRule="exact"/>
        <w:rPr>
          <w:sz w:val="20"/>
          <w:szCs w:val="20"/>
          <w:color w:val="auto"/>
        </w:rPr>
      </w:pPr>
    </w:p>
    <w:p>
      <w:pPr>
        <w:ind w:left="20"/>
        <w:spacing w:after="0"/>
        <w:tabs>
          <w:tab w:leader="none" w:pos="1840" w:val="left"/>
          <w:tab w:leader="none" w:pos="3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Signature</w:t>
      </w:r>
      <w:r>
        <w:rPr>
          <w:sz w:val="20"/>
          <w:szCs w:val="20"/>
          <w:color w:val="auto"/>
        </w:rPr>
        <w:tab/>
      </w: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-10160</wp:posOffset>
            </wp:positionV>
            <wp:extent cx="9772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977265" cy="8890"/>
                    </a:xfrm>
                    <a:prstGeom prst="rect">
                      <a:avLst/>
                    </a:prstGeom>
                    <a:noFill/>
                  </pic:spPr>
                </pic:pic>
              </a:graphicData>
            </a:graphic>
          </wp:anchor>
        </w:drawing>
      </w:r>
    </w:p>
    <w:p>
      <w:pPr>
        <w:spacing w:after="0" w:line="25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-10160</wp:posOffset>
            </wp:positionV>
            <wp:extent cx="2133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213360" cy="8890"/>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-10160</wp:posOffset>
            </wp:positionV>
            <wp:extent cx="18097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18097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361950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242570</wp:posOffset>
            </wp:positionH>
            <wp:positionV relativeFrom="paragraph">
              <wp:posOffset>-10160</wp:posOffset>
            </wp:positionV>
            <wp:extent cx="2095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209550" cy="8890"/>
                    </a:xfrm>
                    <a:prstGeom prst="rect">
                      <a:avLst/>
                    </a:prstGeom>
                    <a:noFill/>
                  </pic:spPr>
                </pic:pic>
              </a:graphicData>
            </a:graphic>
          </wp:anchor>
        </w:drawing>
      </w:r>
    </w:p>
    <w:p>
      <w:pPr>
        <w:sectPr>
          <w:pgSz w:w="11900" w:h="16838" w:orient="portrait"/>
          <w:cols w:equalWidth="0" w:num="1">
            <w:col w:w="11100"/>
          </w:cols>
          <w:pgMar w:left="460" w:top="418"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b w:val="1"/>
          <w:bCs w:val="1"/>
          <w:color w:val="auto"/>
        </w:rPr>
        <w:t>C</w:t>
      </w:r>
      <w:r>
        <w:rPr>
          <w:rFonts w:ascii="Arial" w:cs="Arial" w:eastAsia="Arial" w:hAnsi="Arial"/>
          <w:sz w:val="13"/>
          <w:szCs w:val="13"/>
          <w:b w:val="1"/>
          <w:bCs w:val="1"/>
          <w:color w:val="auto"/>
        </w:rPr>
        <w:t>YTEK</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IOSCIENCES</w:t>
      </w:r>
      <w:r>
        <w:rPr>
          <w:rFonts w:ascii="Arial" w:cs="Arial" w:eastAsia="Arial" w:hAnsi="Arial"/>
          <w:sz w:val="20"/>
          <w:szCs w:val="20"/>
          <w:b w:val="1"/>
          <w:bCs w:val="1"/>
          <w:color w:val="auto"/>
        </w:rPr>
        <w:t>, I</w:t>
      </w:r>
      <w:r>
        <w:rPr>
          <w:rFonts w:ascii="Arial" w:cs="Arial" w:eastAsia="Arial" w:hAnsi="Arial"/>
          <w:sz w:val="16"/>
          <w:szCs w:val="16"/>
          <w:b w:val="1"/>
          <w:bCs w:val="1"/>
          <w:color w:val="auto"/>
        </w:rPr>
        <w:t>NC</w:t>
      </w:r>
      <w:r>
        <w:rPr>
          <w:rFonts w:ascii="Arial" w:cs="Arial" w:eastAsia="Arial" w:hAnsi="Arial"/>
          <w:sz w:val="20"/>
          <w:szCs w:val="20"/>
          <w:b w:val="1"/>
          <w:bCs w:val="1"/>
          <w:color w:val="auto"/>
        </w:rPr>
        <w:t>.</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2021 E</w:t>
      </w:r>
      <w:r>
        <w:rPr>
          <w:rFonts w:ascii="Arial" w:cs="Arial" w:eastAsia="Arial" w:hAnsi="Arial"/>
          <w:sz w:val="16"/>
          <w:szCs w:val="16"/>
          <w:b w:val="1"/>
          <w:bCs w:val="1"/>
          <w:color w:val="auto"/>
        </w:rPr>
        <w:t>QUITY</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NCENTIVE</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20"/>
          <w:szCs w:val="20"/>
          <w:b w:val="1"/>
          <w:bCs w:val="1"/>
          <w:color w:val="auto"/>
        </w:rPr>
        <w:t xml:space="preserve"> G</w:t>
      </w:r>
      <w:r>
        <w:rPr>
          <w:rFonts w:ascii="Arial" w:cs="Arial" w:eastAsia="Arial" w:hAnsi="Arial"/>
          <w:sz w:val="16"/>
          <w:szCs w:val="16"/>
          <w:b w:val="1"/>
          <w:bCs w:val="1"/>
          <w:color w:val="auto"/>
        </w:rPr>
        <w:t>LOBAL</w:t>
      </w:r>
      <w:r>
        <w:rPr>
          <w:rFonts w:ascii="Arial" w:cs="Arial" w:eastAsia="Arial" w:hAnsi="Arial"/>
          <w:sz w:val="20"/>
          <w:szCs w:val="20"/>
          <w:b w:val="1"/>
          <w:bCs w:val="1"/>
          <w:color w:val="auto"/>
        </w:rPr>
        <w:t xml:space="preserve"> RSU A</w:t>
      </w:r>
      <w:r>
        <w:rPr>
          <w:rFonts w:ascii="Arial" w:cs="Arial" w:eastAsia="Arial" w:hAnsi="Arial"/>
          <w:sz w:val="16"/>
          <w:szCs w:val="16"/>
          <w:b w:val="1"/>
          <w:bCs w:val="1"/>
          <w:color w:val="auto"/>
        </w:rPr>
        <w:t>WARD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6"/>
          <w:szCs w:val="16"/>
          <w:b w:val="1"/>
          <w:bCs w:val="1"/>
          <w:color w:val="auto"/>
        </w:rPr>
        <w:t>GREEMENT</w:t>
      </w:r>
    </w:p>
    <w:p>
      <w:pPr>
        <w:spacing w:after="0" w:line="200" w:lineRule="exact"/>
        <w:rPr>
          <w:sz w:val="20"/>
          <w:szCs w:val="20"/>
          <w:color w:val="auto"/>
        </w:rPr>
      </w:pPr>
    </w:p>
    <w:p>
      <w:pPr>
        <w:spacing w:after="0" w:line="211"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9"/>
          <w:szCs w:val="19"/>
          <w:color w:val="auto"/>
        </w:rPr>
        <w:t>As reflected by your RSU Award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Cytek Biosciences,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you an equity award under its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for the number of restricted stock units (the “</w:t>
      </w: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 as indicated in your Grant Notice (the “</w:t>
      </w:r>
      <w:r>
        <w:rPr>
          <w:rFonts w:ascii="Arial" w:cs="Arial" w:eastAsia="Arial" w:hAnsi="Arial"/>
          <w:sz w:val="19"/>
          <w:szCs w:val="19"/>
          <w:b w:val="1"/>
          <w:bCs w:val="1"/>
          <w:i w:val="1"/>
          <w:iCs w:val="1"/>
          <w:color w:val="auto"/>
        </w:rPr>
        <w:t>RSU Award</w:t>
      </w:r>
      <w:r>
        <w:rPr>
          <w:rFonts w:ascii="Arial" w:cs="Arial" w:eastAsia="Arial" w:hAnsi="Arial"/>
          <w:sz w:val="19"/>
          <w:szCs w:val="19"/>
          <w:color w:val="auto"/>
        </w:rPr>
        <w:t>”). The terms of your RSU Award are subject to the Plan, the Grant Notice and this Global RSU Award Agreement, including any additional terms and conditions for your country included in the appendix attached thereto (collectively,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Capitalized terms not explicitly defined in this Agreement but defined in the Grant Notice or the Plan shall have the same definitions as in the Grant Notice or Plan, as applicable.</w:t>
      </w:r>
    </w:p>
    <w:p>
      <w:pPr>
        <w:spacing w:after="0" w:line="222" w:lineRule="exact"/>
        <w:rPr>
          <w:sz w:val="20"/>
          <w:szCs w:val="20"/>
          <w:color w:val="auto"/>
        </w:rPr>
      </w:pPr>
    </w:p>
    <w:p>
      <w:pPr>
        <w:ind w:left="740"/>
        <w:spacing w:after="0"/>
        <w:rPr>
          <w:sz w:val="20"/>
          <w:szCs w:val="20"/>
          <w:color w:val="auto"/>
        </w:rPr>
      </w:pPr>
      <w:r>
        <w:rPr>
          <w:rFonts w:ascii="Arial" w:cs="Arial" w:eastAsia="Arial" w:hAnsi="Arial"/>
          <w:sz w:val="20"/>
          <w:szCs w:val="20"/>
          <w:color w:val="auto"/>
        </w:rPr>
        <w:t>The general terms applicable to your RSU Award are as follows:</w:t>
      </w:r>
    </w:p>
    <w:p>
      <w:pPr>
        <w:spacing w:after="0" w:line="291" w:lineRule="exact"/>
        <w:rPr>
          <w:sz w:val="20"/>
          <w:szCs w:val="20"/>
          <w:color w:val="auto"/>
        </w:rPr>
      </w:pPr>
    </w:p>
    <w:p>
      <w:pPr>
        <w:jc w:val="both"/>
        <w:ind w:left="740" w:firstLine="797"/>
        <w:spacing w:after="0" w:line="276" w:lineRule="auto"/>
        <w:tabs>
          <w:tab w:leader="none" w:pos="2137" w:val="left"/>
        </w:tabs>
        <w:numPr>
          <w:ilvl w:val="1"/>
          <w:numId w:val="68"/>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6"/>
          <w:szCs w:val="16"/>
          <w:b w:val="1"/>
          <w:bCs w:val="1"/>
          <w:color w:val="auto"/>
        </w:rPr>
        <w:t>OVERNING</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LAN</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OCUMENT</w:t>
      </w:r>
      <w:r>
        <w:rPr>
          <w:rFonts w:ascii="Arial" w:cs="Arial" w:eastAsia="Arial" w:hAnsi="Arial"/>
          <w:sz w:val="20"/>
          <w:szCs w:val="20"/>
          <w:b w:val="1"/>
          <w:bCs w:val="1"/>
          <w:color w:val="auto"/>
        </w:rPr>
        <w:t xml:space="preserve">. </w:t>
      </w:r>
      <w:r>
        <w:rPr>
          <w:rFonts w:ascii="Arial" w:cs="Arial" w:eastAsia="Arial" w:hAnsi="Arial"/>
          <w:sz w:val="20"/>
          <w:szCs w:val="20"/>
          <w:color w:val="auto"/>
        </w:rPr>
        <w:t>Your RSU Award is subject to all the provisions of the Plan. Your RSU</w:t>
      </w:r>
      <w:r>
        <w:rPr>
          <w:rFonts w:ascii="Arial" w:cs="Arial" w:eastAsia="Arial" w:hAnsi="Arial"/>
          <w:sz w:val="20"/>
          <w:szCs w:val="20"/>
          <w:b w:val="1"/>
          <w:bCs w:val="1"/>
          <w:color w:val="auto"/>
        </w:rPr>
        <w:t xml:space="preserve"> </w:t>
      </w:r>
      <w:r>
        <w:rPr>
          <w:rFonts w:ascii="Arial" w:cs="Arial" w:eastAsia="Arial" w:hAnsi="Arial"/>
          <w:sz w:val="20"/>
          <w:szCs w:val="20"/>
          <w:color w:val="auto"/>
        </w:rPr>
        <w:t>Award is further subject to all interpretations, amendments, rules and regulations, which may from time to time be promulgated and adopted pursuant to the Plan. In the event of any conflict between the Agreement and the provisions of the Plan, the provisions of the Plan shall control.</w:t>
      </w:r>
    </w:p>
    <w:p>
      <w:pPr>
        <w:spacing w:after="0" w:line="224" w:lineRule="exact"/>
        <w:rPr>
          <w:rFonts w:ascii="Arial" w:cs="Arial" w:eastAsia="Arial" w:hAnsi="Arial"/>
          <w:sz w:val="20"/>
          <w:szCs w:val="20"/>
          <w:b w:val="1"/>
          <w:bCs w:val="1"/>
          <w:color w:val="auto"/>
        </w:rPr>
      </w:pPr>
    </w:p>
    <w:p>
      <w:pPr>
        <w:jc w:val="both"/>
        <w:ind w:left="740" w:firstLine="797"/>
        <w:spacing w:after="0" w:line="306" w:lineRule="auto"/>
        <w:tabs>
          <w:tab w:leader="none" w:pos="2137"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 OF THE</w:t>
      </w:r>
      <w:r>
        <w:rPr>
          <w:rFonts w:ascii="Arial" w:cs="Arial" w:eastAsia="Arial" w:hAnsi="Arial"/>
          <w:sz w:val="18"/>
          <w:szCs w:val="18"/>
          <w:b w:val="1"/>
          <w:bCs w:val="1"/>
          <w:color w:val="auto"/>
        </w:rPr>
        <w:t xml:space="preserve"> RSU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w:t>
      </w:r>
      <w:r>
        <w:rPr>
          <w:rFonts w:ascii="Arial" w:cs="Arial" w:eastAsia="Arial" w:hAnsi="Arial"/>
          <w:sz w:val="18"/>
          <w:szCs w:val="18"/>
          <w:color w:val="auto"/>
        </w:rPr>
        <w:t>This RSU Award represents your right to be issued on a future date the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shares of the Company’s Common Stock that is equal to the number of Restricted Stock Units indicated in the Grant Notice, subject to your satisfaction of the vesting conditions set forth therein. Notwithstanding the foregoing, the Company, in its sole discretion, may settle the RSU Award in cash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218" w:lineRule="exact"/>
        <w:rPr>
          <w:rFonts w:ascii="Arial" w:cs="Arial" w:eastAsia="Arial" w:hAnsi="Arial"/>
          <w:sz w:val="18"/>
          <w:szCs w:val="18"/>
          <w:b w:val="1"/>
          <w:bCs w:val="1"/>
          <w:color w:val="auto"/>
        </w:rPr>
      </w:pPr>
    </w:p>
    <w:p>
      <w:pPr>
        <w:ind w:left="740" w:firstLine="794"/>
        <w:spacing w:after="0" w:line="354" w:lineRule="auto"/>
        <w:tabs>
          <w:tab w:leader="none" w:pos="2134"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receive no benefit or adjustment to your RSU Award with respect to any cash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stock dividend, or other distribution that does not result from a Capitalization Adjustment as provided in the Plan.</w:t>
      </w:r>
    </w:p>
    <w:p>
      <w:pPr>
        <w:spacing w:after="0" w:line="158" w:lineRule="exact"/>
        <w:rPr>
          <w:rFonts w:ascii="Arial" w:cs="Arial" w:eastAsia="Arial" w:hAnsi="Arial"/>
          <w:sz w:val="18"/>
          <w:szCs w:val="18"/>
          <w:b w:val="1"/>
          <w:bCs w:val="1"/>
          <w:color w:val="auto"/>
        </w:rPr>
      </w:pPr>
    </w:p>
    <w:p>
      <w:pPr>
        <w:ind w:left="1380" w:hanging="639"/>
        <w:spacing w:after="0"/>
        <w:tabs>
          <w:tab w:leader="none" w:pos="138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W</w:t>
      </w:r>
      <w:r>
        <w:rPr>
          <w:rFonts w:ascii="Arial" w:cs="Arial" w:eastAsia="Arial" w:hAnsi="Arial"/>
          <w:sz w:val="16"/>
          <w:szCs w:val="16"/>
          <w:b w:val="1"/>
          <w:bCs w:val="1"/>
          <w:color w:val="auto"/>
        </w:rPr>
        <w:t>ITHHOLDING</w:t>
      </w:r>
      <w:r>
        <w:rPr>
          <w:rFonts w:ascii="Arial" w:cs="Arial" w:eastAsia="Arial" w:hAnsi="Arial"/>
          <w:sz w:val="20"/>
          <w:szCs w:val="20"/>
          <w:b w:val="1"/>
          <w:bCs w:val="1"/>
          <w:color w:val="auto"/>
        </w:rPr>
        <w:t xml:space="preserve"> O</w:t>
      </w:r>
      <w:r>
        <w:rPr>
          <w:rFonts w:ascii="Arial" w:cs="Arial" w:eastAsia="Arial" w:hAnsi="Arial"/>
          <w:sz w:val="16"/>
          <w:szCs w:val="16"/>
          <w:b w:val="1"/>
          <w:bCs w:val="1"/>
          <w:color w:val="auto"/>
        </w:rPr>
        <w:t>BLIGATIONS</w:t>
      </w:r>
      <w:r>
        <w:rPr>
          <w:rFonts w:ascii="Arial" w:cs="Arial" w:eastAsia="Arial" w:hAnsi="Arial"/>
          <w:sz w:val="20"/>
          <w:szCs w:val="20"/>
          <w:b w:val="1"/>
          <w:bCs w:val="1"/>
          <w:color w:val="auto"/>
        </w:rPr>
        <w:t>.</w:t>
      </w:r>
    </w:p>
    <w:p>
      <w:pPr>
        <w:spacing w:after="0" w:line="248" w:lineRule="exact"/>
        <w:rPr>
          <w:rFonts w:ascii="Arial" w:cs="Arial" w:eastAsia="Arial" w:hAnsi="Arial"/>
          <w:sz w:val="20"/>
          <w:szCs w:val="20"/>
          <w:b w:val="1"/>
          <w:bCs w:val="1"/>
          <w:color w:val="auto"/>
        </w:rPr>
      </w:pPr>
    </w:p>
    <w:p>
      <w:pPr>
        <w:ind w:left="1480" w:firstLine="1712"/>
        <w:spacing w:after="0" w:line="267" w:lineRule="auto"/>
        <w:tabs>
          <w:tab w:leader="none" w:pos="4274" w:val="left"/>
        </w:tabs>
        <w:numPr>
          <w:ilvl w:val="2"/>
          <w:numId w:val="69"/>
        </w:numPr>
        <w:rPr>
          <w:rFonts w:ascii="Arial" w:cs="Arial" w:eastAsia="Arial" w:hAnsi="Arial"/>
          <w:sz w:val="20"/>
          <w:szCs w:val="20"/>
          <w:color w:val="auto"/>
        </w:rPr>
      </w:pPr>
      <w:r>
        <w:rPr>
          <w:rFonts w:ascii="Arial" w:cs="Arial" w:eastAsia="Arial" w:hAnsi="Arial"/>
          <w:sz w:val="20"/>
          <w:szCs w:val="20"/>
          <w:color w:val="auto"/>
        </w:rPr>
        <w:t>You acknowledge that, regardless of any action taken by the Company or, if different, the Affiliate employing you (the “</w:t>
      </w:r>
      <w:r>
        <w:rPr>
          <w:rFonts w:ascii="Arial" w:cs="Arial" w:eastAsia="Arial" w:hAnsi="Arial"/>
          <w:sz w:val="20"/>
          <w:szCs w:val="20"/>
          <w:b w:val="1"/>
          <w:bCs w:val="1"/>
          <w:i w:val="1"/>
          <w:iCs w:val="1"/>
          <w:color w:val="auto"/>
        </w:rPr>
        <w:t>Employer</w:t>
      </w:r>
      <w:r>
        <w:rPr>
          <w:rFonts w:ascii="Arial" w:cs="Arial" w:eastAsia="Arial" w:hAnsi="Arial"/>
          <w:sz w:val="20"/>
          <w:szCs w:val="20"/>
          <w:color w:val="auto"/>
        </w:rPr>
        <w:t>”), the ultimate liability for all income tax (including</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U.S. federal, state, and local taxes and/or foreign taxes), social insurance, payroll tax, fringe benefits tax, payment on account or other tax-related items related to your participation in the Plan and legally applicable to you (“</w:t>
      </w:r>
      <w:r>
        <w:rPr>
          <w:rFonts w:ascii="Arial" w:cs="Arial" w:eastAsia="Arial" w:hAnsi="Arial"/>
          <w:sz w:val="19"/>
          <w:szCs w:val="19"/>
          <w:b w:val="1"/>
          <w:bCs w:val="1"/>
          <w:i w:val="1"/>
          <w:iCs w:val="1"/>
          <w:color w:val="auto"/>
        </w:rPr>
        <w:t>Tax-Related Items</w:t>
      </w:r>
      <w:r>
        <w:rPr>
          <w:rFonts w:ascii="Arial" w:cs="Arial" w:eastAsia="Arial" w:hAnsi="Arial"/>
          <w:sz w:val="19"/>
          <w:szCs w:val="19"/>
          <w:color w:val="auto"/>
        </w:rPr>
        <w:t>”) is and remains your responsibility and may exceed the amount, if any, actually withheld by the Company or the Employer. You further acknowledge that the Company and/or your Employer (i) make no representations or undertakings regarding the treatment of any Tax-Related Items in connection with any aspect of the RSU Award, including, but not limited to, the grant of the RSU Award, the vesting of the RSU Award, the issuance of shares in settlement of vesting of the RSU Award, the subsequent sale of any shares of Common Stock acquired pursuant to the RSU Award and the receipt of any dividends or dividend equivalents; and (ii) do not commit to and are under no obligation to reduce or eliminate your liability for Tax-Related Items. Further, if you become subject to taxation in more than one country, you acknowledge that the Company and/or your Employer (or former employer,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181610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427" w:right="459" w:bottom="1440" w:gutter="0" w:footer="0" w:header="0"/>
        </w:sectPr>
      </w:pPr>
    </w:p>
    <w:bookmarkStart w:id="83" w:name="page84"/>
    <w:bookmarkEnd w:id="83"/>
    <w:p>
      <w:pPr>
        <w:spacing w:after="0"/>
        <w:rPr>
          <w:sz w:val="20"/>
          <w:szCs w:val="20"/>
          <w:color w:val="auto"/>
        </w:rPr>
      </w:pPr>
      <w:r>
        <w:rPr>
          <w:rFonts w:ascii="Arial" w:cs="Arial" w:eastAsia="Arial" w:hAnsi="Arial"/>
          <w:sz w:val="20"/>
          <w:szCs w:val="20"/>
          <w:color w:val="auto"/>
        </w:rPr>
        <w:t>may be required to withhold or account for Tax-Related Items in more than one country.</w:t>
      </w:r>
    </w:p>
    <w:p>
      <w:pPr>
        <w:spacing w:after="0" w:line="297" w:lineRule="exact"/>
        <w:rPr>
          <w:sz w:val="20"/>
          <w:szCs w:val="20"/>
          <w:color w:val="auto"/>
        </w:rPr>
      </w:pPr>
    </w:p>
    <w:p>
      <w:pPr>
        <w:jc w:val="both"/>
        <w:ind w:left="1480" w:firstLine="1712"/>
        <w:spacing w:after="0" w:line="301" w:lineRule="auto"/>
        <w:tabs>
          <w:tab w:leader="none" w:pos="4274"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Notwithstanding any contrary provision of this Agreement, no Shares will be issued to you unless and until satisfactory arrangements (as determined by the Plan Administrator) will have been made by you with respect to the payment of income, employment and other taxes which the Company determines must be withheld with respect to such Shares. Prior to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any applicable withholding obligations with regard to all Tax-Related Items by one or a combination of the following: (i) cash payment; (ii) withholding from your wages or other cash compensation paid to you by the Company and/or the Employer; (iii) withholding from proceeds of the sale of shares of Common Stock acquired upon settlement of the Restricted Stock Units either through a voluntary sale or through a mandatory sale arranged by the Company (on your behalf pursuant to this authorization without further consent); (iv) withholding from shares of Common Stock to be issued to you upon settlement of the Restricted Stock Units; or (v) any other method of withholding determined by the Company and permitted by Applicable Law.</w:t>
      </w:r>
    </w:p>
    <w:p>
      <w:pPr>
        <w:spacing w:after="0" w:line="216" w:lineRule="exact"/>
        <w:rPr>
          <w:rFonts w:ascii="Arial" w:cs="Arial" w:eastAsia="Arial" w:hAnsi="Arial"/>
          <w:sz w:val="18"/>
          <w:szCs w:val="18"/>
          <w:color w:val="auto"/>
        </w:rPr>
      </w:pPr>
    </w:p>
    <w:p>
      <w:pPr>
        <w:jc w:val="both"/>
        <w:ind w:left="1480" w:firstLine="1712"/>
        <w:spacing w:after="0" w:line="285" w:lineRule="auto"/>
        <w:tabs>
          <w:tab w:leader="none" w:pos="4274"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Company and/or the Employer may withhold or account for Tax-Related Items by considering applicable statutory withholding amounts or other applicable withholding rates, including minimum and maximum rates. In the event of over-withholding you may receive a refund of any over-withheld amount in cash (with no entitlement to the equivalent amount in shares of Common Stock) from the Company or the Employer; otherwise, you may be able to seek a refund from the local tax authorities. In the event of under-withholding, you may be required to pay any additional Tax-Related Items directly to the applicable tax authority or to the Company and/or the Employer. If the obligation for Tax-Related Items is satisfied by withholding in shares of Common Stock, for tax purposes, you are deemed to have been issued the full number of shares of Common Stock subject to the vested Restricted Stock Units, notwithstanding that a number of the shares of Common Stock is held back solely for the purpose of paying the Tax-Related Items.</w:t>
      </w:r>
    </w:p>
    <w:p>
      <w:pPr>
        <w:spacing w:after="0" w:line="240" w:lineRule="exact"/>
        <w:rPr>
          <w:rFonts w:ascii="Arial" w:cs="Arial" w:eastAsia="Arial" w:hAnsi="Arial"/>
          <w:sz w:val="19"/>
          <w:szCs w:val="19"/>
          <w:color w:val="auto"/>
        </w:rPr>
      </w:pPr>
    </w:p>
    <w:p>
      <w:pPr>
        <w:jc w:val="both"/>
        <w:ind w:left="1480" w:firstLine="1712"/>
        <w:spacing w:after="0" w:line="272" w:lineRule="auto"/>
        <w:tabs>
          <w:tab w:leader="none" w:pos="4274" w:val="left"/>
        </w:tabs>
        <w:numPr>
          <w:ilvl w:val="1"/>
          <w:numId w:val="70"/>
        </w:numPr>
        <w:rPr>
          <w:rFonts w:ascii="Arial" w:cs="Arial" w:eastAsia="Arial" w:hAnsi="Arial"/>
          <w:sz w:val="20"/>
          <w:szCs w:val="20"/>
          <w:color w:val="auto"/>
        </w:rPr>
      </w:pPr>
      <w:r>
        <w:rPr>
          <w:rFonts w:ascii="Arial" w:cs="Arial" w:eastAsia="Arial" w:hAnsi="Arial"/>
          <w:sz w:val="20"/>
          <w:szCs w:val="20"/>
          <w:color w:val="auto"/>
        </w:rPr>
        <w:t>You agree to pay to the Company or the Employer any amount of Tax-Related Items that the Company or the Employer may be required to withhold or account for as a result of your participation in the Plan that cannot be satisfied by the means previously described. The Company may refuse to issue or deliver the shares of Common Stock, or the proceeds of the sale of shares of Common Stock, if you fail to comply with your obligations in connection with the Tax-Related Items.</w:t>
      </w:r>
    </w:p>
    <w:p>
      <w:pPr>
        <w:spacing w:after="0" w:line="229" w:lineRule="exact"/>
        <w:rPr>
          <w:rFonts w:ascii="Arial" w:cs="Arial" w:eastAsia="Arial" w:hAnsi="Arial"/>
          <w:sz w:val="20"/>
          <w:szCs w:val="20"/>
          <w:color w:val="auto"/>
        </w:rPr>
      </w:pPr>
    </w:p>
    <w:p>
      <w:pPr>
        <w:ind w:left="1380" w:hanging="639"/>
        <w:spacing w:after="0"/>
        <w:tabs>
          <w:tab w:leader="none" w:pos="138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ATE OF</w:t>
      </w:r>
      <w:r>
        <w:rPr>
          <w:rFonts w:ascii="Arial" w:cs="Arial" w:eastAsia="Arial" w:hAnsi="Arial"/>
          <w:sz w:val="20"/>
          <w:szCs w:val="20"/>
          <w:b w:val="1"/>
          <w:bCs w:val="1"/>
          <w:color w:val="auto"/>
        </w:rPr>
        <w:t xml:space="preserve"> I</w:t>
      </w:r>
      <w:r>
        <w:rPr>
          <w:rFonts w:ascii="Arial" w:cs="Arial" w:eastAsia="Arial" w:hAnsi="Arial"/>
          <w:sz w:val="16"/>
          <w:szCs w:val="16"/>
          <w:b w:val="1"/>
          <w:bCs w:val="1"/>
          <w:color w:val="auto"/>
        </w:rPr>
        <w:t>SSUANCE</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1480" w:firstLine="1712"/>
        <w:spacing w:after="0" w:line="297" w:lineRule="auto"/>
        <w:tabs>
          <w:tab w:leader="none" w:pos="4274"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To the extent your RSU Award is exempt from application of Section 409A of the Code and any state law of similar effect (collectively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b w:val="1"/>
          <w:bCs w:val="1"/>
          <w:color w:val="auto"/>
        </w:rPr>
        <w:t>”</w:t>
      </w:r>
      <w:r>
        <w:rPr>
          <w:rFonts w:ascii="Arial" w:cs="Arial" w:eastAsia="Arial" w:hAnsi="Arial"/>
          <w:sz w:val="18"/>
          <w:szCs w:val="18"/>
          <w:color w:val="auto"/>
        </w:rPr>
        <w:t>), the Company will deliver to you a number of shares of the Company’s Common Stock equal to the number of vested Restricted Stock Units subject to your RSU</w:t>
      </w:r>
    </w:p>
    <w:p>
      <w:pPr>
        <w:spacing w:after="0" w:line="1" w:lineRule="exact"/>
        <w:rPr>
          <w:sz w:val="20"/>
          <w:szCs w:val="20"/>
          <w:color w:val="auto"/>
        </w:rPr>
      </w:pPr>
    </w:p>
    <w:p>
      <w:pPr>
        <w:jc w:val="both"/>
        <w:ind w:left="1480"/>
        <w:spacing w:after="0" w:line="278" w:lineRule="auto"/>
        <w:rPr>
          <w:sz w:val="20"/>
          <w:szCs w:val="20"/>
          <w:color w:val="auto"/>
        </w:rPr>
      </w:pPr>
      <w:r>
        <w:rPr>
          <w:rFonts w:ascii="Arial" w:cs="Arial" w:eastAsia="Arial" w:hAnsi="Arial"/>
          <w:sz w:val="20"/>
          <w:szCs w:val="20"/>
          <w:color w:val="auto"/>
        </w:rPr>
        <w:t>Award, including any additional Restricted Stock Units received pursuant to Section 3 above that relate to those vested Restricted Stock Units as soon as reasonably practicable after the applicable vesting date(s) (the “</w:t>
      </w:r>
      <w:r>
        <w:rPr>
          <w:rFonts w:ascii="Arial" w:cs="Arial" w:eastAsia="Arial" w:hAnsi="Arial"/>
          <w:sz w:val="20"/>
          <w:szCs w:val="20"/>
          <w:b w:val="1"/>
          <w:bCs w:val="1"/>
          <w:i w:val="1"/>
          <w:iCs w:val="1"/>
          <w:color w:val="auto"/>
        </w:rPr>
        <w:t>Original</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Distribution Date</w:t>
      </w:r>
      <w:r>
        <w:rPr>
          <w:rFonts w:ascii="Arial" w:cs="Arial" w:eastAsia="Arial" w:hAnsi="Arial"/>
          <w:sz w:val="20"/>
          <w:szCs w:val="20"/>
          <w:color w:val="auto"/>
        </w:rPr>
        <w:t>”).</w:t>
      </w:r>
    </w:p>
    <w:p>
      <w:pPr>
        <w:spacing w:after="0" w:line="240" w:lineRule="exact"/>
        <w:rPr>
          <w:sz w:val="20"/>
          <w:szCs w:val="20"/>
          <w:color w:val="auto"/>
        </w:rPr>
      </w:pPr>
    </w:p>
    <w:p>
      <w:pPr>
        <w:jc w:val="both"/>
        <w:ind w:left="1480" w:firstLine="1708"/>
        <w:spacing w:after="0" w:line="275" w:lineRule="auto"/>
        <w:tabs>
          <w:tab w:leader="none" w:pos="4271" w:val="left"/>
        </w:tabs>
        <w:numPr>
          <w:ilvl w:val="0"/>
          <w:numId w:val="72"/>
        </w:numPr>
        <w:rPr>
          <w:rFonts w:ascii="Arial" w:cs="Arial" w:eastAsia="Arial" w:hAnsi="Arial"/>
          <w:sz w:val="19"/>
          <w:szCs w:val="19"/>
          <w:color w:val="auto"/>
        </w:rPr>
      </w:pPr>
      <w:r>
        <w:rPr>
          <w:rFonts w:ascii="Arial" w:cs="Arial" w:eastAsia="Arial" w:hAnsi="Arial"/>
          <w:sz w:val="19"/>
          <w:szCs w:val="19"/>
          <w:color w:val="auto"/>
        </w:rPr>
        <w:t>Notwithstanding the foregoing, in the event that you are prohibited from selling shares of the Company’s Common Stock in the public market on the scheduled delivery date by the Trading Policy or otherwise, and the Company elects not to satisfy its tax withholding obligations by withholding shares from your distribution, then such shares shall not be delivered on such Original Distribution Date and shall instead be delivered on the first business day when you are not prohibited from selling shares of the Company’s Common Stock in the open market, but in no event later than March 15</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of the immediately following calendar year. Delivery of the shares pursuant to the provisions of Section 5 is intended to comply with the requirements for the short-term deferral exemption available under Treasury Regulations Section 1.409A-1(b)(4) and shall be construed and administered in such manner. However, if and to the extent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188595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366" w:right="459" w:bottom="1440" w:gutter="0" w:footer="0" w:header="0"/>
        </w:sectPr>
      </w:pPr>
    </w:p>
    <w:bookmarkStart w:id="84" w:name="page85"/>
    <w:bookmarkEnd w:id="84"/>
    <w:p>
      <w:pPr>
        <w:ind w:left="500"/>
        <w:spacing w:after="0" w:line="288" w:lineRule="auto"/>
        <w:rPr>
          <w:sz w:val="20"/>
          <w:szCs w:val="20"/>
          <w:color w:val="auto"/>
        </w:rPr>
      </w:pPr>
      <w:r>
        <w:rPr>
          <w:rFonts w:ascii="Arial" w:cs="Arial" w:eastAsia="Arial" w:hAnsi="Arial"/>
          <w:sz w:val="20"/>
          <w:szCs w:val="20"/>
          <w:color w:val="auto"/>
        </w:rPr>
        <w:t>RSU Award is a Non-Exempt Award, the provisions of the Plan with respect to Non-Exempt Awards shall apply in lieu of the provisions in this Section 5</w:t>
      </w:r>
    </w:p>
    <w:p>
      <w:pPr>
        <w:spacing w:after="0" w:line="225" w:lineRule="exact"/>
        <w:rPr>
          <w:sz w:val="20"/>
          <w:szCs w:val="20"/>
          <w:color w:val="auto"/>
        </w:rPr>
      </w:pPr>
    </w:p>
    <w:p>
      <w:pPr>
        <w:ind w:left="1160" w:hanging="603"/>
        <w:spacing w:after="0"/>
        <w:tabs>
          <w:tab w:leader="none" w:pos="1160" w:val="left"/>
        </w:tabs>
        <w:numPr>
          <w:ilvl w:val="0"/>
          <w:numId w:val="73"/>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ATURE OF</w:t>
      </w:r>
      <w:r>
        <w:rPr>
          <w:rFonts w:ascii="Arial" w:cs="Arial" w:eastAsia="Arial" w:hAnsi="Arial"/>
          <w:sz w:val="20"/>
          <w:szCs w:val="20"/>
          <w:b w:val="1"/>
          <w:bCs w:val="1"/>
          <w:color w:val="auto"/>
        </w:rPr>
        <w:t xml:space="preserve"> G</w:t>
      </w:r>
      <w:r>
        <w:rPr>
          <w:rFonts w:ascii="Arial" w:cs="Arial" w:eastAsia="Arial" w:hAnsi="Arial"/>
          <w:sz w:val="16"/>
          <w:szCs w:val="16"/>
          <w:b w:val="1"/>
          <w:bCs w:val="1"/>
          <w:color w:val="auto"/>
        </w:rPr>
        <w:t>RANT</w:t>
      </w:r>
      <w:r>
        <w:rPr>
          <w:rFonts w:ascii="Arial" w:cs="Arial" w:eastAsia="Arial" w:hAnsi="Arial"/>
          <w:sz w:val="20"/>
          <w:szCs w:val="20"/>
          <w:b w:val="1"/>
          <w:bCs w:val="1"/>
          <w:color w:val="auto"/>
        </w:rPr>
        <w:t xml:space="preserve">. </w:t>
      </w:r>
      <w:r>
        <w:rPr>
          <w:rFonts w:ascii="Arial" w:cs="Arial" w:eastAsia="Arial" w:hAnsi="Arial"/>
          <w:sz w:val="20"/>
          <w:szCs w:val="20"/>
          <w:color w:val="auto"/>
        </w:rPr>
        <w:t>In accepting the RSU Award, you acknowledge, understand and agree that:</w:t>
      </w:r>
    </w:p>
    <w:p>
      <w:pPr>
        <w:spacing w:after="0" w:line="275" w:lineRule="exact"/>
        <w:rPr>
          <w:rFonts w:ascii="Arial" w:cs="Arial" w:eastAsia="Arial" w:hAnsi="Arial"/>
          <w:sz w:val="20"/>
          <w:szCs w:val="20"/>
          <w:b w:val="1"/>
          <w:bCs w:val="1"/>
          <w:color w:val="auto"/>
        </w:rPr>
      </w:pPr>
    </w:p>
    <w:p>
      <w:pPr>
        <w:ind w:left="500" w:firstLine="1712"/>
        <w:spacing w:after="0" w:line="347" w:lineRule="auto"/>
        <w:tabs>
          <w:tab w:leader="none" w:pos="3294"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may be amended, suspended or terminated by the Company at any time, to the extent permitted by the Plan;</w:t>
      </w:r>
    </w:p>
    <w:p>
      <w:pPr>
        <w:spacing w:after="0" w:line="184" w:lineRule="exact"/>
        <w:rPr>
          <w:rFonts w:ascii="Arial" w:cs="Arial" w:eastAsia="Arial" w:hAnsi="Arial"/>
          <w:sz w:val="18"/>
          <w:szCs w:val="18"/>
          <w:color w:val="auto"/>
        </w:rPr>
      </w:pPr>
    </w:p>
    <w:p>
      <w:pPr>
        <w:jc w:val="both"/>
        <w:ind w:left="500" w:firstLine="1712"/>
        <w:spacing w:after="0" w:line="278" w:lineRule="auto"/>
        <w:tabs>
          <w:tab w:leader="none" w:pos="3294"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grant of the RSU Award is exceptional, voluntary and occasional and does not create any contractual or other right to receive future grants of Restricted Stock Units, other equity awards or benefits in lieu of equity awards, even if equity awards have been granted in the past;</w:t>
      </w:r>
    </w:p>
    <w:p>
      <w:pPr>
        <w:spacing w:after="0" w:line="226" w:lineRule="exact"/>
        <w:rPr>
          <w:rFonts w:ascii="Arial" w:cs="Arial" w:eastAsia="Arial" w:hAnsi="Arial"/>
          <w:sz w:val="20"/>
          <w:szCs w:val="20"/>
          <w:color w:val="auto"/>
        </w:rPr>
      </w:pPr>
    </w:p>
    <w:p>
      <w:pPr>
        <w:ind w:left="3300" w:hanging="1088"/>
        <w:spacing w:after="0"/>
        <w:tabs>
          <w:tab w:leader="none" w:pos="33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decisions with respect to future RSU Awards or other grants, if any, will be at the</w:t>
      </w:r>
    </w:p>
    <w:p>
      <w:pPr>
        <w:spacing w:after="0" w:line="4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20"/>
          <w:szCs w:val="20"/>
          <w:color w:val="auto"/>
        </w:rPr>
        <w:t>sole discretion of the Company;</w:t>
      </w:r>
    </w:p>
    <w:p>
      <w:pPr>
        <w:spacing w:after="0" w:line="283" w:lineRule="exact"/>
        <w:rPr>
          <w:rFonts w:ascii="Arial" w:cs="Arial" w:eastAsia="Arial" w:hAnsi="Arial"/>
          <w:sz w:val="18"/>
          <w:szCs w:val="18"/>
          <w:color w:val="auto"/>
        </w:rPr>
      </w:pPr>
    </w:p>
    <w:p>
      <w:pPr>
        <w:jc w:val="both"/>
        <w:ind w:left="500" w:firstLine="1712"/>
        <w:spacing w:after="0" w:line="278" w:lineRule="auto"/>
        <w:tabs>
          <w:tab w:leader="none" w:pos="3294"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the RSU Award grant and your participation in the Plan shall not create a right to employment or be interpreted as forming or amending an employment or service contract with the Company, the Employer or any Affiliate;</w:t>
      </w:r>
    </w:p>
    <w:p>
      <w:pPr>
        <w:spacing w:after="0" w:line="240" w:lineRule="exact"/>
        <w:rPr>
          <w:sz w:val="20"/>
          <w:szCs w:val="20"/>
          <w:color w:val="auto"/>
        </w:rPr>
      </w:pPr>
    </w:p>
    <w:p>
      <w:pPr>
        <w:ind w:left="1160" w:hanging="652"/>
        <w:spacing w:after="0"/>
        <w:tabs>
          <w:tab w:leader="none" w:pos="11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you are voluntarily participating in the Plan;</w:t>
      </w:r>
    </w:p>
    <w:p>
      <w:pPr>
        <w:spacing w:after="0" w:line="283" w:lineRule="exact"/>
        <w:rPr>
          <w:rFonts w:ascii="Arial" w:cs="Arial" w:eastAsia="Arial" w:hAnsi="Arial"/>
          <w:sz w:val="20"/>
          <w:szCs w:val="20"/>
          <w:color w:val="auto"/>
        </w:rPr>
      </w:pPr>
    </w:p>
    <w:p>
      <w:pPr>
        <w:ind w:left="3300" w:hanging="1088"/>
        <w:spacing w:after="0"/>
        <w:tabs>
          <w:tab w:leader="none" w:pos="33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RSU Award and any shares of Common Stock acquired under the Plan, and the</w:t>
      </w:r>
    </w:p>
    <w:p>
      <w:pPr>
        <w:spacing w:after="0" w:line="4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20"/>
          <w:szCs w:val="20"/>
          <w:color w:val="auto"/>
        </w:rPr>
        <w:t>income from and value of same, are not intended to replace any pension rights or compensation;</w:t>
      </w:r>
    </w:p>
    <w:p>
      <w:pPr>
        <w:spacing w:after="0" w:line="94" w:lineRule="exact"/>
        <w:rPr>
          <w:rFonts w:ascii="Arial" w:cs="Arial" w:eastAsia="Arial" w:hAnsi="Arial"/>
          <w:sz w:val="18"/>
          <w:szCs w:val="18"/>
          <w:color w:val="auto"/>
        </w:rPr>
      </w:pPr>
    </w:p>
    <w:p>
      <w:pPr>
        <w:jc w:val="both"/>
        <w:ind w:left="500" w:firstLine="1712"/>
        <w:spacing w:after="0" w:line="314" w:lineRule="auto"/>
        <w:tabs>
          <w:tab w:leader="none" w:pos="3294"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RSU Award and any shares of Common Stock acquired under the Plan, and the income from and value of same, are not part of normal or expected compensation for any purpose, including, without limitation, calculating any severance, resignation, termination, redundancy, dismissal, end-of-service payments, holiday pay, bonuses, long-service awards, pension or retirement or welfare benefits or similar mandatory payments;</w:t>
      </w:r>
    </w:p>
    <w:p>
      <w:pPr>
        <w:spacing w:after="0" w:line="212" w:lineRule="exact"/>
        <w:rPr>
          <w:rFonts w:ascii="Arial" w:cs="Arial" w:eastAsia="Arial" w:hAnsi="Arial"/>
          <w:sz w:val="18"/>
          <w:szCs w:val="18"/>
          <w:color w:val="auto"/>
        </w:rPr>
      </w:pPr>
    </w:p>
    <w:p>
      <w:pPr>
        <w:ind w:left="500" w:right="20" w:firstLine="1708"/>
        <w:spacing w:after="0" w:line="288" w:lineRule="auto"/>
        <w:tabs>
          <w:tab w:leader="none" w:pos="3291"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future value of the shares of Common Stock underlying the RSU Award is unknown, indeterminable, and cannot be predicted with certainty;</w:t>
      </w:r>
    </w:p>
    <w:p>
      <w:pPr>
        <w:spacing w:after="0" w:line="217" w:lineRule="exact"/>
        <w:rPr>
          <w:rFonts w:ascii="Arial" w:cs="Arial" w:eastAsia="Arial" w:hAnsi="Arial"/>
          <w:sz w:val="20"/>
          <w:szCs w:val="20"/>
          <w:color w:val="auto"/>
        </w:rPr>
      </w:pPr>
    </w:p>
    <w:p>
      <w:pPr>
        <w:jc w:val="both"/>
        <w:ind w:left="500" w:firstLine="1712"/>
        <w:spacing w:after="0" w:line="278" w:lineRule="auto"/>
        <w:tabs>
          <w:tab w:leader="none" w:pos="3294" w:val="left"/>
        </w:tabs>
        <w:numPr>
          <w:ilvl w:val="1"/>
          <w:numId w:val="74"/>
        </w:numPr>
        <w:rPr>
          <w:rFonts w:ascii="Arial" w:cs="Arial" w:eastAsia="Arial" w:hAnsi="Arial"/>
          <w:sz w:val="20"/>
          <w:szCs w:val="20"/>
          <w:color w:val="auto"/>
        </w:rPr>
      </w:pPr>
      <w:r>
        <w:rPr>
          <w:rFonts w:ascii="Arial" w:cs="Arial" w:eastAsia="Arial" w:hAnsi="Arial"/>
          <w:sz w:val="20"/>
          <w:szCs w:val="20"/>
          <w:color w:val="auto"/>
        </w:rPr>
        <w:t>if the RSU Award vests and you are issued shares of Common Stock, the value of such shares of Common Stock may increase or decrease in value following the date the shares are issued; even below the Fair Market Value on the date the RSU Award is granted to you;</w:t>
      </w:r>
    </w:p>
    <w:p>
      <w:pPr>
        <w:spacing w:after="0" w:line="226" w:lineRule="exact"/>
        <w:rPr>
          <w:rFonts w:ascii="Arial" w:cs="Arial" w:eastAsia="Arial" w:hAnsi="Arial"/>
          <w:sz w:val="20"/>
          <w:szCs w:val="20"/>
          <w:color w:val="auto"/>
        </w:rPr>
      </w:pPr>
    </w:p>
    <w:p>
      <w:pPr>
        <w:jc w:val="both"/>
        <w:ind w:left="500" w:firstLine="1712"/>
        <w:spacing w:after="0" w:line="285" w:lineRule="auto"/>
        <w:tabs>
          <w:tab w:leader="none" w:pos="3294" w:val="left"/>
        </w:tabs>
        <w:numPr>
          <w:ilvl w:val="1"/>
          <w:numId w:val="74"/>
        </w:numPr>
        <w:rPr>
          <w:rFonts w:ascii="Arial" w:cs="Arial" w:eastAsia="Arial" w:hAnsi="Arial"/>
          <w:sz w:val="19"/>
          <w:szCs w:val="19"/>
          <w:color w:val="auto"/>
        </w:rPr>
      </w:pPr>
      <w:r>
        <w:rPr>
          <w:rFonts w:ascii="Arial" w:cs="Arial" w:eastAsia="Arial" w:hAnsi="Arial"/>
          <w:sz w:val="19"/>
          <w:szCs w:val="19"/>
          <w:color w:val="auto"/>
        </w:rPr>
        <w:t>for purposes of the RSU Award, your Continuous Service will be considered terminated as of the date you are no longer actively providing services to the Company or one of its Affiliates (regardless of the reason for such termination and whether or not later found to be invalid or in breach of employment laws in the jurisdiction where you are employed or the terms of your employment agreement, if any), your right to vest in the RSU Award under the Plan, if any, will terminate as of such date; however, unless otherwise determined by the Company, the RSU Award will continue to vest through any statutory notice period or any period of “garden leave” or similar period mandated under employment laws in the jurisdiction where you are employed or the terms of your employment agreement, if any; the Plan Administrator shall have the exclusive discretion to determine when you are no longer actively providing services for purposes of the RSU Award (including whether you may still be considered to be providing services while on a leave of absence);</w:t>
      </w:r>
    </w:p>
    <w:p>
      <w:pPr>
        <w:spacing w:after="0" w:line="240" w:lineRule="exact"/>
        <w:rPr>
          <w:rFonts w:ascii="Arial" w:cs="Arial" w:eastAsia="Arial" w:hAnsi="Arial"/>
          <w:sz w:val="19"/>
          <w:szCs w:val="19"/>
          <w:color w:val="auto"/>
        </w:rPr>
      </w:pPr>
    </w:p>
    <w:p>
      <w:pPr>
        <w:jc w:val="both"/>
        <w:ind w:left="500" w:firstLine="1712"/>
        <w:spacing w:after="0" w:line="299" w:lineRule="auto"/>
        <w:tabs>
          <w:tab w:leader="none" w:pos="3294" w:val="left"/>
        </w:tabs>
        <w:numPr>
          <w:ilvl w:val="1"/>
          <w:numId w:val="74"/>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RSU Award resulting from your termination of Continuous Service (for any reason whatsoever, whether or not later found to be invalid or in breach of employment laws in the jurisdiction where you are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173990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366" w:right="459" w:bottom="1440" w:gutter="0" w:footer="0" w:header="0"/>
        </w:sectPr>
      </w:pPr>
    </w:p>
    <w:bookmarkStart w:id="85" w:name="page86"/>
    <w:bookmarkEnd w:id="85"/>
    <w:p>
      <w:pPr>
        <w:ind w:left="739"/>
        <w:spacing w:after="0"/>
        <w:rPr>
          <w:sz w:val="20"/>
          <w:szCs w:val="20"/>
          <w:color w:val="auto"/>
        </w:rPr>
      </w:pPr>
      <w:r>
        <w:rPr>
          <w:rFonts w:ascii="Arial" w:cs="Arial" w:eastAsia="Arial" w:hAnsi="Arial"/>
          <w:sz w:val="20"/>
          <w:szCs w:val="20"/>
          <w:color w:val="auto"/>
        </w:rPr>
        <w:t>or the terms of your employment agreement, if any);</w:t>
      </w:r>
    </w:p>
    <w:p>
      <w:pPr>
        <w:spacing w:after="0" w:line="297" w:lineRule="exact"/>
        <w:rPr>
          <w:sz w:val="20"/>
          <w:szCs w:val="20"/>
          <w:color w:val="auto"/>
        </w:rPr>
      </w:pPr>
    </w:p>
    <w:p>
      <w:pPr>
        <w:jc w:val="both"/>
        <w:ind w:left="739" w:firstLine="1712"/>
        <w:spacing w:after="0" w:line="274" w:lineRule="auto"/>
        <w:tabs>
          <w:tab w:leader="none" w:pos="3533" w:val="left"/>
        </w:tabs>
        <w:numPr>
          <w:ilvl w:val="2"/>
          <w:numId w:val="75"/>
        </w:numPr>
        <w:rPr>
          <w:rFonts w:ascii="Arial" w:cs="Arial" w:eastAsia="Arial" w:hAnsi="Arial"/>
          <w:sz w:val="20"/>
          <w:szCs w:val="20"/>
          <w:color w:val="auto"/>
        </w:rPr>
      </w:pPr>
      <w:r>
        <w:rPr>
          <w:rFonts w:ascii="Arial" w:cs="Arial" w:eastAsia="Arial" w:hAnsi="Arial"/>
          <w:sz w:val="20"/>
          <w:szCs w:val="20"/>
          <w:color w:val="auto"/>
        </w:rPr>
        <w:t>unless otherwise agreed with the Company in writing, the RSU Award and any shares of Common Stock acquired under the Plan, and the income from and value of same, are not granted as consideration for, or in connection with, any service you may provide as a Director of the Company or member of the board of directors of any Affiliate; and</w:t>
      </w:r>
    </w:p>
    <w:p>
      <w:pPr>
        <w:spacing w:after="0" w:line="232" w:lineRule="exact"/>
        <w:rPr>
          <w:rFonts w:ascii="Arial" w:cs="Arial" w:eastAsia="Arial" w:hAnsi="Arial"/>
          <w:sz w:val="20"/>
          <w:szCs w:val="20"/>
          <w:color w:val="auto"/>
        </w:rPr>
      </w:pPr>
    </w:p>
    <w:p>
      <w:pPr>
        <w:jc w:val="both"/>
        <w:ind w:left="739" w:firstLine="1712"/>
        <w:spacing w:after="0" w:line="322" w:lineRule="auto"/>
        <w:tabs>
          <w:tab w:leader="none" w:pos="3533" w:val="left"/>
        </w:tabs>
        <w:numPr>
          <w:ilvl w:val="2"/>
          <w:numId w:val="75"/>
        </w:numPr>
        <w:rPr>
          <w:rFonts w:ascii="Arial" w:cs="Arial" w:eastAsia="Arial" w:hAnsi="Arial"/>
          <w:sz w:val="18"/>
          <w:szCs w:val="18"/>
          <w:color w:val="auto"/>
        </w:rPr>
      </w:pPr>
      <w:r>
        <w:rPr>
          <w:rFonts w:ascii="Arial" w:cs="Arial" w:eastAsia="Arial" w:hAnsi="Arial"/>
          <w:sz w:val="18"/>
          <w:szCs w:val="18"/>
          <w:color w:val="auto"/>
        </w:rPr>
        <w:t>neither the Company, the Employer or any Affiliate shall be liable for any foreign exchange rate fluctuation between your local currency and the United States Dollar that may affect the value of the RSU Award or the subsequent sale of any shares of Common Stock acquired upon settlement of the RSU Award.</w:t>
      </w:r>
    </w:p>
    <w:p>
      <w:pPr>
        <w:spacing w:after="0" w:line="200" w:lineRule="exact"/>
        <w:rPr>
          <w:rFonts w:ascii="Arial" w:cs="Arial" w:eastAsia="Arial" w:hAnsi="Arial"/>
          <w:sz w:val="18"/>
          <w:szCs w:val="18"/>
          <w:color w:val="auto"/>
        </w:rPr>
      </w:pPr>
    </w:p>
    <w:p>
      <w:pPr>
        <w:jc w:val="both"/>
        <w:ind w:left="-1" w:firstLine="794"/>
        <w:spacing w:after="0" w:line="274" w:lineRule="auto"/>
        <w:tabs>
          <w:tab w:leader="none" w:pos="1393" w:val="left"/>
        </w:tabs>
        <w:numPr>
          <w:ilvl w:val="1"/>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E</w:t>
      </w:r>
      <w:r>
        <w:rPr>
          <w:rFonts w:ascii="Arial" w:cs="Arial" w:eastAsia="Arial" w:hAnsi="Arial"/>
          <w:sz w:val="16"/>
          <w:szCs w:val="16"/>
          <w:b w:val="1"/>
          <w:bCs w:val="1"/>
          <w:color w:val="auto"/>
        </w:rPr>
        <w:t>LECTRONIC</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ELIVERY AND</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ARTICIPATION</w:t>
      </w:r>
      <w:r>
        <w:rPr>
          <w:rFonts w:ascii="Arial" w:cs="Arial" w:eastAsia="Arial" w:hAnsi="Arial"/>
          <w:sz w:val="20"/>
          <w:szCs w:val="20"/>
          <w:color w:val="auto"/>
        </w:rPr>
        <w:t>. The Company may, in its sole discretion, decide to deliver any</w:t>
      </w:r>
      <w:r>
        <w:rPr>
          <w:rFonts w:ascii="Arial" w:cs="Arial" w:eastAsia="Arial" w:hAnsi="Arial"/>
          <w:sz w:val="20"/>
          <w:szCs w:val="20"/>
          <w:b w:val="1"/>
          <w:bCs w:val="1"/>
          <w:color w:val="auto"/>
        </w:rPr>
        <w:t xml:space="preserve"> </w:t>
      </w:r>
      <w:r>
        <w:rPr>
          <w:rFonts w:ascii="Arial" w:cs="Arial" w:eastAsia="Arial" w:hAnsi="Arial"/>
          <w:sz w:val="20"/>
          <w:szCs w:val="20"/>
          <w:color w:val="auto"/>
        </w:rPr>
        <w:t>documents related to current or future participation in the Plan by electronic means or request your consent to participate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26" w:lineRule="exact"/>
        <w:rPr>
          <w:rFonts w:ascii="Arial" w:cs="Arial" w:eastAsia="Arial" w:hAnsi="Arial"/>
          <w:sz w:val="20"/>
          <w:szCs w:val="20"/>
          <w:b w:val="1"/>
          <w:bCs w:val="1"/>
          <w:color w:val="auto"/>
        </w:rPr>
      </w:pPr>
    </w:p>
    <w:p>
      <w:pPr>
        <w:ind w:left="-1" w:firstLine="794"/>
        <w:spacing w:after="0" w:line="281" w:lineRule="auto"/>
        <w:tabs>
          <w:tab w:leader="none" w:pos="1393" w:val="left"/>
        </w:tabs>
        <w:numPr>
          <w:ilvl w:val="1"/>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T</w:t>
      </w:r>
      <w:r>
        <w:rPr>
          <w:rFonts w:ascii="Arial" w:cs="Arial" w:eastAsia="Arial" w:hAnsi="Arial"/>
          <w:sz w:val="16"/>
          <w:szCs w:val="16"/>
          <w:b w:val="1"/>
          <w:bCs w:val="1"/>
          <w:color w:val="auto"/>
        </w:rPr>
        <w:t>RANSFERABILITY</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otherwise provided in the Plan, your RSU Award is not transferable, except by</w:t>
      </w:r>
      <w:r>
        <w:rPr>
          <w:rFonts w:ascii="Arial" w:cs="Arial" w:eastAsia="Arial" w:hAnsi="Arial"/>
          <w:sz w:val="20"/>
          <w:szCs w:val="20"/>
          <w:b w:val="1"/>
          <w:bCs w:val="1"/>
          <w:color w:val="auto"/>
        </w:rPr>
        <w:t xml:space="preserve"> </w:t>
      </w:r>
      <w:r>
        <w:rPr>
          <w:rFonts w:ascii="Arial" w:cs="Arial" w:eastAsia="Arial" w:hAnsi="Arial"/>
          <w:sz w:val="20"/>
          <w:szCs w:val="20"/>
          <w:color w:val="auto"/>
        </w:rPr>
        <w:t>will or by the applicable laws of descent and distribution</w:t>
      </w:r>
    </w:p>
    <w:p>
      <w:pPr>
        <w:spacing w:after="0" w:line="284" w:lineRule="exact"/>
        <w:rPr>
          <w:rFonts w:ascii="Arial" w:cs="Arial" w:eastAsia="Arial" w:hAnsi="Arial"/>
          <w:sz w:val="20"/>
          <w:szCs w:val="20"/>
          <w:b w:val="1"/>
          <w:bCs w:val="1"/>
          <w:color w:val="auto"/>
        </w:rPr>
      </w:pPr>
    </w:p>
    <w:p>
      <w:pPr>
        <w:jc w:val="both"/>
        <w:ind w:left="-1" w:firstLine="794"/>
        <w:spacing w:after="0" w:line="310" w:lineRule="auto"/>
        <w:tabs>
          <w:tab w:leader="none" w:pos="1393"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Your RSU Award is subject to the terms of any agreement governing a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involving the Company, including, without limitation, a provision for the appointment of a stockholder representative that is authorized to act on your behalf with respect to any escrow, indemnities and any contingent consideration.</w:t>
      </w:r>
    </w:p>
    <w:p>
      <w:pPr>
        <w:spacing w:after="0" w:line="183" w:lineRule="exact"/>
        <w:rPr>
          <w:rFonts w:ascii="Arial" w:cs="Arial" w:eastAsia="Arial" w:hAnsi="Arial"/>
          <w:sz w:val="18"/>
          <w:szCs w:val="18"/>
          <w:b w:val="1"/>
          <w:bCs w:val="1"/>
          <w:color w:val="auto"/>
        </w:rPr>
      </w:pPr>
    </w:p>
    <w:p>
      <w:pPr>
        <w:jc w:val="both"/>
        <w:ind w:left="-1" w:firstLine="797"/>
        <w:spacing w:after="0" w:line="274" w:lineRule="auto"/>
        <w:tabs>
          <w:tab w:leader="none" w:pos="1396" w:val="left"/>
        </w:tabs>
        <w:numPr>
          <w:ilvl w:val="1"/>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IABILITY</w:t>
      </w:r>
      <w:r>
        <w:rPr>
          <w:rFonts w:ascii="Arial" w:cs="Arial" w:eastAsia="Arial" w:hAnsi="Arial"/>
          <w:sz w:val="20"/>
          <w:szCs w:val="20"/>
          <w:b w:val="1"/>
          <w:bCs w:val="1"/>
          <w:color w:val="auto"/>
        </w:rPr>
        <w:t xml:space="preserve"> F</w:t>
      </w:r>
      <w:r>
        <w:rPr>
          <w:rFonts w:ascii="Arial" w:cs="Arial" w:eastAsia="Arial" w:hAnsi="Arial"/>
          <w:sz w:val="13"/>
          <w:szCs w:val="13"/>
          <w:b w:val="1"/>
          <w:bCs w:val="1"/>
          <w:color w:val="auto"/>
        </w:rPr>
        <w:t>OR</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AXES</w:t>
      </w:r>
      <w:r>
        <w:rPr>
          <w:rFonts w:ascii="Arial" w:cs="Arial" w:eastAsia="Arial" w:hAnsi="Arial"/>
          <w:sz w:val="20"/>
          <w:szCs w:val="20"/>
          <w:color w:val="auto"/>
        </w:rPr>
        <w:t>. As a condition to accepting the RSU Award, you hereby (a) agree to not make any</w:t>
      </w:r>
      <w:r>
        <w:rPr>
          <w:rFonts w:ascii="Arial" w:cs="Arial" w:eastAsia="Arial" w:hAnsi="Arial"/>
          <w:sz w:val="20"/>
          <w:szCs w:val="20"/>
          <w:b w:val="1"/>
          <w:bCs w:val="1"/>
          <w:color w:val="auto"/>
        </w:rPr>
        <w:t xml:space="preserve"> </w:t>
      </w:r>
      <w:r>
        <w:rPr>
          <w:rFonts w:ascii="Arial" w:cs="Arial" w:eastAsia="Arial" w:hAnsi="Arial"/>
          <w:sz w:val="20"/>
          <w:szCs w:val="20"/>
          <w:color w:val="auto"/>
        </w:rPr>
        <w:t>claim against the 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72" w:lineRule="exact"/>
        <w:rPr>
          <w:rFonts w:ascii="Arial" w:cs="Arial" w:eastAsia="Arial" w:hAnsi="Arial"/>
          <w:sz w:val="20"/>
          <w:szCs w:val="20"/>
          <w:b w:val="1"/>
          <w:bCs w:val="1"/>
          <w:color w:val="auto"/>
        </w:rPr>
      </w:pPr>
    </w:p>
    <w:p>
      <w:pPr>
        <w:jc w:val="both"/>
        <w:ind w:left="-1" w:firstLine="797"/>
        <w:spacing w:after="0" w:line="274" w:lineRule="auto"/>
        <w:tabs>
          <w:tab w:leader="none" w:pos="1396" w:val="left"/>
        </w:tabs>
        <w:numPr>
          <w:ilvl w:val="1"/>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S</w:t>
      </w:r>
      <w:r>
        <w:rPr>
          <w:rFonts w:ascii="Arial" w:cs="Arial" w:eastAsia="Arial" w:hAnsi="Arial"/>
          <w:sz w:val="16"/>
          <w:szCs w:val="16"/>
          <w:b w:val="1"/>
          <w:bCs w:val="1"/>
          <w:color w:val="auto"/>
        </w:rPr>
        <w:t>EVERABILITY</w:t>
      </w:r>
      <w:r>
        <w:rPr>
          <w:rFonts w:ascii="Arial" w:cs="Arial" w:eastAsia="Arial" w:hAnsi="Arial"/>
          <w:sz w:val="20"/>
          <w:szCs w:val="20"/>
          <w:color w:val="auto"/>
        </w:rPr>
        <w:t>. If any part of this Agreement or the Plan is declared by any court or governmental authority to</w:t>
      </w:r>
      <w:r>
        <w:rPr>
          <w:rFonts w:ascii="Arial" w:cs="Arial" w:eastAsia="Arial" w:hAnsi="Arial"/>
          <w:sz w:val="20"/>
          <w:szCs w:val="20"/>
          <w:b w:val="1"/>
          <w:bCs w:val="1"/>
          <w:color w:val="auto"/>
        </w:rPr>
        <w:t xml:space="preserve"> </w:t>
      </w:r>
      <w:r>
        <w:rPr>
          <w:rFonts w:ascii="Arial" w:cs="Arial" w:eastAsia="Arial" w:hAnsi="Arial"/>
          <w:sz w:val="20"/>
          <w:szCs w:val="20"/>
          <w:color w:val="auto"/>
        </w:rPr>
        <w:t>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239" w:lineRule="exact"/>
        <w:rPr>
          <w:rFonts w:ascii="Arial" w:cs="Arial" w:eastAsia="Arial" w:hAnsi="Arial"/>
          <w:sz w:val="20"/>
          <w:szCs w:val="20"/>
          <w:b w:val="1"/>
          <w:bCs w:val="1"/>
          <w:color w:val="auto"/>
        </w:rPr>
      </w:pPr>
    </w:p>
    <w:p>
      <w:pPr>
        <w:jc w:val="both"/>
        <w:ind w:left="-1" w:firstLine="794"/>
        <w:spacing w:after="0" w:line="428" w:lineRule="auto"/>
        <w:tabs>
          <w:tab w:leader="none" w:pos="1393" w:val="left"/>
        </w:tabs>
        <w:numPr>
          <w:ilvl w:val="1"/>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W</w:t>
      </w:r>
      <w:r>
        <w:rPr>
          <w:rFonts w:ascii="Arial" w:cs="Arial" w:eastAsia="Arial" w:hAnsi="Arial"/>
          <w:sz w:val="13"/>
          <w:szCs w:val="13"/>
          <w:b w:val="1"/>
          <w:bCs w:val="1"/>
          <w:color w:val="auto"/>
        </w:rPr>
        <w:t>AIVER</w:t>
      </w:r>
      <w:r>
        <w:rPr>
          <w:rFonts w:ascii="Arial" w:cs="Arial" w:eastAsia="Arial" w:hAnsi="Arial"/>
          <w:sz w:val="16"/>
          <w:szCs w:val="16"/>
          <w:b w:val="1"/>
          <w:bCs w:val="1"/>
          <w:color w:val="auto"/>
        </w:rPr>
        <w:t xml:space="preserve">. </w:t>
      </w:r>
      <w:r>
        <w:rPr>
          <w:rFonts w:ascii="Arial" w:cs="Arial" w:eastAsia="Arial" w:hAnsi="Arial"/>
          <w:sz w:val="16"/>
          <w:szCs w:val="16"/>
          <w:color w:val="auto"/>
        </w:rPr>
        <w:t>You acknowledge that a waiver by the Company of a breach of any provision of this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not operate or be construed as a waiver of any other provision of this Agreement, or of any subsequent breach of this Agreement.</w:t>
      </w:r>
    </w:p>
    <w:p>
      <w:pPr>
        <w:spacing w:after="0" w:line="113" w:lineRule="exact"/>
        <w:rPr>
          <w:rFonts w:ascii="Arial" w:cs="Arial" w:eastAsia="Arial" w:hAnsi="Arial"/>
          <w:sz w:val="16"/>
          <w:szCs w:val="16"/>
          <w:b w:val="1"/>
          <w:bCs w:val="1"/>
          <w:color w:val="auto"/>
        </w:rPr>
      </w:pPr>
    </w:p>
    <w:p>
      <w:pPr>
        <w:jc w:val="both"/>
        <w:ind w:left="-1" w:firstLine="794"/>
        <w:spacing w:after="0" w:line="281" w:lineRule="auto"/>
        <w:tabs>
          <w:tab w:leader="none" w:pos="1393" w:val="left"/>
        </w:tabs>
        <w:numPr>
          <w:ilvl w:val="1"/>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N</w:t>
      </w:r>
      <w:r>
        <w:rPr>
          <w:rFonts w:ascii="Arial" w:cs="Arial" w:eastAsia="Arial" w:hAnsi="Arial"/>
          <w:sz w:val="16"/>
          <w:szCs w:val="16"/>
          <w:b w:val="1"/>
          <w:bCs w:val="1"/>
          <w:color w:val="auto"/>
        </w:rPr>
        <w:t>O</w:t>
      </w:r>
      <w:r>
        <w:rPr>
          <w:rFonts w:ascii="Arial" w:cs="Arial" w:eastAsia="Arial" w:hAnsi="Arial"/>
          <w:sz w:val="20"/>
          <w:szCs w:val="20"/>
          <w:b w:val="1"/>
          <w:bCs w:val="1"/>
          <w:color w:val="auto"/>
        </w:rPr>
        <w:t xml:space="preserve"> A</w:t>
      </w:r>
      <w:r>
        <w:rPr>
          <w:rFonts w:ascii="Arial" w:cs="Arial" w:eastAsia="Arial" w:hAnsi="Arial"/>
          <w:sz w:val="16"/>
          <w:szCs w:val="16"/>
          <w:b w:val="1"/>
          <w:bCs w:val="1"/>
          <w:color w:val="auto"/>
        </w:rPr>
        <w:t>DVICE</w:t>
      </w:r>
      <w:r>
        <w:rPr>
          <w:rFonts w:ascii="Arial" w:cs="Arial" w:eastAsia="Arial" w:hAnsi="Arial"/>
          <w:sz w:val="20"/>
          <w:szCs w:val="20"/>
          <w:b w:val="1"/>
          <w:bCs w:val="1"/>
          <w:color w:val="auto"/>
        </w:rPr>
        <w:t xml:space="preserve"> R</w:t>
      </w:r>
      <w:r>
        <w:rPr>
          <w:rFonts w:ascii="Arial" w:cs="Arial" w:eastAsia="Arial" w:hAnsi="Arial"/>
          <w:sz w:val="16"/>
          <w:szCs w:val="16"/>
          <w:b w:val="1"/>
          <w:bCs w:val="1"/>
          <w:color w:val="auto"/>
        </w:rPr>
        <w:t>EGARDING</w:t>
      </w:r>
      <w:r>
        <w:rPr>
          <w:rFonts w:ascii="Arial" w:cs="Arial" w:eastAsia="Arial" w:hAnsi="Arial"/>
          <w:sz w:val="20"/>
          <w:szCs w:val="20"/>
          <w:b w:val="1"/>
          <w:bCs w:val="1"/>
          <w:color w:val="auto"/>
        </w:rPr>
        <w:t xml:space="preserve"> G</w:t>
      </w:r>
      <w:r>
        <w:rPr>
          <w:rFonts w:ascii="Arial" w:cs="Arial" w:eastAsia="Arial" w:hAnsi="Arial"/>
          <w:sz w:val="16"/>
          <w:szCs w:val="16"/>
          <w:b w:val="1"/>
          <w:bCs w:val="1"/>
          <w:color w:val="auto"/>
        </w:rPr>
        <w:t>RANT</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is not providing any tax, legal or financial advice, nor is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making any recommendations regarding your participation in the Plan, or your acquisition or sale of the underlying shares of Common Stock.</w:t>
      </w: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200" w:lineRule="exact"/>
        <w:rPr>
          <w:rFonts w:ascii="Arial" w:cs="Arial" w:eastAsia="Arial" w:hAnsi="Arial"/>
          <w:sz w:val="20"/>
          <w:szCs w:val="20"/>
          <w:b w:val="1"/>
          <w:bCs w:val="1"/>
          <w:color w:val="auto"/>
        </w:rPr>
      </w:pPr>
    </w:p>
    <w:p>
      <w:pPr>
        <w:spacing w:after="0" w:line="387" w:lineRule="exact"/>
        <w:rPr>
          <w:rFonts w:ascii="Arial" w:cs="Arial" w:eastAsia="Arial" w:hAnsi="Arial"/>
          <w:sz w:val="20"/>
          <w:szCs w:val="20"/>
          <w:b w:val="1"/>
          <w:bCs w:val="1"/>
          <w:color w:val="auto"/>
        </w:rPr>
      </w:pPr>
    </w:p>
    <w:p>
      <w:pPr>
        <w:ind w:left="639" w:hanging="639"/>
        <w:spacing w:after="0"/>
        <w:tabs>
          <w:tab w:leader="none" w:pos="639"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6"/>
          <w:szCs w:val="16"/>
          <w:b w:val="1"/>
          <w:bCs w:val="1"/>
          <w:color w:val="auto"/>
        </w:rPr>
        <w:t>ATA</w:t>
      </w:r>
      <w:r>
        <w:rPr>
          <w:rFonts w:ascii="Arial" w:cs="Arial" w:eastAsia="Arial" w:hAnsi="Arial"/>
          <w:sz w:val="20"/>
          <w:szCs w:val="20"/>
          <w:b w:val="1"/>
          <w:bCs w:val="1"/>
          <w:color w:val="auto"/>
        </w:rPr>
        <w:t xml:space="preserve"> P</w:t>
      </w:r>
      <w:r>
        <w:rPr>
          <w:rFonts w:ascii="Arial" w:cs="Arial" w:eastAsia="Arial" w:hAnsi="Arial"/>
          <w:sz w:val="16"/>
          <w:szCs w:val="16"/>
          <w:b w:val="1"/>
          <w:bCs w:val="1"/>
          <w:color w:val="auto"/>
        </w:rPr>
        <w:t>RIVACY</w:t>
      </w:r>
      <w:r>
        <w:rPr>
          <w:rFonts w:ascii="Arial" w:cs="Arial" w:eastAsia="Arial" w:hAnsi="Arial"/>
          <w:sz w:val="20"/>
          <w:szCs w:val="20"/>
          <w:b w:val="1"/>
          <w:bCs w:val="1"/>
          <w:color w:val="auto"/>
        </w:rPr>
        <w:t xml:space="preserve"> N</w:t>
      </w:r>
      <w:r>
        <w:rPr>
          <w:rFonts w:ascii="Arial" w:cs="Arial" w:eastAsia="Arial" w:hAnsi="Arial"/>
          <w:sz w:val="16"/>
          <w:szCs w:val="16"/>
          <w:b w:val="1"/>
          <w:bCs w:val="1"/>
          <w:color w:val="auto"/>
        </w:rPr>
        <w:t>OTICE AND</w:t>
      </w:r>
      <w:r>
        <w:rPr>
          <w:rFonts w:ascii="Arial" w:cs="Arial" w:eastAsia="Arial" w:hAnsi="Arial"/>
          <w:sz w:val="20"/>
          <w:szCs w:val="20"/>
          <w:b w:val="1"/>
          <w:bCs w:val="1"/>
          <w:color w:val="auto"/>
        </w:rPr>
        <w:t xml:space="preserve"> C</w:t>
      </w:r>
      <w:r>
        <w:rPr>
          <w:rFonts w:ascii="Arial" w:cs="Arial" w:eastAsia="Arial" w:hAnsi="Arial"/>
          <w:sz w:val="16"/>
          <w:szCs w:val="16"/>
          <w:b w:val="1"/>
          <w:bCs w:val="1"/>
          <w:color w:val="auto"/>
        </w:rPr>
        <w:t>ONSENT</w:t>
      </w:r>
      <w:r>
        <w:rPr>
          <w:rFonts w:ascii="Arial" w:cs="Arial" w:eastAsia="Arial" w:hAnsi="Arial"/>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224155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39"/>
          </w:cols>
          <w:pgMar w:left="1201" w:top="366" w:right="459" w:bottom="1440" w:gutter="0" w:footer="0" w:header="0"/>
        </w:sectPr>
      </w:pPr>
    </w:p>
    <w:bookmarkStart w:id="86" w:name="page87"/>
    <w:bookmarkEnd w:id="86"/>
    <w:p>
      <w:pPr>
        <w:jc w:val="both"/>
        <w:ind w:left="500" w:firstLine="1712"/>
        <w:spacing w:after="0" w:line="350" w:lineRule="auto"/>
        <w:tabs>
          <w:tab w:leader="none" w:pos="3294" w:val="left"/>
        </w:tabs>
        <w:numPr>
          <w:ilvl w:val="1"/>
          <w:numId w:val="78"/>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Data Collection and Usage</w:t>
      </w:r>
      <w:r>
        <w:rPr>
          <w:rFonts w:ascii="Arial" w:cs="Arial" w:eastAsia="Arial" w:hAnsi="Arial"/>
          <w:sz w:val="16"/>
          <w:szCs w:val="16"/>
          <w:b w:val="1"/>
          <w:bCs w:val="1"/>
          <w:color w:val="auto"/>
        </w:rPr>
        <w:t>. The Company and the Employer collect, process and use certain personal information about you, including, but not limited to, your name, home address, email address and telephone number, date of birth, social insurance number, passport or other identification number, salary, nationality, job title, any shares of Common Stock or directorships held in the Company, details of all Restricted Stock Units or any other entitlement to shares of Common Stock awarded, canceled, exercised, vested, unvested or outstanding in your favor (“Data”), for the purposes of implementing, administering and managing the Plan. The legal basis, where required, for the processing of Data is your consent.</w:t>
      </w:r>
    </w:p>
    <w:p>
      <w:pPr>
        <w:spacing w:after="0" w:line="254" w:lineRule="exact"/>
        <w:rPr>
          <w:rFonts w:ascii="Arial" w:cs="Arial" w:eastAsia="Arial" w:hAnsi="Arial"/>
          <w:sz w:val="16"/>
          <w:szCs w:val="16"/>
          <w:b w:val="1"/>
          <w:bCs w:val="1"/>
          <w:u w:val="single" w:color="auto"/>
          <w:color w:val="auto"/>
        </w:rPr>
      </w:pPr>
    </w:p>
    <w:p>
      <w:pPr>
        <w:jc w:val="both"/>
        <w:ind w:left="500" w:firstLine="1712"/>
        <w:spacing w:after="0" w:line="286" w:lineRule="auto"/>
        <w:tabs>
          <w:tab w:leader="none" w:pos="3294" w:val="left"/>
        </w:tabs>
        <w:numPr>
          <w:ilvl w:val="1"/>
          <w:numId w:val="78"/>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Stock Plan Administration Service Providers</w:t>
      </w:r>
      <w:r>
        <w:rPr>
          <w:rFonts w:ascii="Arial" w:cs="Arial" w:eastAsia="Arial" w:hAnsi="Arial"/>
          <w:sz w:val="19"/>
          <w:szCs w:val="19"/>
          <w:b w:val="1"/>
          <w:bCs w:val="1"/>
          <w:color w:val="auto"/>
        </w:rPr>
        <w:t>. The Company transfers Data to E*TRADE Financial Corporate Services, Inc. and certain of its affiliated companies (the “</w:t>
      </w:r>
      <w:r>
        <w:rPr>
          <w:rFonts w:ascii="Arial" w:cs="Arial" w:eastAsia="Arial" w:hAnsi="Arial"/>
          <w:sz w:val="19"/>
          <w:szCs w:val="19"/>
          <w:b w:val="1"/>
          <w:bCs w:val="1"/>
          <w:i w:val="1"/>
          <w:iCs w:val="1"/>
          <w:color w:val="auto"/>
        </w:rPr>
        <w:t>Designated Broker</w:t>
      </w:r>
      <w:r>
        <w:rPr>
          <w:rFonts w:ascii="Arial" w:cs="Arial" w:eastAsia="Arial" w:hAnsi="Arial"/>
          <w:sz w:val="19"/>
          <w:szCs w:val="19"/>
          <w:b w:val="1"/>
          <w:bCs w:val="1"/>
          <w:color w:val="auto"/>
        </w:rPr>
        <w:t>”), an independent service provider based in the United States, which is assisting the Company with the implementation, administration and management of the Plan. The Company may select a different service provider or additional service providers and share Data with such other provider serving in a similar manner. You may be asked to agree on separate terms and data processing practices with the Designated Broker or other service providers, with such agreement being a condition to the ability to participate in the Plan. The Company and the Designated Broker are based in the United States. Your country or jurisdiction may have different data privacy laws and protections than the United States. The Company’s legal basis, where required, for the transfer of Data is your consent.</w:t>
      </w:r>
    </w:p>
    <w:p>
      <w:pPr>
        <w:spacing w:after="0" w:line="231" w:lineRule="exact"/>
        <w:rPr>
          <w:rFonts w:ascii="Arial" w:cs="Arial" w:eastAsia="Arial" w:hAnsi="Arial"/>
          <w:sz w:val="19"/>
          <w:szCs w:val="19"/>
          <w:b w:val="1"/>
          <w:bCs w:val="1"/>
          <w:u w:val="single" w:color="auto"/>
          <w:color w:val="auto"/>
        </w:rPr>
      </w:pPr>
    </w:p>
    <w:p>
      <w:pPr>
        <w:jc w:val="both"/>
        <w:ind w:left="500" w:firstLine="1712"/>
        <w:spacing w:after="0" w:line="276" w:lineRule="auto"/>
        <w:tabs>
          <w:tab w:leader="none" w:pos="3294" w:val="left"/>
        </w:tabs>
        <w:numPr>
          <w:ilvl w:val="1"/>
          <w:numId w:val="78"/>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Data Retention</w:t>
      </w:r>
      <w:r>
        <w:rPr>
          <w:rFonts w:ascii="Arial" w:cs="Arial" w:eastAsia="Arial" w:hAnsi="Arial"/>
          <w:sz w:val="20"/>
          <w:szCs w:val="20"/>
          <w:b w:val="1"/>
          <w:bCs w:val="1"/>
          <w:color w:val="auto"/>
        </w:rPr>
        <w:t>. The Company will hold and use the Data only as long as is necessary to implement, administer and manage your participation in the Plan, or as required to comply with legal or regulatory obligations, including under tax, exchange control, labor and securities laws. This period may extend beyond your period of employment with the Employer.</w:t>
      </w:r>
    </w:p>
    <w:p>
      <w:pPr>
        <w:spacing w:after="0" w:line="224" w:lineRule="exact"/>
        <w:rPr>
          <w:rFonts w:ascii="Arial" w:cs="Arial" w:eastAsia="Arial" w:hAnsi="Arial"/>
          <w:sz w:val="20"/>
          <w:szCs w:val="20"/>
          <w:b w:val="1"/>
          <w:bCs w:val="1"/>
          <w:u w:val="single" w:color="auto"/>
          <w:color w:val="auto"/>
        </w:rPr>
      </w:pPr>
    </w:p>
    <w:p>
      <w:pPr>
        <w:jc w:val="both"/>
        <w:ind w:left="500" w:firstLine="1712"/>
        <w:spacing w:after="0" w:line="273" w:lineRule="auto"/>
        <w:tabs>
          <w:tab w:leader="none" w:pos="3294" w:val="left"/>
        </w:tabs>
        <w:numPr>
          <w:ilvl w:val="1"/>
          <w:numId w:val="78"/>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Voluntariness and Consequences of Consent Denial or Withdrawal</w:t>
      </w:r>
      <w:r>
        <w:rPr>
          <w:rFonts w:ascii="Arial" w:cs="Arial" w:eastAsia="Arial" w:hAnsi="Arial"/>
          <w:sz w:val="20"/>
          <w:szCs w:val="20"/>
          <w:b w:val="1"/>
          <w:bCs w:val="1"/>
          <w:color w:val="auto"/>
        </w:rPr>
        <w:t>. Participation in the Plan is voluntary and you are providing the consents herein on a purely voluntary basis. If you do not consent, or if you later seek to revoke your consent, your salary from or employment or other service with the Employer will not be affected; the only consequence of refusing or withdrawing your consent is that the Company would not be able to grant Restricted Stock Units or other equity awards to you or administer or maintain such awards.</w:t>
      </w:r>
    </w:p>
    <w:p>
      <w:pPr>
        <w:spacing w:after="0" w:line="225" w:lineRule="exact"/>
        <w:rPr>
          <w:rFonts w:ascii="Arial" w:cs="Arial" w:eastAsia="Arial" w:hAnsi="Arial"/>
          <w:sz w:val="20"/>
          <w:szCs w:val="20"/>
          <w:b w:val="1"/>
          <w:bCs w:val="1"/>
          <w:u w:val="single" w:color="auto"/>
          <w:color w:val="auto"/>
        </w:rPr>
      </w:pPr>
    </w:p>
    <w:p>
      <w:pPr>
        <w:jc w:val="both"/>
        <w:ind w:left="500" w:firstLine="1712"/>
        <w:spacing w:after="0" w:line="272" w:lineRule="auto"/>
        <w:tabs>
          <w:tab w:leader="none" w:pos="3294" w:val="left"/>
        </w:tabs>
        <w:numPr>
          <w:ilvl w:val="1"/>
          <w:numId w:val="78"/>
        </w:numPr>
        <w:rPr>
          <w:rFonts w:ascii="Arial" w:cs="Arial" w:eastAsia="Arial" w:hAnsi="Arial"/>
          <w:sz w:val="20"/>
          <w:szCs w:val="20"/>
          <w:b w:val="1"/>
          <w:bCs w:val="1"/>
          <w:u w:val="single" w:color="auto"/>
          <w:color w:val="auto"/>
        </w:rPr>
      </w:pPr>
      <w:r>
        <w:rPr>
          <w:rFonts w:ascii="Arial" w:cs="Arial" w:eastAsia="Arial" w:hAnsi="Arial"/>
          <w:sz w:val="20"/>
          <w:szCs w:val="20"/>
          <w:b w:val="1"/>
          <w:bCs w:val="1"/>
          <w:u w:val="single" w:color="auto"/>
          <w:color w:val="auto"/>
        </w:rPr>
        <w:t>Data Subject Rights</w:t>
      </w:r>
      <w:r>
        <w:rPr>
          <w:rFonts w:ascii="Arial" w:cs="Arial" w:eastAsia="Arial" w:hAnsi="Arial"/>
          <w:sz w:val="20"/>
          <w:szCs w:val="20"/>
          <w:b w:val="1"/>
          <w:bCs w:val="1"/>
          <w:color w:val="auto"/>
        </w:rPr>
        <w:t>. You may have a number of rights under data privacy laws in your jurisdiction. Depending on where you are based, such rights may include the right to (i) request access or copies of Data the Company processes, (ii) rectification of incorrect Data, (iii) deletion of Data, (iv) restrictions on processing of Data, (v) portability of Data, (vi) lodge complaints with competent authorities in your jurisdiction, and/or (vii) receive a list with the names and addresses of any potential recipients of Data. To receive clarification regarding these rights or to exercise these rights, you can contact your local human resources representative.</w:t>
      </w:r>
    </w:p>
    <w:p>
      <w:pPr>
        <w:spacing w:after="0" w:line="241" w:lineRule="exact"/>
        <w:rPr>
          <w:rFonts w:ascii="Arial" w:cs="Arial" w:eastAsia="Arial" w:hAnsi="Arial"/>
          <w:sz w:val="20"/>
          <w:szCs w:val="20"/>
          <w:b w:val="1"/>
          <w:bCs w:val="1"/>
          <w:u w:val="single" w:color="auto"/>
          <w:color w:val="auto"/>
        </w:rPr>
      </w:pPr>
    </w:p>
    <w:p>
      <w:pPr>
        <w:jc w:val="both"/>
        <w:ind w:left="-240" w:firstLine="794"/>
        <w:spacing w:after="0" w:line="316" w:lineRule="auto"/>
        <w:tabs>
          <w:tab w:leader="none" w:pos="115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ANGUAGE</w:t>
      </w:r>
      <w:r>
        <w:rPr>
          <w:rFonts w:ascii="Arial" w:cs="Arial" w:eastAsia="Arial" w:hAnsi="Arial"/>
          <w:sz w:val="18"/>
          <w:szCs w:val="18"/>
          <w:b w:val="1"/>
          <w:bCs w:val="1"/>
          <w:color w:val="auto"/>
        </w:rPr>
        <w:t xml:space="preserve">. </w:t>
      </w:r>
      <w:r>
        <w:rPr>
          <w:rFonts w:ascii="Arial" w:cs="Arial" w:eastAsia="Arial" w:hAnsi="Arial"/>
          <w:sz w:val="18"/>
          <w:szCs w:val="18"/>
          <w:color w:val="auto"/>
        </w:rPr>
        <w:t>You acknowledge that you are sufficiently proficient in the English language, or have consulted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 advisor who is sufficiently proficient in English, so as to allow you to understand the terms and conditions of this Agreement. If you have received this Agreement or any other documents related to the Plan translated into a language other than English, and if the meaning of the translated version is different than the English version, the English version will control.</w:t>
      </w:r>
    </w:p>
    <w:p>
      <w:pPr>
        <w:spacing w:after="0" w:line="192" w:lineRule="exact"/>
        <w:rPr>
          <w:rFonts w:ascii="Arial" w:cs="Arial" w:eastAsia="Arial" w:hAnsi="Arial"/>
          <w:sz w:val="18"/>
          <w:szCs w:val="18"/>
          <w:b w:val="1"/>
          <w:bCs w:val="1"/>
          <w:color w:val="auto"/>
        </w:rPr>
      </w:pPr>
    </w:p>
    <w:p>
      <w:pPr>
        <w:jc w:val="both"/>
        <w:ind w:left="-240" w:firstLine="794"/>
        <w:spacing w:after="0" w:line="274" w:lineRule="auto"/>
        <w:tabs>
          <w:tab w:leader="none" w:pos="1154"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G</w:t>
      </w:r>
      <w:r>
        <w:rPr>
          <w:rFonts w:ascii="Arial" w:cs="Arial" w:eastAsia="Arial" w:hAnsi="Arial"/>
          <w:sz w:val="16"/>
          <w:szCs w:val="16"/>
          <w:b w:val="1"/>
          <w:bCs w:val="1"/>
          <w:color w:val="auto"/>
        </w:rPr>
        <w:t>OVERNING</w:t>
      </w:r>
      <w:r>
        <w:rPr>
          <w:rFonts w:ascii="Arial" w:cs="Arial" w:eastAsia="Arial" w:hAnsi="Arial"/>
          <w:sz w:val="20"/>
          <w:szCs w:val="20"/>
          <w:b w:val="1"/>
          <w:bCs w:val="1"/>
          <w:color w:val="auto"/>
        </w:rPr>
        <w:t xml:space="preserve"> L</w:t>
      </w:r>
      <w:r>
        <w:rPr>
          <w:rFonts w:ascii="Arial" w:cs="Arial" w:eastAsia="Arial" w:hAnsi="Arial"/>
          <w:sz w:val="16"/>
          <w:szCs w:val="16"/>
          <w:b w:val="1"/>
          <w:bCs w:val="1"/>
          <w:color w:val="auto"/>
        </w:rPr>
        <w:t>AW</w:t>
      </w:r>
      <w:r>
        <w:rPr>
          <w:rFonts w:ascii="Arial" w:cs="Arial" w:eastAsia="Arial" w:hAnsi="Arial"/>
          <w:sz w:val="20"/>
          <w:szCs w:val="20"/>
          <w:b w:val="1"/>
          <w:bCs w:val="1"/>
          <w:color w:val="auto"/>
        </w:rPr>
        <w:t>/V</w:t>
      </w:r>
      <w:r>
        <w:rPr>
          <w:rFonts w:ascii="Arial" w:cs="Arial" w:eastAsia="Arial" w:hAnsi="Arial"/>
          <w:sz w:val="16"/>
          <w:szCs w:val="16"/>
          <w:b w:val="1"/>
          <w:bCs w:val="1"/>
          <w:color w:val="auto"/>
        </w:rPr>
        <w:t>ENUE</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and any controversy arising out of or relating to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governed by, and construed in accordance with, the internal laws of the State of Delaware, without regard to conflict of law principles that would result in any application of any law other than the law of the State of Delaware. For purposes of any action, lawsuit or other proceeding brought to enforce this Agreement, relating to it, or arising from it, the parties hereby submit to and consent to the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188595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00"/>
          </w:cols>
          <w:pgMar w:left="1440" w:top="562" w:right="459" w:bottom="1440" w:gutter="0" w:footer="0" w:header="0"/>
        </w:sectPr>
      </w:pPr>
    </w:p>
    <w:bookmarkStart w:id="87" w:name="page88"/>
    <w:bookmarkEnd w:id="87"/>
    <w:p>
      <w:pPr>
        <w:spacing w:after="0" w:line="288" w:lineRule="auto"/>
        <w:rPr>
          <w:sz w:val="20"/>
          <w:szCs w:val="20"/>
          <w:color w:val="auto"/>
        </w:rPr>
      </w:pPr>
      <w:r>
        <w:rPr>
          <w:rFonts w:ascii="Arial" w:cs="Arial" w:eastAsia="Arial" w:hAnsi="Arial"/>
          <w:sz w:val="20"/>
          <w:szCs w:val="20"/>
          <w:color w:val="auto"/>
        </w:rPr>
        <w:t>and exclusive jurisdiction of the courts of Alameda County, California, or the federal courts for the United States for the Northern District of California, and no other courts where this grant is made and/or to be performed.</w:t>
      </w:r>
    </w:p>
    <w:p>
      <w:pPr>
        <w:spacing w:after="0" w:line="212" w:lineRule="exact"/>
        <w:rPr>
          <w:sz w:val="20"/>
          <w:szCs w:val="20"/>
          <w:color w:val="auto"/>
        </w:rPr>
      </w:pPr>
    </w:p>
    <w:p>
      <w:pPr>
        <w:jc w:val="both"/>
        <w:ind w:firstLine="797"/>
        <w:spacing w:after="0" w:line="302" w:lineRule="auto"/>
        <w:tabs>
          <w:tab w:leader="none" w:pos="1397"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NSIDER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RADING</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ESTRICTIONS</w:t>
      </w:r>
      <w:r>
        <w:rPr>
          <w:rFonts w:ascii="Arial" w:cs="Arial" w:eastAsia="Arial" w:hAnsi="Arial"/>
          <w:sz w:val="18"/>
          <w:szCs w:val="18"/>
          <w:b w:val="1"/>
          <w:bCs w:val="1"/>
          <w:color w:val="auto"/>
        </w:rPr>
        <w:t xml:space="preserve"> / M</w:t>
      </w:r>
      <w:r>
        <w:rPr>
          <w:rFonts w:ascii="Arial" w:cs="Arial" w:eastAsia="Arial" w:hAnsi="Arial"/>
          <w:sz w:val="14"/>
          <w:szCs w:val="14"/>
          <w:b w:val="1"/>
          <w:bCs w:val="1"/>
          <w:color w:val="auto"/>
        </w:rPr>
        <w:t>ARKET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BUSE</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be subject to insider trading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and/or market abuse laws based on the exchange on which the shares of Common Stock are listed and in applicable jurisdictions, including the United States, your country and the designated broker’s country, which may affect your ability to accept, acquire, sell or otherwise dispose of shares of Common Stock, rights to shares of Common Stock (</w:t>
      </w:r>
      <w:r>
        <w:rPr>
          <w:rFonts w:ascii="Arial" w:cs="Arial" w:eastAsia="Arial" w:hAnsi="Arial"/>
          <w:sz w:val="18"/>
          <w:szCs w:val="18"/>
          <w:i w:val="1"/>
          <w:iCs w:val="1"/>
          <w:color w:val="auto"/>
        </w:rPr>
        <w:t>i.e.,</w:t>
      </w:r>
      <w:r>
        <w:rPr>
          <w:rFonts w:ascii="Arial" w:cs="Arial" w:eastAsia="Arial" w:hAnsi="Arial"/>
          <w:sz w:val="18"/>
          <w:szCs w:val="18"/>
          <w:color w:val="auto"/>
        </w:rPr>
        <w:t xml:space="preserve"> RSU Awards) or rights linked to the value of the shares of Common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(i) disclosing the inside information to any third party, which may include fellow employees and (ii) “tipping” third parties or causing them otherwise to buy or sell securities. Any restrictions under these laws or regulations are separate from and in addition to any restrictions that may be imposed under the Company’s Trading Policy, or any other applicable insider trading policy then in effect. You acknowledge that you are responsible for complying with any applicable restrictions and are encouraged to speak with your personal legal advisor for further details regarding any applicable insider-trading and/or market-abuse laws in your country.</w:t>
      </w:r>
    </w:p>
    <w:p>
      <w:pPr>
        <w:spacing w:after="0" w:line="218" w:lineRule="exact"/>
        <w:rPr>
          <w:rFonts w:ascii="Arial" w:cs="Arial" w:eastAsia="Arial" w:hAnsi="Arial"/>
          <w:sz w:val="18"/>
          <w:szCs w:val="18"/>
          <w:b w:val="1"/>
          <w:bCs w:val="1"/>
          <w:color w:val="auto"/>
        </w:rPr>
      </w:pPr>
    </w:p>
    <w:p>
      <w:pPr>
        <w:jc w:val="both"/>
        <w:ind w:firstLine="794"/>
        <w:spacing w:after="0" w:line="304" w:lineRule="auto"/>
        <w:tabs>
          <w:tab w:leader="none" w:pos="139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OREIGN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w:t>
      </w:r>
      <w:r>
        <w:rPr>
          <w:rFonts w:ascii="Arial" w:cs="Arial" w:eastAsia="Arial" w:hAnsi="Arial"/>
          <w:sz w:val="18"/>
          <w:szCs w:val="18"/>
          <w:b w:val="1"/>
          <w:bCs w:val="1"/>
          <w:color w:val="auto"/>
        </w:rPr>
        <w:t>/A</w:t>
      </w:r>
      <w:r>
        <w:rPr>
          <w:rFonts w:ascii="Arial" w:cs="Arial" w:eastAsia="Arial" w:hAnsi="Arial"/>
          <w:sz w:val="14"/>
          <w:szCs w:val="14"/>
          <w:b w:val="1"/>
          <w:bCs w:val="1"/>
          <w:color w:val="auto"/>
        </w:rPr>
        <w:t>CCOUNT</w:t>
      </w:r>
      <w:r>
        <w:rPr>
          <w:rFonts w:ascii="Arial" w:cs="Arial" w:eastAsia="Arial" w:hAnsi="Arial"/>
          <w:sz w:val="18"/>
          <w:szCs w:val="18"/>
          <w:b w:val="1"/>
          <w:bCs w:val="1"/>
          <w:color w:val="auto"/>
        </w:rPr>
        <w:t>, E</w:t>
      </w:r>
      <w:r>
        <w:rPr>
          <w:rFonts w:ascii="Arial" w:cs="Arial" w:eastAsia="Arial" w:hAnsi="Arial"/>
          <w:sz w:val="14"/>
          <w:szCs w:val="14"/>
          <w:b w:val="1"/>
          <w:bCs w:val="1"/>
          <w:color w:val="auto"/>
        </w:rPr>
        <w:t>XCHANGE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ONTROL AND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be subject to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asset/account, exchange control and/or tax reporting requirements as a result of the acquisition, holding and/or transfer of shares of Common Stock or cash (including dividends and the proceeds arising from the sale of shares of Common Stock) derived from your participation in the Plan in, to and/or from a brokerage/bank account or legal entity located outside your country. The Applicable Laws in your country may require that you report such accounts, assets and balances therein, the value thereof and/or the transactions related thereto to the applicable authorities in such country. You may also be required to repatriate sale proceeds or other funds received as a result of your participation in the Plan to your country through a designated bank or broker within a certain time after receipt. You acknowledge that it is your responsibility to be compliant with such regulations and you are encouraged to consult with your personal legal advisor for any details.</w:t>
      </w:r>
    </w:p>
    <w:p>
      <w:pPr>
        <w:spacing w:after="0" w:line="205" w:lineRule="exact"/>
        <w:rPr>
          <w:rFonts w:ascii="Arial" w:cs="Arial" w:eastAsia="Arial" w:hAnsi="Arial"/>
          <w:sz w:val="18"/>
          <w:szCs w:val="18"/>
          <w:b w:val="1"/>
          <w:bCs w:val="1"/>
          <w:color w:val="auto"/>
        </w:rPr>
      </w:pPr>
    </w:p>
    <w:p>
      <w:pPr>
        <w:jc w:val="both"/>
        <w:ind w:firstLine="797"/>
        <w:spacing w:after="0" w:line="290" w:lineRule="auto"/>
        <w:tabs>
          <w:tab w:leader="none" w:pos="1397"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C</w:t>
      </w:r>
      <w:r>
        <w:rPr>
          <w:rFonts w:ascii="Arial" w:cs="Arial" w:eastAsia="Arial" w:hAnsi="Arial"/>
          <w:sz w:val="15"/>
          <w:szCs w:val="15"/>
          <w:b w:val="1"/>
          <w:bCs w:val="1"/>
          <w:color w:val="auto"/>
        </w:rPr>
        <w:t>OUNTRY</w:t>
      </w:r>
      <w:r>
        <w:rPr>
          <w:rFonts w:ascii="Arial" w:cs="Arial" w:eastAsia="Arial" w:hAnsi="Arial"/>
          <w:sz w:val="19"/>
          <w:szCs w:val="19"/>
          <w:b w:val="1"/>
          <w:bCs w:val="1"/>
          <w:color w:val="auto"/>
        </w:rPr>
        <w:t>-S</w:t>
      </w:r>
      <w:r>
        <w:rPr>
          <w:rFonts w:ascii="Arial" w:cs="Arial" w:eastAsia="Arial" w:hAnsi="Arial"/>
          <w:sz w:val="15"/>
          <w:szCs w:val="15"/>
          <w:b w:val="1"/>
          <w:bCs w:val="1"/>
          <w:color w:val="auto"/>
        </w:rPr>
        <w:t>PECIFIC</w:t>
      </w:r>
      <w:r>
        <w:rPr>
          <w:rFonts w:ascii="Arial" w:cs="Arial" w:eastAsia="Arial" w:hAnsi="Arial"/>
          <w:sz w:val="19"/>
          <w:szCs w:val="19"/>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of this Agreement to the contrary, the RSU</w:t>
      </w:r>
      <w:r>
        <w:rPr>
          <w:rFonts w:ascii="Arial" w:cs="Arial" w:eastAsia="Arial" w:hAnsi="Arial"/>
          <w:sz w:val="19"/>
          <w:szCs w:val="19"/>
          <w:b w:val="1"/>
          <w:bCs w:val="1"/>
          <w:color w:val="auto"/>
        </w:rPr>
        <w:t xml:space="preserve"> </w:t>
      </w:r>
      <w:r>
        <w:rPr>
          <w:rFonts w:ascii="Arial" w:cs="Arial" w:eastAsia="Arial" w:hAnsi="Arial"/>
          <w:sz w:val="19"/>
          <w:szCs w:val="19"/>
          <w:color w:val="auto"/>
        </w:rPr>
        <w:t>Award shall be subject to any terms and conditions for your country of residence (and country of employment, if different) set forth in the appendix attached hereto (the “</w:t>
      </w:r>
      <w:r>
        <w:rPr>
          <w:rFonts w:ascii="Arial" w:cs="Arial" w:eastAsia="Arial" w:hAnsi="Arial"/>
          <w:sz w:val="19"/>
          <w:szCs w:val="19"/>
          <w:b w:val="1"/>
          <w:bCs w:val="1"/>
          <w:i w:val="1"/>
          <w:iCs w:val="1"/>
          <w:color w:val="auto"/>
        </w:rPr>
        <w:t>Appendix</w:t>
      </w:r>
      <w:r>
        <w:rPr>
          <w:rFonts w:ascii="Arial" w:cs="Arial" w:eastAsia="Arial" w:hAnsi="Arial"/>
          <w:sz w:val="19"/>
          <w:szCs w:val="19"/>
          <w:color w:val="auto"/>
        </w:rPr>
        <w:t>”). Further, if you transfer residence and/or employment to another country reflected in the Appendix, the terms and conditions for such country will apply to you to the extent the Company determines, in its sole discretion, that the application of such terms and conditions is necessary or advisable for legal or administrative reasons. The Appendix constitutes part of this Global RSU Award Agreement.</w:t>
      </w:r>
    </w:p>
    <w:p>
      <w:pPr>
        <w:spacing w:after="0" w:line="224" w:lineRule="exact"/>
        <w:rPr>
          <w:rFonts w:ascii="Arial" w:cs="Arial" w:eastAsia="Arial" w:hAnsi="Arial"/>
          <w:sz w:val="19"/>
          <w:szCs w:val="19"/>
          <w:b w:val="1"/>
          <w:bCs w:val="1"/>
          <w:color w:val="auto"/>
        </w:rPr>
      </w:pPr>
    </w:p>
    <w:p>
      <w:pPr>
        <w:jc w:val="both"/>
        <w:ind w:firstLine="797"/>
        <w:spacing w:after="0" w:line="295" w:lineRule="auto"/>
        <w:tabs>
          <w:tab w:leader="none" w:pos="1397"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I</w:t>
      </w:r>
      <w:r>
        <w:rPr>
          <w:rFonts w:ascii="Arial" w:cs="Arial" w:eastAsia="Arial" w:hAnsi="Arial"/>
          <w:sz w:val="15"/>
          <w:szCs w:val="15"/>
          <w:b w:val="1"/>
          <w:bCs w:val="1"/>
          <w:color w:val="auto"/>
        </w:rPr>
        <w:t>MPOSITION OF</w:t>
      </w:r>
      <w:r>
        <w:rPr>
          <w:rFonts w:ascii="Arial" w:cs="Arial" w:eastAsia="Arial" w:hAnsi="Arial"/>
          <w:sz w:val="19"/>
          <w:szCs w:val="19"/>
          <w:b w:val="1"/>
          <w:bCs w:val="1"/>
          <w:color w:val="auto"/>
        </w:rPr>
        <w:t xml:space="preserve"> O</w:t>
      </w:r>
      <w:r>
        <w:rPr>
          <w:rFonts w:ascii="Arial" w:cs="Arial" w:eastAsia="Arial" w:hAnsi="Arial"/>
          <w:sz w:val="15"/>
          <w:szCs w:val="15"/>
          <w:b w:val="1"/>
          <w:bCs w:val="1"/>
          <w:color w:val="auto"/>
        </w:rPr>
        <w:t>THER</w:t>
      </w:r>
      <w:r>
        <w:rPr>
          <w:rFonts w:ascii="Arial" w:cs="Arial" w:eastAsia="Arial" w:hAnsi="Arial"/>
          <w:sz w:val="19"/>
          <w:szCs w:val="19"/>
          <w:b w:val="1"/>
          <w:bCs w:val="1"/>
          <w:color w:val="auto"/>
        </w:rPr>
        <w:t xml:space="preserve"> R</w:t>
      </w:r>
      <w:r>
        <w:rPr>
          <w:rFonts w:ascii="Arial" w:cs="Arial" w:eastAsia="Arial" w:hAnsi="Arial"/>
          <w:sz w:val="15"/>
          <w:szCs w:val="15"/>
          <w:b w:val="1"/>
          <w:bCs w:val="1"/>
          <w:color w:val="auto"/>
        </w:rPr>
        <w:t>EQUIREMENTS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reserves the right to impose other requirements on</w:t>
      </w:r>
      <w:r>
        <w:rPr>
          <w:rFonts w:ascii="Arial" w:cs="Arial" w:eastAsia="Arial" w:hAnsi="Arial"/>
          <w:sz w:val="19"/>
          <w:szCs w:val="19"/>
          <w:b w:val="1"/>
          <w:bCs w:val="1"/>
          <w:color w:val="auto"/>
        </w:rPr>
        <w:t xml:space="preserve"> </w:t>
      </w:r>
      <w:r>
        <w:rPr>
          <w:rFonts w:ascii="Arial" w:cs="Arial" w:eastAsia="Arial" w:hAnsi="Arial"/>
          <w:sz w:val="19"/>
          <w:szCs w:val="19"/>
          <w:color w:val="auto"/>
        </w:rPr>
        <w:t>your participation in the Plan, on the RSU Award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08" w:lineRule="exact"/>
        <w:rPr>
          <w:rFonts w:ascii="Arial" w:cs="Arial" w:eastAsia="Arial" w:hAnsi="Arial"/>
          <w:sz w:val="19"/>
          <w:szCs w:val="19"/>
          <w:b w:val="1"/>
          <w:bCs w:val="1"/>
          <w:color w:val="auto"/>
        </w:rPr>
      </w:pPr>
    </w:p>
    <w:p>
      <w:pPr>
        <w:jc w:val="both"/>
        <w:ind w:firstLine="794"/>
        <w:spacing w:after="0" w:line="267" w:lineRule="auto"/>
        <w:tabs>
          <w:tab w:leader="none" w:pos="1394"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O</w:t>
      </w:r>
      <w:r>
        <w:rPr>
          <w:rFonts w:ascii="Arial" w:cs="Arial" w:eastAsia="Arial" w:hAnsi="Arial"/>
          <w:sz w:val="16"/>
          <w:szCs w:val="16"/>
          <w:b w:val="1"/>
          <w:bCs w:val="1"/>
          <w:color w:val="auto"/>
        </w:rPr>
        <w:t>THER</w:t>
      </w:r>
      <w:r>
        <w:rPr>
          <w:rFonts w:ascii="Arial" w:cs="Arial" w:eastAsia="Arial" w:hAnsi="Arial"/>
          <w:sz w:val="20"/>
          <w:szCs w:val="20"/>
          <w:b w:val="1"/>
          <w:bCs w:val="1"/>
          <w:color w:val="auto"/>
        </w:rPr>
        <w:t xml:space="preserve"> D</w:t>
      </w:r>
      <w:r>
        <w:rPr>
          <w:rFonts w:ascii="Arial" w:cs="Arial" w:eastAsia="Arial" w:hAnsi="Arial"/>
          <w:sz w:val="16"/>
          <w:szCs w:val="16"/>
          <w:b w:val="1"/>
          <w:bCs w:val="1"/>
          <w:color w:val="auto"/>
        </w:rPr>
        <w:t>OCUMENTS</w:t>
      </w:r>
      <w:r>
        <w:rPr>
          <w:rFonts w:ascii="Arial" w:cs="Arial" w:eastAsia="Arial" w:hAnsi="Arial"/>
          <w:sz w:val="20"/>
          <w:szCs w:val="20"/>
          <w:b w:val="1"/>
          <w:bCs w:val="1"/>
          <w:color w:val="auto"/>
        </w:rPr>
        <w:t xml:space="preserve">. </w:t>
      </w:r>
      <w:r>
        <w:rPr>
          <w:rFonts w:ascii="Arial" w:cs="Arial" w:eastAsia="Arial" w:hAnsi="Arial"/>
          <w:sz w:val="20"/>
          <w:szCs w:val="20"/>
          <w:color w:val="auto"/>
        </w:rPr>
        <w:t>You hereby acknowledge receipt of or the right to receive a document providing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information required by Rule 428(b)(1) promulgated under the Securities Act, which includes the Prospectus. In addition, you acknowledge receipt of the Company’s Trading Policy.</w:t>
      </w:r>
    </w:p>
    <w:p>
      <w:pPr>
        <w:spacing w:after="0" w:line="217" w:lineRule="exact"/>
        <w:rPr>
          <w:rFonts w:ascii="Arial" w:cs="Arial" w:eastAsia="Arial" w:hAnsi="Arial"/>
          <w:sz w:val="20"/>
          <w:szCs w:val="20"/>
          <w:b w:val="1"/>
          <w:bCs w:val="1"/>
          <w:color w:val="auto"/>
        </w:rPr>
      </w:pPr>
    </w:p>
    <w:p>
      <w:pPr>
        <w:ind w:firstLine="797"/>
        <w:spacing w:after="0" w:line="308" w:lineRule="auto"/>
        <w:tabs>
          <w:tab w:leader="none" w:pos="1397"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Q</w:t>
      </w:r>
      <w:r>
        <w:rPr>
          <w:rFonts w:ascii="Arial" w:cs="Arial" w:eastAsia="Arial" w:hAnsi="Arial"/>
          <w:sz w:val="15"/>
          <w:szCs w:val="15"/>
          <w:b w:val="1"/>
          <w:bCs w:val="1"/>
          <w:color w:val="auto"/>
        </w:rPr>
        <w:t>UESTIONS</w:t>
      </w:r>
      <w:r>
        <w:rPr>
          <w:rFonts w:ascii="Arial" w:cs="Arial" w:eastAsia="Arial" w:hAnsi="Arial"/>
          <w:sz w:val="19"/>
          <w:szCs w:val="19"/>
          <w:b w:val="1"/>
          <w:bCs w:val="1"/>
          <w:color w:val="auto"/>
        </w:rPr>
        <w:t xml:space="preserve">. </w:t>
      </w:r>
      <w:r>
        <w:rPr>
          <w:rFonts w:ascii="Arial" w:cs="Arial" w:eastAsia="Arial" w:hAnsi="Arial"/>
          <w:sz w:val="19"/>
          <w:szCs w:val="19"/>
          <w:color w:val="auto"/>
        </w:rPr>
        <w:t>If you have questions regarding these or any other terms and conditions applicable to your RSU</w:t>
      </w:r>
      <w:r>
        <w:rPr>
          <w:rFonts w:ascii="Arial" w:cs="Arial" w:eastAsia="Arial" w:hAnsi="Arial"/>
          <w:sz w:val="19"/>
          <w:szCs w:val="19"/>
          <w:b w:val="1"/>
          <w:bCs w:val="1"/>
          <w:color w:val="auto"/>
        </w:rPr>
        <w:t xml:space="preserve"> </w:t>
      </w:r>
      <w:r>
        <w:rPr>
          <w:rFonts w:ascii="Arial" w:cs="Arial" w:eastAsia="Arial" w:hAnsi="Arial"/>
          <w:sz w:val="19"/>
          <w:szCs w:val="19"/>
          <w:color w:val="auto"/>
        </w:rPr>
        <w:t>Award, including a summary of the 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306070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40"/>
          </w:cols>
          <w:pgMar w:left="1200" w:top="366" w:right="459" w:bottom="1440" w:gutter="0" w:footer="0" w:header="0"/>
        </w:sectPr>
      </w:pPr>
    </w:p>
    <w:bookmarkStart w:id="88" w:name="page89"/>
    <w:bookmarkEnd w:id="88"/>
    <w:p>
      <w:pPr>
        <w:jc w:val="center"/>
        <w:spacing w:after="0"/>
        <w:rPr>
          <w:sz w:val="20"/>
          <w:szCs w:val="20"/>
          <w:color w:val="auto"/>
        </w:rPr>
      </w:pPr>
      <w:r>
        <w:rPr>
          <w:rFonts w:ascii="Arial" w:cs="Arial" w:eastAsia="Arial" w:hAnsi="Arial"/>
          <w:sz w:val="20"/>
          <w:szCs w:val="20"/>
          <w:b w:val="1"/>
          <w:bCs w:val="1"/>
          <w:color w:val="auto"/>
        </w:rPr>
        <w:t>APPENDIX TO THE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CYTEK BIOSCIENCES,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2021 EQUITY INCENTIVE PLAN GLOBAL RSU AWARD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w:t>
      </w:r>
    </w:p>
    <w:p>
      <w:pPr>
        <w:spacing w:after="0" w:line="303" w:lineRule="exact"/>
        <w:rPr>
          <w:sz w:val="20"/>
          <w:szCs w:val="20"/>
          <w:color w:val="auto"/>
        </w:rPr>
      </w:pPr>
    </w:p>
    <w:p>
      <w:pPr>
        <w:ind w:right="160"/>
        <w:spacing w:after="0" w:line="288" w:lineRule="auto"/>
        <w:rPr>
          <w:sz w:val="20"/>
          <w:szCs w:val="20"/>
          <w:color w:val="auto"/>
        </w:rPr>
      </w:pPr>
      <w:r>
        <w:rPr>
          <w:rFonts w:ascii="Arial" w:cs="Arial" w:eastAsia="Arial" w:hAnsi="Arial"/>
          <w:sz w:val="20"/>
          <w:szCs w:val="20"/>
          <w:color w:val="auto"/>
        </w:rPr>
        <w:t>Capitalized terms used but not defined in this Appendix have the meanings set forth in the Plan, the Grant Notice and/or the Global RSU Award Agreement.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Appendix includes additional terms and conditions that govern the RSU Award granted to you under the Plan if you work or reside outside the U.S. and/or in one of the countries listed below. If you are a citizen or resident of a country other than the one in which you are currently working and/or residing, transfer employment and/or residency to another country after the date of grant, are a consultant, change employment status to a consultant position, or are considered a resident of another country for local law purposes, the Company shall, in its discretion, determine the extent to which the additional terms and conditions contained herein shall be applicable to you. References to your Employer shall include any entity that engages your services.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83"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This Appendix also includes information regarding exchange controls and certain other issues of which you should be aware with respect to your participation in the Plan. The information is provided solely for your convenience and is based on the securities, exchange control and other laws in effect in the respective countries as of _________ 2021. Such laws are often complex and change frequently. As a result,</w:t>
      </w:r>
    </w:p>
    <w:p>
      <w:pPr>
        <w:spacing w:after="0" w:line="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Company strongly recommends that you not rely on the information noted herein as the only source of information relating to the consequences of your participation in the Plan because the information may be out of date by the time you vest in the RSU Award or sell any shares of Common Stock acquired upon settlement of the vested Restricted Stock Units.</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 addition, the information contained in this Appendix is general in nature and may not apply to your particular situation, and the Company is not in a position to assure you of any particular result. Accordingly, you should seek appropriate professional advice as to how the applicable laws in your country may apply to your situation.</w:t>
      </w:r>
    </w:p>
    <w:p>
      <w:pPr>
        <w:spacing w:after="0" w:line="24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Finally, if you are a citizen or resident of a country other than the one in which you are currently residing and/or working, transfer to another country after the date of grant, or are considered a resident of another country for local law purposes, the notifications contained herein may not be applicable to you in the same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184785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427" w:right="4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Wenbin Jiang, Ph.D., certify that:</w:t>
      </w:r>
    </w:p>
    <w:p>
      <w:pPr>
        <w:spacing w:after="0" w:line="171"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spacing w:after="0" w:line="171" w:lineRule="exact"/>
        <w:rPr>
          <w:rFonts w:ascii="Arial" w:cs="Arial" w:eastAsia="Arial" w:hAnsi="Arial"/>
          <w:sz w:val="18"/>
          <w:szCs w:val="18"/>
          <w:color w:val="auto"/>
        </w:rPr>
      </w:pPr>
    </w:p>
    <w:p>
      <w:pPr>
        <w:ind w:right="260" w:firstLine="8"/>
        <w:spacing w:after="0" w:line="359" w:lineRule="auto"/>
        <w:tabs>
          <w:tab w:leader="none" w:pos="1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Arial" w:cs="Arial" w:eastAsia="Arial" w:hAnsi="Arial"/>
          <w:sz w:val="16"/>
          <w:szCs w:val="16"/>
          <w:color w:val="auto"/>
        </w:rPr>
      </w:pPr>
    </w:p>
    <w:p>
      <w:pPr>
        <w:ind w:right="540" w:firstLine="8"/>
        <w:spacing w:after="0" w:line="324" w:lineRule="auto"/>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right="20" w:firstLine="8"/>
        <w:spacing w:after="0" w:line="293" w:lineRule="auto"/>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700" w:right="40" w:hanging="318"/>
        <w:spacing w:after="0" w:line="279" w:lineRule="auto"/>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480" w:firstLine="8"/>
        <w:spacing w:after="0" w:line="324" w:lineRule="auto"/>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ind w:left="20"/>
              <w:spacing w:after="0"/>
              <w:rPr>
                <w:sz w:val="20"/>
                <w:szCs w:val="20"/>
                <w:color w:val="auto"/>
              </w:rPr>
            </w:pPr>
            <w:r>
              <w:rPr>
                <w:rFonts w:ascii="Arial" w:cs="Arial" w:eastAsia="Arial" w:hAnsi="Arial"/>
                <w:sz w:val="18"/>
                <w:szCs w:val="18"/>
                <w:color w:val="auto"/>
              </w:rPr>
              <w:t>Date: November 12, 2021</w:t>
            </w:r>
          </w:p>
        </w:tc>
        <w:tc>
          <w:tcPr>
            <w:tcW w:w="7760" w:type="dxa"/>
            <w:vAlign w:val="bottom"/>
            <w:gridSpan w:val="3"/>
          </w:tcPr>
          <w:p>
            <w:pPr>
              <w:ind w:left="1580"/>
              <w:spacing w:after="0"/>
              <w:rPr>
                <w:sz w:val="20"/>
                <w:szCs w:val="20"/>
                <w:color w:val="auto"/>
              </w:rPr>
            </w:pPr>
            <w:r>
              <w:rPr>
                <w:rFonts w:ascii="Arial" w:cs="Arial" w:eastAsia="Arial" w:hAnsi="Arial"/>
                <w:sz w:val="18"/>
                <w:szCs w:val="18"/>
                <w:color w:val="auto"/>
              </w:rPr>
              <w:t>By: /s/ Wenbin Jiang, Ph.D.</w:t>
            </w:r>
          </w:p>
        </w:tc>
      </w:tr>
      <w:tr>
        <w:trPr>
          <w:trHeight w:val="20"/>
        </w:trPr>
        <w:tc>
          <w:tcPr>
            <w:tcW w:w="34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49"/>
        </w:trPr>
        <w:tc>
          <w:tcPr>
            <w:tcW w:w="3480" w:type="dxa"/>
            <w:vAlign w:val="bottom"/>
          </w:tcPr>
          <w:p>
            <w:pPr>
              <w:spacing w:after="0"/>
              <w:rPr>
                <w:sz w:val="21"/>
                <w:szCs w:val="21"/>
                <w:color w:val="auto"/>
              </w:rPr>
            </w:pPr>
          </w:p>
        </w:tc>
        <w:tc>
          <w:tcPr>
            <w:tcW w:w="7760" w:type="dxa"/>
            <w:vAlign w:val="bottom"/>
            <w:gridSpan w:val="3"/>
          </w:tcPr>
          <w:p>
            <w:pPr>
              <w:ind w:left="1900"/>
              <w:spacing w:after="0"/>
              <w:rPr>
                <w:sz w:val="20"/>
                <w:szCs w:val="20"/>
                <w:color w:val="auto"/>
              </w:rPr>
            </w:pPr>
            <w:r>
              <w:rPr>
                <w:rFonts w:ascii="Arial" w:cs="Arial" w:eastAsia="Arial" w:hAnsi="Arial"/>
                <w:sz w:val="18"/>
                <w:szCs w:val="18"/>
                <w:color w:val="auto"/>
              </w:rPr>
              <w:t>Wenbin Jiang, Ph.D.</w:t>
            </w:r>
          </w:p>
        </w:tc>
      </w:tr>
      <w:tr>
        <w:trPr>
          <w:trHeight w:val="230"/>
        </w:trPr>
        <w:tc>
          <w:tcPr>
            <w:tcW w:w="3480" w:type="dxa"/>
            <w:vAlign w:val="bottom"/>
          </w:tcPr>
          <w:p>
            <w:pPr>
              <w:spacing w:after="0"/>
              <w:rPr>
                <w:sz w:val="19"/>
                <w:szCs w:val="19"/>
                <w:color w:val="auto"/>
              </w:rPr>
            </w:pPr>
          </w:p>
        </w:tc>
        <w:tc>
          <w:tcPr>
            <w:tcW w:w="7760" w:type="dxa"/>
            <w:vAlign w:val="bottom"/>
            <w:gridSpan w:val="3"/>
          </w:tcPr>
          <w:p>
            <w:pPr>
              <w:ind w:left="19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480" w:type="dxa"/>
            <w:vAlign w:val="bottom"/>
          </w:tcPr>
          <w:p>
            <w:pPr>
              <w:spacing w:after="0"/>
              <w:rPr>
                <w:sz w:val="20"/>
                <w:szCs w:val="20"/>
                <w:color w:val="auto"/>
              </w:rPr>
            </w:pPr>
          </w:p>
        </w:tc>
        <w:tc>
          <w:tcPr>
            <w:tcW w:w="7760" w:type="dxa"/>
            <w:vAlign w:val="bottom"/>
            <w:gridSpan w:val="3"/>
          </w:tcPr>
          <w:p>
            <w:pPr>
              <w:ind w:left="1900"/>
              <w:spacing w:after="0"/>
              <w:rPr>
                <w:sz w:val="20"/>
                <w:szCs w:val="20"/>
                <w:color w:val="auto"/>
              </w:rPr>
            </w:pPr>
            <w:r>
              <w:rPr>
                <w:rFonts w:ascii="Arial" w:cs="Arial" w:eastAsia="Arial" w:hAnsi="Arial"/>
                <w:sz w:val="18"/>
                <w:szCs w:val="18"/>
                <w:color w:val="auto"/>
              </w:rPr>
              <w:t>(Principal Executive Officer)</w:t>
            </w:r>
          </w:p>
        </w:tc>
      </w:tr>
      <w:tr>
        <w:trPr>
          <w:trHeight w:val="574"/>
        </w:trPr>
        <w:tc>
          <w:tcPr>
            <w:tcW w:w="34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Patrik Jeanmonod, certify that:</w:t>
      </w:r>
    </w:p>
    <w:p>
      <w:pPr>
        <w:spacing w:after="0" w:line="171" w:lineRule="exact"/>
        <w:rPr>
          <w:sz w:val="20"/>
          <w:szCs w:val="20"/>
          <w:color w:val="auto"/>
        </w:rPr>
      </w:pPr>
    </w:p>
    <w:p>
      <w:pPr>
        <w:ind w:left="180" w:hanging="172"/>
        <w:spacing w:after="0"/>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spacing w:after="0" w:line="171" w:lineRule="exact"/>
        <w:rPr>
          <w:rFonts w:ascii="Arial" w:cs="Arial" w:eastAsia="Arial" w:hAnsi="Arial"/>
          <w:sz w:val="18"/>
          <w:szCs w:val="18"/>
          <w:color w:val="auto"/>
        </w:rPr>
      </w:pPr>
    </w:p>
    <w:p>
      <w:pPr>
        <w:ind w:right="260" w:firstLine="8"/>
        <w:spacing w:after="0" w:line="359" w:lineRule="auto"/>
        <w:tabs>
          <w:tab w:leader="none" w:pos="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3" w:lineRule="exact"/>
        <w:rPr>
          <w:rFonts w:ascii="Arial" w:cs="Arial" w:eastAsia="Arial" w:hAnsi="Arial"/>
          <w:sz w:val="16"/>
          <w:szCs w:val="16"/>
          <w:color w:val="auto"/>
        </w:rPr>
      </w:pPr>
    </w:p>
    <w:p>
      <w:pPr>
        <w:ind w:right="540" w:firstLine="8"/>
        <w:spacing w:after="0" w:line="324" w:lineRule="auto"/>
        <w:tabs>
          <w:tab w:leader="none" w:pos="1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ind w:right="20" w:firstLine="8"/>
        <w:spacing w:after="0" w:line="293" w:lineRule="auto"/>
        <w:tabs>
          <w:tab w:leader="none" w:pos="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02"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700" w:right="40" w:hanging="318"/>
        <w:spacing w:after="0" w:line="279"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right="480" w:firstLine="8"/>
        <w:spacing w:after="0" w:line="324" w:lineRule="auto"/>
        <w:tabs>
          <w:tab w:leader="none" w:pos="1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ind w:left="20"/>
              <w:spacing w:after="0"/>
              <w:rPr>
                <w:sz w:val="20"/>
                <w:szCs w:val="20"/>
                <w:color w:val="auto"/>
              </w:rPr>
            </w:pPr>
            <w:r>
              <w:rPr>
                <w:rFonts w:ascii="Arial" w:cs="Arial" w:eastAsia="Arial" w:hAnsi="Arial"/>
                <w:sz w:val="18"/>
                <w:szCs w:val="18"/>
                <w:color w:val="auto"/>
              </w:rPr>
              <w:t>Date: November 12, 2021</w:t>
            </w:r>
          </w:p>
        </w:tc>
        <w:tc>
          <w:tcPr>
            <w:tcW w:w="1860" w:type="dxa"/>
            <w:vAlign w:val="bottom"/>
          </w:tcPr>
          <w:p>
            <w:pPr>
              <w:ind w:left="144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/s/ Patrik Jeanmonod</w:t>
            </w:r>
          </w:p>
        </w:tc>
      </w:tr>
      <w:tr>
        <w:trPr>
          <w:trHeight w:val="20"/>
        </w:trPr>
        <w:tc>
          <w:tcPr>
            <w:tcW w:w="3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r>
      <w:tr>
        <w:trPr>
          <w:trHeight w:val="249"/>
        </w:trPr>
        <w:tc>
          <w:tcPr>
            <w:tcW w:w="33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6040" w:type="dxa"/>
            <w:vAlign w:val="bottom"/>
            <w:gridSpan w:val="3"/>
          </w:tcPr>
          <w:p>
            <w:pPr>
              <w:ind w:left="180"/>
              <w:spacing w:after="0"/>
              <w:rPr>
                <w:sz w:val="20"/>
                <w:szCs w:val="20"/>
                <w:color w:val="auto"/>
              </w:rPr>
            </w:pPr>
            <w:r>
              <w:rPr>
                <w:rFonts w:ascii="Arial" w:cs="Arial" w:eastAsia="Arial" w:hAnsi="Arial"/>
                <w:sz w:val="18"/>
                <w:szCs w:val="18"/>
                <w:color w:val="auto"/>
              </w:rPr>
              <w:t>Patrik Jeanmonod</w:t>
            </w:r>
          </w:p>
        </w:tc>
      </w:tr>
      <w:tr>
        <w:trPr>
          <w:trHeight w:val="229"/>
        </w:trPr>
        <w:tc>
          <w:tcPr>
            <w:tcW w:w="3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60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r>
      <w:tr>
        <w:trPr>
          <w:trHeight w:val="230"/>
        </w:trPr>
        <w:tc>
          <w:tcPr>
            <w:tcW w:w="3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40" w:type="dxa"/>
            <w:vAlign w:val="bottom"/>
            <w:gridSpan w:val="3"/>
          </w:tcPr>
          <w:p>
            <w:pPr>
              <w:ind w:left="180"/>
              <w:spacing w:after="0"/>
              <w:rPr>
                <w:sz w:val="20"/>
                <w:szCs w:val="20"/>
                <w:color w:val="auto"/>
              </w:rPr>
            </w:pPr>
            <w:r>
              <w:rPr>
                <w:rFonts w:ascii="Arial" w:cs="Arial" w:eastAsia="Arial" w:hAnsi="Arial"/>
                <w:sz w:val="18"/>
                <w:szCs w:val="18"/>
                <w:color w:val="auto"/>
              </w:rPr>
              <w:t>(Principal Financial Officer)</w:t>
            </w:r>
          </w:p>
        </w:tc>
      </w:tr>
      <w:tr>
        <w:trPr>
          <w:trHeight w:val="574"/>
        </w:trPr>
        <w:tc>
          <w:tcPr>
            <w:tcW w:w="33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340" w:lineRule="exact"/>
        <w:rPr>
          <w:sz w:val="20"/>
          <w:szCs w:val="20"/>
          <w:color w:val="auto"/>
        </w:rPr>
      </w:pPr>
    </w:p>
    <w:p>
      <w:pPr>
        <w:ind w:firstLine="749"/>
        <w:spacing w:after="0" w:line="279"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September 30, 2021 as filed with the Securities and Exchange Commission on the date hereof (the “Report”), the undersigned, Wenbin Jiang, Ph.D., President and Chief Executive Officer of the Company, hereby certifies, pursuant to 18 U.S.C. Section 1350, that to his knowledge:</w:t>
      </w:r>
    </w:p>
    <w:p>
      <w:pPr>
        <w:spacing w:after="0" w:line="115" w:lineRule="exact"/>
        <w:rPr>
          <w:sz w:val="20"/>
          <w:szCs w:val="20"/>
          <w:color w:val="auto"/>
        </w:rPr>
      </w:pPr>
    </w:p>
    <w:p>
      <w:pPr>
        <w:ind w:left="700" w:hanging="318"/>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ind w:left="20"/>
              <w:spacing w:after="0"/>
              <w:rPr>
                <w:sz w:val="20"/>
                <w:szCs w:val="20"/>
                <w:color w:val="auto"/>
              </w:rPr>
            </w:pPr>
            <w:r>
              <w:rPr>
                <w:rFonts w:ascii="Arial" w:cs="Arial" w:eastAsia="Arial" w:hAnsi="Arial"/>
                <w:sz w:val="18"/>
                <w:szCs w:val="18"/>
                <w:color w:val="auto"/>
              </w:rPr>
              <w:t>Date: November 12, 2021</w:t>
            </w:r>
          </w:p>
        </w:tc>
        <w:tc>
          <w:tcPr>
            <w:tcW w:w="1680" w:type="dxa"/>
            <w:vAlign w:val="bottom"/>
          </w:tcPr>
          <w:p>
            <w:pPr>
              <w:ind w:left="1260"/>
              <w:spacing w:after="0"/>
              <w:rPr>
                <w:sz w:val="20"/>
                <w:szCs w:val="20"/>
                <w:color w:val="auto"/>
              </w:rPr>
            </w:pPr>
            <w:r>
              <w:rPr>
                <w:rFonts w:ascii="Arial" w:cs="Arial" w:eastAsia="Arial" w:hAnsi="Arial"/>
                <w:sz w:val="18"/>
                <w:szCs w:val="18"/>
                <w:color w:val="auto"/>
              </w:rPr>
              <w:t>By:</w:t>
            </w:r>
          </w:p>
        </w:tc>
        <w:tc>
          <w:tcPr>
            <w:tcW w:w="220" w:type="dxa"/>
            <w:vAlign w:val="bottom"/>
          </w:tcPr>
          <w:p>
            <w:pPr>
              <w:spacing w:after="0"/>
              <w:rPr>
                <w:sz w:val="17"/>
                <w:szCs w:val="17"/>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Wenbin Jiang, Ph.D.</w:t>
            </w:r>
          </w:p>
        </w:tc>
        <w:tc>
          <w:tcPr>
            <w:tcW w:w="4480" w:type="dxa"/>
            <w:vAlign w:val="bottom"/>
          </w:tcPr>
          <w:p>
            <w:pPr>
              <w:spacing w:after="0"/>
              <w:rPr>
                <w:sz w:val="17"/>
                <w:szCs w:val="17"/>
                <w:color w:val="auto"/>
              </w:rPr>
            </w:pPr>
          </w:p>
        </w:tc>
      </w:tr>
      <w:tr>
        <w:trPr>
          <w:trHeight w:val="249"/>
        </w:trPr>
        <w:tc>
          <w:tcPr>
            <w:tcW w:w="3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Wenbin Jiang, Ph.D.</w:t>
            </w:r>
          </w:p>
        </w:tc>
      </w:tr>
      <w:tr>
        <w:trPr>
          <w:trHeight w:val="229"/>
        </w:trPr>
        <w:tc>
          <w:tcPr>
            <w:tcW w:w="3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6400" w:type="dxa"/>
            <w:vAlign w:val="bottom"/>
            <w:gridSpan w:val="3"/>
          </w:tcPr>
          <w:p>
            <w:pPr>
              <w:ind w:left="180"/>
              <w:spacing w:after="0"/>
              <w:rPr>
                <w:sz w:val="20"/>
                <w:szCs w:val="20"/>
                <w:color w:val="auto"/>
              </w:rPr>
            </w:pPr>
            <w:r>
              <w:rPr>
                <w:rFonts w:ascii="Arial" w:cs="Arial" w:eastAsia="Arial" w:hAnsi="Arial"/>
                <w:sz w:val="18"/>
                <w:szCs w:val="18"/>
                <w:color w:val="auto"/>
              </w:rPr>
              <w:t>(Principal Executive Officer)</w:t>
            </w:r>
          </w:p>
        </w:tc>
      </w:tr>
      <w:tr>
        <w:trPr>
          <w:trHeight w:val="574"/>
        </w:trPr>
        <w:tc>
          <w:tcPr>
            <w:tcW w:w="3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86" w:lineRule="exact"/>
        <w:rPr>
          <w:sz w:val="20"/>
          <w:szCs w:val="20"/>
          <w:color w:val="auto"/>
        </w:rPr>
      </w:pPr>
    </w:p>
    <w:p>
      <w:pPr>
        <w:ind w:right="120" w:firstLine="749"/>
        <w:spacing w:after="0" w:line="279"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September 30, 2021 as filed with the Securities and Exchange Commission on the date hereof (the “Report”), the undersigned, Patrik Jeanmonod, Chief Financial Officer of the Company, hereby certifies, pursuant to 18 U.S.C. Section 1350, that to his knowledge:</w:t>
      </w:r>
    </w:p>
    <w:p>
      <w:pPr>
        <w:spacing w:after="0" w:line="115" w:lineRule="exact"/>
        <w:rPr>
          <w:sz w:val="20"/>
          <w:szCs w:val="20"/>
          <w:color w:val="auto"/>
        </w:rPr>
      </w:pPr>
    </w:p>
    <w:p>
      <w:pPr>
        <w:ind w:left="700" w:hanging="318"/>
        <w:spacing w:after="0"/>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700" w:hanging="318"/>
        <w:spacing w:after="0"/>
        <w:tabs>
          <w:tab w:leader="none" w:pos="7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ind w:left="20"/>
              <w:spacing w:after="0"/>
              <w:rPr>
                <w:sz w:val="20"/>
                <w:szCs w:val="20"/>
                <w:color w:val="auto"/>
              </w:rPr>
            </w:pPr>
            <w:r>
              <w:rPr>
                <w:rFonts w:ascii="Arial" w:cs="Arial" w:eastAsia="Arial" w:hAnsi="Arial"/>
                <w:sz w:val="18"/>
                <w:szCs w:val="18"/>
                <w:color w:val="auto"/>
              </w:rPr>
              <w:t>Date:</w:t>
            </w:r>
          </w:p>
        </w:tc>
        <w:tc>
          <w:tcPr>
            <w:tcW w:w="2380" w:type="dxa"/>
            <w:vAlign w:val="bottom"/>
          </w:tcPr>
          <w:p>
            <w:pPr>
              <w:ind w:left="160"/>
              <w:spacing w:after="0"/>
              <w:rPr>
                <w:sz w:val="20"/>
                <w:szCs w:val="20"/>
                <w:color w:val="auto"/>
              </w:rPr>
            </w:pPr>
            <w:r>
              <w:rPr>
                <w:rFonts w:ascii="Arial" w:cs="Arial" w:eastAsia="Arial" w:hAnsi="Arial"/>
                <w:sz w:val="18"/>
                <w:szCs w:val="18"/>
                <w:color w:val="auto"/>
              </w:rPr>
              <w:t>November 12, 2021</w:t>
            </w:r>
          </w:p>
        </w:tc>
        <w:tc>
          <w:tcPr>
            <w:tcW w:w="1160" w:type="dxa"/>
            <w:vAlign w:val="bottom"/>
          </w:tcPr>
          <w:p>
            <w:pPr>
              <w:ind w:left="76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17"/>
                <w:szCs w:val="17"/>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/s/ Patrik Jeanmonod</w:t>
            </w:r>
          </w:p>
        </w:tc>
      </w:tr>
      <w:tr>
        <w:trPr>
          <w:trHeight w:val="20"/>
        </w:trPr>
        <w:tc>
          <w:tcPr>
            <w:tcW w:w="5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49"/>
        </w:trPr>
        <w:tc>
          <w:tcPr>
            <w:tcW w:w="5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140" w:type="dxa"/>
            <w:vAlign w:val="bottom"/>
            <w:gridSpan w:val="3"/>
          </w:tcPr>
          <w:p>
            <w:pPr>
              <w:ind w:left="140"/>
              <w:spacing w:after="0"/>
              <w:rPr>
                <w:sz w:val="20"/>
                <w:szCs w:val="20"/>
                <w:color w:val="auto"/>
              </w:rPr>
            </w:pPr>
            <w:r>
              <w:rPr>
                <w:rFonts w:ascii="Arial" w:cs="Arial" w:eastAsia="Arial" w:hAnsi="Arial"/>
                <w:sz w:val="18"/>
                <w:szCs w:val="18"/>
                <w:color w:val="auto"/>
              </w:rPr>
              <w:t>Patrik Jeanmonod</w:t>
            </w:r>
          </w:p>
        </w:tc>
      </w:tr>
      <w:tr>
        <w:trPr>
          <w:trHeight w:val="229"/>
        </w:trPr>
        <w:tc>
          <w:tcPr>
            <w:tcW w:w="5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14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140" w:type="dxa"/>
            <w:vAlign w:val="bottom"/>
            <w:gridSpan w:val="3"/>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574"/>
        </w:trPr>
        <w:tc>
          <w:tcPr>
            <w:tcW w:w="5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decimal"/>
      <w:start w:val="2"/>
    </w:lvl>
  </w:abstractNum>
  <w:abstractNum w:abstractNumId="4">
    <w:nsid w:val="2CD89A32"/>
    <w:multiLevelType w:val="hybridMultilevel"/>
    <w:lvl w:ilvl="0">
      <w:lvlJc w:val="left"/>
      <w:lvlText w:val="(%1)"/>
      <w:numFmt w:val="lowerRoman"/>
      <w:start w:val="1"/>
    </w:lvl>
  </w:abstractNum>
  <w:abstractNum w:abstractNumId="5">
    <w:nsid w:val="57E4CCAF"/>
    <w:multiLevelType w:val="hybridMultilevel"/>
    <w:lvl w:ilvl="0">
      <w:lvlJc w:val="left"/>
      <w:lvlText w:val="%1."/>
      <w:numFmt w:val="decimal"/>
      <w:start w:val="3"/>
    </w:lvl>
  </w:abstractNum>
  <w:abstractNum w:abstractNumId="6">
    <w:nsid w:val="7A6D8D3C"/>
    <w:multiLevelType w:val="hybridMultilevel"/>
    <w:lvl w:ilvl="0">
      <w:lvlJc w:val="left"/>
      <w:lvlText w:val="%1."/>
      <w:numFmt w:val="decimal"/>
      <w:start w:val="4"/>
    </w:lvl>
  </w:abstractNum>
  <w:abstractNum w:abstractNumId="7">
    <w:nsid w:val="4B588F54"/>
    <w:multiLevelType w:val="hybridMultilevel"/>
    <w:lvl w:ilvl="0">
      <w:lvlJc w:val="left"/>
      <w:lvlText w:val="%1."/>
      <w:numFmt w:val="decimal"/>
      <w:start w:val="6"/>
    </w:lvl>
  </w:abstractNum>
  <w:abstractNum w:abstractNumId="8">
    <w:nsid w:val="542289EC"/>
    <w:multiLevelType w:val="hybridMultilevel"/>
    <w:lvl w:ilvl="0">
      <w:lvlJc w:val="left"/>
      <w:lvlText w:val="%1."/>
      <w:numFmt w:val="decimal"/>
      <w:start w:val="7"/>
    </w:lvl>
  </w:abstractNum>
  <w:abstractNum w:abstractNumId="9">
    <w:nsid w:val="6DE91B18"/>
    <w:multiLevelType w:val="hybridMultilevel"/>
    <w:lvl w:ilvl="0">
      <w:lvlJc w:val="left"/>
      <w:lvlText w:val="%1."/>
      <w:numFmt w:val="decimal"/>
      <w:start w:val="8"/>
    </w:lvl>
  </w:abstractNum>
  <w:abstractNum w:abstractNumId="10">
    <w:nsid w:val="38437FDB"/>
    <w:multiLevelType w:val="hybridMultilevel"/>
    <w:lvl w:ilvl="0">
      <w:lvlJc w:val="left"/>
      <w:lvlText w:val="%1."/>
      <w:numFmt w:val="decimal"/>
      <w:start w:val="9"/>
    </w:lvl>
  </w:abstractNum>
  <w:abstractNum w:abstractNumId="11">
    <w:nsid w:val="7644A45C"/>
    <w:multiLevelType w:val="hybridMultilevel"/>
    <w:lvl w:ilvl="0">
      <w:lvlJc w:val="left"/>
      <w:lvlText w:val="%1."/>
      <w:numFmt w:val="decimal"/>
      <w:start w:val="10"/>
    </w:lvl>
  </w:abstractNum>
  <w:abstractNum w:abstractNumId="12">
    <w:nsid w:val="32FFF902"/>
    <w:multiLevelType w:val="hybridMultilevel"/>
    <w:lvl w:ilvl="0">
      <w:lvlJc w:val="left"/>
      <w:lvlText w:val="%1."/>
      <w:numFmt w:val="decimal"/>
      <w:start w:val="11"/>
    </w:lvl>
  </w:abstractNum>
  <w:abstractNum w:abstractNumId="13">
    <w:nsid w:val="684A481A"/>
    <w:multiLevelType w:val="hybridMultilevel"/>
    <w:lvl w:ilvl="0">
      <w:lvlJc w:val="left"/>
      <w:lvlText w:val="%1."/>
      <w:numFmt w:val="decimal"/>
      <w:start w:val="12"/>
    </w:lvl>
  </w:abstractNum>
  <w:abstractNum w:abstractNumId="14">
    <w:nsid w:val="579478FE"/>
    <w:multiLevelType w:val="hybridMultilevel"/>
    <w:lvl w:ilvl="0">
      <w:lvlJc w:val="left"/>
      <w:lvlText w:val="%1."/>
      <w:numFmt w:val="decimal"/>
      <w:start w:val="14"/>
    </w:lvl>
  </w:abstractNum>
  <w:abstractNum w:abstractNumId="15">
    <w:nsid w:val="749ABB43"/>
    <w:multiLevelType w:val="hybridMultilevel"/>
    <w:lvl w:ilvl="0">
      <w:lvlJc w:val="left"/>
      <w:lvlText w:val="%1."/>
      <w:numFmt w:val="decimal"/>
      <w:start w:val="15"/>
    </w:lvl>
  </w:abstractNum>
  <w:abstractNum w:abstractNumId="16">
    <w:nsid w:val="3DC240FB"/>
    <w:multiLevelType w:val="hybridMultilevel"/>
    <w:lvl w:ilvl="0">
      <w:lvlJc w:val="left"/>
      <w:lvlText w:val="%1."/>
      <w:numFmt w:val="decimal"/>
      <w:start w:val="16"/>
    </w:lvl>
  </w:abstractNum>
  <w:abstractNum w:abstractNumId="17">
    <w:nsid w:val="1BA026FA"/>
    <w:multiLevelType w:val="hybridMultilevel"/>
    <w:lvl w:ilvl="0">
      <w:lvlJc w:val="left"/>
      <w:lvlText w:val="%1."/>
      <w:numFmt w:val="decimal"/>
      <w:start w:val="17"/>
    </w:lvl>
  </w:abstractNum>
  <w:abstractNum w:abstractNumId="18">
    <w:nsid w:val="79A1DEAA"/>
    <w:multiLevelType w:val="hybridMultilevel"/>
    <w:lvl w:ilvl="0">
      <w:lvlJc w:val="left"/>
      <w:lvlText w:val="%1."/>
      <w:numFmt w:val="decimal"/>
      <w:start w:val="18"/>
    </w:lvl>
  </w:abstractNum>
  <w:abstractNum w:abstractNumId="19">
    <w:nsid w:val="75C6C33A"/>
    <w:multiLevelType w:val="hybridMultilevel"/>
    <w:lvl w:ilvl="0">
      <w:lvlJc w:val="left"/>
      <w:lvlText w:val="%1."/>
      <w:numFmt w:val="decimal"/>
      <w:start w:val="19"/>
    </w:lvl>
  </w:abstractNum>
  <w:abstractNum w:abstractNumId="20">
    <w:nsid w:val="12E685FB"/>
    <w:multiLevelType w:val="hybridMultilevel"/>
    <w:lvl w:ilvl="0">
      <w:lvlJc w:val="left"/>
      <w:lvlText w:val="%1."/>
      <w:numFmt w:val="decimal"/>
      <w:start w:val="20"/>
    </w:lvl>
  </w:abstractNum>
  <w:abstractNum w:abstractNumId="21">
    <w:nsid w:val="70C6A529"/>
    <w:multiLevelType w:val="hybridMultilevel"/>
    <w:lvl w:ilvl="0">
      <w:lvlJc w:val="left"/>
      <w:lvlText w:val="%1."/>
      <w:numFmt w:val="decimal"/>
      <w:start w:val="2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1)"/>
      <w:numFmt w:val="decimal"/>
      <w:start w:val="1"/>
    </w:lvl>
  </w:abstractNum>
  <w:abstractNum w:abstractNumId="26">
    <w:nsid w:val="649BB77C"/>
    <w:multiLevelType w:val="hybridMultilevel"/>
    <w:lvl w:ilvl="0">
      <w:lvlJc w:val="left"/>
      <w:lvlText w:val="%1."/>
      <w:numFmt w:val="decimal"/>
      <w:start w:val="1"/>
    </w:lvl>
  </w:abstractNum>
  <w:abstractNum w:abstractNumId="27">
    <w:nsid w:val="275AC794"/>
    <w:multiLevelType w:val="hybridMultilevel"/>
    <w:lvl w:ilvl="0">
      <w:lvlJc w:val="left"/>
      <w:lvlText w:val="%1."/>
      <w:numFmt w:val="decimal"/>
      <w:start w:val="2"/>
    </w:lvl>
  </w:abstractNum>
  <w:abstractNum w:abstractNumId="28">
    <w:nsid w:val="39386575"/>
    <w:multiLevelType w:val="hybridMultilevel"/>
    <w:lvl w:ilvl="0">
      <w:lvlJc w:val="left"/>
      <w:lvlText w:val="(%1)"/>
      <w:numFmt w:val="lowerLetter"/>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1."/>
      <w:numFmt w:val="decimal"/>
      <w:start w:val="3"/>
    </w:lvl>
  </w:abstractNum>
  <w:abstractNum w:abstractNumId="31">
    <w:nsid w:val="235BA861"/>
    <w:multiLevelType w:val="hybridMultilevel"/>
    <w:lvl w:ilvl="0">
      <w:lvlJc w:val="left"/>
      <w:lvlText w:val="%1."/>
      <w:numFmt w:val="decimal"/>
      <w:start w:val="4"/>
    </w:lvl>
  </w:abstractNum>
  <w:abstractNum w:abstractNumId="32">
    <w:nsid w:val="47398C89"/>
    <w:multiLevelType w:val="hybridMultilevel"/>
    <w:lvl w:ilvl="0">
      <w:lvlJc w:val="left"/>
      <w:lvlText w:val="%1."/>
      <w:numFmt w:val="decimal"/>
      <w:start w:val="5"/>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decimal"/>
      <w:start w:val="6"/>
    </w:lvl>
  </w:abstractNum>
  <w:abstractNum w:abstractNumId="35">
    <w:nsid w:val="741226BB"/>
    <w:multiLevelType w:val="hybridMultilevel"/>
    <w:lvl w:ilvl="0">
      <w:lvlJc w:val="left"/>
      <w:lvlText w:val="%1."/>
      <w:numFmt w:val="decimal"/>
      <w:start w:val="7"/>
    </w:lvl>
  </w:abstractNum>
  <w:abstractNum w:abstractNumId="36">
    <w:nsid w:val="D34B6A8"/>
    <w:multiLevelType w:val="hybridMultilevel"/>
    <w:lvl w:ilvl="0">
      <w:lvlJc w:val="left"/>
      <w:lvlText w:val="%1."/>
      <w:numFmt w:val="decimal"/>
      <w:start w:val="8"/>
    </w:lvl>
  </w:abstractNum>
  <w:abstractNum w:abstractNumId="37">
    <w:nsid w:val="10233C99"/>
    <w:multiLevelType w:val="hybridMultilevel"/>
    <w:lvl w:ilvl="0">
      <w:lvlJc w:val="left"/>
      <w:lvlText w:val="(%1)"/>
      <w:numFmt w:val="lowerLetter"/>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lowerLetter"/>
      <w:start w:val="1"/>
    </w:lvl>
  </w:abstractNum>
  <w:abstractNum w:abstractNumId="41">
    <w:nsid w:val="77AE35EB"/>
    <w:multiLevelType w:val="hybridMultilevel"/>
    <w:lvl w:ilvl="0">
      <w:lvlJc w:val="left"/>
      <w:lvlText w:val="%1."/>
      <w:numFmt w:val="decimal"/>
      <w:start w:val="9"/>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1."/>
      <w:numFmt w:val="decimal"/>
      <w:start w:val="10"/>
    </w:lvl>
  </w:abstractNum>
  <w:abstractNum w:abstractNumId="44">
    <w:nsid w:val="5FF87E05"/>
    <w:multiLevelType w:val="hybridMultilevel"/>
    <w:lvl w:ilvl="0">
      <w:lvlJc w:val="left"/>
      <w:lvlText w:val="(%1)"/>
      <w:numFmt w:val="lowerRoman"/>
      <w:start w:val="4"/>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1."/>
      <w:numFmt w:val="decimal"/>
      <w:start w:val="11"/>
    </w:lvl>
  </w:abstractNum>
  <w:abstractNum w:abstractNumId="47">
    <w:nsid w:val="1DBABF00"/>
    <w:multiLevelType w:val="hybridMultilevel"/>
    <w:lvl w:ilvl="0">
      <w:lvlJc w:val="left"/>
      <w:lvlText w:val="%1."/>
      <w:numFmt w:val="decimal"/>
      <w:start w:val="12"/>
    </w:lvl>
  </w:abstractNum>
  <w:abstractNum w:abstractNumId="48">
    <w:nsid w:val="4AD084E9"/>
    <w:multiLevelType w:val="hybridMultilevel"/>
    <w:lvl w:ilvl="0">
      <w:lvlJc w:val="left"/>
      <w:lvlText w:val="%1."/>
      <w:numFmt w:val="decimal"/>
      <w:start w:val="14"/>
    </w:lvl>
  </w:abstractNum>
  <w:abstractNum w:abstractNumId="49">
    <w:nsid w:val="1F48EAA1"/>
    <w:multiLevelType w:val="hybridMultilevel"/>
    <w:lvl w:ilvl="0">
      <w:lvlJc w:val="left"/>
      <w:lvlText w:val="%1."/>
      <w:numFmt w:val="decimal"/>
      <w:start w:val="15"/>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1."/>
      <w:numFmt w:val="decimal"/>
      <w:start w:val="16"/>
    </w:lvl>
  </w:abstractNum>
  <w:abstractNum w:abstractNumId="52">
    <w:nsid w:val="100F8FCA"/>
    <w:multiLevelType w:val="hybridMultilevel"/>
    <w:lvl w:ilvl="0">
      <w:lvlJc w:val="left"/>
      <w:lvlText w:val="%1"/>
      <w:numFmt w:val="lowerLetter"/>
      <w:start w:val="1"/>
    </w:lvl>
    <w:lvl w:ilvl="1">
      <w:lvlJc w:val="left"/>
      <w:lvlText w:val="(%2)"/>
      <w:numFmt w:val="decimal"/>
      <w:start w:val="3"/>
    </w:lvl>
  </w:abstractNum>
  <w:abstractNum w:abstractNumId="53">
    <w:nsid w:val="6590700B"/>
    <w:multiLevelType w:val="hybridMultilevel"/>
    <w:lvl w:ilvl="0">
      <w:lvlJc w:val="left"/>
      <w:lvlText w:val="(%1)"/>
      <w:numFmt w:val="lowerLetter"/>
      <w:start w:val="1"/>
    </w:lvl>
    <w:lvl w:ilvl="1">
      <w:lvlJc w:val="left"/>
      <w:lvlText w:val="%2"/>
      <w:numFmt w:val="decimal"/>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1)"/>
      <w:numFmt w:val="lowerLetter"/>
      <w:start w:val="2"/>
    </w:lvl>
  </w:abstractNum>
  <w:abstractNum w:abstractNumId="56">
    <w:nsid w:val="98A3148"/>
    <w:multiLevelType w:val="hybridMultilevel"/>
    <w:lvl w:ilvl="0">
      <w:lvlJc w:val="left"/>
      <w:lvlText w:val="(%1)"/>
      <w:numFmt w:val="lowerLetter"/>
      <w:start w:val="1"/>
    </w:lvl>
  </w:abstractNum>
  <w:abstractNum w:abstractNumId="57">
    <w:nsid w:val="799D0247"/>
    <w:multiLevelType w:val="hybridMultilevel"/>
    <w:lvl w:ilvl="0">
      <w:lvlJc w:val="left"/>
      <w:lvlText w:val="(%1)"/>
      <w:numFmt w:val="lowerLetter"/>
      <w:start w:val="3"/>
    </w:lvl>
  </w:abstractNum>
  <w:abstractNum w:abstractNumId="58">
    <w:nsid w:val="6B94764"/>
    <w:multiLevelType w:val="hybridMultilevel"/>
    <w:lvl w:ilvl="0">
      <w:lvlJc w:val="left"/>
      <w:lvlText w:val="%1."/>
      <w:numFmt w:val="decimal"/>
      <w:start w:val="17"/>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decimal"/>
      <w:start w:val="18"/>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8">
    <w:nsid w:val="BF72B14"/>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69">
    <w:nsid w:val="11447B73"/>
    <w:multiLevelType w:val="hybridMultilevel"/>
    <w:lvl w:ilvl="0">
      <w:lvlJc w:val="left"/>
      <w:lvlText w:val="%1"/>
      <w:numFmt w:val="decimal"/>
      <w:start w:val="1"/>
    </w:lvl>
    <w:lvl w:ilvl="1">
      <w:lvlJc w:val="left"/>
      <w:lvlText w:val="(%2)"/>
      <w:numFmt w:val="lowerLetter"/>
      <w:start w:val="2"/>
    </w:lvl>
  </w:abstractNum>
  <w:abstractNum w:abstractNumId="70">
    <w:nsid w:val="42963E5A"/>
    <w:multiLevelType w:val="hybridMultilevel"/>
    <w:lvl w:ilvl="0">
      <w:lvlJc w:val="left"/>
      <w:lvlText w:val="%1."/>
      <w:numFmt w:val="decimal"/>
      <w:start w:val="5"/>
    </w:lvl>
    <w:lvl w:ilvl="1">
      <w:lvlJc w:val="left"/>
      <w:lvlText w:val="(%2)"/>
      <w:numFmt w:val="lowerLetter"/>
      <w:start w:val="1"/>
    </w:lvl>
  </w:abstractNum>
  <w:abstractNum w:abstractNumId="71">
    <w:nsid w:val="A0382C5"/>
    <w:multiLevelType w:val="hybridMultilevel"/>
    <w:lvl w:ilvl="0">
      <w:lvlJc w:val="left"/>
      <w:lvlText w:val="(%1)"/>
      <w:numFmt w:val="lowerLetter"/>
      <w:start w:val="2"/>
    </w:lvl>
  </w:abstractNum>
  <w:abstractNum w:abstractNumId="72">
    <w:nsid w:val="8F2B15E"/>
    <w:multiLevelType w:val="hybridMultilevel"/>
    <w:lvl w:ilvl="0">
      <w:lvlJc w:val="left"/>
      <w:lvlText w:val="%1."/>
      <w:numFmt w:val="decimal"/>
      <w:start w:val="6"/>
    </w:lvl>
    <w:lvl w:ilvl="1">
      <w:lvlJc w:val="left"/>
      <w:lvlText w:val="(%2)"/>
      <w:numFmt w:val="lowerLetter"/>
      <w:start w:val="1"/>
    </w:lvl>
  </w:abstractNum>
  <w:abstractNum w:abstractNumId="73">
    <w:nsid w:val="1A32234B"/>
    <w:multiLevelType w:val="hybridMultilevel"/>
    <w:lvl w:ilvl="0">
      <w:lvlJc w:val="left"/>
      <w:lvlText w:val="(%1)"/>
      <w:numFmt w:val="lowerLetter"/>
      <w:start w:val="5"/>
    </w:lvl>
    <w:lvl w:ilvl="1">
      <w:lvlJc w:val="left"/>
      <w:lvlText w:val="(%2)"/>
      <w:numFmt w:val="lowerLetter"/>
      <w:start w:val="6"/>
    </w:lvl>
  </w:abstractNum>
  <w:abstractNum w:abstractNumId="74">
    <w:nsid w:val="3B0FD37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2"/>
    </w:lvl>
  </w:abstractNum>
  <w:abstractNum w:abstractNumId="75">
    <w:nsid w:val="68EB2F63"/>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76">
    <w:nsid w:val="4962813B"/>
    <w:multiLevelType w:val="hybridMultilevel"/>
    <w:lvl w:ilvl="0">
      <w:lvlJc w:val="left"/>
      <w:lvlText w:val="%1."/>
      <w:numFmt w:val="decimal"/>
      <w:start w:val="14"/>
    </w:lvl>
    <w:lvl w:ilvl="1">
      <w:lvlJc w:val="left"/>
      <w:lvlText w:val="%2"/>
      <w:numFmt w:val="decimal"/>
      <w:start w:val="1"/>
    </w:lvl>
    <w:lvl w:ilvl="2">
      <w:lvlJc w:val="left"/>
      <w:lvlText w:val="%3"/>
      <w:numFmt w:val="lowerLetter"/>
      <w:start w:val="1"/>
    </w:lvl>
  </w:abstractNum>
  <w:abstractNum w:abstractNumId="77">
    <w:nsid w:val="60B6DF70"/>
    <w:multiLevelType w:val="hybridMultilevel"/>
    <w:lvl w:ilvl="0">
      <w:lvlJc w:val="left"/>
      <w:lvlText w:val="%1"/>
      <w:numFmt w:val="decimal"/>
      <w:start w:val="1"/>
    </w:lvl>
    <w:lvl w:ilvl="1">
      <w:lvlJc w:val="left"/>
      <w:lvlText w:val="(%2)"/>
      <w:numFmt w:val="lowerLetter"/>
      <w:start w:val="1"/>
    </w:lvl>
  </w:abstractNum>
  <w:abstractNum w:abstractNumId="78">
    <w:nsid w:val="6A5EE64"/>
    <w:multiLevelType w:val="hybridMultilevel"/>
    <w:lvl w:ilvl="0">
      <w:lvlJc w:val="left"/>
      <w:lvlText w:val="%1."/>
      <w:numFmt w:val="decimal"/>
      <w:start w:val="15"/>
    </w:lvl>
    <w:lvl w:ilvl="1">
      <w:lvlJc w:val="left"/>
      <w:lvlText w:val="%2"/>
      <w:numFmt w:val="lowerLetter"/>
      <w:start w:val="1"/>
    </w:lvl>
  </w:abstractNum>
  <w:abstractNum w:abstractNumId="79">
    <w:nsid w:val="14330624"/>
    <w:multiLevelType w:val="hybridMultilevel"/>
    <w:lvl w:ilvl="0">
      <w:lvlJc w:val="left"/>
      <w:lvlText w:val="%1."/>
      <w:numFmt w:val="decimal"/>
      <w:start w:val="17"/>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19" Type="http://schemas.openxmlformats.org/officeDocument/2006/relationships/hyperlink" Target="https://www.sec.gov/Archives/edgar/data/1831915/000119312521225716/d183956dex31.htm" TargetMode="External"/><Relationship Id="rId220"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2021-11-12T09:47:03Z</dcterms:created>
  <dcterms:modified xsi:type="dcterms:W3CDTF">2021-11-12T09:47:03Z</dcterms:modified>
</cp:coreProperties>
</file>