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0" w:after="0"/>
        <w:jc w:val="center"/>
        <w:rPr/>
      </w:pPr>
      <w:r>
        <w:rPr>
          <w:rFonts w:ascii="Times New Roman;serif" w:hAnsi="Times New Roman;serif"/>
          <w:b/>
          <w:color w:val="000000"/>
          <w:sz w:val="36"/>
        </w:rPr>
        <w:t>FORM 10-Q</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13 OR 15(d) OF THE SECURITIES EXCHANGE ACT OF 1934 FOR THE TRANSITION PERIOD FROM TO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001-40632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4980" w:type="dxa"/>
        <w:jc w:val="left"/>
        <w:tblInd w:w="0" w:type="dxa"/>
        <w:tblLayout w:type="fixed"/>
        <w:tblCellMar>
          <w:top w:w="28" w:type="dxa"/>
          <w:left w:w="28" w:type="dxa"/>
          <w:bottom w:w="28" w:type="dxa"/>
          <w:right w:w="28" w:type="dxa"/>
        </w:tblCellMar>
      </w:tblPr>
      <w:tblGrid>
        <w:gridCol w:w="1363"/>
        <w:gridCol w:w="1197"/>
        <w:gridCol w:w="1205"/>
        <w:gridCol w:w="355"/>
        <w:gridCol w:w="355"/>
        <w:gridCol w:w="505"/>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47-2547526</w:t>
            </w:r>
          </w:p>
        </w:tc>
      </w:tr>
      <w:tr>
        <w:trPr/>
        <w:tc>
          <w:tcPr>
            <w:tcW w:w="376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p>
            <w:pPr>
              <w:pStyle w:val="TableContents"/>
              <w:bidi w:val="0"/>
              <w:spacing w:lineRule="auto" w:line="276" w:before="14" w:after="283"/>
              <w:jc w:val="center"/>
              <w:rPr>
                <w:rFonts w:ascii="Times New Roman;serif" w:hAnsi="Times New Roman;serif"/>
                <w:b w:val="false"/>
                <w:color w:val="000000"/>
                <w:sz w:val="14"/>
              </w:rPr>
            </w:pPr>
            <w:r>
              <w:rPr>
                <w:rFonts w:ascii="Times New Roman;serif" w:hAnsi="Times New Roman;serif"/>
                <w:b w:val="false"/>
                <w:color w:val="000000"/>
                <w:sz w:val="14"/>
              </w:rP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r>
          </w:p>
          <w:p>
            <w:pPr>
              <w:pStyle w:val="TableContents"/>
              <w:bidi w:val="0"/>
              <w:spacing w:lineRule="auto" w:line="276" w:before="14" w:after="283"/>
              <w:jc w:val="center"/>
              <w:rPr>
                <w:rFonts w:ascii="Times New Roman;serif" w:hAnsi="Times New Roman;serif"/>
                <w:b w:val="false"/>
                <w:color w:val="000000"/>
                <w:sz w:val="14"/>
              </w:rPr>
            </w:pPr>
            <w:r>
              <w:rPr>
                <w:rFonts w:ascii="Times New Roman;serif" w:hAnsi="Times New Roman;serif"/>
                <w:b w:val="false"/>
                <w:color w:val="000000"/>
                <w:sz w:val="14"/>
              </w:rPr>
              <w:t>Identification No.)</w:t>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47215 Lakeview Blvd. Fremont, California</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94538</w:t>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120" w:after="283"/>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20"/>
        </w:rPr>
        <w:t>(877) 922-9835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Securities registered pursuant to Section 12(b) of the Act: </w:t>
      </w:r>
    </w:p>
    <w:tbl>
      <w:tblPr>
        <w:tblW w:w="8633" w:type="dxa"/>
        <w:jc w:val="left"/>
        <w:tblInd w:w="0" w:type="dxa"/>
        <w:tblLayout w:type="fixed"/>
        <w:tblCellMar>
          <w:top w:w="28" w:type="dxa"/>
          <w:left w:w="28" w:type="dxa"/>
          <w:bottom w:w="28" w:type="dxa"/>
          <w:right w:w="28" w:type="dxa"/>
        </w:tblCellMar>
      </w:tblPr>
      <w:tblGrid>
        <w:gridCol w:w="1207"/>
        <w:gridCol w:w="1054"/>
        <w:gridCol w:w="1069"/>
        <w:gridCol w:w="109"/>
        <w:gridCol w:w="109"/>
        <w:gridCol w:w="109"/>
        <w:gridCol w:w="474"/>
        <w:gridCol w:w="474"/>
        <w:gridCol w:w="476"/>
        <w:gridCol w:w="109"/>
        <w:gridCol w:w="109"/>
        <w:gridCol w:w="109"/>
        <w:gridCol w:w="945"/>
        <w:gridCol w:w="945"/>
        <w:gridCol w:w="1335"/>
      </w:tblGrid>
      <w:tr>
        <w:trPr/>
        <w:tc>
          <w:tcPr>
            <w:tcW w:w="1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Times New Roman;serif" w:hAnsi="Times New Roman;serif"/>
                <w:b/>
                <w:color w:val="000000"/>
                <w:sz w:val="17"/>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7"/>
              </w:rPr>
              <w:t>CTKB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7"/>
              </w:rPr>
            </w:pPr>
            <w:r>
              <w:rPr>
                <w:rFonts w:ascii="Times New Roman;serif" w:hAnsi="Times New Roman;serif"/>
                <w:b/>
                <w:color w:val="000000"/>
                <w:sz w:val="17"/>
              </w:rPr>
              <w:t xml:space="preserve">The Nasdaq Global Select Market </w:t>
            </w:r>
          </w:p>
        </w:tc>
      </w:tr>
    </w:tbl>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75" w:type="dxa"/>
        <w:jc w:val="left"/>
        <w:tblInd w:w="0" w:type="dxa"/>
        <w:tblLayout w:type="fixed"/>
        <w:tblCellMar>
          <w:top w:w="28" w:type="dxa"/>
          <w:left w:w="28" w:type="dxa"/>
          <w:bottom w:w="28" w:type="dxa"/>
          <w:right w:w="28" w:type="dxa"/>
        </w:tblCellMar>
      </w:tblPr>
      <w:tblGrid>
        <w:gridCol w:w="738"/>
        <w:gridCol w:w="648"/>
        <w:gridCol w:w="653"/>
        <w:gridCol w:w="109"/>
        <w:gridCol w:w="109"/>
        <w:gridCol w:w="109"/>
        <w:gridCol w:w="109"/>
        <w:gridCol w:w="109"/>
        <w:gridCol w:w="109"/>
        <w:gridCol w:w="669"/>
        <w:gridCol w:w="669"/>
        <w:gridCol w:w="672"/>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x</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 xml:space="preserve">The number of shares of Registrant’s Common Stock outstanding as of July 31, 2026 was </w:t>
      </w:r>
      <w:r>
        <w:rPr>
          <w:rFonts w:ascii="Times New Roman;serif" w:hAnsi="Times New Roman;serif"/>
          <w:b w:val="false"/>
          <w:color w:val="000000"/>
          <w:sz w:val="16"/>
          <w:shd w:fill="FFFFFF" w:val="clear"/>
        </w:rPr>
        <w:t>129,983,253.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4485"/>
                <wp:effectExtent l="0" t="0" r="0" b="0"/>
                <wp:wrapNone/>
                <wp:docPr id="1" name="Frame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0">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0">
              <w:r>
                <w:rPr>
                  <w:rStyle w:val="InternetLink"/>
                  <w:rFonts w:ascii="Times New Roman;serif" w:hAnsi="Times New Roman;serif"/>
                  <w:b w:val="false"/>
                  <w:strike w:val="false"/>
                  <w:dstrike w:val="false"/>
                  <w:color w:val="000000"/>
                  <w:sz w:val="20"/>
                  <w:u w:val="none"/>
                  <w:effect w:val="none"/>
                </w:rPr>
                <w:t>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
              <w:r>
                <w:rPr>
                  <w:rStyle w:val="InternetLink"/>
                  <w:rFonts w:ascii="Times New Roman;serif" w:hAnsi="Times New Roman;serif"/>
                  <w:b w:val="false"/>
                  <w:color w:val="0000FF"/>
                  <w:sz w:val="20"/>
                  <w:u w:val="single"/>
                </w:rPr>
                <w:t>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3">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6">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6">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9">
              <w:r>
                <w:rPr>
                  <w:rStyle w:val="InternetLink"/>
                  <w:rFonts w:ascii="Times New Roman;serif" w:hAnsi="Times New Roman;serif"/>
                  <w:b w:val="false"/>
                  <w:color w:val="0000FF"/>
                  <w:sz w:val="20"/>
                  <w:u w:val="single"/>
                </w:rPr>
                <w:t>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9">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22">
              <w:r>
                <w:rPr>
                  <w:rStyle w:val="InternetLink"/>
                  <w:rFonts w:ascii="Times New Roman;serif" w:hAnsi="Times New Roman;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22">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25">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25">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28">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28">
              <w:r>
                <w:rPr>
                  <w:rStyle w:val="InternetLink"/>
                  <w:rFonts w:ascii="Times New Roman;serif" w:hAnsi="Times New Roman;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91">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91">
              <w:r>
                <w:rPr>
                  <w:rStyle w:val="InternetLink"/>
                  <w:rFonts w:ascii="Times New Roman;serif" w:hAnsi="Times New Roman;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0">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30">
              <w:r>
                <w:rPr>
                  <w:rStyle w:val="InternetLink"/>
                  <w:rFonts w:ascii="Times New Roman;serif" w:hAnsi="Times New Roman;serif"/>
                  <w:b w:val="false"/>
                  <w:strike w:val="false"/>
                  <w:dstrike w:val="false"/>
                  <w:color w:val="000000"/>
                  <w:sz w:val="20"/>
                  <w:u w:val="none"/>
                  <w:effect w:val="non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3">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33">
              <w:r>
                <w:rPr>
                  <w:rStyle w:val="InternetLink"/>
                  <w:rFonts w:ascii="Times New Roman;serif" w:hAnsi="Times New Roman;serif"/>
                  <w:b w:val="false"/>
                  <w:strike w:val="false"/>
                  <w:dstrike w:val="false"/>
                  <w:color w:val="000000"/>
                  <w:sz w:val="20"/>
                  <w:u w:val="none"/>
                  <w:effect w:val="none"/>
                </w:rPr>
                <w:t>43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6">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6">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39">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39">
              <w:r>
                <w:rPr>
                  <w:rStyle w:val="InternetLink"/>
                  <w:rFonts w:ascii="Times New Roman;serif" w:hAnsi="Times New Roman;serif"/>
                  <w:b w:val="false"/>
                  <w:strike w:val="false"/>
                  <w:dstrike w:val="false"/>
                  <w:color w:val="000000"/>
                  <w:sz w:val="20"/>
                  <w:u w:val="none"/>
                  <w:effect w:val="none"/>
                </w:rPr>
                <w:t>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42">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42">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42">
              <w:r>
                <w:rPr>
                  <w:rStyle w:val="InternetLink"/>
                  <w:rFonts w:ascii="Times New Roman;serif" w:hAnsi="Times New Roman;serif"/>
                  <w:b w:val="false"/>
                  <w:strike w:val="false"/>
                  <w:dstrike w:val="false"/>
                  <w:color w:val="000000"/>
                  <w:sz w:val="20"/>
                  <w:u w:val="none"/>
                  <w:effect w:val="none"/>
                </w:rPr>
                <w:t>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4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45">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45">
              <w:r>
                <w:rPr>
                  <w:rStyle w:val="InternetLink"/>
                  <w:rFonts w:ascii="Times New Roman;serif" w:hAnsi="Times New Roman;serif"/>
                  <w:b w:val="false"/>
                  <w:strike w:val="false"/>
                  <w:dstrike w:val="false"/>
                  <w:color w:val="000000"/>
                  <w:sz w:val="20"/>
                  <w:u w:val="none"/>
                  <w:effect w:val="none"/>
                </w:rPr>
                <w:t>87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4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48">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48">
              <w:r>
                <w:rPr>
                  <w:rStyle w:val="InternetLink"/>
                  <w:rFonts w:ascii="Times New Roman;serif" w:hAnsi="Times New Roman;serif"/>
                  <w:b w:val="false"/>
                  <w:strike w:val="false"/>
                  <w:dstrike w:val="false"/>
                  <w:color w:val="000000"/>
                  <w:sz w:val="20"/>
                  <w:u w:val="none"/>
                  <w:effect w:val="none"/>
                </w:rPr>
                <w:t>87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5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51">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51">
              <w:r>
                <w:rPr>
                  <w:rStyle w:val="InternetLink"/>
                  <w:rFonts w:ascii="Times New Roman;serif" w:hAnsi="Times New Roman;serif"/>
                  <w:b w:val="false"/>
                  <w:strike w:val="false"/>
                  <w:dstrike w:val="false"/>
                  <w:color w:val="000000"/>
                  <w:sz w:val="20"/>
                  <w:u w:val="none"/>
                  <w:effect w:val="none"/>
                </w:rPr>
                <w:t>87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54">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54">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54">
              <w:r>
                <w:rPr>
                  <w:rStyle w:val="InternetLink"/>
                  <w:rFonts w:ascii="Times New Roman;serif" w:hAnsi="Times New Roman;serif"/>
                  <w:b w:val="false"/>
                  <w:strike w:val="false"/>
                  <w:dstrike w:val="false"/>
                  <w:color w:val="000000"/>
                  <w:sz w:val="20"/>
                  <w:u w:val="none"/>
                  <w:effect w:val="none"/>
                </w:rPr>
                <w:t>87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57">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57">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57">
              <w:r>
                <w:rPr>
                  <w:rStyle w:val="InternetLink"/>
                  <w:rFonts w:ascii="Times New Roman;serif" w:hAnsi="Times New Roman;serif"/>
                  <w:b w:val="false"/>
                  <w:strike w:val="false"/>
                  <w:dstrike w:val="false"/>
                  <w:color w:val="000000"/>
                  <w:sz w:val="20"/>
                  <w:u w:val="none"/>
                  <w:effect w:val="none"/>
                </w:rPr>
                <w:t>88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69e6063c534f599e3e485c204b6be3_160">
              <w:r>
                <w:rPr>
                  <w:rStyle w:val="InternetLink"/>
                  <w:rFonts w:ascii="Times New Roman;serif" w:hAnsi="Times New Roman;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69e6063c534f599e3e485c204b6be3_160">
              <w:r>
                <w:rPr>
                  <w:rStyle w:val="InternetLink"/>
                  <w:rFonts w:ascii="Times New Roman;serif" w:hAnsi="Times New Roman;serif"/>
                  <w:b w:val="false"/>
                  <w:strike w:val="false"/>
                  <w:dstrike w:val="false"/>
                  <w:color w:val="000000"/>
                  <w:sz w:val="20"/>
                  <w:u w:val="none"/>
                  <w:effect w:val="none"/>
                </w:rPr>
                <w:t>90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4485"/>
                <wp:effectExtent l="0" t="0" r="0" b="0"/>
                <wp:wrapNone/>
                <wp:docPr id="2" name="Frame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7"/>
        <w:gridCol w:w="2193"/>
        <w:gridCol w:w="2202"/>
        <w:gridCol w:w="109"/>
        <w:gridCol w:w="109"/>
        <w:gridCol w:w="109"/>
        <w:gridCol w:w="211"/>
        <w:gridCol w:w="826"/>
        <w:gridCol w:w="109"/>
        <w:gridCol w:w="109"/>
        <w:gridCol w:w="109"/>
        <w:gridCol w:w="109"/>
        <w:gridCol w:w="211"/>
        <w:gridCol w:w="826"/>
        <w:gridCol w:w="156"/>
      </w:tblGrid>
      <w:tr>
        <w:trPr/>
        <w:tc>
          <w:tcPr>
            <w:tcW w:w="281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2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377,931 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391,996 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461,542 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77,804 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119,803 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1,000,000,000 authorized shares as of June 30, 2026 and December 31, 2025, respectively; 129,982,753 and 128,550,136 issued and outstanding shares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(101,738)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341,739 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446,934 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461,542 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4485"/>
                <wp:effectExtent l="0" t="0" r="0" b="0"/>
                <wp:wrapNone/>
                <wp:docPr id="3" name="Frame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67"/>
        <w:gridCol w:w="1256"/>
        <w:gridCol w:w="1260"/>
        <w:gridCol w:w="109"/>
        <w:gridCol w:w="109"/>
        <w:gridCol w:w="109"/>
        <w:gridCol w:w="227"/>
        <w:gridCol w:w="795"/>
        <w:gridCol w:w="119"/>
        <w:gridCol w:w="109"/>
        <w:gridCol w:w="109"/>
        <w:gridCol w:w="109"/>
        <w:gridCol w:w="231"/>
        <w:gridCol w:w="790"/>
        <w:gridCol w:w="120"/>
        <w:gridCol w:w="109"/>
        <w:gridCol w:w="109"/>
        <w:gridCol w:w="109"/>
        <w:gridCol w:w="227"/>
        <w:gridCol w:w="795"/>
        <w:gridCol w:w="119"/>
        <w:gridCol w:w="109"/>
        <w:gridCol w:w="109"/>
        <w:gridCol w:w="109"/>
        <w:gridCol w:w="227"/>
        <w:gridCol w:w="794"/>
        <w:gridCol w:w="170"/>
      </w:tblGrid>
      <w:tr>
        <w:trPr/>
        <w:tc>
          <w:tcPr>
            <w:tcW w:w="176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61,335 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92,275 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87,059 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42,681 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43,035 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28,340 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49,594 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44,024 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39,740 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34,491 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79,457 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69,622 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(11,400)</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(10,624)</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(29,863)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(25,598)</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(6,775)</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(29,016)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(18,041)</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(12,158)</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(12,158)</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(31,024)</w:t>
            </w:r>
          </w:p>
        </w:tc>
        <w:tc>
          <w:tcPr>
            <w:tcW w:w="11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w:t>
            </w:r>
          </w:p>
        </w:tc>
        <w:tc>
          <w:tcPr>
            <w:tcW w:w="170"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7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129,460,518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126,934,294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129,084,814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127,632,999</w:t>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(11,788)</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(30,527)</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4485"/>
                <wp:effectExtent l="0" t="0" r="0" b="0"/>
                <wp:wrapNone/>
                <wp:docPr id="4" name="Frame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35"/>
        <w:gridCol w:w="596"/>
        <w:gridCol w:w="599"/>
        <w:gridCol w:w="109"/>
        <w:gridCol w:w="109"/>
        <w:gridCol w:w="109"/>
        <w:gridCol w:w="334"/>
        <w:gridCol w:w="334"/>
        <w:gridCol w:w="338"/>
        <w:gridCol w:w="109"/>
        <w:gridCol w:w="109"/>
        <w:gridCol w:w="109"/>
        <w:gridCol w:w="196"/>
        <w:gridCol w:w="421"/>
        <w:gridCol w:w="109"/>
        <w:gridCol w:w="109"/>
        <w:gridCol w:w="109"/>
        <w:gridCol w:w="109"/>
        <w:gridCol w:w="196"/>
        <w:gridCol w:w="736"/>
        <w:gridCol w:w="109"/>
        <w:gridCol w:w="109"/>
        <w:gridCol w:w="109"/>
        <w:gridCol w:w="109"/>
        <w:gridCol w:w="196"/>
        <w:gridCol w:w="766"/>
        <w:gridCol w:w="109"/>
        <w:gridCol w:w="109"/>
        <w:gridCol w:w="109"/>
        <w:gridCol w:w="109"/>
        <w:gridCol w:w="286"/>
        <w:gridCol w:w="815"/>
        <w:gridCol w:w="160"/>
        <w:gridCol w:w="109"/>
        <w:gridCol w:w="109"/>
        <w:gridCol w:w="109"/>
        <w:gridCol w:w="199"/>
        <w:gridCol w:w="748"/>
        <w:gridCol w:w="161"/>
      </w:tblGrid>
      <w:tr>
        <w:trPr/>
        <w:tc>
          <w:tcPr>
            <w:tcW w:w="83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Additional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paid-in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deficit</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other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stockholders’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128,550,136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(101,738)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341,739 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employee stock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647,968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withheld related to net share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4,861 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129,142,587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(120,604)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327,644 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655,680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851</w:t>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withheld related to net share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5,339</w:t>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(12,158)</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129,982,753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451,846 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(132,761)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321,954 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4485"/>
                <wp:effectExtent l="0" t="0" r="0" b="0"/>
                <wp:wrapNone/>
                <wp:docPr id="5" name="Frame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74"/>
        <w:gridCol w:w="533"/>
        <w:gridCol w:w="535"/>
        <w:gridCol w:w="109"/>
        <w:gridCol w:w="109"/>
        <w:gridCol w:w="109"/>
        <w:gridCol w:w="449"/>
        <w:gridCol w:w="449"/>
        <w:gridCol w:w="338"/>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328"/>
        <w:gridCol w:w="732"/>
        <w:gridCol w:w="183"/>
        <w:gridCol w:w="109"/>
        <w:gridCol w:w="109"/>
        <w:gridCol w:w="109"/>
        <w:gridCol w:w="198"/>
        <w:gridCol w:w="745"/>
        <w:gridCol w:w="161"/>
      </w:tblGrid>
      <w:tr>
        <w:trPr/>
        <w:tc>
          <w:tcPr>
            <w:tcW w:w="77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Additional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paid-in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deficit</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other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stockholders’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129,205,901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430,791 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(35,199)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395,737 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employee stock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500,830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withheld related to net share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(2,078,583)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(10,627)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(11,402)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127,599,142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426,705 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(46,601)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379,623 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employee stock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545,702 </w:t>
            </w:r>
          </w:p>
        </w:tc>
        <w:tc>
          <w:tcPr>
            <w:tcW w:w="33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6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292,212 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withheld related to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(37,938)</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(1,214,005)</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127,185,113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429,652 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(52,184)</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377,557 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16"/>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4485"/>
                <wp:effectExtent l="0" t="0" r="0" b="0"/>
                <wp:wrapNone/>
                <wp:docPr id="6" name="Frame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4485"/>
                <wp:effectExtent l="0" t="0" r="0" b="0"/>
                <wp:wrapNone/>
                <wp:docPr id="7" name="Frame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tbl>
      <w:tblPr>
        <w:tblW w:w="8871" w:type="dxa"/>
        <w:jc w:val="left"/>
        <w:tblInd w:w="0" w:type="dxa"/>
        <w:tblLayout w:type="fixed"/>
        <w:tblCellMar>
          <w:top w:w="28" w:type="dxa"/>
          <w:left w:w="28" w:type="dxa"/>
          <w:bottom w:w="28" w:type="dxa"/>
          <w:right w:w="28" w:type="dxa"/>
        </w:tblCellMar>
      </w:tblPr>
      <w:tblGrid>
        <w:gridCol w:w="2213"/>
        <w:gridCol w:w="1947"/>
        <w:gridCol w:w="1960"/>
        <w:gridCol w:w="109"/>
        <w:gridCol w:w="109"/>
        <w:gridCol w:w="109"/>
        <w:gridCol w:w="196"/>
        <w:gridCol w:w="721"/>
        <w:gridCol w:w="109"/>
        <w:gridCol w:w="109"/>
        <w:gridCol w:w="109"/>
        <w:gridCol w:w="109"/>
        <w:gridCol w:w="196"/>
        <w:gridCol w:w="721"/>
        <w:gridCol w:w="154"/>
      </w:tblGrid>
      <w:tr>
        <w:trPr/>
        <w:tc>
          <w:tcPr>
            <w:tcW w:w="221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Six Months Ended June 30,</w:t>
            </w:r>
          </w:p>
        </w:tc>
      </w:tr>
      <w:tr>
        <w:trPr/>
        <w:tc>
          <w:tcPr>
            <w:tcW w:w="6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on investments, accretion, and amortization,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expenses for accretion of the legal settlement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Legal settlement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(6,961)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taxes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repurchase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(14,147)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90,853 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98,745 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75,470 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Interest received on tax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Fixed asset purchases in accounts payable or accrued purchase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of inventory to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in accounts payable or accrued expenses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obtained in exchange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4485"/>
                <wp:effectExtent l="0" t="0" r="0" b="0"/>
                <wp:wrapNone/>
                <wp:docPr id="8" name="Frame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Cytek Biosciences,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lineRule="auto" w:line="276" w:before="120" w:after="283"/>
        <w:ind w:left="0" w:right="0" w:firstLine="540"/>
        <w:jc w:val="both"/>
        <w:rPr/>
      </w:pPr>
      <w:r>
        <w:rPr>
          <w:rFonts w:ascii="Times New Roman;serif" w:hAnsi="Times New Roman;serif"/>
          <w:b w:val="false"/>
          <w:color w:val="000000"/>
          <w:sz w:val="20"/>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w:t>
      </w:r>
      <w:r>
        <w:rPr>
          <w:color w:val="000000"/>
        </w:rPr>
        <w:t xml:space="preserve">™” </w:t>
      </w:r>
      <w:r>
        <w:rPr>
          <w:rFonts w:ascii="Times New Roman;serif" w:hAnsi="Times New Roman;serif"/>
          <w:b w:val="false"/>
          <w:color w:val="000000"/>
          <w:sz w:val="20"/>
        </w:rPr>
        <w:t>or “FSP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technology). The Company is focused on becoming the premier cell analysis company through continued innovation that facilitates scientific advances in biomedical research and clinical applications. </w:t>
      </w:r>
    </w:p>
    <w:p>
      <w:pPr>
        <w:pStyle w:val="TextBody"/>
        <w:bidi w:val="0"/>
        <w:spacing w:lineRule="auto" w:line="276" w:before="120" w:after="283"/>
        <w:ind w:left="0" w:right="0" w:firstLine="540"/>
        <w:jc w:val="both"/>
        <w:rPr/>
      </w:pPr>
      <w:r>
        <w:rPr>
          <w:rFonts w:ascii="Times New Roman;serif" w:hAnsi="Times New Roman;serif"/>
          <w:b w:val="false"/>
          <w:color w:val="000000"/>
          <w:sz w:val="20"/>
        </w:rPr>
        <w:t>The Company has successfully developed and manufactured its full spectrum flow cytometry platform (“instrument(s)” or “product(s)”). The Company’s FSP cell analyzers, the Cytek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Aurora</w:t>
      </w:r>
      <w:r>
        <w:rPr>
          <w:color w:val="000000"/>
        </w:rPr>
        <w:t>™</w:t>
      </w:r>
      <w:r>
        <w:rPr>
          <w:rFonts w:ascii="Times New Roman;serif" w:hAnsi="Times New Roman;serif"/>
          <w:b w:val="false"/>
          <w:color w:val="000000"/>
          <w:sz w:val="20"/>
        </w:rPr>
        <w:t>, Northern Lights</w:t>
      </w:r>
      <w:r>
        <w:rPr>
          <w:color w:val="000000"/>
        </w:rPr>
        <w:t>™</w:t>
      </w:r>
      <w:r>
        <w:rPr>
          <w:rFonts w:ascii="Times New Roman;serif" w:hAnsi="Times New Roman;serif"/>
          <w:b w:val="false"/>
          <w:color w:val="000000"/>
          <w:sz w:val="20"/>
        </w:rPr>
        <w:t>, and Cytek Aurora Evo systems, deliver high-resolution, high-content and high-sensitivity cell analysis. The Company also launched its Cytek Aurora cell sorter (“Aurora CS system”),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pStyle w:val="TextBody"/>
        <w:bidi w:val="0"/>
        <w:spacing w:lineRule="auto" w:line="276" w:before="120" w:after="283"/>
        <w:ind w:left="0" w:right="0" w:firstLine="540"/>
        <w:jc w:val="both"/>
        <w:rPr/>
      </w:pPr>
      <w:r>
        <w:rPr>
          <w:rFonts w:ascii="Times New Roman;serif" w:hAnsi="Times New Roman;serif"/>
          <w:b w:val="false"/>
          <w:color w:val="000000"/>
          <w:sz w:val="20"/>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serif" w:hAnsi="Times New Roman;serif"/>
          <w:b w:val="false"/>
          <w:color w:val="000000"/>
          <w:sz w:val="13"/>
        </w:rPr>
        <w:t>®</w:t>
      </w:r>
      <w:r>
        <w:rPr>
          <w:rFonts w:ascii="Times New Roman;serif" w:hAnsi="Times New Roman;serif"/>
          <w:b w:val="false"/>
          <w:color w:val="000000"/>
          <w:sz w:val="20"/>
        </w:rPr>
        <w:t>- and Guava</w:t>
      </w:r>
      <w:r>
        <w:rPr>
          <w:rFonts w:ascii="Times New Roman;serif" w:hAnsi="Times New Roman;serif"/>
          <w:b w:val="false"/>
          <w:color w:val="000000"/>
          <w:sz w:val="13"/>
        </w:rPr>
        <w:t>®</w:t>
      </w:r>
      <w:r>
        <w:rPr>
          <w:rFonts w:ascii="Times New Roman;serif" w:hAnsi="Times New Roman;serif"/>
          <w:b w:val="false"/>
          <w:color w:val="000000"/>
          <w:sz w:val="20"/>
        </w:rPr>
        <w:t>-branded instruments, and flow cytometry reagent products and services (the “FCI Business”). The acquired FCI Business includes conventional flow and image-based flow cytometry instrumentation and related products and services (the “FCI Products”).</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incorporated in the state of Delaware in December 2014 and is headquartered in Fremont, California with offices, manufacturing facilities and distribution channels across the globe.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2.    Basis of presentation and summary of significant accounting policies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Principles of consolidation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interim consolidated financial statements include the accounts of Cytek Biosciences, Inc., its wholly-owned subsidiaries, Cytek Biosciences B.V. (Netherlands), Cytek Biosciences GmbH (Germany), Cytek Biosciences Ltd (UK), Cytek Biosciences Pte. Ltd. (Singapore), Cytek Biosciences S.A.S. (France), Cytek Limited (Hong Kong), Cytek Japan Corporation (“Cytek Japan”), Cytek (Shanghai) Biosciences Co., Ltd., and Cytek (Wuxi) Biosciences Co., Ltd. (“Cytek Wuxi”), and Cytek Biosciences Canada Ltd. (Canada). All intercompany accounts and transactions have been eliminated in consolidation.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Variable interest entities and voting interest entities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entity model (“VOE”) or other applicable GAAP metric.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other equity holders do not have substantive voting, participating or liquidation rights. The Company does not currently hold an interest in a VIE.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interim consolidated financial statements in conformity with GAAP requires management to make estimates and assumptions that affect the amounts reported in the unaudited interim consolidated financial statements and accompanying notes. The accounting estimates that require management’s most significant, complex, and subjective judgments include the standalone selling prices used to allocate the contract consideration to the individual performance obligations, the allowance for credit losses, the valuation of inventory, the valuation of and assessment of the recoverability of long-lived assets, including intangible assets, property and equipment, as well as goodwill, the recognition and measurement of current and deferred income taxes, including the measurement of uncertain tax positions, and the estimates for legal contingencies. Actual results could differ materially from these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4485"/>
                <wp:effectExtent l="0" t="0" r="0" b="0"/>
                <wp:wrapNone/>
                <wp:docPr id="9" name="Frame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Operating segments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Foreign currency translation and transactions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have been translated at the average exchange rate for the year or the reporting period. Translation gains and losses are recorded in accumulated other comprehensive (loss)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 income.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 maturity of three months or less when purchased to be cash equivalents. Cash equivalents are carried at cost, which approximates fair value.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cash and cash equivalents consist of money held in demand depository accounts and money market funds. The carrying amount of cash and cash equivalents was $73.8 million and $90.9 million as of June 30, 2026 and December 31, 2025, respectively, which approximates fair value and was determined based upon Level 1 inputs. The money market account is valued using quoted market prices with no valuation adjustments applied and is categorized as Level 1. The C</w:t>
      </w:r>
      <w:r>
        <w:rPr>
          <w:rFonts w:ascii="Times New Roman;serif" w:hAnsi="Times New Roman;serif"/>
          <w:b w:val="false"/>
          <w:color w:val="000000"/>
          <w:sz w:val="20"/>
        </w:rPr>
        <w:t>ompany limits its credit risk associated with cash and cash equivalents by maintaining its bank accounts at major and reputable financial institutions. The Company’s cash and cash equivalents balance exceeded the federally insured limit of $250,000 as of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cash and cash equivalents on the unaudited interim consolidated balance sheets (in thousands): </w:t>
      </w:r>
    </w:p>
    <w:tbl>
      <w:tblPr>
        <w:tblW w:w="5252" w:type="dxa"/>
        <w:jc w:val="left"/>
        <w:tblInd w:w="0" w:type="dxa"/>
        <w:tblLayout w:type="fixed"/>
        <w:tblCellMar>
          <w:top w:w="28" w:type="dxa"/>
          <w:left w:w="28" w:type="dxa"/>
          <w:bottom w:w="28" w:type="dxa"/>
          <w:right w:w="28" w:type="dxa"/>
        </w:tblCellMar>
      </w:tblPr>
      <w:tblGrid>
        <w:gridCol w:w="992"/>
        <w:gridCol w:w="870"/>
        <w:gridCol w:w="883"/>
        <w:gridCol w:w="211"/>
        <w:gridCol w:w="721"/>
        <w:gridCol w:w="109"/>
        <w:gridCol w:w="109"/>
        <w:gridCol w:w="109"/>
        <w:gridCol w:w="109"/>
        <w:gridCol w:w="221"/>
        <w:gridCol w:w="757"/>
        <w:gridCol w:w="161"/>
      </w:tblGrid>
      <w:tr>
        <w:trPr/>
        <w:tc>
          <w:tcPr>
            <w:tcW w:w="99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and cash equivalents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90,853 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Company classifies restricted cash as current on the accompanying unaudited interim consolidated balance sheets based on the expected timing of the release of the restrictions. There was no restricted cash 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Available-for-sale investments. </w:t>
      </w:r>
      <w:r>
        <w:rPr>
          <w:rFonts w:ascii="Times New Roman;serif" w:hAnsi="Times New Roman;serif"/>
          <w:b w:val="false"/>
          <w:color w:val="000000"/>
          <w:sz w:val="20"/>
        </w:rPr>
        <w:t>The Company’s investments may consist of U.S. treasury and U.S. government agency securities, corporate notes and bonds, commercial paper, and money market funds. The Company has designated all investments as available-for-sale and, therefore, such investments are reported at fair value, with unrealized gains and losses recorded in accumulated other comprehensive (loss) income.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unaudited interim consolidated statements of operations and comprehensive loss. Investments with remaining maturities at date of purchase greater than 90 days and remaining maturities as of the reporting period less than one year are classified as marketable securities. Investments with remaining maturities greater than one year are classified as long-term investments.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Equity Investments. </w:t>
      </w:r>
      <w:r>
        <w:rPr>
          <w:rFonts w:ascii="Times New Roman;serif" w:hAnsi="Times New Roman;serif"/>
          <w:b w:val="false"/>
          <w:color w:val="000000"/>
          <w:sz w:val="20"/>
        </w:rPr>
        <w:t xml:space="preserve">The Company’s equity investments consist of non-marketable equity investments in a privately held company. The Company’s 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4485"/>
                <wp:effectExtent l="0" t="0" r="0" b="0"/>
                <wp:wrapNone/>
                <wp:docPr id="10" name="Frame1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included within other noncurrent assets on our unaudited interim consolidated balance sheets and adjustments to their carrying amounts are recorded in other income (expense), net in the unaudited interim consolidated statements of operations and comprehensive loss. During the three months ended June 30, 2026, the Company recognized an impairment loss of approximately $1.6 million on its non-marketable equity investment after determining that the investment was impaired as of June 30, 2026. As a result, the carrying value of the investment was reduced to zero as of June 30, 2026, and the Company had no remaining non-marketable equity investments as of that date.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Trade accounts receivable,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accounts receivable consists principally of amounts due related to product sales of instrument systems, reagents and accessories, as well as installation and repair services. These receivables are generally due within 30 to 90 days of the period in which the corresponding sales occur, do not bear interest and are classified as trade accounts receivable, net on the unaudited interim consolidated balance sheets. Trade accounts receivable are reported at their estimated net realizable value.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based on the Company’s assessment of the collectibility of customer accounts. The Company regularly reviews the allowance by considering factors such as historical experience, credit quality, age of the accounts receivable balances, and current economic conditions that may affect a customer’s ability to pay.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not party to any off-balance sheet arrangements that would require an allowance for credit losses in accordance with this accounting standard.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for the six months ended June 30, 2026 were as follows (in thousands):</w:t>
      </w:r>
    </w:p>
    <w:tbl>
      <w:tblPr>
        <w:tblW w:w="4371" w:type="dxa"/>
        <w:jc w:val="left"/>
        <w:tblInd w:w="0" w:type="dxa"/>
        <w:tblLayout w:type="fixed"/>
        <w:tblCellMar>
          <w:top w:w="28" w:type="dxa"/>
          <w:left w:w="28" w:type="dxa"/>
          <w:bottom w:w="28" w:type="dxa"/>
          <w:right w:w="28" w:type="dxa"/>
        </w:tblCellMar>
      </w:tblPr>
      <w:tblGrid>
        <w:gridCol w:w="1227"/>
        <w:gridCol w:w="1078"/>
        <w:gridCol w:w="1085"/>
        <w:gridCol w:w="211"/>
        <w:gridCol w:w="61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of 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Inventories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recorded at cost, net of accumulated depreciation. Depreciation is recorded using the straight-line method based on the estimated useful lives of the depreciable property or, for leasehold improvements,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4485"/>
                <wp:effectExtent l="0" t="0" r="0" b="0"/>
                <wp:wrapNone/>
                <wp:docPr id="11" name="Frame1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remaining term of the lease, whichever is shorter. Assets not yet placed in use are not depreciated. The Company’s estimated useful lives of its property and equipment are as follows: </w:t>
      </w:r>
    </w:p>
    <w:tbl>
      <w:tblPr>
        <w:tblW w:w="7153" w:type="dxa"/>
        <w:jc w:val="left"/>
        <w:tblInd w:w="0" w:type="dxa"/>
        <w:tblLayout w:type="fixed"/>
        <w:tblCellMar>
          <w:top w:w="28" w:type="dxa"/>
          <w:left w:w="28" w:type="dxa"/>
          <w:bottom w:w="28" w:type="dxa"/>
          <w:right w:w="28" w:type="dxa"/>
        </w:tblCellMar>
      </w:tblPr>
      <w:tblGrid>
        <w:gridCol w:w="971"/>
        <w:gridCol w:w="850"/>
        <w:gridCol w:w="863"/>
        <w:gridCol w:w="1306"/>
        <w:gridCol w:w="1306"/>
        <w:gridCol w:w="1857"/>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5 - 7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5 - 10 years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expected lease term or estimated useful life</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sale or retirement of the assets, the cost and related accumulated depreciation are removed from the accounts and the resulting gain or loss is recognized in the unaudited interim consolidated statements of operations and comprehensive loss. Expenditures for general maintenance and repairs are expensed as incurred.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Goodwill and intangible assets,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 </w:t>
      </w:r>
    </w:p>
    <w:tbl>
      <w:tblPr>
        <w:tblW w:w="4379" w:type="dxa"/>
        <w:jc w:val="left"/>
        <w:tblInd w:w="0" w:type="dxa"/>
        <w:tblLayout w:type="fixed"/>
        <w:tblCellMar>
          <w:top w:w="28" w:type="dxa"/>
          <w:left w:w="28" w:type="dxa"/>
          <w:bottom w:w="28" w:type="dxa"/>
          <w:right w:w="28" w:type="dxa"/>
        </w:tblCellMar>
      </w:tblPr>
      <w:tblGrid>
        <w:gridCol w:w="829"/>
        <w:gridCol w:w="730"/>
        <w:gridCol w:w="736"/>
        <w:gridCol w:w="609"/>
        <w:gridCol w:w="609"/>
        <w:gridCol w:w="86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2 - 15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FCI developed technology</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1 - 6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7 - 9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Reagent licenses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IP license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Accounting for impairment of long-lived assets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Long-lived assets with finite lives include property and equipment, as well as acquired finite-lived intangible assets. The Company evaluates long-lived assets, including acquired finite-lived intangible assets, for impairment whenever events or changes in circumstances indicate that the carrying amount of an asset may not be recoverable. Recoverability of assets held and used is measured by comparing the carrying amount of an asset or an asset group to the estimated undiscounted future net cash flows expected to be generated by the asset or asset group. If the carrying amount of an asset exceeds these estimated future cash flows, an impairment charge is recognized for the amount by which the carrying amount of the asset exceeds the fair value of the asset or asset group.</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Goodwill and indefinite-lived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indicates the carrying value of the reporting unit exceeds its fair value, in which case an impairment charge is recorded to goodwill to the extent the carrying value exceeds the fair value, limited to the amount of goodwill. The Company did not recognize any impairment of goodwill and indefinite-lived intangible assets for all periods presented.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Fair value of financial instruments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1—Quoted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4485"/>
                <wp:effectExtent l="0" t="0" r="0" b="0"/>
                <wp:wrapNone/>
                <wp:docPr id="12" name="Frame1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reflected in the unaudited interim consolidated balance sheets for cash and cash equivalents, trade accounts receivable, net, trade accounts payable, and accrued expenses approximate their fair values due to their short maturities.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 revenue consists of sales of its instrument systems, reagents and accessories. The Company recognizes product revenue at the point in time when control of the product is transferred to the customer.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Invoicing for products occurs upon shipment and is adjusted based on the applicable International Commercial Terms, and payment terms are 30 to 90 days. Service contracts are invoiced upfront and payment terms are generally 30 days. For those arrangements that have terms longer than one year, any payments received upfront are for reasons other than financing. Revenue is recognized only to the extent that it is probable that a significant reversal of the cumulative amount recognized will not occur in future periods. The Company does not typically offer discounts, rebates, incentives, or rights of return. Variable consideration is not 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4485"/>
                <wp:effectExtent l="0" t="0" r="0" b="0"/>
                <wp:wrapNone/>
                <wp:docPr id="13" name="Frame1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Product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standard arrangement for sales to end users is a purchase order or an executed contract. Revenue is recognized upon transfer of control of the product to the customer, which occurs at a point in time depending on the shipping terms.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Contract liabilities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unaudited interim consolidated balance sheets. Deferred revenue that is expected to be recognized during the following 12 months is recorded as a current liability and the remaining portion is recorded as noncurrent.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Assurance-type product warranties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Advertising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cost of advertising, marketing and media is expensed as incurred. For the three and six months ended June 30, 2026, advertising, marketing and media expenses were $1.7 million and $2.6 million, respectively. For the three and six months ended June 30, 2025, advertising, marketing and media expenses were $1.2 million and $2.5 million,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Expected Volatility—Expected volatility is estimated by analyzing the historical volatility of the Company’s historical market data for the assessment corresponds to the expected term of the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Expected Term—Expected term represents the period that the Company’s stock-based awards are expected to be outstanding and is determined using the simplified method.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Dividend Yield— The expected dividend yield is zero as the Company has never declared or paid cash dividends and has no current plans to do so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4485"/>
                <wp:effectExtent l="0" t="0" r="0" b="0"/>
                <wp:wrapNone/>
                <wp:docPr id="14" name="Frame1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Risk-Free Interest Rate—The risk-free interest rate is based on the U.S. Treasury zero-coupon issued in effect at the time of grant for periods corresponding with the expected term of the option.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unaudited interim consolidated statements of operations and comprehensive loss. Accrued interest and penalties, if any, are included in accrued expenses in the unaudited interim consolidated balance sheet.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U.S. federal jurisdiction, various U.S. state jurisdictions and foreign jurisdictions. The U.S. federal,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Net loss per share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and diluted net loss per share are computed using the weighted-average number of shares of common stock outstanding for the period. Net loss per share is calculated using the two-class method, which is an earnings allocation formula that determines net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loss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per share gives effect to all potentially dilutive common stock equivalents, including outstanding options and redeemable convertible preferred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equivalents are excluded from the computation of diluted net loss per share if their effect is antidilutive.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uses the acquisition method of accounting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Each acquired company’s operating results are included in the Company’s </w:t>
      </w:r>
      <w:r>
        <w:rPr>
          <w:rFonts w:ascii="Times New Roman;serif" w:hAnsi="Times New Roman;serif"/>
          <w:b w:val="false"/>
          <w:color w:val="000000"/>
          <w:sz w:val="20"/>
          <w:shd w:fill="FFFFFF" w:val="clear"/>
        </w:rPr>
        <w:t xml:space="preserve">unaudited interim </w:t>
      </w:r>
      <w:r>
        <w:rPr>
          <w:rFonts w:ascii="Times New Roman;serif" w:hAnsi="Times New Roman;serif"/>
          <w:b w:val="false"/>
          <w:color w:val="000000"/>
          <w:sz w:val="20"/>
        </w:rPr>
        <w:t>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4485"/>
                <wp:effectExtent l="0" t="0" r="0" b="0"/>
                <wp:wrapNone/>
                <wp:docPr id="15" name="Frame1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 xml:space="preserve">(“ASU 2025-05”), which provides a practical expedient and an accounting policy election related to the estimation of expected credit losses for current accounts receivable and current contract assets. ASU 2025-05 is effective for annual periods beginning after December 15, 2025, including interim periods within those annual periods. The Company adopted ASU 2025-05 effective January 1, 2026, on a prospective basis. In connection with this adoption, the Company elected to apply the practical expedient permitted by the standard, which assumes that current conditions as of the balance sheet date do not change for the remaining life of the assets. The adoption of ASU 2025-05 did not have a material impact on the Company’s </w:t>
      </w:r>
      <w:r>
        <w:rPr>
          <w:rFonts w:ascii="Times New Roman;serif" w:hAnsi="Times New Roman;serif"/>
          <w:b w:val="false"/>
          <w:color w:val="000000"/>
          <w:sz w:val="20"/>
          <w:shd w:fill="FFFFFF" w:val="clear"/>
        </w:rPr>
        <w:t xml:space="preserve">unaudited interim </w:t>
      </w:r>
      <w:r>
        <w:rPr>
          <w:rFonts w:ascii="Times New Roman;serif" w:hAnsi="Times New Roman;serif"/>
          <w:b w:val="false"/>
          <w:color w:val="000000"/>
          <w:sz w:val="20"/>
        </w:rPr>
        <w:t>consolidated financial statements and related disclosures.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Recently issued accounting pronouncements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ASU 2024-03”</w:t>
      </w:r>
      <w:r>
        <w:rPr>
          <w:rFonts w:ascii="Times New Roman;serif" w:hAnsi="Times New Roman;serif"/>
          <w:b w:val="false"/>
          <w:color w:val="000000"/>
          <w:sz w:val="20"/>
        </w:rPr>
        <w:t xml:space="preserve">), and in January 2025 issued ASU 2025-01, </w:t>
      </w:r>
      <w:r>
        <w:rPr>
          <w:rFonts w:ascii="Times New Roman;serif" w:hAnsi="Times New Roman;serif"/>
          <w:b w:val="false"/>
          <w:i/>
          <w:color w:val="000000"/>
          <w:sz w:val="20"/>
        </w:rPr>
        <w:t>Clarifying the Effective Date</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ASU 2025-01</w:t>
      </w:r>
      <w:r>
        <w:rPr>
          <w:color w:val="000000"/>
        </w:rPr>
        <w:t>”</w:t>
      </w:r>
      <w:r>
        <w:rPr>
          <w:rFonts w:ascii="Times New Roman;serif" w:hAnsi="Times New Roman;serif"/>
          <w:b w:val="false"/>
          <w:color w:val="000000"/>
          <w:sz w:val="20"/>
        </w:rPr>
        <w:t>) to provide clarification as to the effective date.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as amended by ASU 2025-01, is effective for annual reporting periods beginning after December 15, 2026, and interim reporting periods within fiscal years beginning after December 15, 2027. ASU 2024-03 can be applied on a prospective basis. Early adoption is permitted. The Company is currently in the process of evaluating the impact of this pronouncement on its related disclosures.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which modernizes the accounting for internal-use software costs. ASU 2025-06 is effective for annual periods beginning after December 15, 2027, with early adoption permitted as of the beginning of an annual period. The Company is currently in the process of evaluating the impact of this pronouncement on its unaudited interim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3.    Concentrations of credit risk and other risks and uncertainties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4.    Revenue from contracts with customers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depicts the disaggregation of revenue by sales channel mix and customer mix as defined by the nature of workflows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4485"/>
                <wp:effectExtent l="0" t="0" r="0" b="0"/>
                <wp:wrapNone/>
                <wp:docPr id="16" name="Frame1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96"/>
        <w:gridCol w:w="1551"/>
        <w:gridCol w:w="156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9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Sales channel mix</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sales channel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channel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87,059 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Customer mix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Academia and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Biotechnology, pharmaceutical, distributor and contract research organizations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87,059 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geographical markets is presented in Note 20.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Remaining performance obligations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includes estimated revenues expected to be recognized in the future related to performance obligations that are unsatisfied (or partially satisfied) as of June 30, 2026 (in thousands): </w:t>
      </w:r>
    </w:p>
    <w:tbl>
      <w:tblPr>
        <w:tblW w:w="6045" w:type="dxa"/>
        <w:jc w:val="left"/>
        <w:tblInd w:w="0" w:type="dxa"/>
        <w:tblLayout w:type="fixed"/>
        <w:tblCellMar>
          <w:top w:w="28" w:type="dxa"/>
          <w:left w:w="28" w:type="dxa"/>
          <w:bottom w:w="28" w:type="dxa"/>
          <w:right w:w="28" w:type="dxa"/>
        </w:tblCellMar>
      </w:tblPr>
      <w:tblGrid>
        <w:gridCol w:w="521"/>
        <w:gridCol w:w="459"/>
        <w:gridCol w:w="460"/>
        <w:gridCol w:w="261"/>
        <w:gridCol w:w="894"/>
        <w:gridCol w:w="135"/>
        <w:gridCol w:w="109"/>
        <w:gridCol w:w="109"/>
        <w:gridCol w:w="109"/>
        <w:gridCol w:w="319"/>
        <w:gridCol w:w="1091"/>
        <w:gridCol w:w="165"/>
        <w:gridCol w:w="109"/>
        <w:gridCol w:w="109"/>
        <w:gridCol w:w="109"/>
        <w:gridCol w:w="211"/>
        <w:gridCol w:w="72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Greater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29,206 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Contract balances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immaterial amounts of contract assets included within prepaid expenses and other current assets on the unaudited interim consolidated balance sheets. The following table provides information about deferred revenue from contracts with customers, and customer deposits (in thousands): </w:t>
      </w:r>
    </w:p>
    <w:tbl>
      <w:tblPr>
        <w:tblW w:w="7966" w:type="dxa"/>
        <w:jc w:val="left"/>
        <w:tblInd w:w="0" w:type="dxa"/>
        <w:tblLayout w:type="fixed"/>
        <w:tblCellMar>
          <w:top w:w="28" w:type="dxa"/>
          <w:left w:w="28" w:type="dxa"/>
          <w:bottom w:w="28" w:type="dxa"/>
          <w:right w:w="28" w:type="dxa"/>
        </w:tblCellMar>
      </w:tblPr>
      <w:tblGrid>
        <w:gridCol w:w="1977"/>
        <w:gridCol w:w="1738"/>
        <w:gridCol w:w="1744"/>
        <w:gridCol w:w="211"/>
        <w:gridCol w:w="721"/>
        <w:gridCol w:w="109"/>
        <w:gridCol w:w="109"/>
        <w:gridCol w:w="109"/>
        <w:gridCol w:w="109"/>
        <w:gridCol w:w="221"/>
        <w:gridCol w:w="757"/>
        <w:gridCol w:w="161"/>
      </w:tblGrid>
      <w:tr>
        <w:trPr/>
        <w:tc>
          <w:tcPr>
            <w:tcW w:w="197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which are included in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47,912 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provides a roll-forward of the contract liabilities (in thousands): </w:t>
      </w:r>
    </w:p>
    <w:tbl>
      <w:tblPr>
        <w:tblW w:w="3681" w:type="dxa"/>
        <w:jc w:val="left"/>
        <w:tblInd w:w="0" w:type="dxa"/>
        <w:tblLayout w:type="fixed"/>
        <w:tblCellMar>
          <w:top w:w="28" w:type="dxa"/>
          <w:left w:w="28" w:type="dxa"/>
          <w:bottom w:w="28" w:type="dxa"/>
          <w:right w:w="28" w:type="dxa"/>
        </w:tblCellMar>
      </w:tblPr>
      <w:tblGrid>
        <w:gridCol w:w="941"/>
        <w:gridCol w:w="824"/>
        <w:gridCol w:w="830"/>
        <w:gridCol w:w="211"/>
        <w:gridCol w:w="721"/>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Contract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4485"/>
                <wp:effectExtent l="0" t="0" r="0" b="0"/>
                <wp:wrapNone/>
                <wp:docPr id="17" name="Frame1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5.    Balance sheet details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Inventories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inventory (in thousands): </w:t>
      </w:r>
    </w:p>
    <w:tbl>
      <w:tblPr>
        <w:tblW w:w="4022" w:type="dxa"/>
        <w:jc w:val="left"/>
        <w:tblInd w:w="0" w:type="dxa"/>
        <w:tblLayout w:type="fixed"/>
        <w:tblCellMar>
          <w:top w:w="28" w:type="dxa"/>
          <w:left w:w="28" w:type="dxa"/>
          <w:bottom w:w="28" w:type="dxa"/>
          <w:right w:w="28" w:type="dxa"/>
        </w:tblCellMar>
      </w:tblPr>
      <w:tblGrid>
        <w:gridCol w:w="549"/>
        <w:gridCol w:w="481"/>
        <w:gridCol w:w="485"/>
        <w:gridCol w:w="211"/>
        <w:gridCol w:w="721"/>
        <w:gridCol w:w="109"/>
        <w:gridCol w:w="109"/>
        <w:gridCol w:w="109"/>
        <w:gridCol w:w="109"/>
        <w:gridCol w:w="221"/>
        <w:gridCol w:w="757"/>
        <w:gridCol w:w="161"/>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20,442 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48,428 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Prepaid expenses and other current assets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prepaid expenses and other current assets (in thousands): </w:t>
      </w:r>
    </w:p>
    <w:tbl>
      <w:tblPr>
        <w:tblW w:w="6437" w:type="dxa"/>
        <w:jc w:val="left"/>
        <w:tblInd w:w="0" w:type="dxa"/>
        <w:tblLayout w:type="fixed"/>
        <w:tblCellMar>
          <w:top w:w="28" w:type="dxa"/>
          <w:left w:w="28" w:type="dxa"/>
          <w:bottom w:w="28" w:type="dxa"/>
          <w:right w:w="28" w:type="dxa"/>
        </w:tblCellMar>
      </w:tblPr>
      <w:tblGrid>
        <w:gridCol w:w="1423"/>
        <w:gridCol w:w="1248"/>
        <w:gridCol w:w="1259"/>
        <w:gridCol w:w="211"/>
        <w:gridCol w:w="721"/>
        <w:gridCol w:w="109"/>
        <w:gridCol w:w="109"/>
        <w:gridCol w:w="109"/>
        <w:gridCol w:w="109"/>
        <w:gridCol w:w="221"/>
        <w:gridCol w:w="757"/>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refund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accrued expenses (in thousands): </w:t>
      </w:r>
    </w:p>
    <w:tbl>
      <w:tblPr>
        <w:tblW w:w="6122" w:type="dxa"/>
        <w:jc w:val="left"/>
        <w:tblInd w:w="0" w:type="dxa"/>
        <w:tblLayout w:type="fixed"/>
        <w:tblCellMar>
          <w:top w:w="28" w:type="dxa"/>
          <w:left w:w="28" w:type="dxa"/>
          <w:bottom w:w="28" w:type="dxa"/>
          <w:right w:w="28" w:type="dxa"/>
        </w:tblCellMar>
      </w:tblPr>
      <w:tblGrid>
        <w:gridCol w:w="1310"/>
        <w:gridCol w:w="1148"/>
        <w:gridCol w:w="1157"/>
        <w:gridCol w:w="211"/>
        <w:gridCol w:w="721"/>
        <w:gridCol w:w="109"/>
        <w:gridCol w:w="109"/>
        <w:gridCol w:w="109"/>
        <w:gridCol w:w="109"/>
        <w:gridCol w:w="221"/>
        <w:gridCol w:w="757"/>
        <w:gridCol w:w="161"/>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4485"/>
                <wp:effectExtent l="0" t="0" r="0" b="0"/>
                <wp:wrapNone/>
                <wp:docPr id="18" name="Frame1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product warranty analysis refer to Note 18.</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Other current liabilities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other current liabilities (in thousands): </w:t>
      </w:r>
    </w:p>
    <w:tbl>
      <w:tblPr>
        <w:tblW w:w="5927" w:type="dxa"/>
        <w:jc w:val="left"/>
        <w:tblInd w:w="0" w:type="dxa"/>
        <w:tblLayout w:type="fixed"/>
        <w:tblCellMar>
          <w:top w:w="28" w:type="dxa"/>
          <w:left w:w="28" w:type="dxa"/>
          <w:bottom w:w="28" w:type="dxa"/>
          <w:right w:w="28" w:type="dxa"/>
        </w:tblCellMar>
      </w:tblPr>
      <w:tblGrid>
        <w:gridCol w:w="1239"/>
        <w:gridCol w:w="1089"/>
        <w:gridCol w:w="1092"/>
        <w:gridCol w:w="211"/>
        <w:gridCol w:w="721"/>
        <w:gridCol w:w="109"/>
        <w:gridCol w:w="109"/>
        <w:gridCol w:w="109"/>
        <w:gridCol w:w="109"/>
        <w:gridCol w:w="221"/>
        <w:gridCol w:w="757"/>
        <w:gridCol w:w="16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use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loan and line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6.    Fair value of financial instruments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 </w:t>
      </w:r>
    </w:p>
    <w:tbl>
      <w:tblPr>
        <w:tblW w:w="7806"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232,079 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188,561 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06"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transfers of financial assets measured at fair value on a recurring basis to or from Level 1, Level 2 or Level 3 for any of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4485"/>
                <wp:effectExtent l="0" t="0" r="0" b="0"/>
                <wp:wrapNone/>
                <wp:docPr id="19" name="Frame1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7.    Investments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investments in available-for-sale securities by significant investment category reported as short-term as of June 30, 2026 (in thousands):</w:t>
      </w:r>
    </w:p>
    <w:tbl>
      <w:tblPr>
        <w:tblW w:w="10205" w:type="dxa"/>
        <w:jc w:val="left"/>
        <w:tblInd w:w="0" w:type="dxa"/>
        <w:tblLayout w:type="fixed"/>
        <w:tblCellMar>
          <w:top w:w="28" w:type="dxa"/>
          <w:left w:w="28" w:type="dxa"/>
          <w:bottom w:w="28" w:type="dxa"/>
          <w:right w:w="28" w:type="dxa"/>
        </w:tblCellMar>
      </w:tblPr>
      <w:tblGrid>
        <w:gridCol w:w="1064"/>
        <w:gridCol w:w="922"/>
        <w:gridCol w:w="915"/>
        <w:gridCol w:w="227"/>
        <w:gridCol w:w="891"/>
        <w:gridCol w:w="117"/>
        <w:gridCol w:w="109"/>
        <w:gridCol w:w="109"/>
        <w:gridCol w:w="109"/>
        <w:gridCol w:w="635"/>
        <w:gridCol w:w="770"/>
        <w:gridCol w:w="331"/>
        <w:gridCol w:w="109"/>
        <w:gridCol w:w="109"/>
        <w:gridCol w:w="109"/>
        <w:gridCol w:w="441"/>
        <w:gridCol w:w="1024"/>
        <w:gridCol w:w="229"/>
        <w:gridCol w:w="109"/>
        <w:gridCol w:w="109"/>
        <w:gridCol w:w="109"/>
        <w:gridCol w:w="292"/>
        <w:gridCol w:w="1146"/>
        <w:gridCol w:w="220"/>
      </w:tblGrid>
      <w:tr>
        <w:trPr/>
        <w:tc>
          <w:tcPr>
            <w:tcW w:w="10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Gross Unrealized Loss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144,640 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17,845</w:t>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25,673 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188,362 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188,158 </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available-for-sale securities at June 30, 2026 (in thousands):</w:t>
      </w:r>
    </w:p>
    <w:tbl>
      <w:tblPr>
        <w:tblW w:w="5163" w:type="dxa"/>
        <w:jc w:val="left"/>
        <w:tblInd w:w="0" w:type="dxa"/>
        <w:tblLayout w:type="fixed"/>
        <w:tblCellMar>
          <w:top w:w="28" w:type="dxa"/>
          <w:left w:w="28" w:type="dxa"/>
          <w:bottom w:w="28" w:type="dxa"/>
          <w:right w:w="28" w:type="dxa"/>
        </w:tblCellMar>
      </w:tblPr>
      <w:tblGrid>
        <w:gridCol w:w="867"/>
        <w:gridCol w:w="765"/>
        <w:gridCol w:w="768"/>
        <w:gridCol w:w="229"/>
        <w:gridCol w:w="898"/>
        <w:gridCol w:w="118"/>
        <w:gridCol w:w="109"/>
        <w:gridCol w:w="109"/>
        <w:gridCol w:w="109"/>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188,362 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188,362 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188,158 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investments in available-for-sale securities by significant investment category reported as short-term as of December 31, 2025 (in thousands):</w:t>
      </w:r>
    </w:p>
    <w:tbl>
      <w:tblPr>
        <w:tblW w:w="10205" w:type="dxa"/>
        <w:jc w:val="left"/>
        <w:tblInd w:w="0" w:type="dxa"/>
        <w:tblLayout w:type="fixed"/>
        <w:tblCellMar>
          <w:top w:w="28" w:type="dxa"/>
          <w:left w:w="28" w:type="dxa"/>
          <w:bottom w:w="28" w:type="dxa"/>
          <w:right w:w="28" w:type="dxa"/>
        </w:tblCellMar>
      </w:tblPr>
      <w:tblGrid>
        <w:gridCol w:w="1064"/>
        <w:gridCol w:w="923"/>
        <w:gridCol w:w="915"/>
        <w:gridCol w:w="227"/>
        <w:gridCol w:w="891"/>
        <w:gridCol w:w="117"/>
        <w:gridCol w:w="109"/>
        <w:gridCol w:w="109"/>
        <w:gridCol w:w="109"/>
        <w:gridCol w:w="464"/>
        <w:gridCol w:w="1029"/>
        <w:gridCol w:w="243"/>
        <w:gridCol w:w="109"/>
        <w:gridCol w:w="109"/>
        <w:gridCol w:w="109"/>
        <w:gridCol w:w="491"/>
        <w:gridCol w:w="947"/>
        <w:gridCol w:w="255"/>
        <w:gridCol w:w="109"/>
        <w:gridCol w:w="109"/>
        <w:gridCol w:w="109"/>
        <w:gridCol w:w="292"/>
        <w:gridCol w:w="1146"/>
        <w:gridCol w:w="220"/>
      </w:tblGrid>
      <w:tr>
        <w:trPr/>
        <w:tc>
          <w:tcPr>
            <w:tcW w:w="106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Gross Unrealized Loss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132,975 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133,097 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23,182 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170,536 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170,676 </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available-for-sale securities at December 31, 2025 (in thousands):</w:t>
      </w:r>
    </w:p>
    <w:tbl>
      <w:tblPr>
        <w:tblW w:w="5163" w:type="dxa"/>
        <w:jc w:val="left"/>
        <w:tblInd w:w="0" w:type="dxa"/>
        <w:tblLayout w:type="fixed"/>
        <w:tblCellMar>
          <w:top w:w="28" w:type="dxa"/>
          <w:left w:w="28" w:type="dxa"/>
          <w:bottom w:w="28" w:type="dxa"/>
          <w:right w:w="28" w:type="dxa"/>
        </w:tblCellMar>
      </w:tblPr>
      <w:tblGrid>
        <w:gridCol w:w="867"/>
        <w:gridCol w:w="765"/>
        <w:gridCol w:w="768"/>
        <w:gridCol w:w="229"/>
        <w:gridCol w:w="898"/>
        <w:gridCol w:w="118"/>
        <w:gridCol w:w="109"/>
        <w:gridCol w:w="109"/>
        <w:gridCol w:w="109"/>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170,536 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170,676 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170,536 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170,676 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4485"/>
                <wp:effectExtent l="0" t="0" r="0" b="0"/>
                <wp:wrapNone/>
                <wp:docPr id="20" name="Frame2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8.    Property and equipment, net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property and equipment, net (in thousands): </w:t>
      </w:r>
    </w:p>
    <w:tbl>
      <w:tblPr>
        <w:tblW w:w="5191" w:type="dxa"/>
        <w:jc w:val="left"/>
        <w:tblInd w:w="0" w:type="dxa"/>
        <w:tblLayout w:type="fixed"/>
        <w:tblCellMar>
          <w:top w:w="28" w:type="dxa"/>
          <w:left w:w="28" w:type="dxa"/>
          <w:bottom w:w="28" w:type="dxa"/>
          <w:right w:w="28" w:type="dxa"/>
        </w:tblCellMar>
      </w:tblPr>
      <w:tblGrid>
        <w:gridCol w:w="972"/>
        <w:gridCol w:w="854"/>
        <w:gridCol w:w="858"/>
        <w:gridCol w:w="211"/>
        <w:gridCol w:w="721"/>
        <w:gridCol w:w="109"/>
        <w:gridCol w:w="109"/>
        <w:gridCol w:w="109"/>
        <w:gridCol w:w="109"/>
        <w:gridCol w:w="221"/>
        <w:gridCol w:w="757"/>
        <w:gridCol w:w="16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30,143 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(12,134)</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depreciation expense for the three and six months ended June 30, 2026 was $1.1 million and $2.1 million, respectively. Total depreciation expense for the three and six months ended June 30, 2025 was $1.0 million and $1.9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9.    Goodwill and intangible assets,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intangible assets, net (in thousands):</w:t>
      </w:r>
    </w:p>
    <w:tbl>
      <w:tblPr>
        <w:tblW w:w="5207" w:type="dxa"/>
        <w:jc w:val="left"/>
        <w:tblInd w:w="0" w:type="dxa"/>
        <w:tblLayout w:type="fixed"/>
        <w:tblCellMar>
          <w:top w:w="28" w:type="dxa"/>
          <w:left w:w="28" w:type="dxa"/>
          <w:bottom w:w="28" w:type="dxa"/>
          <w:right w:w="28" w:type="dxa"/>
        </w:tblCellMar>
      </w:tblPr>
      <w:tblGrid>
        <w:gridCol w:w="976"/>
        <w:gridCol w:w="859"/>
        <w:gridCol w:w="865"/>
        <w:gridCol w:w="211"/>
        <w:gridCol w:w="721"/>
        <w:gridCol w:w="109"/>
        <w:gridCol w:w="109"/>
        <w:gridCol w:w="109"/>
        <w:gridCol w:w="109"/>
        <w:gridCol w:w="221"/>
        <w:gridCol w:w="757"/>
        <w:gridCol w:w="161"/>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Patents and trademarks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IP license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Reagent license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 use right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28,887 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Total amortization expense for the three and six months ended June 30, 2026 was approximately $0.9 million and</w:t>
      </w:r>
      <w:r>
        <w:rPr>
          <w:color w:val="000000"/>
          <w:shd w:fill="FFFFFF" w:val="clear"/>
        </w:rPr>
        <w:t xml:space="preserve"> </w:t>
      </w:r>
      <w:r>
        <w:rPr>
          <w:rFonts w:ascii="Times New Roman;serif" w:hAnsi="Times New Roman;serif"/>
          <w:b w:val="false"/>
          <w:color w:val="000000"/>
          <w:sz w:val="20"/>
        </w:rPr>
        <w:t>$1.8 million</w:t>
      </w:r>
      <w:r>
        <w:rPr>
          <w:rFonts w:ascii="Times New Roman;serif" w:hAnsi="Times New Roman;serif"/>
          <w:b w:val="false"/>
          <w:color w:val="000000"/>
          <w:sz w:val="20"/>
          <w:shd w:fill="FFFFFF" w:val="clear"/>
        </w:rPr>
        <w:t xml:space="preserve">, respectively. Total amortization expense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was approximately </w:t>
      </w:r>
      <w:r>
        <w:rPr>
          <w:rFonts w:ascii="Times New Roman;serif" w:hAnsi="Times New Roman;serif"/>
          <w:b w:val="false"/>
          <w:color w:val="000000"/>
          <w:sz w:val="20"/>
        </w:rPr>
        <w:t>$0.9</w:t>
      </w:r>
      <w:r>
        <w:rPr>
          <w:color w:val="000000"/>
          <w:shd w:fill="FFFFFF" w:val="clear"/>
        </w:rPr>
        <w:t xml:space="preserve"> </w:t>
      </w:r>
      <w:r>
        <w:rPr>
          <w:rFonts w:ascii="Times New Roman;serif" w:hAnsi="Times New Roman;serif"/>
          <w:b w:val="false"/>
          <w:color w:val="000000"/>
          <w:sz w:val="20"/>
          <w:shd w:fill="FFFFFF" w:val="clear"/>
        </w:rPr>
        <w:t xml:space="preserve">million and </w:t>
      </w:r>
      <w:r>
        <w:rPr>
          <w:rFonts w:ascii="Times New Roman;serif" w:hAnsi="Times New Roman;serif"/>
          <w:b w:val="false"/>
          <w:color w:val="000000"/>
          <w:sz w:val="20"/>
        </w:rPr>
        <w:t>$1.9</w:t>
      </w:r>
      <w:r>
        <w:rPr>
          <w:color w:val="000000"/>
          <w:shd w:fill="FFFFFF" w:val="clear"/>
        </w:rPr>
        <w:t xml:space="preserve"> </w:t>
      </w:r>
      <w:r>
        <w:rPr>
          <w:rFonts w:ascii="Times New Roman;serif" w:hAnsi="Times New Roman;serif"/>
          <w:b w:val="false"/>
          <w:color w:val="000000"/>
          <w:sz w:val="20"/>
          <w:shd w:fill="FFFFFF" w:val="clear"/>
        </w:rPr>
        <w:t>million, respectively. During the</w:t>
      </w:r>
      <w:r>
        <w:rPr>
          <w:color w:val="000000"/>
        </w:rPr>
        <w:t xml:space="preserve"> </w:t>
      </w:r>
      <w:r>
        <w:rPr>
          <w:rFonts w:ascii="Times New Roman;serif" w:hAnsi="Times New Roman;serif"/>
          <w:b w:val="false"/>
          <w:color w:val="000000"/>
          <w:sz w:val="20"/>
        </w:rPr>
        <w:t>three and six months ended June 30, 2026, there were no additions to goodwill, the only changes were minor foreign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10.    </w:t>
      </w:r>
      <w:r>
        <w:rPr>
          <w:rFonts w:ascii="Times New Roman;serif" w:hAnsi="Times New Roman;serif"/>
          <w:b/>
          <w:color w:val="000000"/>
          <w:sz w:val="20"/>
          <w:shd w:fill="FFFFFF" w:val="clear"/>
        </w:rPr>
        <w:t xml:space="preserve">Legal settlement liability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4485"/>
                <wp:effectExtent l="0" t="0" r="0" b="0"/>
                <wp:wrapNone/>
                <wp:docPr id="21" name="Frame2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and $0.4 million of interest expense for the three and six months ended June 30, 2026, respectively, and $0.3 million and $0.5 million of interest expense for the three and six months ended June 2025,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unaudited interim consolidated balance sheets of $8.7 million and $9.3 million as of June 30, 2026 and December 31, 2025,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the legal settlement liability (in thousands):</w:t>
      </w:r>
    </w:p>
    <w:tbl>
      <w:tblPr>
        <w:tblW w:w="4997" w:type="dxa"/>
        <w:jc w:val="left"/>
        <w:tblInd w:w="0" w:type="dxa"/>
        <w:tblLayout w:type="fixed"/>
        <w:tblCellMar>
          <w:top w:w="28" w:type="dxa"/>
          <w:left w:w="28" w:type="dxa"/>
          <w:bottom w:w="28" w:type="dxa"/>
          <w:right w:w="28" w:type="dxa"/>
        </w:tblCellMar>
      </w:tblPr>
      <w:tblGrid>
        <w:gridCol w:w="937"/>
        <w:gridCol w:w="823"/>
        <w:gridCol w:w="834"/>
        <w:gridCol w:w="211"/>
        <w:gridCol w:w="616"/>
        <w:gridCol w:w="109"/>
        <w:gridCol w:w="109"/>
        <w:gridCol w:w="109"/>
        <w:gridCol w:w="109"/>
        <w:gridCol w:w="245"/>
        <w:gridCol w:w="716"/>
        <w:gridCol w:w="179"/>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legal settlement liability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June 30, 2026, the total outstanding loan amount is</w:t>
      </w:r>
      <w:r>
        <w:rPr>
          <w:color w:val="000000"/>
          <w:shd w:fill="FFFFFF" w:val="clear"/>
        </w:rPr>
        <w:t xml:space="preserve"> </w:t>
      </w:r>
      <w:r>
        <w:rPr>
          <w:rFonts w:ascii="Times New Roman;serif" w:hAnsi="Times New Roman;serif"/>
          <w:b w:val="false"/>
          <w:color w:val="000000"/>
          <w:sz w:val="20"/>
          <w:shd w:fill="FFFFFF" w:val="clear"/>
        </w:rPr>
        <w:t>$0.8 million</w:t>
      </w:r>
      <w:r>
        <w:rPr>
          <w:rFonts w:ascii="Times New Roman;serif" w:hAnsi="Times New Roman;serif"/>
          <w:b w:val="false"/>
          <w:color w:val="000000"/>
          <w:sz w:val="20"/>
        </w:rPr>
        <w:t xml:space="preserve">. The current portion of the loan, </w:t>
      </w:r>
      <w:r>
        <w:rPr>
          <w:rFonts w:ascii="Times New Roman;serif" w:hAnsi="Times New Roman;serif"/>
          <w:b w:val="false"/>
          <w:color w:val="000000"/>
          <w:sz w:val="20"/>
          <w:shd w:fill="FFFFFF" w:val="clear"/>
        </w:rPr>
        <w:t>$0.6 million</w:t>
      </w:r>
      <w:r>
        <w:rPr>
          <w:rFonts w:ascii="Times New Roman;serif" w:hAnsi="Times New Roman;serif"/>
          <w:b w:val="false"/>
          <w:color w:val="000000"/>
          <w:sz w:val="20"/>
        </w:rPr>
        <w:t>, is included in other current liabilities. As of June 30, 2026, the interest rate on the loan was 3.7%, which is based on the five-year Loan Prime Rate (LPR) plus a margin of 0.2%.</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October 24, 2024, the Company signed a maximum credit agreement with the Bank of China, Wuxi Branch (the “Bank of China Maximum Credit Agreement”), for 37 million Chinese renminbi (approximately US $5.2 million), which was renewed on August 26, 2025. This credit is collateralized by Cytek Wuxi’s cash deposit to the bank. The 37 million Chinese renminbi (approximately US $5.2 million) can be borrowed, as needed, as a short-term loan for normal business operation requirements. Under the renewed Bank of China Maximum Credit Agreement, the line of credit is available until August 14, 2026. During the fourth quarter of 2024, the Company withdrew 20 million Chinese renminbi (approximately US $2.8 million) to support its operational needs. </w:t>
      </w:r>
      <w:r>
        <w:rPr>
          <w:rFonts w:ascii="Times New Roman;serif" w:hAnsi="Times New Roman;serif"/>
          <w:b w:val="false"/>
          <w:color w:val="000000"/>
          <w:sz w:val="20"/>
          <w:shd w:fill="FFFFFF" w:val="clear"/>
        </w:rPr>
        <w:t xml:space="preserve">During the third quarter of 2025, the Company withdrew </w:t>
      </w:r>
      <w:r>
        <w:rPr>
          <w:rFonts w:ascii="Times New Roman;serif" w:hAnsi="Times New Roman;serif"/>
          <w:b w:val="false"/>
          <w:color w:val="000000"/>
          <w:sz w:val="20"/>
        </w:rPr>
        <w:t>15</w:t>
      </w:r>
      <w:r>
        <w:rPr>
          <w:color w:val="000000"/>
          <w:shd w:fill="FFFFFF" w:val="clear"/>
        </w:rPr>
        <w:t xml:space="preserve"> </w:t>
      </w:r>
      <w:r>
        <w:rPr>
          <w:rFonts w:ascii="Times New Roman;serif" w:hAnsi="Times New Roman;serif"/>
          <w:b w:val="false"/>
          <w:color w:val="000000"/>
          <w:sz w:val="20"/>
          <w:shd w:fill="FFFFFF" w:val="clear"/>
        </w:rPr>
        <w:t xml:space="preserve">million Chinese renminbi (approximately US </w:t>
      </w:r>
      <w:r>
        <w:rPr>
          <w:rFonts w:ascii="Times New Roman;serif" w:hAnsi="Times New Roman;serif"/>
          <w:b w:val="false"/>
          <w:color w:val="000000"/>
          <w:sz w:val="20"/>
        </w:rPr>
        <w:t>$2.1</w:t>
      </w:r>
      <w:r>
        <w:rPr>
          <w:color w:val="000000"/>
          <w:shd w:fill="FFFFFF" w:val="clear"/>
        </w:rPr>
        <w:t xml:space="preserve"> </w:t>
      </w:r>
      <w:r>
        <w:rPr>
          <w:rFonts w:ascii="Times New Roman;serif" w:hAnsi="Times New Roman;serif"/>
          <w:b w:val="false"/>
          <w:color w:val="000000"/>
          <w:sz w:val="20"/>
          <w:shd w:fill="FFFFFF" w:val="clear"/>
        </w:rPr>
        <w:t xml:space="preserve">million) to support its operational needs. During the fourth quarter of 2025, the Company repaid the short-term loan of </w:t>
      </w:r>
      <w:r>
        <w:rPr>
          <w:rFonts w:ascii="Times New Roman;serif" w:hAnsi="Times New Roman;serif"/>
          <w:b w:val="false"/>
          <w:color w:val="000000"/>
          <w:sz w:val="20"/>
        </w:rPr>
        <w:t>20 million Chinese renminbi (approximately US $2.8 million) and withdrew 10 million Chinese renminbi (approximately US $1.4 million). I</w:t>
      </w:r>
      <w:r>
        <w:rPr>
          <w:rFonts w:ascii="Times New Roman;serif" w:hAnsi="Times New Roman;serif"/>
          <w:b w:val="false"/>
          <w:color w:val="000000"/>
          <w:sz w:val="20"/>
          <w:shd w:fill="FFFFFF" w:val="clear"/>
        </w:rPr>
        <w:t>n January 2026, the Company withdrew</w:t>
      </w:r>
      <w:r>
        <w:rPr>
          <w:color w:val="000000"/>
        </w:rPr>
        <w:t xml:space="preserve"> </w:t>
      </w:r>
      <w:r>
        <w:rPr>
          <w:rFonts w:ascii="Times New Roman;serif" w:hAnsi="Times New Roman;serif"/>
          <w:b w:val="false"/>
          <w:color w:val="000000"/>
          <w:sz w:val="20"/>
        </w:rPr>
        <w:t xml:space="preserve">10 million Chinese renminbi (approximately US $1.4 million) to support its operational needs. </w:t>
      </w:r>
      <w:r>
        <w:rPr>
          <w:rFonts w:ascii="Times New Roman;serif" w:hAnsi="Times New Roman;serif"/>
          <w:b w:val="false"/>
          <w:color w:val="000000"/>
          <w:sz w:val="20"/>
          <w:shd w:fill="FFFFFF" w:val="clear"/>
        </w:rPr>
        <w:t xml:space="preserve">The remaining available credit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2</w:t>
      </w:r>
      <w:r>
        <w:rPr>
          <w:color w:val="000000"/>
          <w:shd w:fill="FFFFFF" w:val="clear"/>
        </w:rPr>
        <w:t xml:space="preserve"> </w:t>
      </w:r>
      <w:r>
        <w:rPr>
          <w:rFonts w:ascii="Times New Roman;serif" w:hAnsi="Times New Roman;serif"/>
          <w:b w:val="false"/>
          <w:color w:val="000000"/>
          <w:sz w:val="20"/>
          <w:shd w:fill="FFFFFF" w:val="clear"/>
        </w:rPr>
        <w:t xml:space="preserve">million Chinese renminbi (approximately US </w:t>
      </w:r>
      <w:r>
        <w:rPr>
          <w:rFonts w:ascii="Times New Roman;serif" w:hAnsi="Times New Roman;serif"/>
          <w:b w:val="false"/>
          <w:color w:val="000000"/>
          <w:sz w:val="20"/>
        </w:rPr>
        <w:t>$0.3</w:t>
      </w:r>
      <w:r>
        <w:rPr>
          <w:color w:val="000000"/>
          <w:shd w:fill="FFFFFF" w:val="clear"/>
        </w:rPr>
        <w:t xml:space="preserve"> </w:t>
      </w:r>
      <w:r>
        <w:rPr>
          <w:rFonts w:ascii="Times New Roman;serif" w:hAnsi="Times New Roman;serif"/>
          <w:b w:val="false"/>
          <w:color w:val="000000"/>
          <w:sz w:val="20"/>
          <w:shd w:fill="FFFFFF" w:val="clear"/>
        </w:rPr>
        <w:t xml:space="preserve">million). The total loan amount of </w:t>
      </w:r>
      <w:r>
        <w:rPr>
          <w:rFonts w:ascii="Times New Roman;serif" w:hAnsi="Times New Roman;serif"/>
          <w:b w:val="false"/>
          <w:color w:val="000000"/>
          <w:sz w:val="20"/>
        </w:rPr>
        <w:t xml:space="preserve">37 </w:t>
      </w:r>
      <w:r>
        <w:rPr>
          <w:rFonts w:ascii="Times New Roman;serif" w:hAnsi="Times New Roman;serif"/>
          <w:b w:val="false"/>
          <w:color w:val="000000"/>
          <w:sz w:val="20"/>
          <w:shd w:fill="FFFFFF" w:val="clear"/>
        </w:rPr>
        <w:t xml:space="preserve">million Chinese renminbi (approximately US </w:t>
      </w:r>
      <w:r>
        <w:rPr>
          <w:rFonts w:ascii="Times New Roman;serif" w:hAnsi="Times New Roman;serif"/>
          <w:b w:val="false"/>
          <w:color w:val="000000"/>
          <w:sz w:val="20"/>
        </w:rPr>
        <w:t>$5.2 million</w:t>
      </w:r>
      <w:r>
        <w:rPr>
          <w:rFonts w:ascii="Times New Roman;serif" w:hAnsi="Times New Roman;serif"/>
          <w:b w:val="false"/>
          <w:color w:val="000000"/>
          <w:sz w:val="20"/>
          <w:shd w:fill="FFFFFF" w:val="clear"/>
        </w:rPr>
        <w:t>) is included in other current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2025, Cytek (Shanghai) Biosciences Co., Ltd. signed a maximum credit agreement with the Bank of Ningbo for 10 million Chinese renminbi (approximately US $1.4 million). Collateral for the credit was provided to the bank by Cytek Wuxi. In January and March of 2025, Cytek (Shanghai) Biosciences Co., Ltd. withdrew 2.0 million Chinese renminbi (approximately US $0.3 million) and 3.0 million Chinese renminbi (approximately US $0.5 million), respectively, to support its operational needs. The interest rate was at 3.1% and 2.55%, respectively, and the lines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4485"/>
                <wp:effectExtent l="0" t="0" r="0" b="0"/>
                <wp:wrapNone/>
                <wp:docPr id="22" name="Frame2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are due on January 9 and March 3, 2026, respectively. In January and March 2026, the Company repaid 2.0 million Chinese renminbi (approximately US $0.3 million) and 3.0 million Chinese renminbi (approximately US $0.5 million) to the Bank of Ningbo, renewed its maximum credit agreement with the Bank of Ningbo for 10 million Chinese renminbi (approximately US $1.4 million), and withdrew 10 million Chinese renminbi (approximately US $1.4 million) to support its operational needs. The total loan amount of 10 million Chinese renminbi (approximately US $1.4 million) is included in other current liabilities.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June 11, 2025</w:t>
      </w:r>
      <w:r>
        <w:rPr>
          <w:rFonts w:ascii="Times New Roman;serif" w:hAnsi="Times New Roman;serif"/>
          <w:b w:val="false"/>
          <w:color w:val="000000"/>
          <w:sz w:val="20"/>
          <w:shd w:fill="FFFFFF" w:val="clear"/>
        </w:rPr>
        <w:t xml:space="preserve">, Cytek Wuxi entered into a </w:t>
      </w:r>
      <w:r>
        <w:rPr>
          <w:rFonts w:ascii="Times New Roman;serif" w:hAnsi="Times New Roman;serif"/>
          <w:b w:val="false"/>
          <w:color w:val="000000"/>
          <w:sz w:val="20"/>
        </w:rPr>
        <w:t xml:space="preserve">one-year </w:t>
      </w:r>
      <w:r>
        <w:rPr>
          <w:rFonts w:ascii="Times New Roman;serif" w:hAnsi="Times New Roman;serif"/>
          <w:b w:val="false"/>
          <w:color w:val="000000"/>
          <w:sz w:val="20"/>
          <w:shd w:fill="FFFFFF" w:val="clear"/>
        </w:rPr>
        <w:t xml:space="preserve">loan agreement with Bank of Communications, China. The loan was denominated in Chinese renminbi and collateralized by the building purchased by Cytek Wuxi in November 2023. The total loan amount was 10 million Chinese renminbi (approximately US $1.4 million) and the interest rate was fixed at </w:t>
      </w:r>
      <w:r>
        <w:rPr>
          <w:rFonts w:ascii="Times New Roman;serif" w:hAnsi="Times New Roman;serif"/>
          <w:b w:val="false"/>
          <w:color w:val="000000"/>
          <w:sz w:val="20"/>
        </w:rPr>
        <w:t>2.8%</w:t>
      </w:r>
      <w:r>
        <w:rPr>
          <w:rFonts w:ascii="Times New Roman;serif" w:hAnsi="Times New Roman;serif"/>
          <w:b w:val="false"/>
          <w:color w:val="000000"/>
          <w:sz w:val="20"/>
          <w:shd w:fill="FFFFFF" w:val="clear"/>
        </w:rPr>
        <w:t xml:space="preserve">. The loan had an effective term from </w:t>
      </w:r>
      <w:r>
        <w:rPr>
          <w:rFonts w:ascii="Times New Roman;serif" w:hAnsi="Times New Roman;serif"/>
          <w:b w:val="false"/>
          <w:color w:val="000000"/>
          <w:sz w:val="20"/>
        </w:rPr>
        <w:t>June 11, 2025</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June 10, 2026</w:t>
      </w:r>
      <w:r>
        <w:rPr>
          <w:rFonts w:ascii="Times New Roman;serif" w:hAnsi="Times New Roman;serif"/>
          <w:b w:val="false"/>
          <w:color w:val="000000"/>
          <w:sz w:val="20"/>
          <w:shd w:fill="FFFFFF" w:val="clear"/>
        </w:rPr>
        <w:t>. The interest expenses was paid on a monthly basis. The loan was used for operating expenses. The total loan balance of 10 million Chinese renminbi (approximately $1.4 million) was fully repaid during the second quarter of 2026.</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February 9, 2026, Cytek Wuxi entered into a </w:t>
      </w:r>
      <w:r>
        <w:rPr>
          <w:rFonts w:ascii="Times New Roman;serif" w:hAnsi="Times New Roman;serif"/>
          <w:b w:val="false"/>
          <w:color w:val="000000"/>
          <w:sz w:val="20"/>
        </w:rPr>
        <w:t xml:space="preserve">one-year </w:t>
      </w:r>
      <w:r>
        <w:rPr>
          <w:rFonts w:ascii="Times New Roman;serif" w:hAnsi="Times New Roman;serif"/>
          <w:b w:val="false"/>
          <w:color w:val="000000"/>
          <w:sz w:val="20"/>
          <w:shd w:fill="FFFFFF" w:val="clear"/>
        </w:rPr>
        <w:t xml:space="preserve">loan agreement with China Construction Bank Corporation, Wuxi Branch for </w:t>
      </w:r>
      <w:r>
        <w:rPr>
          <w:rFonts w:ascii="Times New Roman;serif" w:hAnsi="Times New Roman;serif"/>
          <w:b w:val="false"/>
          <w:color w:val="000000"/>
          <w:sz w:val="20"/>
        </w:rPr>
        <w:t xml:space="preserve">15 million </w:t>
      </w:r>
      <w:r>
        <w:rPr>
          <w:rFonts w:ascii="Times New Roman;serif" w:hAnsi="Times New Roman;serif"/>
          <w:b w:val="false"/>
          <w:color w:val="000000"/>
          <w:sz w:val="20"/>
          <w:shd w:fill="FFFFFF" w:val="clear"/>
        </w:rPr>
        <w:t xml:space="preserve">Chinese renminbi (approximately US </w:t>
      </w:r>
      <w:r>
        <w:rPr>
          <w:rFonts w:ascii="Times New Roman;serif" w:hAnsi="Times New Roman;serif"/>
          <w:b w:val="false"/>
          <w:color w:val="000000"/>
          <w:sz w:val="20"/>
        </w:rPr>
        <w:t>$2.2 million</w:t>
      </w:r>
      <w:r>
        <w:rPr>
          <w:rFonts w:ascii="Times New Roman;serif" w:hAnsi="Times New Roman;serif"/>
          <w:b w:val="false"/>
          <w:color w:val="000000"/>
          <w:sz w:val="20"/>
          <w:shd w:fill="FFFFFF" w:val="clear"/>
        </w:rPr>
        <w:t xml:space="preserve">) at a fixed interest rate of </w:t>
      </w:r>
      <w:r>
        <w:rPr>
          <w:rFonts w:ascii="Times New Roman;serif" w:hAnsi="Times New Roman;serif"/>
          <w:b w:val="false"/>
          <w:color w:val="000000"/>
          <w:sz w:val="20"/>
        </w:rPr>
        <w:t xml:space="preserve">2.5%, with interest payable monthly. The total loan amount of 15 million Chinese renminbi (approximately US $2.2 million) is included in other current liabilities. </w:t>
      </w:r>
      <w:r>
        <w:rPr>
          <w:rFonts w:ascii="Times New Roman;serif" w:hAnsi="Times New Roman;serif"/>
          <w:b w:val="false"/>
          <w:color w:val="000000"/>
          <w:sz w:val="20"/>
          <w:shd w:fill="FFFFFF" w:val="clear"/>
        </w:rPr>
        <w:t xml:space="preserve">The loan matures on </w:t>
      </w:r>
      <w:r>
        <w:rPr>
          <w:rFonts w:ascii="Times New Roman;serif" w:hAnsi="Times New Roman;serif"/>
          <w:b w:val="false"/>
          <w:color w:val="000000"/>
          <w:sz w:val="20"/>
        </w:rPr>
        <w:t>February 9, 2027 and is used to pay operating expenses.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12.    Common stock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As of June 30, 2026, </w:t>
      </w:r>
      <w:r>
        <w:rPr>
          <w:rFonts w:ascii="Times New Roman;serif" w:hAnsi="Times New Roman;serif"/>
          <w:b w:val="false"/>
          <w:color w:val="000000"/>
          <w:sz w:val="20"/>
        </w:rPr>
        <w:t>the Company has authorized 1,000,000,000 shares of common stock at $0.001 par value. Holders of common stock are entitled to one vote per share, and to receive dividends, only and if declared by the Company’s Board of Directors (the “Board”)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13.    Stock-based compensation plan </w:t>
      </w:r>
    </w:p>
    <w:p>
      <w:pPr>
        <w:pStyle w:val="TextBody"/>
        <w:bidi w:val="0"/>
        <w:spacing w:lineRule="auto" w:line="288" w:before="120" w:after="283"/>
        <w:jc w:val="both"/>
        <w:rPr/>
      </w:pPr>
      <w:r>
        <w:rPr>
          <w:rFonts w:ascii="Times New Roman;serif" w:hAnsi="Times New Roman;serif"/>
          <w:b w:val="false"/>
          <w:i/>
          <w:color w:val="000000"/>
          <w:sz w:val="20"/>
        </w:rPr>
        <w:t>Stock Plans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three stock-based compensation plans (the “Plans”) which are described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2015 Equity Incentive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2015, the Board approved the 2015 Equity Incentive Plan (the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2021 Equity Incentive Plan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June 30, 2026, the total number of shares of common stock available for issuance under the 2021 Plan was </w:t>
      </w:r>
      <w:r>
        <w:rPr>
          <w:rFonts w:ascii="Times New Roman;serif" w:hAnsi="Times New Roman;serif"/>
          <w:b w:val="false"/>
          <w:color w:val="000000"/>
          <w:sz w:val="20"/>
          <w:shd w:fill="FFFFFF" w:val="clear"/>
        </w:rPr>
        <w:t>24,603,627</w:t>
      </w:r>
      <w:r>
        <w:rPr>
          <w:color w:val="000000"/>
        </w:rPr>
        <w:t xml:space="preserve"> </w:t>
      </w:r>
      <w:r>
        <w:rPr>
          <w:rFonts w:ascii="Times New Roman;serif" w:hAnsi="Times New Roman;serif"/>
          <w:b w:val="false"/>
          <w:color w:val="000000"/>
          <w:sz w:val="20"/>
        </w:rPr>
        <w:t>shares.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2021 Employee Stock Purchase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4485"/>
                <wp:effectExtent l="0" t="0" r="0" b="0"/>
                <wp:wrapNone/>
                <wp:docPr id="23" name="Frame2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number of shares determined by the Board. As of June 30, 2026, the total number of shares of common stock available for issuance under the ESPP was </w:t>
      </w:r>
      <w:r>
        <w:rPr>
          <w:rFonts w:ascii="Times New Roman;serif" w:hAnsi="Times New Roman;serif"/>
          <w:b w:val="false"/>
          <w:color w:val="000000"/>
          <w:sz w:val="20"/>
          <w:shd w:fill="FFFFFF" w:val="clear"/>
        </w:rPr>
        <w:t xml:space="preserve">7,014,728 </w:t>
      </w:r>
      <w:r>
        <w:rPr>
          <w:rFonts w:ascii="Times New Roman;serif" w:hAnsi="Times New Roman;serif"/>
          <w:b w:val="false"/>
          <w:color w:val="000000"/>
          <w:sz w:val="20"/>
        </w:rPr>
        <w:t>shares.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 valuation assumptions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stock option activity during the periods indicated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759"/>
        <w:gridCol w:w="612"/>
        <w:gridCol w:w="616"/>
        <w:gridCol w:w="638"/>
        <w:gridCol w:w="521"/>
        <w:gridCol w:w="522"/>
        <w:gridCol w:w="109"/>
        <w:gridCol w:w="109"/>
        <w:gridCol w:w="109"/>
        <w:gridCol w:w="472"/>
        <w:gridCol w:w="1146"/>
        <w:gridCol w:w="245"/>
        <w:gridCol w:w="109"/>
        <w:gridCol w:w="109"/>
        <w:gridCol w:w="109"/>
        <w:gridCol w:w="764"/>
        <w:gridCol w:w="764"/>
        <w:gridCol w:w="765"/>
        <w:gridCol w:w="109"/>
        <w:gridCol w:w="109"/>
        <w:gridCol w:w="109"/>
        <w:gridCol w:w="300"/>
        <w:gridCol w:w="876"/>
        <w:gridCol w:w="224"/>
      </w:tblGrid>
      <w:tr>
        <w:trPr/>
        <w:tc>
          <w:tcPr>
            <w:tcW w:w="75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Number of options outstanding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6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9,140,164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(301,487)</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6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10,054,110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June 30, 2026</w:t>
            </w:r>
          </w:p>
        </w:tc>
        <w:tc>
          <w:tcPr>
            <w:tcW w:w="168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6,549,013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4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2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granted during the three months ended June 30, 2026 and 2025 was $2.48 and $1.89 per share, respectively. The weighted-average grant date fair value of options granted during the six months ended June 30, 2026 and 2025 was $2.64 and $2.67 per share, respectively.</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$10.8 million of unrecognized stock-based compensation expense related to unvested stock options as of June 30, 2026. The unrecognized stock-based compensation expense is estimated to be recognized over a weighted-average period of 2.56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is calculated as the difference between the exercise price and the estimated fair value of the Company’s common stock as of June 30, 2026.</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RSU Awards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RSU awards activity during the periods indicated: </w:t>
      </w:r>
    </w:p>
    <w:tbl>
      <w:tblPr>
        <w:tblW w:w="10205" w:type="dxa"/>
        <w:jc w:val="left"/>
        <w:tblInd w:w="0" w:type="dxa"/>
        <w:tblLayout w:type="fixed"/>
        <w:tblCellMar>
          <w:top w:w="28" w:type="dxa"/>
          <w:left w:w="28" w:type="dxa"/>
          <w:bottom w:w="28" w:type="dxa"/>
          <w:right w:w="28" w:type="dxa"/>
        </w:tblCellMar>
      </w:tblPr>
      <w:tblGrid>
        <w:gridCol w:w="646"/>
        <w:gridCol w:w="567"/>
        <w:gridCol w:w="571"/>
        <w:gridCol w:w="334"/>
        <w:gridCol w:w="334"/>
        <w:gridCol w:w="341"/>
        <w:gridCol w:w="109"/>
        <w:gridCol w:w="109"/>
        <w:gridCol w:w="109"/>
        <w:gridCol w:w="566"/>
        <w:gridCol w:w="1376"/>
        <w:gridCol w:w="294"/>
        <w:gridCol w:w="109"/>
        <w:gridCol w:w="109"/>
        <w:gridCol w:w="109"/>
        <w:gridCol w:w="805"/>
        <w:gridCol w:w="805"/>
        <w:gridCol w:w="806"/>
        <w:gridCol w:w="109"/>
        <w:gridCol w:w="109"/>
        <w:gridCol w:w="109"/>
        <w:gridCol w:w="343"/>
        <w:gridCol w:w="1176"/>
        <w:gridCol w:w="260"/>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December 31, 2025</w:t>
            </w:r>
          </w:p>
        </w:tc>
        <w:tc>
          <w:tcPr>
            <w:tcW w:w="1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4,567,103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23,064 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3,617,814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June 30, 2026</w:t>
            </w:r>
          </w:p>
        </w:tc>
        <w:tc>
          <w:tcPr>
            <w:tcW w:w="10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6,522,881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$30.2 million of unrecognized stock-based compensation expense related to unvested RSU awards. The unrecognized stock-based compensation expense is estimated to be recognized over a weighted-average period of 2.92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4485"/>
                <wp:effectExtent l="0" t="0" r="0" b="0"/>
                <wp:wrapNone/>
                <wp:docPr id="24" name="Frame2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expense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allocation of stock-based compensation expense related to the Company’s stock-based awards (in thousands): </w:t>
      </w:r>
    </w:p>
    <w:tbl>
      <w:tblPr>
        <w:tblW w:w="7788" w:type="dxa"/>
        <w:jc w:val="left"/>
        <w:tblInd w:w="0" w:type="dxa"/>
        <w:tblLayout w:type="fixed"/>
        <w:tblCellMar>
          <w:top w:w="28" w:type="dxa"/>
          <w:left w:w="28" w:type="dxa"/>
          <w:bottom w:w="28" w:type="dxa"/>
          <w:right w:w="28" w:type="dxa"/>
        </w:tblCellMar>
      </w:tblPr>
      <w:tblGrid>
        <w:gridCol w:w="993"/>
        <w:gridCol w:w="868"/>
        <w:gridCol w:w="884"/>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weighted-average valuation assumptions used in determining the fair value of employee stock options: </w:t>
      </w:r>
    </w:p>
    <w:tbl>
      <w:tblPr>
        <w:tblW w:w="7021" w:type="dxa"/>
        <w:jc w:val="left"/>
        <w:tblInd w:w="0" w:type="dxa"/>
        <w:tblLayout w:type="fixed"/>
        <w:tblCellMar>
          <w:top w:w="28" w:type="dxa"/>
          <w:left w:w="28" w:type="dxa"/>
          <w:bottom w:w="28" w:type="dxa"/>
          <w:right w:w="28" w:type="dxa"/>
        </w:tblCellMar>
      </w:tblPr>
      <w:tblGrid>
        <w:gridCol w:w="755"/>
        <w:gridCol w:w="663"/>
        <w:gridCol w:w="666"/>
        <w:gridCol w:w="242"/>
        <w:gridCol w:w="189"/>
        <w:gridCol w:w="470"/>
        <w:gridCol w:w="189"/>
        <w:gridCol w:w="189"/>
        <w:gridCol w:w="189"/>
        <w:gridCol w:w="242"/>
        <w:gridCol w:w="189"/>
        <w:gridCol w:w="470"/>
        <w:gridCol w:w="109"/>
        <w:gridCol w:w="109"/>
        <w:gridCol w:w="109"/>
        <w:gridCol w:w="218"/>
        <w:gridCol w:w="188"/>
        <w:gridCol w:w="424"/>
        <w:gridCol w:w="170"/>
        <w:gridCol w:w="170"/>
        <w:gridCol w:w="170"/>
        <w:gridCol w:w="218"/>
        <w:gridCol w:w="188"/>
        <w:gridCol w:w="495"/>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used in estimating the fair value of the ESPP for the current offering period using the Black-Scholes option-pricing model:</w:t>
      </w:r>
    </w:p>
    <w:tbl>
      <w:tblPr>
        <w:tblW w:w="7021" w:type="dxa"/>
        <w:jc w:val="left"/>
        <w:tblInd w:w="0" w:type="dxa"/>
        <w:tblLayout w:type="fixed"/>
        <w:tblCellMar>
          <w:top w:w="28" w:type="dxa"/>
          <w:left w:w="28" w:type="dxa"/>
          <w:bottom w:w="28" w:type="dxa"/>
          <w:right w:w="28" w:type="dxa"/>
        </w:tblCellMar>
      </w:tblPr>
      <w:tblGrid>
        <w:gridCol w:w="755"/>
        <w:gridCol w:w="663"/>
        <w:gridCol w:w="666"/>
        <w:gridCol w:w="242"/>
        <w:gridCol w:w="189"/>
        <w:gridCol w:w="470"/>
        <w:gridCol w:w="189"/>
        <w:gridCol w:w="189"/>
        <w:gridCol w:w="189"/>
        <w:gridCol w:w="242"/>
        <w:gridCol w:w="189"/>
        <w:gridCol w:w="470"/>
        <w:gridCol w:w="109"/>
        <w:gridCol w:w="109"/>
        <w:gridCol w:w="109"/>
        <w:gridCol w:w="218"/>
        <w:gridCol w:w="188"/>
        <w:gridCol w:w="424"/>
        <w:gridCol w:w="170"/>
        <w:gridCol w:w="170"/>
        <w:gridCol w:w="170"/>
        <w:gridCol w:w="218"/>
        <w:gridCol w:w="188"/>
        <w:gridCol w:w="495"/>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14.    Employee benefit plans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sponsors various retirement plans for its eligible U.S. and non-U.S. employees. For U.S. employees, the Company currently maintains a 401(k) retirement savings plan (“401(k) Plan”). The 401(k) Plan permits voluntary contributions by employees, a portion of which is matched by the Company. The Company’s contributions to the employee benefits plans were approximately $0.6</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 xml:space="preserve">and $1.1 million for the three and six months ended June 30, 2026, respectively. The Company’s contributions to the employee benefits plans were approximately $0.5 million and $0.9 million for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15.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unaudited interim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4485"/>
                <wp:effectExtent l="0" t="0" r="0" b="0"/>
                <wp:wrapNone/>
                <wp:docPr id="25" name="Frame2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statements of operations and comprehensive loss. Accrued interest and penalties, if any, are included in accrued expenses in the unaudited interim consolidated balance sheet.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from continuing operations was (6.9)% and 5.8% for the six months ended June 30, 2026 and 2025, respectively. The Company’s effective income tax rate for the six months ended June 30, 2026, is lower than the U.S. federal statutory tax rate due to valuation allowance, which derecognizes deferred tax assets and related future tax benefits, partially offset by the impact of state income taxes, naked credits related to indefinitely lived goodwill, and the Company’s mix of earnings between various taxing jurisdictions. The Company’s effective income tax rate for the six months ended June 30, 2025, was lower than the U.S. federal statutory tax rate primarily due to the impact of state income taxes, non-deductible stock-based compensation, the Company’s mix of earnings between various taxing jurisdictions, partially offset by stock compensation deductions, and federal and state research credits.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Components of our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maintained a valuation allowance against all deferred tax assets as Management believed these were not more likely than not to be realized. The Company continues to reassess the valuation allowance quarterly, and if future evidence allows for a partial or full release of the valuation allowance, a tax benefit will be recorded accordingly.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July 4, 2025, legislation commonly referred to as the One Big Beautiful Bill Act (“OBBBA”) was signed into law in the U.S. The OBBBA includes significant changes to the U.S. Internal Revenue Code of 1986, as amended, including restoration of immediate deductions of domestic research and experimental expenditures and reinstatement of 100% bonus depreciation for qualifying property. The Company continues to evaluate the impact of the OBBBA on its </w:t>
      </w:r>
      <w:r>
        <w:rPr>
          <w:rFonts w:ascii="Times New Roman;serif" w:hAnsi="Times New Roman;serif"/>
          <w:b w:val="false"/>
          <w:color w:val="000000"/>
          <w:sz w:val="20"/>
          <w:shd w:fill="FFFFFF" w:val="clear"/>
        </w:rPr>
        <w:t xml:space="preserve">unaudited interim </w:t>
      </w:r>
      <w:r>
        <w:rPr>
          <w:rFonts w:ascii="Times New Roman;serif" w:hAnsi="Times New Roman;serif"/>
          <w:b w:val="false"/>
          <w:color w:val="000000"/>
          <w:sz w:val="20"/>
        </w:rPr>
        <w:t>consolidated financial statements, including the effects on its deferred tax assets and liabilities. The provisions of the OBBBA will allow a deduction for unamortized domestic research and development expenses of approximately $58 million in 2025, which will decrease taxable income and eliminate permanent deductions for Global Intangible Low-Taxed Income and Foreign Derived Intangible Income, causing an increase in the effective tax rate. In addition, there will be an impact in future years due to changes in these two deductions that are not expected to have a material impact to the Company.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income tax expenses consists primarily of provision for foreign taxes. As the Company plans to expand the scale and scope of its international business activities, any changes in the United States and foreign taxation of such activities may increase the Company’s overall provision for income taxes in the future.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Results of operations: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fol</w:t>
      </w:r>
      <w:r>
        <w:rPr>
          <w:rFonts w:ascii="Times New Roman;serif" w:hAnsi="Times New Roman;serif"/>
          <w:b w:val="false"/>
          <w:color w:val="000000"/>
          <w:sz w:val="20"/>
        </w:rPr>
        <w:t>lowing table displays the benefit from income taxes for the three months ended June 30, 2026 and 2025 (in thousands):</w:t>
      </w:r>
    </w:p>
    <w:tbl>
      <w:tblPr>
        <w:tblW w:w="10622"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11"/>
        <w:gridCol w:w="466"/>
        <w:gridCol w:w="109"/>
        <w:gridCol w:w="109"/>
        <w:gridCol w:w="109"/>
        <w:gridCol w:w="109"/>
        <w:gridCol w:w="211"/>
        <w:gridCol w:w="631"/>
        <w:gridCol w:w="109"/>
        <w:gridCol w:w="109"/>
        <w:gridCol w:w="109"/>
        <w:gridCol w:w="109"/>
        <w:gridCol w:w="211"/>
        <w:gridCol w:w="616"/>
        <w:gridCol w:w="109"/>
        <w:gridCol w:w="109"/>
        <w:gridCol w:w="109"/>
        <w:gridCol w:w="109"/>
        <w:gridCol w:w="240"/>
        <w:gridCol w:w="241"/>
        <w:gridCol w:w="271"/>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40"/>
        <w:gridCol w:w="241"/>
        <w:gridCol w:w="31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4485"/>
                <wp:effectExtent l="0" t="0" r="0" b="0"/>
                <wp:wrapNone/>
                <wp:docPr id="26" name="Frame2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expense was $0.5 million for the three months ended June 30, 2026, as compared to an income tax benefit of $1.2 million for the three months ended June 30, 2025. The net increase in expense of $1.7 million for the three months ended June 30, 2026, was primarily due to the domestic valuation allowance established in the last quarter of 2025, which negates the tax benefit from losses within the U.S. jurisdiction for the current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was $2.0 million for the six months ended June 30, 2026, as compared to an income tax benefit of $1.1 million for the six months ended June 30, 2025. The net increase in expense of $3.1 million for the six months ended June 30, 2026, was primarily due to domestic valuation allowance established in the last quarter of 2025, which negates the tax benefit from losses within the U.S. jurisdiction for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16.    Lease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facilities and equipment from unrelated parties under operating lease agreements that have initial terms ranging from 1 to 12 years. Some leases include one or more options to renew, generally at the Company’s sole discretion, with renewal terms that can extend the lease term up to 10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 is recognized on a straight-line basis over the lease term. The components of lease expense are as follows (in thousands):</w:t>
      </w:r>
    </w:p>
    <w:tbl>
      <w:tblPr>
        <w:tblW w:w="4043"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(in thousands):</w:t>
      </w:r>
    </w:p>
    <w:tbl>
      <w:tblPr>
        <w:tblW w:w="7824" w:type="dxa"/>
        <w:jc w:val="left"/>
        <w:tblInd w:w="0" w:type="dxa"/>
        <w:tblLayout w:type="fixed"/>
        <w:tblCellMar>
          <w:top w:w="28" w:type="dxa"/>
          <w:left w:w="28" w:type="dxa"/>
          <w:bottom w:w="28" w:type="dxa"/>
          <w:right w:w="28" w:type="dxa"/>
        </w:tblCellMar>
      </w:tblPr>
      <w:tblGrid>
        <w:gridCol w:w="2023"/>
        <w:gridCol w:w="1774"/>
        <w:gridCol w:w="1783"/>
        <w:gridCol w:w="211"/>
        <w:gridCol w:w="616"/>
        <w:gridCol w:w="109"/>
        <w:gridCol w:w="109"/>
        <w:gridCol w:w="109"/>
        <w:gridCol w:w="109"/>
        <w:gridCol w:w="211"/>
        <w:gridCol w:w="616"/>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 payments on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4485"/>
                <wp:effectExtent l="0" t="0" r="0" b="0"/>
                <wp:wrapNone/>
                <wp:docPr id="27" name="Frame2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w:t>
      </w:r>
    </w:p>
    <w:tbl>
      <w:tblPr>
        <w:tblW w:w="7351" w:type="dxa"/>
        <w:jc w:val="left"/>
        <w:tblInd w:w="0" w:type="dxa"/>
        <w:tblLayout w:type="fixed"/>
        <w:tblCellMar>
          <w:top w:w="28" w:type="dxa"/>
          <w:left w:w="28" w:type="dxa"/>
          <w:bottom w:w="28" w:type="dxa"/>
          <w:right w:w="28" w:type="dxa"/>
        </w:tblCellMar>
      </w:tblPr>
      <w:tblGrid>
        <w:gridCol w:w="1756"/>
        <w:gridCol w:w="1542"/>
        <w:gridCol w:w="1546"/>
        <w:gridCol w:w="211"/>
        <w:gridCol w:w="721"/>
        <w:gridCol w:w="109"/>
        <w:gridCol w:w="109"/>
        <w:gridCol w:w="109"/>
        <w:gridCol w:w="109"/>
        <w:gridCol w:w="221"/>
        <w:gridCol w:w="757"/>
        <w:gridCol w:w="161"/>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 of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2,880</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5.36</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undiscounted cash flows for each of the next five years and thereafter and reconciliation to the lease liabilities recognized on the balance sheet as of June 30, 2026 is as follows (in thousands):</w:t>
      </w:r>
    </w:p>
    <w:tbl>
      <w:tblPr>
        <w:tblW w:w="4251" w:type="dxa"/>
        <w:jc w:val="left"/>
        <w:tblInd w:w="0" w:type="dxa"/>
        <w:tblLayout w:type="fixed"/>
        <w:tblCellMar>
          <w:top w:w="28" w:type="dxa"/>
          <w:left w:w="28" w:type="dxa"/>
          <w:bottom w:w="28" w:type="dxa"/>
          <w:right w:w="28" w:type="dxa"/>
        </w:tblCellMar>
      </w:tblPr>
      <w:tblGrid>
        <w:gridCol w:w="1146"/>
        <w:gridCol w:w="1005"/>
        <w:gridCol w:w="1014"/>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17.    Commitments and contingencies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Purchase Obligations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arrangements with third parties, primarily related to cloud computing and other information technology services. As of June 30, 2026, future payments under these contractual obligations were as follows (in thousands):</w:t>
      </w:r>
    </w:p>
    <w:tbl>
      <w:tblPr>
        <w:tblW w:w="3305" w:type="dxa"/>
        <w:jc w:val="left"/>
        <w:tblInd w:w="0" w:type="dxa"/>
        <w:tblLayout w:type="fixed"/>
        <w:tblCellMar>
          <w:top w:w="28" w:type="dxa"/>
          <w:left w:w="28" w:type="dxa"/>
          <w:bottom w:w="28" w:type="dxa"/>
          <w:right w:w="28" w:type="dxa"/>
        </w:tblCellMar>
      </w:tblPr>
      <w:tblGrid>
        <w:gridCol w:w="841"/>
        <w:gridCol w:w="739"/>
        <w:gridCol w:w="744"/>
        <w:gridCol w:w="211"/>
        <w:gridCol w:w="616"/>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Obligations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involved in legal proceedings and claims. On August 14, 2024, Beckman Coulter, Inc. (“Beckman Coulter”) sued the Company in federal court in the District of Delaware, alleging that the Company’s Cytek Aurora flow cytometers, Aurora CS cell sorters, and Northern Lights and Northern Lights-CLC products infringe U.S. Patent Nos. 10,330,582 and 11,703,443, each titled “Flow Cytometer.” On October 7, 2024, the Company filed an answer denying any liability and including a counterclaim against Beckman Coulter for false marking. On October 28, 2024, Beckman Coulter filed an answer to the counterclaim, denying liability. On January 9, 2025, Beckman Coulter filed a first amended complaint, further alleging that the Company’s Cytek Aurora flow cytometers, Aurora CS cell sorters, and Northern Lights and Northern Lights-CLC products also infringe U.S. Patent Nos. 12,174,106 and 12,174,107, each of which is also titled “Flow Cytometer” and related to the earlier asserted patents. On February 6, 2025, the Company filed an answer to the first amended complaint, denying any liability and including a counterclaim against Beckman Coulter for false patent marking. On February 27, 2025, Beckman Coulter filed an answer to the counterclaim, denying liability. Claim construction hearings were held on August 21, 2025 and September 17, 2025. At the second claim construction hearing,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4485"/>
                <wp:effectExtent l="0" t="0" r="0" b="0"/>
                <wp:wrapNone/>
                <wp:docPr id="28" name="Frame2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court ordered Beckman Coulter to narrow the number of asserted claims, and Beckman Coulter has dropped all asserted claims from U.S. Patent No. 12,174,106. In March 2026, the parties stipulated to dismissal without prejudice of the counterclaim for false marking. The parties filed summary judgment and Daubert motions in March 2026. In July 2026, the court granted Cytek’s Daubert motions and denied both Beckman Coulter’s summary judgment motions and Cytek’s summary judgment motions. As of August 4, 2026, the court has denied one of Beckman Coulter’s Daubert motions and has yet to rule on the remaining motions. A trial is scheduled for August 17, 2026. The Company intends to vigorously defend itself and pursue available remedies.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18.    Product warranty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activity in the product warranty accrual included in accrued expenses on the unaudited interim consolidated balance sheets (in thousands): </w:t>
      </w:r>
    </w:p>
    <w:tbl>
      <w:tblPr>
        <w:tblW w:w="5297" w:type="dxa"/>
        <w:jc w:val="left"/>
        <w:tblInd w:w="0" w:type="dxa"/>
        <w:tblLayout w:type="fixed"/>
        <w:tblCellMar>
          <w:top w:w="28" w:type="dxa"/>
          <w:left w:w="28" w:type="dxa"/>
          <w:bottom w:w="28" w:type="dxa"/>
          <w:right w:w="28" w:type="dxa"/>
        </w:tblCellMar>
      </w:tblPr>
      <w:tblGrid>
        <w:gridCol w:w="1048"/>
        <w:gridCol w:w="921"/>
        <w:gridCol w:w="925"/>
        <w:gridCol w:w="211"/>
        <w:gridCol w:w="616"/>
        <w:gridCol w:w="109"/>
        <w:gridCol w:w="109"/>
        <w:gridCol w:w="109"/>
        <w:gridCol w:w="109"/>
        <w:gridCol w:w="245"/>
        <w:gridCol w:w="716"/>
        <w:gridCol w:w="179"/>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Accrual for current year warranties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 incurred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19.    Net loss attributable to common stockholders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Company’s basic and diluted net loss per share for the three and six months ended June 30, 2026 and 2025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664"/>
        <w:gridCol w:w="1464"/>
        <w:gridCol w:w="1481"/>
        <w:gridCol w:w="227"/>
        <w:gridCol w:w="795"/>
        <w:gridCol w:w="119"/>
        <w:gridCol w:w="109"/>
        <w:gridCol w:w="109"/>
        <w:gridCol w:w="109"/>
        <w:gridCol w:w="253"/>
        <w:gridCol w:w="757"/>
        <w:gridCol w:w="131"/>
        <w:gridCol w:w="109"/>
        <w:gridCol w:w="109"/>
        <w:gridCol w:w="109"/>
        <w:gridCol w:w="227"/>
        <w:gridCol w:w="795"/>
        <w:gridCol w:w="119"/>
        <w:gridCol w:w="109"/>
        <w:gridCol w:w="109"/>
        <w:gridCol w:w="109"/>
        <w:gridCol w:w="227"/>
        <w:gridCol w:w="795"/>
        <w:gridCol w:w="170"/>
      </w:tblGrid>
      <w:tr>
        <w:trPr/>
        <w:tc>
          <w:tcPr>
            <w:tcW w:w="16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129,460,518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126,934,294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129,084,814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127,632,999</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Company had a net loss during the three months ended June 30, 2026 and 2025, 1.4 million and 1.3 million shares for the three months ended June 30, 2026 and 2025, respectively, were dilutive, but were not included in the computation of diluted net loss per share because their inclusion would have been anti-dilutive. Of these dilutive shares, approximately 537,850 and 41,144 shares related to RSUs, 842,339 and 1,214,235 shares related to stock options, and 17,467 and 63,323 shares related to the ESPP for the three months ended June 30, 2026 and 2025, respectively. Therefore, basic net loss per share is the same as diluted net loss per share.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a net loss during the six months ended June 30, 2026 and 2025, 1.6 million and 1.5 million shares for the six months ended June 30, 2026 and 2025, respectively, were dilutive, but were not included in the computation of diluted net loss per share because their inclusion would have been anti-dilutive. Of these dilutive shares, approximately 727,295 and 72,633 shares related to RSUs, 888,821 and 1,336,770 shares related to stock options, and 14,592 and 127,642 shares related to the ESPP for the six months ended June 30, 2026 and 2025, respectively. Therefore, basic net loss per share is the same as diluted net loss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4485"/>
                <wp:effectExtent l="0" t="0" r="0" b="0"/>
                <wp:wrapNone/>
                <wp:docPr id="29" name="Frame2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    Segment Information and Geographic Data</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Information</w:t>
      </w:r>
    </w:p>
    <w:p>
      <w:pPr>
        <w:pStyle w:val="TextBody"/>
        <w:bidi w:val="0"/>
        <w:spacing w:lineRule="auto" w:line="26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operates and manages its business activities on a consolidated basis and has one operating and reportable segment, as defined under ASC 280, Segment Reporting. Operating segments are defined as components of an enterprise where separate financial information is evaluated regularly by the Chief Operating Decision Maker (“CODM”), who decides how to allocate resources and assess performance. The Company’s Chief Executive Officer serves as the CODM and is responsible for evaluating the Company’s financial performance and allocating resources. The CODM uses net income as the measure of profit or loss to allocate resources, assess performance, and monitor budgets against actual results.</w:t>
      </w:r>
    </w:p>
    <w:p>
      <w:pPr>
        <w:pStyle w:val="TextBody"/>
        <w:bidi w:val="0"/>
        <w:spacing w:lineRule="auto" w:line="268" w:before="120" w:after="283"/>
        <w:ind w:left="0" w:right="0" w:firstLine="540"/>
        <w:jc w:val="both"/>
        <w:rPr/>
      </w:pPr>
      <w:r>
        <w:rPr>
          <w:rFonts w:ascii="Times New Roman;serif" w:hAnsi="Times New Roman;serif"/>
          <w:b w:val="false"/>
          <w:color w:val="000000"/>
          <w:sz w:val="20"/>
          <w:shd w:fill="FFFFFF" w:val="clear"/>
        </w:rPr>
        <w:t xml:space="preserve">Further, the CODM reviews the significant segment expenses in the table below on net loss when assessing performance and allocating resources, as well as those used for strategic decisions related to headcount and capital expenditures. The measure of segment assets is reported on the balance sheet as total assets. The CODM does not review segment assets at a level other than that presented in the Company’s </w:t>
      </w:r>
      <w:r>
        <w:rPr>
          <w:rFonts w:ascii="Times New Roman;serif" w:hAnsi="Times New Roman;serif"/>
          <w:b w:val="false"/>
          <w:color w:val="000000"/>
          <w:sz w:val="20"/>
        </w:rPr>
        <w:t xml:space="preserve">unaudited interim </w:t>
      </w:r>
      <w:r>
        <w:rPr>
          <w:rFonts w:ascii="Times New Roman;serif" w:hAnsi="Times New Roman;serif"/>
          <w:b w:val="false"/>
          <w:color w:val="000000"/>
          <w:sz w:val="20"/>
          <w:shd w:fill="FFFFFF" w:val="clear"/>
        </w:rPr>
        <w:t xml:space="preserve">consolidated balance sheets. </w:t>
      </w:r>
    </w:p>
    <w:p>
      <w:pPr>
        <w:pStyle w:val="TextBody"/>
        <w:bidi w:val="0"/>
        <w:spacing w:lineRule="auto" w:line="26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reflects the Company’s significant segment expenses:</w:t>
      </w:r>
    </w:p>
    <w:tbl>
      <w:tblPr>
        <w:tblW w:w="10205" w:type="dxa"/>
        <w:jc w:val="left"/>
        <w:tblInd w:w="0" w:type="dxa"/>
        <w:tblLayout w:type="fixed"/>
        <w:tblCellMar>
          <w:top w:w="28" w:type="dxa"/>
          <w:left w:w="28" w:type="dxa"/>
          <w:bottom w:w="28" w:type="dxa"/>
          <w:right w:w="28" w:type="dxa"/>
        </w:tblCellMar>
      </w:tblPr>
      <w:tblGrid>
        <w:gridCol w:w="1764"/>
        <w:gridCol w:w="1529"/>
        <w:gridCol w:w="1524"/>
        <w:gridCol w:w="211"/>
        <w:gridCol w:w="786"/>
        <w:gridCol w:w="109"/>
        <w:gridCol w:w="109"/>
        <w:gridCol w:w="109"/>
        <w:gridCol w:w="109"/>
        <w:gridCol w:w="211"/>
        <w:gridCol w:w="721"/>
        <w:gridCol w:w="109"/>
        <w:gridCol w:w="109"/>
        <w:gridCol w:w="109"/>
        <w:gridCol w:w="109"/>
        <w:gridCol w:w="211"/>
        <w:gridCol w:w="786"/>
        <w:gridCol w:w="109"/>
        <w:gridCol w:w="109"/>
        <w:gridCol w:w="109"/>
        <w:gridCol w:w="109"/>
        <w:gridCol w:w="211"/>
        <w:gridCol w:w="786"/>
        <w:gridCol w:w="157"/>
      </w:tblGrid>
      <w:tr>
        <w:trPr/>
        <w:tc>
          <w:tcPr>
            <w:tcW w:w="176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87,059 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stock-based compensation)</w:t>
            </w:r>
          </w:p>
        </w:tc>
        <w:tc>
          <w:tcPr>
            <w:tcW w:w="110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39,865 </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 license &amp; IP expense</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(excluding stock-based compensation)</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(excluding stock-based compensation)</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(excluding stock-based compensation)</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segment items include other income (expenses) and interest income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sells its products worldwide and attributes revenue to the geography where the product is delivered. The geographical distribution of revenue for the three and six months ended June 30, 2026 and 2025 was as follows (in thousands): </w:t>
      </w:r>
    </w:p>
    <w:tbl>
      <w:tblPr>
        <w:tblW w:w="6780" w:type="dxa"/>
        <w:jc w:val="left"/>
        <w:tblInd w:w="0" w:type="dxa"/>
        <w:tblLayout w:type="fixed"/>
        <w:tblCellMar>
          <w:top w:w="28" w:type="dxa"/>
          <w:left w:w="28" w:type="dxa"/>
          <w:bottom w:w="28" w:type="dxa"/>
          <w:right w:w="28" w:type="dxa"/>
        </w:tblCellMar>
      </w:tblPr>
      <w:tblGrid>
        <w:gridCol w:w="577"/>
        <w:gridCol w:w="505"/>
        <w:gridCol w:w="5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EMEA includes Europe, the Middle East and Africa; APAC includes Asia and the Pacific countries; Other includes Canada and Latin America.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revenue, a major country is defined as a group of customers in a country with combined revenue of greater than 10% of consolidated revenue or as otherwise deemed significant. Revenue in the United States was approximately $28.2 million and $52.6 million for the three and six months ended June 30, 2026, respectively, and $23.9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4485"/>
                <wp:effectExtent l="0" t="0" r="0" b="0"/>
                <wp:wrapNone/>
                <wp:docPr id="30" name="Frame3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$42.4 million for the three and six months ended June 30, 2025, respectively. </w:t>
      </w:r>
      <w:r>
        <w:rPr>
          <w:rFonts w:ascii="Times New Roman;serif" w:hAnsi="Times New Roman;serif"/>
          <w:b w:val="false"/>
          <w:color w:val="000000"/>
          <w:sz w:val="20"/>
          <w:shd w:fill="FFFFFF" w:val="clear"/>
        </w:rPr>
        <w:t>Revenue in China was approximately $4.8 million and $8.4 million for the three and six months ended June 30, 2026, respectively. No other country represented greater than 10% of the Company’s consolidated net sales or was otherwise deemed significant. For the three and six months ended June 30, 2026 and 2025, the Company had no major customers that represented more than 10% of the Company’s total revenue. No customer represented more than 10% of net accounts receivable as of June 30,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Company’s long-lived assets by geographic area were as follows (in thousands): </w:t>
      </w:r>
    </w:p>
    <w:tbl>
      <w:tblPr>
        <w:tblW w:w="4195" w:type="dxa"/>
        <w:jc w:val="left"/>
        <w:tblInd w:w="0" w:type="dxa"/>
        <w:tblLayout w:type="fixed"/>
        <w:tblCellMar>
          <w:top w:w="28" w:type="dxa"/>
          <w:left w:w="28" w:type="dxa"/>
          <w:bottom w:w="28" w:type="dxa"/>
          <w:right w:w="28" w:type="dxa"/>
        </w:tblCellMar>
      </w:tblPr>
      <w:tblGrid>
        <w:gridCol w:w="435"/>
        <w:gridCol w:w="381"/>
        <w:gridCol w:w="383"/>
        <w:gridCol w:w="228"/>
        <w:gridCol w:w="779"/>
        <w:gridCol w:w="117"/>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most of the Company’s long-lived assets were located in the United States and in Wuxi,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4485"/>
                <wp:effectExtent l="0" t="0" r="0" b="0"/>
                <wp:wrapNone/>
                <wp:docPr id="31" name="Frame3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2025 and the related Management’s Discussion and Analysis of Financial Condition and Results of Operations, both of which are contained in our Annual Report on Form 10-K filed with the Securities and Exchange Commission (the “SEC”) on February 26, 2026. Unless the context requires otherwise, references in this Quarterly Report on Form 10-Q to “we,” “us” and “our” refer to Cytek Biosciences,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i/>
          <w:color w:val="000000"/>
          <w:sz w:val="20"/>
        </w:rPr>
        <w:t>Forward-Looking Statements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platform includes instruments, accessories, reagents, software and services to provide a comprehensive and integrated suite of cell analysis solutions for our customers.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manufacture our instruments in our facilities in Fremont, California; Wuxi, China; and Singapore. We have designed our operating model to be capital efficient and to scale efficiently as our product volumes grow.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and six months ended June 30, 2026 was $48.1 million and $92.3 million, respectively, representing a 6% increase in revenue for both the three and six months ended June 30, 2025 of $45.6 million and $87.1 million,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69% and 69% of total revenue for the three and six months ended June 30, 2026, respectively, and 73% and 73% of total revenue for the three and six months ended June 30, 2025, respectively. Revenue from distributors represented 31% and 31% of total revenue for the three and six months ended June 30, 2026, respectively, and 27% and 27% of total revenue for the three and six months ended June 30, 2025,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$9.7 million and $19.3 million for the three and six months ended June 30, 2026, respectively, and $8.8 million and $18.6 million for the three and six months ended June 30, 2025, respectively. We intend to continue to make significant investments in research and development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$13.2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4485"/>
                <wp:effectExtent l="0" t="0" r="0" b="0"/>
                <wp:wrapNone/>
                <wp:docPr id="32" name="Frame3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$24.8 million for the three and six months ended June 30, 2026, respectively, and $12.1 million and $24.6 million for the three and six months ended June 30, 2025, respectively.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in 2014, we have financed our operations primarily through sales of our securities and revenue from the sale of our products and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net loss was $12.2 million and $31.0 million for the three and six months ended June 30, 2026, respectively, and $5.6 million and $17.0 million for the three and six months ended June 30, 2025, respectively. The change for the three and six months ended June 30, 2026 compared to the three and six months ended June 30, 2025, resulted primarily from an increase in revenues and gross profit as well as an increase in operating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expenses will increase substantially in connection with our ongoing activities, as we: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attract, hire and retain qualified personnel;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invest in processes, commercial infrastructure and supporting functions to scale our business and introduce new products and services;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support our research and development efforts;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continue to expand geographically;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protect and defend our intellectual property;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make strategic investments in complementary businesses, services, products or technologies.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Key factors affecting our results of operations and future performance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Global customer adoption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to support our growth.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Recurring revenues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Revenue mix and gross margin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revenue is primarily derived from sales of our instruments and services with our instruments recognizing higher revenue and gross profit than our services. Although we expect sales of our instruments to continue to represent the largest percentage of our revenue in the future, we expect service revenue to increase as a percentage of our total revenue and our gross margins to experience a corresponding improvement as we grow our installed base and increase our focus on leveraging our fixed manufacturing and service overhead costs. Our sales in certain regions, particularly outside of the United States, are largely realized through third-party distribution partners that typically receive discounted prices, thus resulting in lower gross margins than those recognized by our direct sales organization. Furthermore, our instrument selling prices and gross margins may fluctuate in the future due to the impact of competing products entering the market and fluctuating foreign exchange rates and as we continue to introduce new products and reduce our production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near term, we expect the continued leveraging of fixed manufacturing and service overhead costs, optimization of our manufacturing processes, and material cost fluctuations to have the greatest impact on our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4485"/>
                <wp:effectExtent l="0" t="0" r="0" b="0"/>
                <wp:wrapNone/>
                <wp:docPr id="33" name="Frame3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Expansion into new markets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Northern Lights-CLC system received CE Marking under the European Union In Vitro Diagnostic Medical Devices Directive in September 2020 and was registered in the European Union in compliance with Regulation (EU) 2017/746 on In Vitro Diagnostic Medical Devices in November 2023. The Northern Lights-CLC system was also registered as a Class II In Vitro Diagnostic Medical Device in China. These registrations enable the Northern Lights-CLC system to be marketed for clinical use in China, the European Union and in other countries around the world that accept the Certification of Free Sale issued from an EU Competent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Key business metrics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tbl>
      <w:tblPr>
        <w:tblW w:w="10205" w:type="dxa"/>
        <w:jc w:val="left"/>
        <w:tblInd w:w="0" w:type="dxa"/>
        <w:tblLayout w:type="fixed"/>
        <w:tblCellMar>
          <w:top w:w="28" w:type="dxa"/>
          <w:left w:w="28" w:type="dxa"/>
          <w:bottom w:w="28" w:type="dxa"/>
          <w:right w:w="28" w:type="dxa"/>
        </w:tblCellMar>
      </w:tblPr>
      <w:tblGrid>
        <w:gridCol w:w="947"/>
        <w:gridCol w:w="556"/>
        <w:gridCol w:w="558"/>
        <w:gridCol w:w="109"/>
        <w:gridCol w:w="109"/>
        <w:gridCol w:w="109"/>
        <w:gridCol w:w="211"/>
        <w:gridCol w:w="721"/>
        <w:gridCol w:w="109"/>
        <w:gridCol w:w="109"/>
        <w:gridCol w:w="109"/>
        <w:gridCol w:w="109"/>
        <w:gridCol w:w="211"/>
        <w:gridCol w:w="721"/>
        <w:gridCol w:w="109"/>
        <w:gridCol w:w="109"/>
        <w:gridCol w:w="109"/>
        <w:gridCol w:w="109"/>
        <w:gridCol w:w="216"/>
        <w:gridCol w:w="657"/>
        <w:gridCol w:w="111"/>
        <w:gridCol w:w="109"/>
        <w:gridCol w:w="109"/>
        <w:gridCol w:w="109"/>
        <w:gridCol w:w="211"/>
        <w:gridCol w:w="721"/>
        <w:gridCol w:w="109"/>
        <w:gridCol w:w="109"/>
        <w:gridCol w:w="109"/>
        <w:gridCol w:w="109"/>
        <w:gridCol w:w="211"/>
        <w:gridCol w:w="721"/>
        <w:gridCol w:w="109"/>
        <w:gridCol w:w="109"/>
        <w:gridCol w:w="109"/>
        <w:gridCol w:w="109"/>
        <w:gridCol w:w="215"/>
        <w:gridCol w:w="657"/>
        <w:gridCol w:w="162"/>
      </w:tblGrid>
      <w:tr>
        <w:trPr/>
        <w:tc>
          <w:tcPr>
            <w:tcW w:w="9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r>
      <w:tr>
        <w:trPr/>
        <w:tc>
          <w:tcPr>
            <w:tcW w:w="20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Sales channel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sales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Customer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Academia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Biotechnology, pharmaceutical, distributor and contract research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Distributors typically sell to end customers identified in other customer categories.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Known Trends, Events and Uncertainties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results of operations and financial condition are dependent on both domestic and global macroeconomic conditions.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Recent inflation trends may adversely affect our business and corresponding financial position and cash flows. Inflationary factors, such as increases in the cost of materials and supplies, labor and benefit costs and overhead costs may adversely affect our operating results. Although we do not believe that inflation has had a material impact on our financial position or results of operations to date, we may experience increases in the near future (especially if the rate of inflation increases) on our operating costs, including our labor costs, research and development costs and supply chain costs, due to inflationary pressures as well as supply chain constraints, consequences associated with future public health crises, and geopolitical trends, changes or events such as the ongoing conflict between Russia and Ukraine and the conflicts in the Middle East. In addition, such factors and events could also have a negative impact on demand for the Company’s products and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our pharmaceutical and biotech customers based in the United States have been impacted by the difficult fundraising environment for small companies and generally high interest rates. We believe these factors contribute to longer sales cycles, which have in the past adversely impacted our operating results for certain quarterly periods, and may adversely affect our operating results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2025, the U.S. government has made and continues to signal additional changes to existing U.S. trade policies, including imposing and announcing plans for tariffs on all U.S. trading partners, including China, and renegotiating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4485"/>
                <wp:effectExtent l="0" t="0" r="0" b="0"/>
                <wp:wrapNone/>
                <wp:docPr id="34" name="Frame3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potentially terminating existing bilateral and multi-lateral trade agreements. In February 2026, the U.S. Supreme Court issued a ruling invalidating certain tariffs previously imposed by the U.S. government under the International Emergency Economic Powers Act (“IEEPA”); following this ruling, we applied for certain tariff refunds, which have been received as of the date hereof.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Although we cannot predict the ultimate extent to which the United States or other countries will impose quotas, duties, reciprocal tariffs, taxes, or other similar restrictions upon the import or export of our products, nor can we predict future trade policy or the terms of any renegotiated trade agreements and their impact on our business, the U.S. government’s imposition of tariffs as well as threatened and actual retaliatory tariffs against U.S. goods may have a negative impact on our revenue and costs in the future. The U.S. government recently increased tariffs rates applicable to certain imports from Singapore and China from 10% to 12.5%; while we do not currently anticipate a material impact on the Company’s results of operations, we cannot predict whether these or other tariff rates applicable to our supply chain will change further, or the ultimate impact any such changes may have on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license and export controls announced by the U.S. government in January 2025 that impact exports of certain products and technology, including high-parameter and spectral flow cytometers and cell sorters and certain mass spectrometry equipment to certain countries, including China, may have a negative impact on our research and development activities, manufacturing and business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Finally, changes in the U.S. National Institutes of Health (“NIH”) policy with respect to grants for academic research have impacted and may continue to impact our revenue from academic and government customers in the near term.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further discussion of trends, events, uncertainties and other factors that could impact our operating results, see the section titled “Risk Factors” in Item 1A of Part II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Total revenue,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generate our total revenue, net from product revenue and service revenue.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Product</w:t>
      </w:r>
      <w:r>
        <w:rPr>
          <w:rFonts w:ascii="Times New Roman;serif" w:hAnsi="Times New Roman;serif"/>
          <w:b w:val="false"/>
          <w:color w:val="000000"/>
          <w:sz w:val="20"/>
        </w:rPr>
        <w:t xml:space="preserve">. Our product revenue primarily consists of sales of our instruments, including the Cytek Aurora, Northern Lights, Cytek Aurora Evo, Aurora CS, Aurora Borealis, 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Service</w:t>
      </w:r>
      <w:r>
        <w:rPr>
          <w:rFonts w:ascii="Times New Roman;serif" w:hAnsi="Times New Roman;serif"/>
          <w:b w:val="false"/>
          <w:color w:val="000000"/>
          <w:sz w:val="20"/>
        </w:rPr>
        <w:t xml:space="preserve">.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revenue to increase in absolute dollars as we expand our sales organization and sales territories, broaden our customer base, and expand awareness of our products with new and existing customers. Our revenue was $48.1 million and $45.6 million for the three months ended June 30, 2026 and 2025, respectively, and $92.3 million and $87.1 million for the six months ended June 30, 2026 and 2025, respectively. </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Total cost of sales, gross profit and gross margin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cost of sales is comprised of product cost of sales and service cost of sales.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Product. </w:t>
      </w:r>
      <w:r>
        <w:rPr>
          <w:rFonts w:ascii="Times New Roman;serif" w:hAnsi="Times New Roman;serif"/>
          <w:b w:val="false"/>
          <w:color w:val="000000"/>
          <w:sz w:val="20"/>
        </w:rPr>
        <w:t xml:space="preserve">Cost of sales associated with our products primarily consist of manufacturing-related costs incurred in the production process, inventory write-downs, warranty costs, third party royalty costs, personnel and related costs, costs of component materials, overhead, packaging and delivery and depreciation expense.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Service</w:t>
      </w:r>
      <w:r>
        <w:rPr>
          <w:rFonts w:ascii="Times New Roman;serif" w:hAnsi="Times New Roman;serif"/>
          <w:b w:val="false"/>
          <w:color w:val="000000"/>
          <w:sz w:val="20"/>
        </w:rPr>
        <w:t xml:space="preserve">. Cost of sales associated with our services primarily consists of personnel and related costs, expenses related to product replacements, product updates and qualification validation of our products and depreciation expense.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total cost of sales to increase in absolute dollars in future periods, corresponding to our anticipated growth in revenue and employee headcount to support our manufacturing, operations, field service team and support organizations.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is calculated as revenue less total cost of sales. Gross margin is gross profit expressed as a percentage of revenue. Our gross profit in future periods will depend on a variety of factors, including market conditions that may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4485"/>
                <wp:effectExtent l="0" t="0" r="0" b="0"/>
                <wp:wrapNone/>
                <wp:docPr id="35" name="Frame3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pricing, sales mix changes among our instruments and service agreements, product mix changes between established products and new products, excess and obsolete inventories, and our cost structure for manufacturing operations relative to volume and product warranty obligations.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are primarily comprised of research and development, sales and marketing, and general and administrative expenses, depreciation and amortization, and related overhead.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Our research and development expenses primarily consist of salaries, benefits, stock-based compensation costs for employees in our research and development department, independent contractor costs, laboratory supplies, equipment maintenance and materials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continue to invest in our research and development efforts. Research and development expense may increase in absolute dollars in future periods due to our continuing investment in product development.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xml:space="preserve">. Our sales and marketing expenses consist primarily of salaries, benefits, and stock-based compensation costs for employees in our sales and marketing department, sales commissions, marketing material costs, travel expenses and costs related to trade shows, trainings and various workshops. Sales and marketing expense may increase in absolute dollars in future periods.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Our general and administrative expenses primarily consist of salaries, benefits, and stock-based compensation costs for employees in our executive, accounting and finance, legal and human resource functions, as well as professional services fees, such as consulting, audit, tax, legal, general corporate costs and allocated overhead expenses. The Company is focused on controlling its general and administrative expenses; however, these may increase in absolute dollars in future periods.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these expenses to vary from period to period as a percentage of revenue. As a result, our historical results of operations may not be indicative of our results of operations in future periods.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Interest expense consists primarily of accretion of the present value of the litigation settlement liability. See Note 10 to our unaudited interim consolidated financial statements included elsewhere in this Quarterly Report on Form 10-Q for further details regarding the settlement.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 xml:space="preserve">Our interest income consists primarily of interest earned on our cash and cash equivalents which are invested in cash deposits and in money market funds.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 xml:space="preserve">Our other income, net consists primarily of foreign exchange gains and losses.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provision for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r>
        <w:rPr>
          <w:color w:val="000000"/>
        </w:rPr>
        <w:t xml:space="preserve"> </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Comparison of the three and six months ended June 30, 2026 and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presented below should be reviewed in conjunction with the unaudited interim consolidated financial statements and related notes included elsewhere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4485"/>
                <wp:effectExtent l="0" t="0" r="0" b="0"/>
                <wp:wrapNone/>
                <wp:docPr id="36" name="Frame3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unaudited interim consolidated results of operations and comprehensive loss data for the periods presented: </w:t>
      </w:r>
    </w:p>
    <w:tbl>
      <w:tblPr>
        <w:tblW w:w="9956" w:type="dxa"/>
        <w:jc w:val="left"/>
        <w:tblInd w:w="0" w:type="dxa"/>
        <w:tblLayout w:type="fixed"/>
        <w:tblCellMar>
          <w:top w:w="28" w:type="dxa"/>
          <w:left w:w="28" w:type="dxa"/>
          <w:bottom w:w="28" w:type="dxa"/>
          <w:right w:w="28" w:type="dxa"/>
        </w:tblCellMar>
      </w:tblPr>
      <w:tblGrid>
        <w:gridCol w:w="1525"/>
        <w:gridCol w:w="1340"/>
        <w:gridCol w:w="1349"/>
        <w:gridCol w:w="109"/>
        <w:gridCol w:w="109"/>
        <w:gridCol w:w="109"/>
        <w:gridCol w:w="211"/>
        <w:gridCol w:w="796"/>
        <w:gridCol w:w="109"/>
        <w:gridCol w:w="109"/>
        <w:gridCol w:w="109"/>
        <w:gridCol w:w="109"/>
        <w:gridCol w:w="211"/>
        <w:gridCol w:w="721"/>
        <w:gridCol w:w="109"/>
        <w:gridCol w:w="109"/>
        <w:gridCol w:w="109"/>
        <w:gridCol w:w="109"/>
        <w:gridCol w:w="211"/>
        <w:gridCol w:w="796"/>
        <w:gridCol w:w="109"/>
        <w:gridCol w:w="109"/>
        <w:gridCol w:w="109"/>
        <w:gridCol w:w="109"/>
        <w:gridCol w:w="211"/>
        <w:gridCol w:w="79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Total revenue, net</w:t>
      </w:r>
    </w:p>
    <w:tbl>
      <w:tblPr>
        <w:tblW w:w="10247"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43"/>
        <w:gridCol w:w="143"/>
        <w:gridCol w:w="256"/>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43"/>
        <w:gridCol w:w="143"/>
        <w:gridCol w:w="30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45,602 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92,275 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87,059 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revenue, net increased by $2.5 million to $48.1 million, or 6%, for the three months ended June 30, 2026 as compared to the three months ended June 30, 2025. Total revenue, net increased by $5.2 million to $92.3 million, or 6%, for the six months ended June 30, 2026 as compared to the six months ended June 30, 2025.</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Product revenue increased by $1.1 million to $32.6 million, or 4%, and by $1.8 million to $61.3 million, or 3%, for the three and six months ended June 30, 2026, </w:t>
      </w:r>
      <w:r>
        <w:rPr>
          <w:rFonts w:ascii="Times New Roman;serif" w:hAnsi="Times New Roman;serif"/>
          <w:b w:val="false"/>
          <w:color w:val="000000"/>
          <w:sz w:val="20"/>
          <w:shd w:fill="FFFFFF" w:val="clear"/>
        </w:rPr>
        <w:t xml:space="preserve">as compared to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2025, respectively. T</w:t>
      </w:r>
      <w:r>
        <w:rPr>
          <w:rFonts w:ascii="Times New Roman;serif" w:hAnsi="Times New Roman;serif"/>
          <w:b w:val="false"/>
          <w:color w:val="000000"/>
          <w:sz w:val="20"/>
        </w:rPr>
        <w:t>he higher revenue for the three and six months ended June 30, 2026 was primarily due to growth of instrument revenue in the United States, partially offset by lower instrument revenue in the EMEA, Rest of World, and APAC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4485"/>
                <wp:effectExtent l="0" t="0" r="0" b="0"/>
                <wp:wrapNone/>
                <wp:docPr id="37" name="Frame3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Service revenue increased $1.4 million to $15.6 million, or 10%, and by $3.4 million to $30.9 million, or 12%, for the three and six months ended June 30, 2026, as compared to the three and six months ended June 30, 2025, respectively. </w:t>
      </w:r>
      <w:r>
        <w:rPr>
          <w:rFonts w:ascii="Times New Roman;serif" w:hAnsi="Times New Roman;serif"/>
          <w:b w:val="false"/>
          <w:color w:val="000000"/>
          <w:sz w:val="20"/>
          <w:shd w:fill="FFFFFF" w:val="clear"/>
        </w:rPr>
        <w:t xml:space="preserve">The increase was primarily due to continued growth of the installed base with the related increase in service contracts and maintenance activity.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Total cost of sales, gross profit and gross margin </w:t>
      </w:r>
    </w:p>
    <w:tbl>
      <w:tblPr>
        <w:tblW w:w="10820"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96"/>
        <w:gridCol w:w="646"/>
        <w:gridCol w:w="256"/>
        <w:gridCol w:w="109"/>
        <w:gridCol w:w="109"/>
        <w:gridCol w:w="109"/>
        <w:gridCol w:w="196"/>
        <w:gridCol w:w="646"/>
        <w:gridCol w:w="256"/>
        <w:gridCol w:w="109"/>
        <w:gridCol w:w="109"/>
        <w:gridCol w:w="109"/>
        <w:gridCol w:w="196"/>
        <w:gridCol w:w="571"/>
        <w:gridCol w:w="109"/>
        <w:gridCol w:w="109"/>
        <w:gridCol w:w="109"/>
        <w:gridCol w:w="109"/>
        <w:gridCol w:w="173"/>
        <w:gridCol w:w="173"/>
        <w:gridCol w:w="256"/>
        <w:gridCol w:w="109"/>
        <w:gridCol w:w="109"/>
        <w:gridCol w:w="109"/>
        <w:gridCol w:w="196"/>
        <w:gridCol w:w="646"/>
        <w:gridCol w:w="256"/>
        <w:gridCol w:w="109"/>
        <w:gridCol w:w="109"/>
        <w:gridCol w:w="109"/>
        <w:gridCol w:w="196"/>
        <w:gridCol w:w="646"/>
        <w:gridCol w:w="256"/>
        <w:gridCol w:w="109"/>
        <w:gridCol w:w="109"/>
        <w:gridCol w:w="109"/>
        <w:gridCol w:w="196"/>
        <w:gridCol w:w="571"/>
        <w:gridCol w:w="109"/>
        <w:gridCol w:w="109"/>
        <w:gridCol w:w="109"/>
        <w:gridCol w:w="109"/>
        <w:gridCol w:w="165"/>
        <w:gridCol w:w="166"/>
        <w:gridCol w:w="30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19,800 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21,735 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42,681 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43,035 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Total cost of sales decreased by $1.9 million to $19.8 million, or 9%, and by $0.4 million to $42.7 million or 1%, for the three and six months ended June 30, 2026, respectively, as compared to the three and six months ended June 30, 2025. The decrease in cost of sales was primarily driven by </w:t>
      </w:r>
      <w:r>
        <w:rPr>
          <w:rFonts w:ascii="Times New Roman;serif" w:hAnsi="Times New Roman;serif"/>
          <w:b w:val="false"/>
          <w:color w:val="000000"/>
          <w:sz w:val="20"/>
          <w:shd w:fill="FFFFFF" w:val="clear"/>
        </w:rPr>
        <w:t xml:space="preserve">a one-time </w:t>
      </w:r>
      <w:r>
        <w:rPr>
          <w:rFonts w:ascii="Times New Roman;serif" w:hAnsi="Times New Roman;serif"/>
          <w:b w:val="false"/>
          <w:color w:val="000000"/>
          <w:sz w:val="20"/>
        </w:rPr>
        <w:t xml:space="preserve">$2.8 million reduction in cost of goods sold related to </w:t>
      </w:r>
      <w:r>
        <w:rPr>
          <w:rFonts w:ascii="Times New Roman;serif" w:hAnsi="Times New Roman;serif"/>
          <w:b w:val="false"/>
          <w:color w:val="000000"/>
          <w:sz w:val="20"/>
          <w:shd w:fill="FFFFFF" w:val="clear"/>
        </w:rPr>
        <w:t>tariff refunds, partially offset by other product costs and higher service personnel costs.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Total gross profit margin was 59% and 52% of total revenue for the three months ended June 30, 2026 and 2025, respectively, and 54% and 51% for the six months ended June 30, 2026 and 2025, respectively. The increase in gross profit margin was primarily due to the recognition of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 xml:space="preserve">$2.8 million reduction in cost of goods sold related to </w:t>
      </w:r>
      <w:r>
        <w:rPr>
          <w:rFonts w:ascii="Times New Roman;serif" w:hAnsi="Times New Roman;serif"/>
          <w:b w:val="false"/>
          <w:color w:val="000000"/>
          <w:sz w:val="20"/>
          <w:shd w:fill="FFFFFF" w:val="clear"/>
        </w:rPr>
        <w:t xml:space="preserve">tariff refunds, as well as lower service material costs in 2026 compared to 2025. Excluding the tariff refunds, total gross margin would have been 53% and 51%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respectively. O</w:t>
      </w:r>
      <w:r>
        <w:rPr>
          <w:rFonts w:ascii="Times New Roman;serif" w:hAnsi="Times New Roman;serif"/>
          <w:b w:val="false"/>
          <w:color w:val="000000"/>
          <w:sz w:val="20"/>
        </w:rPr>
        <w:t>verall,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tbl>
      <w:tblPr>
        <w:tblW w:w="1074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173"/>
        <w:gridCol w:w="173"/>
        <w:gridCol w:w="256"/>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143"/>
        <w:gridCol w:w="143"/>
        <w:gridCol w:w="30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19,672 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16,494 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32,530 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29,075 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8,668 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7,373 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17,064 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14,949 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Product revenue for the three and six months ended June 30, 2026 increased by 4% and 3%, respectively, as compared to the three and six months ended June 30, 2025. Product cost of sales for the three months ended June 30, 2026, decreased by 14% and 5%, respectively, as compared to the same period in 2025, primarily due to a one-time $2.8 million reduction in cost of goods sold related to tariff refunds during the second quarter of 2026, and lower manufacturing overhead, partially offset by higher material costs, inventory reserves and scrap expenses.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Product gross profit for the three and six months ended June 30, 2026 increased 19% and 12%, respectively, as compared to the three and six months ended June 30, 2025. Product gross profit margins for the three and six months ended June 30, 2026 were 60% and 53%, respectively, as compared to 53% and 49% for the corresponding periods in 2025. The increases were primarily driven by the $2.8 million tariff refunds, offset by other costs mentioned above. Excluding the tariff refunds, product gross margin would have been 52% and 48% for three and six months ended June 30, 2026, respectively.</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4485"/>
                <wp:effectExtent l="0" t="0" r="0" b="0"/>
                <wp:wrapNone/>
                <wp:docPr id="38" name="Frame3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Service revenue for the three and six months ended June 30, 2026 increased 10% and 12%, respectively, as compared to the three and six months ended June 30, 2025. Service cost of sales for the three and six months ended June 30, 2026 increased by 1% and 10%, respectively, as compared to the same period in 2025. Service gross profit for the three and six months ended June 30, 2026 increased 18% and 14%, respectively, as compared to the three and six months ended June 30, 2025. Service gross margins for the three and six months ended June 30, 2026 were 56% and 55%, respectively, compared to 52% and 54% for the corresponding periods in 2025. The higher service gross margins in the three and six months ended June 30, 2026 compared to the corresponding periods in 2025, were mainly driven by lower service material costs.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10205" w:type="dxa"/>
        <w:jc w:val="left"/>
        <w:tblInd w:w="0" w:type="dxa"/>
        <w:tblLayout w:type="fixed"/>
        <w:tblCellMar>
          <w:top w:w="28" w:type="dxa"/>
          <w:left w:w="28" w:type="dxa"/>
          <w:bottom w:w="28" w:type="dxa"/>
          <w:right w:w="28" w:type="dxa"/>
        </w:tblCellMar>
      </w:tblPr>
      <w:tblGrid>
        <w:gridCol w:w="625"/>
        <w:gridCol w:w="395"/>
        <w:gridCol w:w="396"/>
        <w:gridCol w:w="109"/>
        <w:gridCol w:w="109"/>
        <w:gridCol w:w="109"/>
        <w:gridCol w:w="199"/>
        <w:gridCol w:w="565"/>
        <w:gridCol w:w="110"/>
        <w:gridCol w:w="110"/>
        <w:gridCol w:w="110"/>
        <w:gridCol w:w="110"/>
        <w:gridCol w:w="199"/>
        <w:gridCol w:w="565"/>
        <w:gridCol w:w="110"/>
        <w:gridCol w:w="109"/>
        <w:gridCol w:w="109"/>
        <w:gridCol w:w="109"/>
        <w:gridCol w:w="196"/>
        <w:gridCol w:w="421"/>
        <w:gridCol w:w="109"/>
        <w:gridCol w:w="109"/>
        <w:gridCol w:w="109"/>
        <w:gridCol w:w="109"/>
        <w:gridCol w:w="143"/>
        <w:gridCol w:w="143"/>
        <w:gridCol w:w="256"/>
        <w:gridCol w:w="109"/>
        <w:gridCol w:w="109"/>
        <w:gridCol w:w="109"/>
        <w:gridCol w:w="196"/>
        <w:gridCol w:w="646"/>
        <w:gridCol w:w="109"/>
        <w:gridCol w:w="109"/>
        <w:gridCol w:w="109"/>
        <w:gridCol w:w="109"/>
        <w:gridCol w:w="196"/>
        <w:gridCol w:w="646"/>
        <w:gridCol w:w="109"/>
        <w:gridCol w:w="109"/>
        <w:gridCol w:w="109"/>
        <w:gridCol w:w="109"/>
        <w:gridCol w:w="196"/>
        <w:gridCol w:w="421"/>
        <w:gridCol w:w="109"/>
        <w:gridCol w:w="109"/>
        <w:gridCol w:w="109"/>
        <w:gridCol w:w="109"/>
        <w:gridCol w:w="109"/>
        <w:gridCol w:w="109"/>
        <w:gridCol w:w="308"/>
      </w:tblGrid>
      <w:tr>
        <w:trPr/>
        <w:tc>
          <w:tcPr>
            <w:tcW w:w="62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4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4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8,826 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1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$9.7 million and $19.3 million for the three and six months ended June 30, 2026, respectively, as compared to $8.8 million and $18.6 million for the three and six months ended June 30, 2025, respectively. The increase in expenses for the three months ended June 30, 2026 was primarily driven by higher personnel costs. The increase in expenses for the six months ended June 30, 2026 was primarily driven by higher outside services, personnel, and business expenses.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Sales and marketing </w:t>
      </w:r>
    </w:p>
    <w:tbl>
      <w:tblPr>
        <w:tblW w:w="10205" w:type="dxa"/>
        <w:jc w:val="left"/>
        <w:tblInd w:w="0" w:type="dxa"/>
        <w:tblLayout w:type="fixed"/>
        <w:tblCellMar>
          <w:top w:w="28" w:type="dxa"/>
          <w:left w:w="28" w:type="dxa"/>
          <w:bottom w:w="28" w:type="dxa"/>
          <w:right w:w="28" w:type="dxa"/>
        </w:tblCellMar>
      </w:tblPr>
      <w:tblGrid>
        <w:gridCol w:w="434"/>
        <w:gridCol w:w="382"/>
        <w:gridCol w:w="383"/>
        <w:gridCol w:w="109"/>
        <w:gridCol w:w="109"/>
        <w:gridCol w:w="109"/>
        <w:gridCol w:w="196"/>
        <w:gridCol w:w="647"/>
        <w:gridCol w:w="109"/>
        <w:gridCol w:w="109"/>
        <w:gridCol w:w="109"/>
        <w:gridCol w:w="109"/>
        <w:gridCol w:w="196"/>
        <w:gridCol w:w="647"/>
        <w:gridCol w:w="109"/>
        <w:gridCol w:w="109"/>
        <w:gridCol w:w="109"/>
        <w:gridCol w:w="109"/>
        <w:gridCol w:w="196"/>
        <w:gridCol w:w="556"/>
        <w:gridCol w:w="109"/>
        <w:gridCol w:w="109"/>
        <w:gridCol w:w="109"/>
        <w:gridCol w:w="109"/>
        <w:gridCol w:w="109"/>
        <w:gridCol w:w="109"/>
        <w:gridCol w:w="256"/>
        <w:gridCol w:w="109"/>
        <w:gridCol w:w="109"/>
        <w:gridCol w:w="109"/>
        <w:gridCol w:w="196"/>
        <w:gridCol w:w="646"/>
        <w:gridCol w:w="109"/>
        <w:gridCol w:w="109"/>
        <w:gridCol w:w="109"/>
        <w:gridCol w:w="109"/>
        <w:gridCol w:w="196"/>
        <w:gridCol w:w="646"/>
        <w:gridCol w:w="109"/>
        <w:gridCol w:w="109"/>
        <w:gridCol w:w="109"/>
        <w:gridCol w:w="109"/>
        <w:gridCol w:w="196"/>
        <w:gridCol w:w="421"/>
        <w:gridCol w:w="109"/>
        <w:gridCol w:w="109"/>
        <w:gridCol w:w="109"/>
        <w:gridCol w:w="109"/>
        <w:gridCol w:w="109"/>
        <w:gridCol w:w="109"/>
        <w:gridCol w:w="305"/>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were $13.2 million and $24.8 million for the three and six months ended June 30, 2026, respectively, as compared to $12.1 million and $24.6 million for the three and six months ended June 30, 2025, respectively. The increase in expenses for the three months ended June 30, 2026 was primarily driven by higher severance, other personnel costs and higher advertising and marketing expenses.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w:t>
      </w:r>
    </w:p>
    <w:tbl>
      <w:tblPr>
        <w:tblW w:w="10562" w:type="dxa"/>
        <w:jc w:val="left"/>
        <w:tblInd w:w="0" w:type="dxa"/>
        <w:tblLayout w:type="fixed"/>
        <w:tblCellMar>
          <w:top w:w="28" w:type="dxa"/>
          <w:left w:w="28" w:type="dxa"/>
          <w:bottom w:w="28" w:type="dxa"/>
          <w:right w:w="28" w:type="dxa"/>
        </w:tblCellMar>
      </w:tblPr>
      <w:tblGrid>
        <w:gridCol w:w="668"/>
        <w:gridCol w:w="311"/>
        <w:gridCol w:w="31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43"/>
        <w:gridCol w:w="143"/>
        <w:gridCol w:w="256"/>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43"/>
        <w:gridCol w:w="143"/>
        <w:gridCol w:w="301"/>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0"/>
        </w:rPr>
        <w:t>General and administrative expenses were $16.8 million and $35.3 million for the three and six months ended June 30, 2026, respectively, as compared to $13.5 million and $26.4 million for the three and six months ended June 30, 2025, respectively. The increase in expen</w:t>
      </w:r>
      <w:r>
        <w:rPr>
          <w:rFonts w:ascii="Times New Roman;serif" w:hAnsi="Times New Roman;serif"/>
          <w:b w:val="false"/>
          <w:color w:val="000000"/>
          <w:sz w:val="20"/>
          <w:shd w:fill="FFFFFF" w:val="clear"/>
        </w:rPr>
        <w:t xml:space="preserve">ses for the three months ended </w:t>
      </w:r>
      <w:r>
        <w:rPr>
          <w:rFonts w:ascii="Times New Roman;serif" w:hAnsi="Times New Roman;serif"/>
          <w:b w:val="false"/>
          <w:color w:val="000000"/>
          <w:sz w:val="20"/>
        </w:rPr>
        <w:t xml:space="preserve">June 30, 2026 was primarily </w:t>
      </w:r>
      <w:r>
        <w:rPr>
          <w:rFonts w:ascii="Times New Roman;serif" w:hAnsi="Times New Roman;serif"/>
          <w:b w:val="false"/>
          <w:color w:val="000000"/>
          <w:sz w:val="20"/>
          <w:shd w:fill="FFFFFF" w:val="clear"/>
        </w:rPr>
        <w:t xml:space="preserve">due to higher litigation-related expenses, and higher severance and other personnel costs. The increase in expenses for the six months ended </w:t>
      </w:r>
      <w:r>
        <w:rPr>
          <w:rFonts w:ascii="Times New Roman;serif" w:hAnsi="Times New Roman;serif"/>
          <w:b w:val="false"/>
          <w:color w:val="000000"/>
          <w:sz w:val="20"/>
        </w:rPr>
        <w:t xml:space="preserve">June 30, 2026 was primarily due to higher litigation-related expenses, and also higher </w:t>
      </w:r>
      <w:r>
        <w:rPr>
          <w:rFonts w:ascii="Times New Roman;serif" w:hAnsi="Times New Roman;serif"/>
          <w:b w:val="false"/>
          <w:color w:val="000000"/>
          <w:sz w:val="20"/>
          <w:shd w:fill="FFFFFF" w:val="clear"/>
        </w:rPr>
        <w:t xml:space="preserve">outside consulting expenses, bad debt reserves, severance, and other personnel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are focused on controlling our general and administrative expenses, these may increase in absolute dollars in future periods to provide the infrastructure necessary to support the growth of the business.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tbl>
      <w:tblPr>
        <w:tblW w:w="10205" w:type="dxa"/>
        <w:jc w:val="left"/>
        <w:tblInd w:w="0" w:type="dxa"/>
        <w:tblLayout w:type="fixed"/>
        <w:tblCellMar>
          <w:top w:w="28" w:type="dxa"/>
          <w:left w:w="28" w:type="dxa"/>
          <w:bottom w:w="28" w:type="dxa"/>
          <w:right w:w="28" w:type="dxa"/>
        </w:tblCellMar>
      </w:tblPr>
      <w:tblGrid>
        <w:gridCol w:w="580"/>
        <w:gridCol w:w="510"/>
        <w:gridCol w:w="512"/>
        <w:gridCol w:w="109"/>
        <w:gridCol w:w="109"/>
        <w:gridCol w:w="109"/>
        <w:gridCol w:w="209"/>
        <w:gridCol w:w="492"/>
        <w:gridCol w:w="116"/>
        <w:gridCol w:w="116"/>
        <w:gridCol w:w="116"/>
        <w:gridCol w:w="116"/>
        <w:gridCol w:w="209"/>
        <w:gridCol w:w="492"/>
        <w:gridCol w:w="116"/>
        <w:gridCol w:w="109"/>
        <w:gridCol w:w="109"/>
        <w:gridCol w:w="109"/>
        <w:gridCol w:w="196"/>
        <w:gridCol w:w="421"/>
        <w:gridCol w:w="109"/>
        <w:gridCol w:w="109"/>
        <w:gridCol w:w="109"/>
        <w:gridCol w:w="109"/>
        <w:gridCol w:w="173"/>
        <w:gridCol w:w="173"/>
        <w:gridCol w:w="279"/>
        <w:gridCol w:w="109"/>
        <w:gridCol w:w="109"/>
        <w:gridCol w:w="109"/>
        <w:gridCol w:w="201"/>
        <w:gridCol w:w="472"/>
        <w:gridCol w:w="112"/>
        <w:gridCol w:w="112"/>
        <w:gridCol w:w="112"/>
        <w:gridCol w:w="112"/>
        <w:gridCol w:w="201"/>
        <w:gridCol w:w="472"/>
        <w:gridCol w:w="112"/>
        <w:gridCol w:w="109"/>
        <w:gridCol w:w="109"/>
        <w:gridCol w:w="109"/>
        <w:gridCol w:w="196"/>
        <w:gridCol w:w="421"/>
        <w:gridCol w:w="109"/>
        <w:gridCol w:w="109"/>
        <w:gridCol w:w="109"/>
        <w:gridCol w:w="109"/>
        <w:gridCol w:w="173"/>
        <w:gridCol w:w="173"/>
        <w:gridCol w:w="330"/>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6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540"/>
        <w:jc w:val="both"/>
        <w:rPr/>
      </w:pPr>
      <w:r>
        <w:rPr>
          <w:rFonts w:ascii="Times New Roman;serif" w:hAnsi="Times New Roman;serif"/>
          <w:b w:val="false"/>
          <w:color w:val="000000"/>
          <w:sz w:val="20"/>
        </w:rPr>
        <w:t>Interest expense was $0.3 million and $0.5 million for the three and six months ended June 30, 2026, respectively, as compared to $0.4 million and $0.7 million for the three and six months ended June 30, 2025</w:t>
      </w:r>
      <w:r>
        <w:rPr>
          <w:rFonts w:ascii="Times New Roman;serif" w:hAnsi="Times New Roman;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4485"/>
                <wp:effectExtent l="0" t="0" r="0" b="0"/>
                <wp:wrapNone/>
                <wp:docPr id="39" name="Frame3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Interest income </w:t>
      </w:r>
    </w:p>
    <w:tbl>
      <w:tblPr>
        <w:tblW w:w="10205" w:type="dxa"/>
        <w:jc w:val="left"/>
        <w:tblInd w:w="0" w:type="dxa"/>
        <w:tblLayout w:type="fixed"/>
        <w:tblCellMar>
          <w:top w:w="28" w:type="dxa"/>
          <w:left w:w="28" w:type="dxa"/>
          <w:bottom w:w="28" w:type="dxa"/>
          <w:right w:w="28" w:type="dxa"/>
        </w:tblCellMar>
      </w:tblPr>
      <w:tblGrid>
        <w:gridCol w:w="590"/>
        <w:gridCol w:w="520"/>
        <w:gridCol w:w="521"/>
        <w:gridCol w:w="109"/>
        <w:gridCol w:w="109"/>
        <w:gridCol w:w="109"/>
        <w:gridCol w:w="217"/>
        <w:gridCol w:w="467"/>
        <w:gridCol w:w="120"/>
        <w:gridCol w:w="120"/>
        <w:gridCol w:w="120"/>
        <w:gridCol w:w="120"/>
        <w:gridCol w:w="217"/>
        <w:gridCol w:w="467"/>
        <w:gridCol w:w="120"/>
        <w:gridCol w:w="109"/>
        <w:gridCol w:w="109"/>
        <w:gridCol w:w="109"/>
        <w:gridCol w:w="196"/>
        <w:gridCol w:w="421"/>
        <w:gridCol w:w="109"/>
        <w:gridCol w:w="109"/>
        <w:gridCol w:w="109"/>
        <w:gridCol w:w="109"/>
        <w:gridCol w:w="143"/>
        <w:gridCol w:w="143"/>
        <w:gridCol w:w="256"/>
        <w:gridCol w:w="109"/>
        <w:gridCol w:w="109"/>
        <w:gridCol w:w="109"/>
        <w:gridCol w:w="196"/>
        <w:gridCol w:w="558"/>
        <w:gridCol w:w="109"/>
        <w:gridCol w:w="109"/>
        <w:gridCol w:w="109"/>
        <w:gridCol w:w="109"/>
        <w:gridCol w:w="196"/>
        <w:gridCol w:w="558"/>
        <w:gridCol w:w="109"/>
        <w:gridCol w:w="109"/>
        <w:gridCol w:w="109"/>
        <w:gridCol w:w="109"/>
        <w:gridCol w:w="196"/>
        <w:gridCol w:w="421"/>
        <w:gridCol w:w="109"/>
        <w:gridCol w:w="109"/>
        <w:gridCol w:w="109"/>
        <w:gridCol w:w="109"/>
        <w:gridCol w:w="143"/>
        <w:gridCol w:w="143"/>
        <w:gridCol w:w="311"/>
      </w:tblGrid>
      <w:tr>
        <w:trPr/>
        <w:tc>
          <w:tcPr>
            <w:tcW w:w="59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6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540"/>
        <w:jc w:val="both"/>
        <w:rPr/>
      </w:pPr>
      <w:r>
        <w:rPr>
          <w:rFonts w:ascii="Times New Roman;serif" w:hAnsi="Times New Roman;serif"/>
          <w:b w:val="false"/>
          <w:color w:val="000000"/>
          <w:sz w:val="20"/>
        </w:rPr>
        <w:t xml:space="preserve">Interest income was $0.8 million and $1.6 million for the three and six months ended June 30, 2026, respectively, as compared to $0.6 million and $1.1 million for the three and six months ended June 30, 2025, respectively. </w:t>
      </w:r>
      <w:r>
        <w:rPr>
          <w:rFonts w:ascii="Times New Roman;serif" w:hAnsi="Times New Roman;serif"/>
          <w:b w:val="false"/>
          <w:color w:val="000000"/>
          <w:sz w:val="20"/>
          <w:shd w:fill="FFFFFF" w:val="clear"/>
        </w:rPr>
        <w:t xml:space="preserve">The increase in interest income was primarily attributable to the $0.2 million of interest income on Federal income tax refunds recognized in Q1 2026, and a change in mix of marketable securities toward a higher proportion of interest income generating securities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2026.</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Other income (expense), net </w:t>
      </w:r>
    </w:p>
    <w:tbl>
      <w:tblPr>
        <w:tblW w:w="10205" w:type="dxa"/>
        <w:jc w:val="left"/>
        <w:tblInd w:w="0" w:type="dxa"/>
        <w:tblLayout w:type="fixed"/>
        <w:tblCellMar>
          <w:top w:w="28" w:type="dxa"/>
          <w:left w:w="28" w:type="dxa"/>
          <w:bottom w:w="28" w:type="dxa"/>
          <w:right w:w="28" w:type="dxa"/>
        </w:tblCellMar>
      </w:tblPr>
      <w:tblGrid>
        <w:gridCol w:w="410"/>
        <w:gridCol w:w="361"/>
        <w:gridCol w:w="362"/>
        <w:gridCol w:w="109"/>
        <w:gridCol w:w="109"/>
        <w:gridCol w:w="109"/>
        <w:gridCol w:w="198"/>
        <w:gridCol w:w="448"/>
        <w:gridCol w:w="110"/>
        <w:gridCol w:w="110"/>
        <w:gridCol w:w="110"/>
        <w:gridCol w:w="110"/>
        <w:gridCol w:w="198"/>
        <w:gridCol w:w="563"/>
        <w:gridCol w:w="110"/>
        <w:gridCol w:w="109"/>
        <w:gridCol w:w="109"/>
        <w:gridCol w:w="109"/>
        <w:gridCol w:w="196"/>
        <w:gridCol w:w="576"/>
        <w:gridCol w:w="109"/>
        <w:gridCol w:w="109"/>
        <w:gridCol w:w="109"/>
        <w:gridCol w:w="109"/>
        <w:gridCol w:w="220"/>
        <w:gridCol w:w="220"/>
        <w:gridCol w:w="256"/>
        <w:gridCol w:w="109"/>
        <w:gridCol w:w="109"/>
        <w:gridCol w:w="109"/>
        <w:gridCol w:w="196"/>
        <w:gridCol w:w="443"/>
        <w:gridCol w:w="109"/>
        <w:gridCol w:w="109"/>
        <w:gridCol w:w="109"/>
        <w:gridCol w:w="109"/>
        <w:gridCol w:w="196"/>
        <w:gridCol w:w="558"/>
        <w:gridCol w:w="109"/>
        <w:gridCol w:w="109"/>
        <w:gridCol w:w="109"/>
        <w:gridCol w:w="109"/>
        <w:gridCol w:w="196"/>
        <w:gridCol w:w="576"/>
        <w:gridCol w:w="109"/>
        <w:gridCol w:w="109"/>
        <w:gridCol w:w="109"/>
        <w:gridCol w:w="109"/>
        <w:gridCol w:w="220"/>
        <w:gridCol w:w="220"/>
        <w:gridCol w:w="317"/>
      </w:tblGrid>
      <w:tr>
        <w:trPr/>
        <w:tc>
          <w:tcPr>
            <w:tcW w:w="4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1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was $0.8 million and $0.2 million for the three and six months ended June 30, 2026, respectively, as compared to other income (expense), net of $3.7 million and $7.2 million for the three and six months ended June 30, 2025, respectively. The decrease in other income (expense), net was primarily driven by an increase in realized and unrealized foreign exchange losses of $0.7 million and $1.8 million in the three and six months ended June 30, 2026, respectively, compared with a realized and unrealized foreign exchange gain of $1.6 million and $2.9 million in the three and six months ended June 30, 2025, respectively. Other factors reducing other income included a $1.6 million impairment charge on a non-marketable equity investment in an early-stage technology company incurred in the second quarter of 2026, as well as the year-over-year decline in interest rates and a change in mix of marketable securities toward a lower proportion of investment income generating securities. </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tbl>
      <w:tblPr>
        <w:tblW w:w="10205" w:type="dxa"/>
        <w:jc w:val="left"/>
        <w:tblInd w:w="0" w:type="dxa"/>
        <w:tblLayout w:type="fixed"/>
        <w:tblCellMar>
          <w:top w:w="28" w:type="dxa"/>
          <w:left w:w="28" w:type="dxa"/>
          <w:bottom w:w="28" w:type="dxa"/>
          <w:right w:w="28" w:type="dxa"/>
        </w:tblCellMar>
      </w:tblPr>
      <w:tblGrid>
        <w:gridCol w:w="389"/>
        <w:gridCol w:w="343"/>
        <w:gridCol w:w="344"/>
        <w:gridCol w:w="109"/>
        <w:gridCol w:w="109"/>
        <w:gridCol w:w="109"/>
        <w:gridCol w:w="197"/>
        <w:gridCol w:w="423"/>
        <w:gridCol w:w="109"/>
        <w:gridCol w:w="109"/>
        <w:gridCol w:w="109"/>
        <w:gridCol w:w="109"/>
        <w:gridCol w:w="197"/>
        <w:gridCol w:w="576"/>
        <w:gridCol w:w="109"/>
        <w:gridCol w:w="109"/>
        <w:gridCol w:w="109"/>
        <w:gridCol w:w="109"/>
        <w:gridCol w:w="196"/>
        <w:gridCol w:w="556"/>
        <w:gridCol w:w="109"/>
        <w:gridCol w:w="109"/>
        <w:gridCol w:w="109"/>
        <w:gridCol w:w="109"/>
        <w:gridCol w:w="219"/>
        <w:gridCol w:w="219"/>
        <w:gridCol w:w="256"/>
        <w:gridCol w:w="109"/>
        <w:gridCol w:w="109"/>
        <w:gridCol w:w="109"/>
        <w:gridCol w:w="196"/>
        <w:gridCol w:w="556"/>
        <w:gridCol w:w="109"/>
        <w:gridCol w:w="109"/>
        <w:gridCol w:w="109"/>
        <w:gridCol w:w="109"/>
        <w:gridCol w:w="196"/>
        <w:gridCol w:w="573"/>
        <w:gridCol w:w="109"/>
        <w:gridCol w:w="109"/>
        <w:gridCol w:w="109"/>
        <w:gridCol w:w="109"/>
        <w:gridCol w:w="196"/>
        <w:gridCol w:w="556"/>
        <w:gridCol w:w="109"/>
        <w:gridCol w:w="109"/>
        <w:gridCol w:w="109"/>
        <w:gridCol w:w="109"/>
        <w:gridCol w:w="219"/>
        <w:gridCol w:w="219"/>
        <w:gridCol w:w="309"/>
      </w:tblGrid>
      <w:tr>
        <w:trPr/>
        <w:tc>
          <w:tcPr>
            <w:tcW w:w="3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0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Provision for income taxes was $0.5 million and $2.0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respectively, as compared to a benefit from income taxes of $1.2 million and </w:t>
      </w:r>
      <w:r>
        <w:rPr>
          <w:rFonts w:ascii="Times New Roman;serif" w:hAnsi="Times New Roman;serif"/>
          <w:b w:val="false"/>
          <w:color w:val="000000"/>
          <w:sz w:val="20"/>
        </w:rPr>
        <w:t xml:space="preserve">$1.1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2025, respectively</w:t>
      </w:r>
      <w:r>
        <w:rPr>
          <w:rFonts w:ascii="Times New Roman;serif" w:hAnsi="Times New Roman;serif"/>
          <w:b w:val="false"/>
          <w:color w:val="000000"/>
          <w:sz w:val="20"/>
        </w:rPr>
        <w:t>. The net increases of $1.7 million and $3.1 million for the three and six months ended June 30, 2026, respectively, were primarily due to the domestic valuation allowance established in the last quarter of 2025, which negates the tax benefit from losses within the U.S. jurisdiction for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our primary sources of capital have been through sales of our securities and revenue from the sale of our products and services. As of June 30, 2026 and December 31, 2025, we had approximately $262.0 million and $261.5 million, respectively, in cash and cash equivalents and marketable securities, which were primarily held in U.S. short-term bank deposit accounts, money market funds, U.S. Treasury notes, Federal agency security notes, and short term commercial paper.</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Funding and material cash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4485"/>
                <wp:effectExtent l="0" t="0" r="0" b="0"/>
                <wp:wrapNone/>
                <wp:docPr id="40" name="Frame4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anticipate making additional capital expenditures during the next 12 months, which is expected to primarily include equipment to be used for manufacturing and investment in research and development.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lease certain office facilities under operating lease arrangements that expire on various dates through fiscal year 2030. Under the terms of the leases, we are responsible for certain expenses related to operations, maintenance, repairs and management fees. Future minimum lease payments under non-cancelable operating leases totaled $20.9 million as of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primarily through sales of our securities. In July 2021, we completed our IPO, which resulted in net proceeds to us of approximately $215.7 million. We have also benefited from operating cash flows from the sale of our products and services. </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8015" w:type="dxa"/>
        <w:jc w:val="left"/>
        <w:tblInd w:w="0" w:type="dxa"/>
        <w:tblLayout w:type="fixed"/>
        <w:tblCellMar>
          <w:top w:w="28" w:type="dxa"/>
          <w:left w:w="28" w:type="dxa"/>
          <w:bottom w:w="28" w:type="dxa"/>
          <w:right w:w="28" w:type="dxa"/>
        </w:tblCellMar>
      </w:tblPr>
      <w:tblGrid>
        <w:gridCol w:w="1837"/>
        <w:gridCol w:w="1621"/>
        <w:gridCol w:w="1626"/>
        <w:gridCol w:w="109"/>
        <w:gridCol w:w="109"/>
        <w:gridCol w:w="109"/>
        <w:gridCol w:w="211"/>
        <w:gridCol w:w="796"/>
        <w:gridCol w:w="109"/>
        <w:gridCol w:w="109"/>
        <w:gridCol w:w="109"/>
        <w:gridCol w:w="109"/>
        <w:gridCol w:w="211"/>
        <w:gridCol w:w="796"/>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activities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Net cash</w:t>
      </w:r>
      <w:r>
        <w:rPr>
          <w:color w:val="000000"/>
        </w:rPr>
        <w:t xml:space="preserve"> </w:t>
      </w:r>
      <w:r>
        <w:rPr>
          <w:rFonts w:ascii="Times New Roman;serif" w:hAnsi="Times New Roman;serif"/>
          <w:b w:val="false"/>
          <w:color w:val="000000"/>
          <w:sz w:val="20"/>
        </w:rPr>
        <w:t xml:space="preserve">used in </w:t>
      </w:r>
      <w:r>
        <w:rPr>
          <w:rFonts w:ascii="Times New Roman;serif" w:hAnsi="Times New Roman;serif"/>
          <w:b w:val="false"/>
          <w:color w:val="000000"/>
          <w:sz w:val="20"/>
          <w:shd w:fill="FFFFFF" w:val="clear"/>
        </w:rPr>
        <w:t xml:space="preserve">operating activities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w:t>
      </w:r>
      <w:r>
        <w:rPr>
          <w:rFonts w:ascii="Times New Roman;serif" w:hAnsi="Times New Roman;serif"/>
          <w:b w:val="false"/>
          <w:color w:val="000000"/>
          <w:sz w:val="20"/>
          <w:shd w:fill="FFFFFF" w:val="clear"/>
        </w:rPr>
        <w:t xml:space="preserve">was $1.4 million. The primary factors affecting our operating cash flows during the period were our net loss of </w:t>
      </w:r>
      <w:r>
        <w:rPr>
          <w:rFonts w:ascii="Times New Roman;serif" w:hAnsi="Times New Roman;serif"/>
          <w:b w:val="false"/>
          <w:color w:val="000000"/>
          <w:sz w:val="20"/>
        </w:rPr>
        <w:t xml:space="preserve">$31.0 million and our non-cash charges of $16.5 million, primarily consisting of </w:t>
      </w:r>
      <w:r>
        <w:rPr>
          <w:rFonts w:ascii="Times New Roman;serif" w:hAnsi="Times New Roman;serif"/>
          <w:b w:val="false"/>
          <w:color w:val="000000"/>
          <w:sz w:val="20"/>
          <w:shd w:fill="FFFFFF" w:val="clear"/>
        </w:rPr>
        <w:t>stock-based compensat</w:t>
      </w:r>
      <w:r>
        <w:rPr>
          <w:rFonts w:ascii="Times New Roman;serif" w:hAnsi="Times New Roman;serif"/>
          <w:b w:val="false"/>
          <w:color w:val="000000"/>
          <w:sz w:val="20"/>
        </w:rPr>
        <w:t xml:space="preserve">ion expense of $10.2 million, depreciation and amortization of $3.9 million, amortization of right-of-use assets of $1.9 million, provision for excess and obsolete inventory of $0.6 million, and provision for credit losses of $0.5 million, partially offset by a gain on investments, accretion and amortization, net of $2.6 million, and deferred income taxes of $0.2 million. The cash provided by changes in our operating assets and liabilities of $13.2 million in the six months ended June 30, 2026 was primarily due to a decrease in trade accounts receivable of $11.6 million due to seasonality, with our first quarter typically being lower than our fourth quarter, a decrease in prepaid expenses and other assets of $1.6 million, decrease in trade accounts payable of $2.1 million, decrease in operating lease liabilities of $1.9 million and a decrease in deferred revenue of $0.8 million. These amounts were partially offset by cash used from changes in our operating assets and liabilities, including an increase in inventories of $4.5 million and decrease in legal settlement liabilities of $0.6 million.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Net</w:t>
      </w:r>
      <w:r>
        <w:rPr>
          <w:color w:val="000000"/>
          <w:shd w:fill="FFFFFF" w:val="clear"/>
        </w:rPr>
        <w:t xml:space="preserve"> </w:t>
      </w:r>
      <w:r>
        <w:rPr>
          <w:rFonts w:ascii="Times New Roman;serif" w:hAnsi="Times New Roman;serif"/>
          <w:b w:val="false"/>
          <w:color w:val="000000"/>
          <w:sz w:val="20"/>
          <w:shd w:fill="FFFFFF" w:val="clear"/>
        </w:rPr>
        <w:t>cash used in</w:t>
      </w:r>
      <w:r>
        <w:rPr>
          <w:color w:val="000000"/>
        </w:rPr>
        <w:t xml:space="preserve"> </w:t>
      </w:r>
      <w:r>
        <w:rPr>
          <w:rFonts w:ascii="Times New Roman;serif" w:hAnsi="Times New Roman;serif"/>
          <w:b w:val="false"/>
          <w:color w:val="000000"/>
          <w:sz w:val="20"/>
          <w:shd w:fill="FFFFFF" w:val="clear"/>
        </w:rPr>
        <w:t xml:space="preserve">operating activities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 xml:space="preserve">$0.02 million. </w:t>
      </w:r>
      <w:r>
        <w:rPr>
          <w:rFonts w:ascii="Times New Roman;serif" w:hAnsi="Times New Roman;serif"/>
          <w:b w:val="false"/>
          <w:color w:val="000000"/>
          <w:sz w:val="20"/>
          <w:shd w:fill="FFFFFF" w:val="clear"/>
        </w:rPr>
        <w:t xml:space="preserve">The primary factors affecting our operating cash flows during the period were our net loss of </w:t>
      </w:r>
      <w:r>
        <w:rPr>
          <w:rFonts w:ascii="Times New Roman;serif" w:hAnsi="Times New Roman;serif"/>
          <w:b w:val="false"/>
          <w:color w:val="000000"/>
          <w:sz w:val="20"/>
        </w:rPr>
        <w:t xml:space="preserve">$17.0 million and our non-cash charges of $14.7 million, primarily consisting of </w:t>
      </w:r>
      <w:r>
        <w:rPr>
          <w:rFonts w:ascii="Times New Roman;serif" w:hAnsi="Times New Roman;serif"/>
          <w:b w:val="false"/>
          <w:color w:val="000000"/>
          <w:sz w:val="20"/>
          <w:shd w:fill="FFFFFF" w:val="clear"/>
        </w:rPr>
        <w:t>stock-based compensat</w:t>
      </w:r>
      <w:r>
        <w:rPr>
          <w:rFonts w:ascii="Times New Roman;serif" w:hAnsi="Times New Roman;serif"/>
          <w:b w:val="false"/>
          <w:color w:val="000000"/>
          <w:sz w:val="20"/>
        </w:rPr>
        <w:t xml:space="preserve">ion expense of $13.4 million, depreciation and amortization of $3.8 million, amortization of right-of-use assets of $2.1 million, and excess and obsolete inventory of $0.3 million, partially offset by a gain on investments, accretion and amortization, net of $3.1 million, and deferred income taxes of $2.4 million. The cash provided by changes in our operating assets and liabilities of $2.2 million in the six months ended June 30, 2025 were primarily due to a decrease in trade accounts receivable of $7.1 million due to seasonality, with our first quarter typically being lower than our fourth quarter, and increase in trade accounts payable of $1.2 million. These amounts were partially offset by cash used from changes in our operating assets and liabilities, including an increase in inventories of $5.1 million, a decrease in operating lease liabilities of $2.2 million, and decrease in legal settlement liabilities of $0.6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4485"/>
                <wp:effectExtent l="0" t="0" r="0" b="0"/>
                <wp:wrapNone/>
                <wp:docPr id="41" name="Frame4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Investing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2026 was $20.1 million driven by purchases of marketable securities of $156.9 million and purchases of fixed assets and intangibles of approximately $4.4 million, partially offset by proceeds from maturities of marketable securities of $141.3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during the six months ended June 30, 2025 was $7.0 million driven by purchase of marketable securities of $141.4 million, and purchase of property and equipment of approximately $2.5 million, partially offset by proceeds from maturities of marketable securities of $136.9 million. </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Financing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during the six months ended June 30, 2026 was $3.2 million, primarily driven by the proceeds from a line of credit of $5.1 million, partially offset by the repayment of loans of $2.5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June 30, 2025 was $14.1 million, primarily driven by payments for the repurchase of shares of $15.1 million and the repayment of loans of $1.7 million, partially offset by the proceeds from a line of credit of $2.1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283"/>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material changes to our contractual obligations and commitments from those described under “Management’s Discussion and Analysis of Financial Condition” which is contained in our Form 10-K and filed with the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if different assumptions and conditions apply. A summary of our critical accounting policies is presented in our audited financial statements and notes thereto as of and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included in our Annual Report on Form 10-K filed with the SEC on </w:t>
      </w:r>
      <w:r>
        <w:rPr>
          <w:rFonts w:ascii="Times New Roman;serif" w:hAnsi="Times New Roman;serif"/>
          <w:b w:val="false"/>
          <w:color w:val="000000"/>
          <w:sz w:val="20"/>
        </w:rPr>
        <w:t>February 26, 2026</w:t>
      </w:r>
      <w:r>
        <w:rPr>
          <w:rFonts w:ascii="Times New Roman;serif" w:hAnsi="Times New Roman;serif"/>
          <w:b w:val="false"/>
          <w:color w:val="000000"/>
          <w:sz w:val="20"/>
          <w:shd w:fill="FFFFFF" w:val="clear"/>
        </w:rPr>
        <w:t xml:space="preserve">. There were no material changes to our critical accounting policies during the three months ended </w:t>
      </w:r>
      <w:r>
        <w:rPr>
          <w:rFonts w:ascii="Times New Roman;serif" w:hAnsi="Times New Roman;serif"/>
          <w:b w:val="false"/>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1"/>
        <w:jc w:val="both"/>
        <w:rPr>
          <w:rFonts w:ascii="Times New Roman;serif" w:hAnsi="Times New Roman;serif"/>
          <w:b/>
          <w:color w:val="000000"/>
          <w:sz w:val="20"/>
        </w:rPr>
      </w:pPr>
      <w:r>
        <w:rPr>
          <w:rFonts w:ascii="Times New Roman;serif" w:hAnsi="Times New Roman;serif"/>
          <w:b/>
          <w:color w:val="000000"/>
          <w:sz w:val="20"/>
        </w:rPr>
        <w:t xml:space="preserve">Recently adopted accounting pronouncements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Information with respect to this item may be found in Note 2, </w:t>
      </w:r>
      <w:r>
        <w:rPr>
          <w:rFonts w:ascii="Times New Roman;serif" w:hAnsi="Times New Roman;serif"/>
          <w:b w:val="false"/>
          <w:i/>
          <w:color w:val="000000"/>
          <w:sz w:val="20"/>
        </w:rPr>
        <w:t>Basis of presentation and summary of significant accounting policies</w:t>
      </w:r>
      <w:r>
        <w:rPr>
          <w:rFonts w:ascii="Times New Roman;serif" w:hAnsi="Times New Roman;serif"/>
          <w:b w:val="false"/>
          <w:color w:val="000000"/>
          <w:sz w:val="20"/>
        </w:rPr>
        <w:t>, in our notes to unaudited interim consolidated financial statements included in Part I, Item 1, of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 </w:t>
      </w:r>
    </w:p>
    <w:p>
      <w:pPr>
        <w:pStyle w:val="TextBody"/>
        <w:bidi w:val="0"/>
        <w:spacing w:lineRule="auto" w:line="288" w:before="120" w:after="283"/>
        <w:ind w:left="0" w:right="0" w:firstLine="540"/>
        <w:jc w:val="left"/>
        <w:rPr/>
      </w:pPr>
      <w:r>
        <w:rPr>
          <w:rFonts w:ascii="Times New Roman;serif" w:hAnsi="Times New Roman;serif"/>
          <w:b/>
          <w:i/>
          <w:color w:val="000000"/>
          <w:sz w:val="20"/>
        </w:rPr>
        <w:t>Interest rate risk</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risk inherent in our financial instruments and in our financial condition represents the potential loss arising from adverse changes in interest rates or exchange rates. As of June 30, 2026, we had approximately $262.0 million in cash and cash equivalents and short-term investments, which were primarily held in U.S. short-term bank 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4485"/>
                <wp:effectExtent l="0" t="0" r="0" b="0"/>
                <wp:wrapNone/>
                <wp:docPr id="42" name="Frame4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therefore do not believe we are exposed to, nor do we anticipate being in the near future exposed to, material risk due to changes in interest rates because of the short-term nature of our cash and cash equivalents.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Foreign currency risk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believe that either inflation or foreign currency risk had a material effect on our business, financial condition, or results of operations during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w:t>
      </w:r>
      <w:r>
        <w:rPr>
          <w:rFonts w:ascii="Times New Roman;serif" w:hAnsi="Times New Roman;serif"/>
          <w:b w:val="false"/>
          <w:color w:val="000000"/>
          <w:sz w:val="20"/>
          <w:shd w:fill="FFFFFF" w:val="clear"/>
        </w:rPr>
        <w:t xml:space="preserve">ur disclosure controls and procedures were effective as of </w:t>
      </w:r>
      <w:r>
        <w:rPr>
          <w:rFonts w:ascii="Times New Roman;serif" w:hAnsi="Times New Roman;serif"/>
          <w:b w:val="false"/>
          <w:color w:val="000000"/>
          <w:sz w:val="20"/>
        </w:rPr>
        <w:t>June 30, 2026.</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Changes in Internal Control over Financial Reporting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was no change in our internal control over financial reporting (as defined in Rules 13a-15(f) and 15d-15(f) under the Exchange Act) that occurred during the quarter ended June 30, 2026 that materially affected, or were reasonably likely to materially affect, our internal control over financial reporting. </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and claims. See Note 17 to our unaudited interim consolidated financial statements included elsewhere in this Quarterly Report on Form 10-Q for information regarding ongoing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4485"/>
                <wp:effectExtent l="0" t="0" r="0" b="0"/>
                <wp:wrapNone/>
                <wp:docPr id="43" name="Frame4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follows this risk factor summary. The below risk factor summary is qualified in its entirety by that more complete discussion of such risks and uncertainties.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are highly dependent on a limited number of product offerings. Our revenue has been primarily generated from sales of our core Cytek Aurora, Northern Lights, Cytek Aurora cell sorter (“Cytek Aurora CS”), and Cytek Aurora Evo systems, which require a substantial sales cycle and are prone to quarterly fluctuations in revenue.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results of operations will be harmed if we are unable to accurately forecast customer demand for our products and manage our inventory.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International operations and expansion of our international business expose us to business, regulatory, political, operational, financial and economic risks associated with doing business outside of the United States.</w:t>
      </w:r>
    </w:p>
    <w:p>
      <w:pPr>
        <w:pStyle w:val="TextBody"/>
        <w:bidi w:val="0"/>
        <w:spacing w:before="0" w:after="0"/>
        <w:ind w:left="0" w:right="0" w:hanging="180"/>
        <w:jc w:val="left"/>
        <w:rPr/>
      </w:pPr>
      <w:r>
        <w:rPr/>
      </w:r>
    </w:p>
    <w:p>
      <w:pPr>
        <w:pStyle w:val="TextBody"/>
        <w:bidi w:val="0"/>
        <w:spacing w:lineRule="auto" w:line="268" w:before="0" w:after="0"/>
        <w:ind w:left="0" w:right="0" w:hanging="540"/>
        <w:jc w:val="both"/>
        <w:rPr/>
      </w:pPr>
      <w:r>
        <w:rPr>
          <w:color w:val="000000"/>
        </w:rPr>
        <w:t>•</w:t>
      </w:r>
      <w:r>
        <w:rPr>
          <w:rFonts w:ascii="Times New Roman;serif" w:hAnsi="Times New Roman;serif"/>
          <w:b w:val="false"/>
          <w:color w:val="000000"/>
          <w:sz w:val="20"/>
        </w:rPr>
        <w:t xml:space="preserve">Tariffs or other government trade policies may materially adversely affect our business and results of operations, including by reducing demand for our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have limited experience manufacturing our products, and if we are unable to manufacture our products in high-quality commercial quantities successfully and consistently to meet demand, our growth will be limited.</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future success is dependent upon our ability to increase penetration in our existing markets and expand into adjacent markets.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business is dependent on adoption of our products by academic and government institutions, contract research organizations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Our business currently depends significantly on research and development spending by academic and government-owned institutions, a reduction in which could limit demand for our solutions and adversely affect our business and operating results.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may acquire other businesses or form other joint ventures or make investments in other companies or technologies that could negatively affect our operating results, dilute our stockholders’ ownership, increase our debt or cause us to incur significant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4485"/>
                <wp:effectExtent l="0" t="0" r="0" b="0"/>
                <wp:wrapNone/>
                <wp:docPr id="44" name="Frame4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If we are unable to successfully expand our commercial operations, including hiring additional qualified sales representatives, technical applications specialists and customer support staff, our business may be adversely affected.</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If we fail to maintain an effective system of internal controls, we may not be able to accurately or timely report our financial condition or results of operations.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may need to raise additional capital to fund our existing operations, develop our products and/or expand our operations.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products may become subject to more onerous regulation by the U.S. Food and Drug Administration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executive officers, directors, and principal stockholders and their respective affiliates, if they choose to act together, have the ability to significantly influence all matters submitted to stockholders for approval.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Business and Strategy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limited operating history and may encounter unforeseen expenses, difficulties, complications, delays and other known and unknown obstacles. We launched our first core commercial product, the Cytek Aurora system, in June 2017. Our Cytek Northern Lights system was commercially launched in October 2018, our Cytek Aurora CS system was first commercially shipped in June 2021, we launched our Cytek Aurora Evo system in May 2025, and we announced in June 2026 the Cytek Borealis as an offering available via an early access program.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4485"/>
                <wp:effectExtent l="0" t="0" r="0" b="0"/>
                <wp:wrapNone/>
                <wp:docPr id="45" name="Frame4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 if we do not address these risks successfully, our results of operations could differ materially from our expectations, and our business, financial condition and results of operations could be materially and adversely affected.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a limited number of product offerings. Our revenue has been primarily generated from sales of our core Cytek Aurora, Northern Lights, Cytek Aurora CS, and Cytek Aurora Evo systems, which require a substantial sales cycle and are prone to quarterly fluctuations in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of the Cytek Aurora, Northern Lights, Cytek Aurora CS, and Cytek Aurora Evo systems together accounted for a substantial portion of our revenue for the periods presented in this Quarterly Report on Form 10-Q. We expect that, for at least the foreseeable future, sales of our Cytek Aurora, Northern Lights, Cytek Aurora CS, and Cytek Aurora Evo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Cytek Aurora CS, and Cytek Aurora Evo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sourced and will continue to source certain components of the Cytek Aurora, Cytek Northern Lights, Cytek Aurora CS, and Cytek Aurora Evo systems from a limited number of suppliers and, in some cases, sole source suppliers. Key components in our products that are supplied by sole or single source suppliers include certain lasers and semiconductors that are used in our optical, electrical and fluidic subassemblies. On August 25, 2021, we and Cytek (Wuxi) Biosciences Co., Ltd, our Wuxi, China subsidiary (“Cytek Wuxi”), entered into a Supply Agreement with Coherent NA, Inc. and certain of its affiliates (collectively, “Coherent”), which was amended on August 12, 2025 by Contract Amendment No. 1 (as amended, the “Coherent Agreement”) to extend the term, update pricing, and add our Singapore subsidiary, Cytek Biosciences Pte. Ltd. (“Cytek Singapore”), as a party to the agreement. Pursuant to the Coherent Agreement, Coherent has agreed to sell and supply to us, Cytek Wuxi, and Cytek Singapore, on a non-exclusive basis, laser products manufactured by Coherent. We, Cytek Wuxi, and Cytek Singapore provide Coherent with rolling forecasts of our anticipated orders, which are non-binding. Purchase orders submitted by us, Cytek Wuxi, and Cytek Singapore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identifying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we have stable relationships with our existing suppliers, we cannot assure you that we will be able to secure a stable supply of components and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4485"/>
                <wp:effectExtent l="0" t="0" r="0" b="0"/>
                <wp:wrapNone/>
                <wp:docPr id="46" name="Frame4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Supply interruptions have in the past arisen and could arise in the future as a result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For example, in 2026, in anticipation of a potential future shortage in the supply of certain plastics used in our products, we placed additional purchase orders to secure supply over a longer time horizon than we would typically plan. Although we do not currently anticipate a delay in the supply of such materials, we have incurred, and may continue to incur, higher procurement costs in connection with these efforts, and there can be no assurance that such proactive measures will be sufficient to avoid future supply shortages or that the costs of such materials will not continue to increase.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results of operations will be harmed if we are unable to accurately forecast customer demand for our products and manage our inventory.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International operations and expansion of our international business expose us to business, regulatory, political, operational, financial and economic risks associated with doing business outside of the United States.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the United States, China and Singapore. Doing business internationally involves a number of risks, including: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multiple, conflicting and changing laws and regulations such as privacy regulations, tax laws, export and import restrictions, tariffs, economic sanctions and embargoes, employment laws, regulatory requirements and other governmental approvals, permits and licenses;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failure by us or our distributors to obtain approvals to conduct our business in various countries;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differing intellectual property rights;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complexities and difficulties in obtaining intellectual property protection, enforcing our intellectual property and defending against third-party intellectual property claims;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difficulties in staffing and managing foreign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4485"/>
                <wp:effectExtent l="0" t="0" r="0" b="0"/>
                <wp:wrapNone/>
                <wp:docPr id="47" name="Frame4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changes in freight costs, logistics and regulations associated with shipping and receiving systems and parts and components for our products, as well as transportation delays;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travel restrictions that limit the ability of marketing, presales, sales, services and support teams to service customers;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financial risks, such as longer payment cycles, difficulty collecting accounts receivable, the impact of local and regional financial crises on demand and payment for our products and exposure to foreign currency exchange rate fluctuations;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international trade disputes that could result in tariffs and other protective measures;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natural disasters, political and economic instability, including wars, terrorism and political unrest such as the ongoing war in Ukraine, conflicts in the Middle East, outbreak of disease, boycotts, curtailment of trade and other business restrictions; and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regulatory and compliance risks that relate to maintaining accurate information and control over sales and distributors’ activities that may fall within the purview of the U.S. Foreign Corrupt Practices Act (the “FCPA”), its books and records provisions, or its anti-bribery provisions.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Any of these factors could significantly harm our international operations and any</w:t>
      </w:r>
      <w:r>
        <w:rPr>
          <w:color w:val="008080"/>
        </w:rPr>
        <w:t xml:space="preserve"> </w:t>
      </w:r>
      <w:r>
        <w:rPr>
          <w:rFonts w:ascii="Times New Roman;serif" w:hAnsi="Times New Roman;serif"/>
          <w:b w:val="false"/>
          <w:color w:val="000000"/>
          <w:sz w:val="20"/>
        </w:rPr>
        <w:t>future international expansion and, consequently, our business, financial condition, results of operations and prospects. In addition, certain international markets are subject to significant political and economic uncertainty.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For more information, please see “Risks Related to Government Regulation and Our Industry” below.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Tariffs or other government trade policies may materially adversely affect our business and results of operations, including by reducing demand for our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Beginning in 2025, the U.S. government has at times announced substantial new tariffs affecting a wide range of products and jurisdictions and has indicated an intention to continue developing new trade policies. For example, the U.S. government recently increased tariffs rates applicable to certain imports from Singapore and China from 10% to 12.5%; while we do not currently anticipate a material impact on the Company’s results of operations, we cannot predict whether these or other tariff rates applicable to our supply chain will change further, or the ultimate impact any such changes may have on our business. In the same timeframe,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These developments have created a dynamic and unpredictable trade landscape, which may adversely impact our business, results of operations, financial condition and prospects.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imposition of tariffs and trade restrictions as a result of international trade disputes or changes in trade policies may adversely affect our sales and profitability. For example, our components have been subject to previously imposed or proposed tariffs, which may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have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4485"/>
                <wp:effectExtent l="0" t="0" r="0" b="0"/>
                <wp:wrapNone/>
                <wp:docPr id="48" name="Frame4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past and may in the future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this Quarterly Report on Form 10-Q.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2025, the U.S. government announced new license requirements that impact exports of certain products and technology, including high-parameter and spectral flow cytometers and cell sorters and certain mass spectrometry equipment to certain countries, including China, which may have a significant negative impact on our sales, manufacturing and research and development activities. The impact of the new license requirements is difficult to quantify, and it may be challenging for us to manage our international operations and accurately forecast our operating results due to these requirements. For more information, please see “Our results of operations will be harmed if we are unable to accurately forecast customer demand for our products and manage our inventory” above.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limited experience manufacturing our products, and if we are unable to manufacture our products in high-quality commercial quantities successfully and consistently to meet demand, our growth will be limited.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have limited experience manufacturing our products. We currently manufacture instruments and reagents at our manufacturing facilities in Fremont, California and Wuxi, China, instruments at our facility in </w:t>
      </w:r>
      <w:r>
        <w:rPr>
          <w:rFonts w:ascii="Times New Roman;serif" w:hAnsi="Times New Roman;serif"/>
          <w:b w:val="false"/>
          <w:color w:val="000000"/>
          <w:sz w:val="20"/>
          <w:shd w:fill="FFFFFF" w:val="clear"/>
        </w:rPr>
        <w:t>Singapore</w:t>
      </w:r>
      <w:r>
        <w:rPr>
          <w:rFonts w:ascii="Times New Roman;serif" w:hAnsi="Times New Roman;serif"/>
          <w:b w:val="false"/>
          <w:color w:val="000000"/>
          <w:sz w:val="20"/>
        </w:rPr>
        <w:t xml:space="preserve">,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4485"/>
                <wp:effectExtent l="0" t="0" r="0" b="0"/>
                <wp:wrapNone/>
                <wp:docPr id="49" name="Frame4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future success is dependent upon our ability to increase penetration in our existing markets and expand into adjacent markets.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 base includes academic and government institutions, pharmaceutical and biotechnology companies, CROs and clinical laboratories focused on cell analysis. Approximately 40% and 48% of our revenue came from sales to academic and government-owned institutions and 60% and 52% of our revenue came from sales to pharmaceutical and biotechnology companies, distributors and CROs in the three months ended June 30, 2026 and 2025,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or approval of a pre-market approval application from the FDA. Our failure to further expand in adjacent markets and attract new customers could adversely affect our ability to improve our operating results.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business is dependent on adoption of our products by academic and government institutions,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strategy to grow our revenue is to take a stepwise approach to market our products across key stakeholders in flow cytometry and cell analysis, such as academic and government institutions, CROs, pharmaceutical companies and clinical laboratories. While the number of customers using our products has increased in recent years, many academic and government institutions, CROs, pharmaceutical companies and clinical laboratories have not yet adopted our products, and such institutions and companies may choose not to adopt our products for a number of reasons,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inadequate recruiting or training of talented sales force in existing and new markets to facilitate outreach and further adoption and awareness of our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lack of experience with our products for cell analysis;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perceived inadequacy of evidence supporting benefits or cost-effectiveness of our products over existing alternatives;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liability risks generally associated with the use of new products and processes;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the training required to use new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a decrease or delay in the research and development activities using our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competing products and alternatives; and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introduction of other novel alternative products for cell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4485"/>
                <wp:effectExtent l="0" t="0" r="0" b="0"/>
                <wp:wrapNone/>
                <wp:docPr id="50" name="Frame5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educating notable industry key opinion leaders, representatives of academic and government institutions, CROs, pharmaceutical companies and clinical laboratories about the merits and benefits of our products for flow cytometry and cell analysis is one of the key elements to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business currently depends significantly on research and development spending by academic and government-owned institutions, a reduction in which could limit demand for our solutions and adversely affect our business and operating results.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40% and 48% of our revenue came from sales to academic and government-owned institutions in the three months ended June 30, 2026 and 2025,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 </w:t>
      </w:r>
    </w:p>
    <w:p>
      <w:pPr>
        <w:pStyle w:val="TextBody"/>
        <w:bidi w:val="0"/>
        <w:spacing w:lineRule="auto" w:line="268" w:before="0" w:after="0"/>
        <w:ind w:left="0" w:right="0" w:hanging="540"/>
        <w:jc w:val="both"/>
        <w:rPr/>
      </w:pPr>
      <w:r>
        <w:rPr>
          <w:color w:val="000000"/>
        </w:rPr>
        <w:t>•</w:t>
      </w:r>
      <w:r>
        <w:rPr>
          <w:rFonts w:ascii="Times New Roman;serif" w:hAnsi="Times New Roman;serif"/>
          <w:b w:val="false"/>
          <w:color w:val="000000"/>
          <w:sz w:val="20"/>
        </w:rPr>
        <w:t xml:space="preserve">decreases in government funding of research and development, including any reductions in funding to the U.S. National Institutes of Health (“NIH”);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to programs that provide funding to research laboratories, hospitals and related institutions, including changes in the amount of funds allocated to different areas of research or changes that have the effect of increasing the length of the funding process;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macroeconomic conditions and the political climate;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scientists’ and customers’ opinions of the utility of new products or services;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regulatory environment;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differences in budgetary cycles;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competitor product offerings or pricing;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market-driven pressures to consolidate operations and reduce costs;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market acceptance of relatively new technologies, such as ours.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various state, federal and foreign agencies that have traditionally provided grants and other funding for basic research, research and development, and clinical testing have been and may be subject to further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Recent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For example, the current U.S. administration is seeking to reduce research funding by the NIH for medical research. If the funding is reduced for studies related to the medical indications on which we are focused or on which researchers were or may have been considering applying for federal grants, our research and development initiatives could be delayed or otherwise affected. There is no guarantee that NIH appropriations will not decrease or halt in the future. A decrease in the amount of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4485"/>
                <wp:effectExtent l="0" t="0" r="0" b="0"/>
                <wp:wrapNone/>
                <wp:docPr id="51" name="Frame5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face significant competition in the cell analysis and life sciences tools markets. We currently compete with both established and early stage life sciences and in vitro diagnostics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Bio-Rad Laboratories, Standard BioTools Inc., Miltenyi Biotec, Sony Biotechnology (Sony Corporation), Thermo Fisher Scientific, and Waters Corporation.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and potential competitors may enjoy a number of competitive advantages over us,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longer operating histories;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larger customer bases;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brand recognition and market penetration;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financial resources and capabilities;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technological and research and development resources;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larger quality assurance and regulatory staff;</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larger intellectual property portfolios;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better system reliability and robustness;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selling and marketing capabilities;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better established, larger scale and lower cost manufacturing capabilities.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4485"/>
                <wp:effectExtent l="0" t="0" r="0" b="0"/>
                <wp:wrapNone/>
                <wp:docPr id="52" name="Frame5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future success depends on our ability to develop and successfully introduce new and enhanced products that meet the needs of our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or adequately predict our customers’ needs or otherwise fail to obtain desired levels of market acceptance, our business may suffer and our operating results could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Full Spectrum Profiling (“FSP”) solutions, it could slow or stop our business growth and negatively impact our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New product development involves a lengthy and complex process and we may be unable to develop or commercialize products on a timely basis, or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4485"/>
                <wp:effectExtent l="0" t="0" r="0" b="0"/>
                <wp:wrapNone/>
                <wp:docPr id="53" name="Frame5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development efforts will produce commercially viable products and solutions and before we can commercialize any new products, we will need to expend significant funds to, for example: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conduct substantial research and development;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obtain necessary regulatory approval;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further develop and scale our laboratory, engineering and manufacturing processes to accommodate different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source and enter into agreements with new suppliers;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further develop and scale our infrastructure.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processes involve a high degree of risk, and these efforts may be delayed or fail for many reasons, including failure of the product to perform as expected and failure to reliably demonstrate the advantages of the product.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ability to provide reliable, high-quality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customers may discover defects in our products after the products have been fully installed and operated. In addition, some of our products include components from other vendors, which may contain latent</w:t>
      </w:r>
      <w:r>
        <w:rPr>
          <w:color w:val="000000"/>
        </w:rPr>
        <w:t xml:space="preserve"> </w:t>
      </w:r>
      <w:r>
        <w:rPr>
          <w:rFonts w:ascii="Times New Roman;serif" w:hAnsi="Times New Roman;serif"/>
          <w:b w:val="false"/>
          <w:color w:val="000000"/>
          <w:sz w:val="20"/>
        </w:rPr>
        <w:t xml:space="preserve">defects. As a result, should problems occur, it may be difficult to identify the source of the problem. If we are unable to identify and fix defects or other problems, we could experience, among other things: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loss of customers or orders;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increased costs of warranty expenses;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damage to our brand reputation;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failure to attract new customers;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diversion of development, engineering and manufacturing resources;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regulatory actions by governmental authorities;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legal actions by our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4485"/>
                <wp:effectExtent l="0" t="0" r="0" b="0"/>
                <wp:wrapNone/>
                <wp:docPr id="54" name="Frame5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June 30, 2026, we had accrued approximately $1.4 million in expenses relating to product warranty accruals. Substantial amounts of warranty claims could have an adverse effect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pursue acquisitions of businesses and assets. For example, in February 2023, we entered into an asset purchase agreement with Luminex Corporation (“Luminex”) and acquired certain assets related to the flow cytometry and imaging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Shipping is a critical part of our business and any changes in our shipping arrangements or damages or losses sustained during shipping could adversely affect our business, financial condition, results of operations and prospects.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Wuxi, China</w:t>
      </w:r>
      <w:r>
        <w:rPr>
          <w:rFonts w:ascii="Times New Roman;serif" w:hAnsi="Times New Roman;serif"/>
          <w:b w:val="false"/>
          <w:color w:val="000000"/>
          <w:sz w:val="20"/>
          <w:shd w:fill="FFFFFF" w:val="clear"/>
        </w:rPr>
        <w:t>; and Singapore r</w:t>
      </w:r>
      <w:r>
        <w:rPr>
          <w:rFonts w:ascii="Times New Roman;serif" w:hAnsi="Times New Roman;serif"/>
          <w:b w:val="false"/>
          <w:color w:val="000000"/>
          <w:sz w:val="20"/>
        </w:rPr>
        <w:t xml:space="preserve">equire global shipping services that are subject to certain factors outside of our control, such as increased costs due to fuel surcharges or otherwise, delays passing through customs, </w:t>
      </w:r>
      <w:r>
        <w:rPr>
          <w:rFonts w:ascii="Times New Roman;serif" w:hAnsi="Times New Roman;serif"/>
          <w:b w:val="false"/>
          <w:color w:val="008080"/>
          <w:sz w:val="20"/>
        </w:rPr>
        <w:t>d</w:t>
      </w:r>
      <w:r>
        <w:rPr>
          <w:rFonts w:ascii="Times New Roman;serif" w:hAnsi="Times New Roman;serif"/>
          <w:b w:val="false"/>
          <w:color w:val="000000"/>
          <w:sz w:val="20"/>
        </w:rPr>
        <w:t>isruptions to global shipping routes and fuel scarcity. Geopolitical conflicts and/or regional instability may impact any of the foregoing; for example, fuel surcharges have been announced and, in some cases implemented, by logistics vendors globally, in response to the ongoing and escalating conflicts in the Middle East, and such conflicts may also lead to delays or logistics difficulties in the future.</w:t>
      </w:r>
      <w:r>
        <w:rPr>
          <w:color w:val="00808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4485"/>
                <wp:effectExtent l="0" t="0" r="0" b="0"/>
                <wp:wrapNone/>
                <wp:docPr id="55" name="Frame5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successfully expand our commercial operations, including hiring additional qualified sales representatives, technical applications specialists and customer support staff, our business may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sales will depend, in large part, on our ability to develop and substantially expand our sales infrastructure, particularly as we enter into new markets, roll 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CROs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significant base of peer-reviewed publications to showcase and validate the importance and application of our technology in academic and clinical research settings. As of June 30, 2026, there have been more than 4,200 peer-reviewed articles published relating to our FSP products since our first commercial launch in 2017,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our senior management team and key personnel and our business could be harmed if we are unable to attract and retain personnel necessary for our success.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4485"/>
                <wp:effectExtent l="0" t="0" r="0" b="0"/>
                <wp:wrapNone/>
                <wp:docPr id="56" name="Frame5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As of June 30, 2026, we had 682</w:t>
      </w:r>
      <w:r>
        <w:rPr>
          <w:color w:val="000000"/>
          <w:shd w:fill="FFFFFF" w:val="clear"/>
        </w:rPr>
        <w:t xml:space="preserve"> </w:t>
      </w:r>
      <w:r>
        <w:rPr>
          <w:rFonts w:ascii="Times New Roman;serif" w:hAnsi="Times New Roman;serif"/>
          <w:b w:val="false"/>
          <w:color w:val="000000"/>
          <w:sz w:val="20"/>
        </w:rPr>
        <w:t xml:space="preserve">full-time employees. As our sales and marketing strategies develop, we expect to need additional managerial, operational, sales, marketing, financial and other personnel. Future growth would impose significant added responsibilities on members of management,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identifying, recruiting, integrating, maintaining and motivating additional employees;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managing our internal development efforts effectively, while complying with our contractual obligations to contractors and other third parties;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improving our operational, financial and management controls, reporting systems and procedures.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maintain an effective system of internal controls, we may not be able to accurately or timely report our financial condition or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 These included deficiencies in the control environment, as well as deficiencies related to control activities related to (i) selecting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4485"/>
                <wp:effectExtent l="0" t="0" r="0" b="0"/>
                <wp:wrapNone/>
                <wp:docPr id="57" name="Frame5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While the identified material weaknesses were remediated in fiscal year 2025, we cannot provide assurance that we will not identify additional material weaknesses in future periods or that we will be successful in remediating any future significant deficiencies or material weaknesses in internal control over financial reporting.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These deficiencies could result in additional material misstatements to our </w:t>
      </w:r>
      <w:r>
        <w:rPr>
          <w:rFonts w:ascii="Times New Roman;serif" w:hAnsi="Times New Roman;serif"/>
          <w:b w:val="false"/>
          <w:color w:val="000000"/>
          <w:sz w:val="20"/>
          <w:shd w:fill="FFFFFF" w:val="clear"/>
        </w:rPr>
        <w:t xml:space="preserve">unaudited interim </w:t>
      </w:r>
      <w:r>
        <w:rPr>
          <w:rFonts w:ascii="Times New Roman;serif" w:hAnsi="Times New Roman;serif"/>
          <w:b w:val="false"/>
          <w:color w:val="000000"/>
          <w:sz w:val="20"/>
        </w:rPr>
        <w:t xml:space="preserve">consolidated financial statements that could not be prevented or detected on a timely basis.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continuing to develop and refine our disclosure controls, internal control over financial reporting and other procedures that are designed to ensure information required to be disclosed by us in our </w:t>
      </w:r>
      <w:r>
        <w:rPr>
          <w:rFonts w:ascii="Times New Roman;serif" w:hAnsi="Times New Roman;serif"/>
          <w:b w:val="false"/>
          <w:color w:val="000000"/>
          <w:sz w:val="20"/>
          <w:shd w:fill="FFFFFF" w:val="clear"/>
        </w:rPr>
        <w:t>unaudited interim</w:t>
      </w:r>
      <w:r>
        <w:rPr>
          <w:color w:val="000000"/>
        </w:rPr>
        <w:t xml:space="preserve"> </w:t>
      </w:r>
      <w:r>
        <w:rPr>
          <w:rFonts w:ascii="Times New Roman;serif" w:hAnsi="Times New Roman;serif"/>
          <w:b w:val="false"/>
          <w:color w:val="000000"/>
          <w:sz w:val="20"/>
        </w:rPr>
        <w:t xml:space="preserve">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 Our current controls and any new controls we develop may become inadequate, including due to changes in our business and business conditions. Additionally, to the extent we acquire other businesses, the acquired company may not have a sufficiently robust system of internal controls and we may uncover new deficiencies as part of integration. </w:t>
      </w:r>
      <w:r>
        <w:rPr>
          <w:rFonts w:ascii="Times New Roman;serif" w:hAnsi="Times New Roman;serif"/>
          <w:b w:val="false"/>
          <w:color w:val="000000"/>
          <w:sz w:val="20"/>
          <w:shd w:fill="FFFFFF" w:val="clear"/>
        </w:rPr>
        <w:t>We currently do not have an internal audit group, and we may need to hire additional accounting and finance staff and consultants with appropriate public company experience and technical accounting knowledge to appropriately maintain effective internal controls over financial reporting. If we identify any additional material weaknesses or are unable to successfully remediate any future material weaknesses in our internal control over financial reporting, the accuracy and timing of our financial reporting may be negatively impacted, we may be unable to maintain compliance with securities law requirements regarding timely filing of periodic reports and applicable stock exchange listing requirements, investors may lose confidence in our financial reporting, and our stock price may decline as a result; additionally, any of the foregoing could restrict our future access to the capital markets. In prior periods, certain filings were made pursuant to Rule 12b-25, and adjustments were made to certain line items in the related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need to raise additional capital to fund our existing operations, develop our products and/or expand our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present and future funding requirements will depend on many factors, some of which are beyond our control,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achieve and maintain revenue growth;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 of expanding our operations, including our sales and marketing efforts;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rate of progress in launching and commercializing new products and the cost of the sales and marketing activities associated with establishing adoption of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4485"/>
                <wp:effectExtent l="0" t="0" r="0" b="0"/>
                <wp:wrapNone/>
                <wp:docPr id="58" name="Frame5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rate of progress in, and cost of research and development activities associated with, products in research and development;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effect of competing technological and market developments;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potential cost of and delays in product development as a result of any regulatory oversight applicable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costs associated with any product recall that may occur;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costs related to domestic and international expansion;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costs of attaining, defending and enforcing our intellectual property rights;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terms and timing of any other collaborative, licensing and other arrangements that we may establish.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conflicts in the Middle East</w:t>
      </w:r>
      <w:r>
        <w:rPr>
          <w:rFonts w:ascii="Times New Roman;serif" w:hAnsi="Times New Roman;serif"/>
          <w:b w:val="false"/>
          <w:color w:val="000000"/>
          <w:sz w:val="20"/>
          <w:shd w:fill="FFFFFF" w:val="clear"/>
        </w:rPr>
        <w:t xml:space="preserve">, government actions implemented as a result of either of the foregoing, as </w:t>
      </w:r>
      <w:r>
        <w:rPr>
          <w:rFonts w:ascii="Times New Roman;serif" w:hAnsi="Times New Roman;serif"/>
          <w:b w:val="false"/>
          <w:color w:val="000000"/>
          <w:sz w:val="20"/>
        </w:rPr>
        <w:t xml:space="preserve">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level of demand for any of our products, which may vary significantly;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timing and cost of, and level of investment in, research, development, manufacturing, regulatory approval and commercialization activities relating to our products, which may change from time to time;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size, seasonality and customer mix of the cell analysis market;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sales and marketing efforts and expenses;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rate at which we grow our sales force and the speed at which newly hired salespeople become effective;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productivity of our sales force;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effectiveness of our distribution partners in selling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positive or negative coverage in the media or publications of our products or competitive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 of manufacturing our products, which may vary depending on the quantity of production and the terms of our arrangements with our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4485"/>
                <wp:effectExtent l="0" t="0" r="0" b="0"/>
                <wp:wrapNone/>
                <wp:docPr id="59" name="Frame5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degree of competition in our industry and any change in the competitive landscape of our industry, including the introduction of new products or enhancements or technologies by us or others in the cell analysis market and competition-related pricing pressures;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governmental regulations or in the status of our regulatory approvals or applications;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future accounting pronouncements or changes in our accounting policies;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general economic conditions, both domestically and internationally, as well as economic conditions specifically affecting the industry in which we do business, including those related to widespread health crises;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global financial crises and economic downturns, including those caused by widespread public health crises;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economic factors, including changes in inflation, interest rates, foreign currency rates, liquidity concerns at, and failures of, banks and other financial institutions and the potential effect of such factors on revenues and expenses;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general market conditions and other factors, including factors unrelated to our operating performance or the operating performance of our competitors.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sizes of the markets for our products may be smaller than we estimate.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have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were to be sued for product liability, we could face substantial liabilities that exceed our resources, limit sales of our existing products and limit commercialization of any products that we may develop.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4485"/>
                <wp:effectExtent l="0" t="0" r="0" b="0"/>
                <wp:wrapNone/>
                <wp:docPr id="60" name="Frame6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will incur substantial liabilities and reputational harm. In addition, regardless of merit or eventual outcome, product liability claims may result in: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substantial litigation costs;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distraction of management’s attention from our primary business;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inability to commercialize our products or new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decreased demand for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damage to our business reputation;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product recalls or withdrawals from the market;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loss of sales; or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termination of existing agreements by our partners and potential partners failing to partner with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Litigation and other legal proceedings may harm our business.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See Note 17 to our </w:t>
      </w:r>
      <w:r>
        <w:rPr>
          <w:rFonts w:ascii="Times New Roman;serif" w:hAnsi="Times New Roman;serif"/>
          <w:b w:val="false"/>
          <w:color w:val="000000"/>
          <w:sz w:val="20"/>
          <w:shd w:fill="FFFFFF" w:val="clear"/>
        </w:rPr>
        <w:t xml:space="preserve">unaudited interim </w:t>
      </w:r>
      <w:r>
        <w:rPr>
          <w:rFonts w:ascii="Times New Roman;serif" w:hAnsi="Times New Roman;serif"/>
          <w:b w:val="false"/>
          <w:color w:val="000000"/>
          <w:sz w:val="20"/>
        </w:rPr>
        <w:t>consolidated financial statements included elsewhere in this Quarterly Report on Form 10-Q for information regarding ongoing legal proceedings.</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and, as a result, we and the third parties upon whom we rely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4485"/>
                <wp:effectExtent l="0" t="0" r="0" b="0"/>
                <wp:wrapNone/>
                <wp:docPr id="61" name="Frame6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attacks, including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w:t>
      </w:r>
      <w:r>
        <w:rPr>
          <w:rFonts w:ascii="Times New Roman;serif" w:hAnsi="Times New Roman;serif"/>
          <w:b w:val="false"/>
          <w:color w:val="000000"/>
          <w:sz w:val="20"/>
          <w:shd w:fill="FFFFFF" w:val="clear"/>
        </w:rPr>
        <w:t>(</w:t>
      </w:r>
      <w:r>
        <w:rPr>
          <w:color w:val="000000"/>
        </w:rPr>
        <w:t>“</w:t>
      </w:r>
      <w:r>
        <w:rPr>
          <w:rFonts w:ascii="Times New Roman;serif" w:hAnsi="Times New Roman;serif"/>
          <w:b w:val="false"/>
          <w:color w:val="000000"/>
          <w:sz w:val="20"/>
          <w:shd w:fill="FFFFFF" w:val="clear"/>
        </w:rPr>
        <w:t>AI</w:t>
      </w:r>
      <w:r>
        <w:rPr>
          <w:color w:val="000000"/>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and other similar threats. In particular, severe ransomware attacks, including those perpetrated by organized criminal threat actors, nation-states, and nation-state-supported actors, are increasingly prevalent and severe and such an attack has led to, and in the future such attacks can lead to, significant interruptions in our operations and/or ability to provide our products or services, loss of Sensitive Information and income, reputational harm, and/or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 increased risks to our information technology systems and data when utilizing network connections, computers, and devices outside our premises or network.</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supply-chain attacks.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have not, and we may not in the future, detect, mitigate,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previously identified or similar threats could cause (and have in the past caused) a security incident or other interruption that could result, and in certain cases in the past has resulted, in unauthorized, unlawful, or accidental acquisition, modification, destruction, loss, alteration, encryption, disclosure of, or access to our Sensitive Information or our information technology systems, or those of the third parties with whom we work. For example, in November 2025, we became aware of a security incident that affected certain of our Sensitive Information, including employee personal information. A security incident or other interruption could disrupt our ability (and that of third parties with whom we work) to provide our products and services. We expend significant resources and may modify our business activities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4485"/>
                <wp:effectExtent l="0" t="0" r="0" b="0"/>
                <wp:wrapNone/>
                <wp:docPr id="62" name="Frame6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and have done so in the past.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material consequences may cause customers to stop using our products and services, deter new customers from purchasing our products and services, and negatively impact our ability to grow and operate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Business disruptions could seriously harm our future revenue and financial condition and increase our costs and expenses.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(including our manufacturing operations) and the operations of our distribution partners could be subject to earthquakes, power shortages, telecommunications failures, water or fuel shortages, floods, hurricanes, typhoons, fires, extreme weather conditions, medical epidemics and pandemics, and other natural or man-made disasters, including those related to geopolitical conflicts,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manufacture our products at our manufacturing facilities located in Fremont and San Diego, California; Wuxi, China</w:t>
      </w:r>
      <w:r>
        <w:rPr>
          <w:rFonts w:ascii="Times New Roman;serif" w:hAnsi="Times New Roman;serif"/>
          <w:b w:val="false"/>
          <w:color w:val="000000"/>
          <w:sz w:val="20"/>
          <w:shd w:fill="FFFFFF" w:val="clear"/>
        </w:rPr>
        <w:t>; and Singapore;</w:t>
      </w:r>
      <w:r>
        <w:rPr>
          <w:color w:val="000000"/>
        </w:rPr>
        <w:t xml:space="preserve"> </w:t>
      </w:r>
      <w:r>
        <w:rPr>
          <w:rFonts w:ascii="Times New Roman;serif" w:hAnsi="Times New Roman;serif"/>
          <w:b w:val="false"/>
          <w:color w:val="000000"/>
          <w:sz w:val="20"/>
        </w:rPr>
        <w:t xml:space="preserve">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insurance policies are expensive and protect us only from some business risks, which leaves us exposed to significant uninsured liabilities.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4485"/>
                <wp:effectExtent l="0" t="0" r="0" b="0"/>
                <wp:wrapNone/>
                <wp:docPr id="63" name="Frame6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r>
        <w:rPr>
          <w:color w:val="000000"/>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foreign currency exchange risk.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4485"/>
                <wp:effectExtent l="0" t="0" r="0" b="0"/>
                <wp:wrapNone/>
                <wp:docPr id="64" name="Frame6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impact resulting from unfavorable changes in foreign currency exchange rates. We cannot predict with any certainty changes in foreign currency exchange rates or the degree to which we can mitigate these risks.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Government Regulation and Our Industry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our Northern Lights-CLC system is available for clinical use in only China and the European Union. Our Cytek Aurora, Cytek Northern Lights, and Cytek Aurora Evo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growth strategy, we plan to seek approval to offer one or more of our systems for clinical use in the United States and/or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medical device we market will be subject to continued regulatory review, oversight, requirements, and periodic inspections by the FDA and other domestic and foreign regulatory bodies. In particular, unless exempt, we and our suppliers are required to comply with the FDA’s Quality Management System Regulation (“QMSR”)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QMSR and other regulations through periodic inspections. The failure by us or one of our suppliers to comply with applicable statutes and regulations administered by the FDA and other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4485"/>
                <wp:effectExtent l="0" t="0" r="0" b="0"/>
                <wp:wrapNone/>
                <wp:docPr id="65" name="Frame6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bodies, or the failure to timely and adequately respond to any adverse inspectional observations or product safety issues, could result in, among other things, any of the following enforcement actions: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untitled letters, warning letters, fines, injunctions, consent decrees and civil penalties;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unanticipated expenditures to address or defend such actions;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customer notifications for repair, replacement or refunds;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recall, detention or seizure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operating restrictions or partial suspension or total shutdown of production;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refusing or delaying our requests for 510(k) clearance or PMA applications of new products or modified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withdrawal of 510(k) clearances on PMA applications that have already been granted;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refusal to grant export approval for our products; or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criminal prosecution.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Later discovery of previously unknown problems with our products, including manufacturing problems, or failure to comply with regulatory requirements such as the QMSR,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4485"/>
                <wp:effectExtent l="0" t="0" r="0" b="0"/>
                <wp:wrapNone/>
                <wp:docPr id="66" name="Frame6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provides for fines for noncompliance and allows private litigants affected by certain data breaches to recover significant statutory damages. The CCPA and other U.S. comprehensive privacy laws exempt some data processed in the context of clinical trials, but these developments increase compliance costs and potential liability with respect to other personal information we maintain about residents in these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4485"/>
                <wp:effectExtent l="0" t="0" r="0" b="0"/>
                <wp:wrapNone/>
                <wp:docPr id="67" name="Frame6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causes us to incur substantial operational costs and may require us to change our business practices, and could lead to material fines, penalties and liability.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jurisdictions have enacted data localization laws and cross-border data transfer restrictions. These laws may make it more difficult for us to transfer personal information across jurisdictions, which could impede our business. For example, absent appropriate safeguards or other circumstances, the GDPR generally restricts the transfer of personal information to the United States and other countries that are viewed by some regulators to not generally provide an adequate level of data privacy and security. Although there are currently various mechanisms that can be used to transfer personal information from the EEA and UK to the United States in compliance with law, such as the EU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data transfer restrictions and data residency requirements,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Department of Justice has issued a rule titled “Preventing Access to U.S. Sensitive Personal Data and Government-Related Data by Countries of Concern or Covered Persons,” which places additional restrictions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and personnel use generative AI and/or automated decision-making technologies to perform their work, and the disclosure and use of personal information in AI technologies is subject to various privacy laws and other privacy obligations. Governments have passed and are likely to pass additional laws regulating AI and/or automated decision-making technologies. Our use of such technologies could result in additional compliance costs, regulatory investigations and actions, and consumer lawsuits. If we are unable to use AI and/or automated decision-making technologies, it could make our business less efficient and result in competitive disadvantages. We also use AI and machine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4485"/>
                <wp:effectExtent l="0" t="0" r="0" b="0"/>
                <wp:wrapNone/>
                <wp:docPr id="68" name="Frame6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U.S. and certain foreign anti-corruption and anti-money laundering laws and regulations. We can face criminal liability and other serious consequences for violations, which can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4485"/>
                <wp:effectExtent l="0" t="0" r="0" b="0"/>
                <wp:wrapNone/>
                <wp:docPr id="69" name="Frame6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Disruptions at the FDA, the SEC, and other government agencies and regulatory authorities from funding cuts, personnel losses, regulatory reform, government shutdowns, and other developments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ability of the FDA and comparable foreign regulatory authorities to review and approve new products can be affected by a variety of factors, including government budget and funding levels, their ability to hire and retain key personnel and accept the payment of user fees, and statutory, regulatory, and policy changes. Average review times at the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Over the last several years, the U.S. government has shut down several times, including the government shutdown that began on October 1, 2025 and the government shutdown that lasted from December 22, 2018 to January 25, 2019, and certain regulatory agencies, such as the FDA and the SEC, have had to furlough critical employees and stop critical activities. Even the threat of a government shutdown or prolonged budget negotiation uncertainty may adversely affect the broader U.S. economy, investor confidence, and capital markets. Such conditions could negatively impact the liquidity or trading volume of our securities and our customers’ ability to finance and/or purchase our products. Accordingly, a federal government shutdown—or uncertainty regarding the continuity of government operations—could have a material adverse effect on our business, results of operations, and stock price.</w:t>
      </w:r>
    </w:p>
    <w:p>
      <w:pPr>
        <w:pStyle w:val="TextBody"/>
        <w:bidi w:val="0"/>
        <w:spacing w:lineRule="auto" w:line="276" w:before="120" w:after="283"/>
        <w:jc w:val="both"/>
        <w:rPr/>
      </w:pPr>
      <w:r>
        <w:rPr>
          <w:rFonts w:ascii="Times New Roman;serif" w:hAnsi="Times New Roman;serif"/>
          <w:b/>
          <w:i/>
          <w:color w:val="000000"/>
          <w:sz w:val="20"/>
        </w:rPr>
        <w:t>Issues in the development and use of artificial intelligence technologies, combined with an uncertain regulatory environment, may result in reputation harm, liability, or other adverse consequences to our business operations</w:t>
      </w:r>
      <w:r>
        <w:rPr>
          <w:rFonts w:ascii="Times New Roman;serif" w:hAnsi="Times New Roman;serif"/>
          <w:b w:val="false"/>
          <w:i/>
          <w:color w:val="000000"/>
          <w:sz w:val="20"/>
        </w:rPr>
        <w:t>.</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and will continue to incorporate AI and/or ML technologies into our business operations and products and services, including through the use of such technologies by our third-party service providers. The use of such rapidly evolving technologies by us and our third-party service providers (whether or not known to us), while presenting significant benefits, can also present risks and challenges to our business. The implementation of artificial intelligence can be costly, and there is no guarantee that our use of AI/ML will enhance our technologies, benefit our business operations, or produce products and services that are preferred by our customers. If these technologies do not perform in accordance with our expectations, including, but not limited to, general failure or biases or errors relating to inaccuracies or flaws in the inputs, outputs, or logic of the AI/ML or if we fail to responsibly deploy artificial intelligence in our operations, such failures may give rise to legal liability, and our business and reputation could suffer.</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development and use of AI technologies present various privacy and security risks that may impact our business. AI technologies are subject to privacy and data security laws, as well as increasing regulation and scrutiny. Further, countries and states are applying their data and consumer protection laws to AI technologies, and particularly generative AI and interactive chatbots.</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Several jurisdictions around the globe, including Europe and certain U.S. states, have proposed, enacted, or are considering laws governing the development and use of AI technologies, including, but not limited to, the EU’s AI Act, the Colorado Artificial Intelligence Act, California Bot Disclosure Law,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Certain of our activities may subject us to the EU AI Act and, depending on how the EU AI Act is implemented and interpreted, we may have to adapt our business practices, contractual arrangements, and services to comply with such obligations, if applicable. We expect other jurisdictions will adopt similar laws.</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certain privacy laws extend rights to consumers (such as the right to delete certain personal information) and regulate automated decision making, which may be incompatible with our use of AI technologies. 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4485"/>
                <wp:effectExtent l="0" t="0" r="0" b="0"/>
                <wp:wrapNone/>
                <wp:docPr id="70" name="Frame7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sensitive information (including confidential, competitive, proprietary, or personal information) that we input into a third-party AI technology, including, but not limited to, generative AI technology, could be leaked or disclosed to others, including if sensitive information is used to train the third parties’ AI technology. Additionally, where an AI technology model ingests personal information and makes connections using such data, those technologies may reveal other personal or sensitive information generated by the model.</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AI technologies are evolving rapidly, as are the legal and regulatory landscapes applicable to it in the United States and in jurisdictions around the world, which may result in new and enhanced governmental or regulatory scrutiny, litigation, confidentiality, privacy or security risks, intellectual property risks, ethical concerns, legal liability, or other complications that could adversely affect our business, reputation, financial condition, or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comply with U.S. federal and state fraud and abuse and other healthcare laws and regulations, including those relating to kickbacks and false claims, we could face substantial penalties and our business operations and financial condition could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federal civil False Claims Act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4485"/>
                <wp:effectExtent l="0" t="0" r="0" b="0"/>
                <wp:wrapNone/>
                <wp:docPr id="71" name="Frame7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HIPAA, as amended by HITECH,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various state laws govern the privacy and security of personal information, including the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4485"/>
                <wp:effectExtent l="0" t="0" r="0" b="0"/>
                <wp:wrapNone/>
                <wp:docPr id="72" name="Frame7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consultants, commercial partners and vendors may engage in misconduct or other improper activities, including noncompliance with regulatory standards and requirements,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Risks Related to Our Intellectual Property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negating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4485"/>
                <wp:effectExtent l="0" t="0" r="0" b="0"/>
                <wp:wrapNone/>
                <wp:docPr id="73" name="Frame7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Changes in either the patent laws or their interpretation in the United States and other countries may diminish our ability to protect our inventions and to</w:t>
      </w:r>
      <w:r>
        <w:rPr>
          <w:color w:val="000000"/>
        </w:rPr>
        <w:t xml:space="preserve"> </w:t>
      </w:r>
      <w:r>
        <w:rPr>
          <w:rFonts w:ascii="Times New Roman;serif" w:hAnsi="Times New Roman;serif"/>
          <w:b w:val="false"/>
          <w:color w:val="000000"/>
          <w:sz w:val="20"/>
        </w:rPr>
        <w:t xml:space="preserve">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Including rights acquired in connection with the FCI Acquisition, as of June 30, 2026, we own 39 issued U.S. utility patents,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issued Japan utility patents, </w:t>
      </w:r>
      <w:r>
        <w:rPr>
          <w:rFonts w:ascii="Times New Roman;serif" w:hAnsi="Times New Roman;serif"/>
          <w:b w:val="false"/>
          <w:color w:val="000000"/>
          <w:sz w:val="20"/>
        </w:rPr>
        <w:t>seven</w:t>
      </w:r>
      <w:r>
        <w:rPr>
          <w:color w:val="000000"/>
          <w:shd w:fill="FFFFFF" w:val="clear"/>
        </w:rPr>
        <w:t xml:space="preserve"> </w:t>
      </w:r>
      <w:r>
        <w:rPr>
          <w:rFonts w:ascii="Times New Roman;serif" w:hAnsi="Times New Roman;serif"/>
          <w:b w:val="false"/>
          <w:color w:val="000000"/>
          <w:sz w:val="20"/>
          <w:shd w:fill="FFFFFF" w:val="clear"/>
        </w:rPr>
        <w:t xml:space="preserve">issued European utility patents,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issued China utility patents, one Canada utility patent, one India utility patent, two Australian utility patents, and three Singapore utility patents. We have 67 pending utility patent applications, including </w:t>
      </w:r>
      <w:r>
        <w:rPr>
          <w:rFonts w:ascii="Times New Roman;serif" w:hAnsi="Times New Roman;serif"/>
          <w:b w:val="false"/>
          <w:color w:val="000000"/>
          <w:sz w:val="20"/>
        </w:rPr>
        <w:t>44</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the United States, one international utility patent application, </w:t>
      </w:r>
      <w:r>
        <w:rPr>
          <w:rFonts w:ascii="Times New Roman;serif" w:hAnsi="Times New Roman;serif"/>
          <w:b w:val="false"/>
          <w:color w:val="000000"/>
          <w:sz w:val="20"/>
        </w:rPr>
        <w:t>eight</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the European Union,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China, and five utility patent applications in Japan. Assuming all maintenance fees are paid, the U.S. issued patents are expected to naturally expire between years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2044</w:t>
      </w:r>
      <w:r>
        <w:rPr>
          <w:rFonts w:ascii="Times New Roman;serif" w:hAnsi="Times New Roman;serif"/>
          <w:b w:val="false"/>
          <w:color w:val="000000"/>
          <w:sz w:val="20"/>
          <w:shd w:fill="FFFFFF" w:val="clear"/>
        </w:rPr>
        <w:t xml:space="preserve">. Additionally, patents covering intellectual property relating to design specific technologies invented by our researchers in Shanghai and Wuxi, China are filed in China and owned by our China subsidiaries, respectively. As of June 30, 2026, our Shanghai subsidiary owns 12 issued utility patents and eight issued invention patents and has two pending utility patent applications and three pending invention patent applications, and our Wuxi subsidiary owns 45 issued utility patents and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 xml:space="preserve">issued invention patent and has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pending utility patent applications and </w:t>
      </w:r>
      <w:r>
        <w:rPr>
          <w:rFonts w:ascii="Times New Roman;serif" w:hAnsi="Times New Roman;serif"/>
          <w:b w:val="false"/>
          <w:color w:val="000000"/>
          <w:sz w:val="20"/>
        </w:rPr>
        <w:t>eight</w:t>
      </w:r>
      <w:r>
        <w:rPr>
          <w:color w:val="000000"/>
          <w:shd w:fill="FFFFFF" w:val="clear"/>
        </w:rPr>
        <w:t xml:space="preserve"> </w:t>
      </w:r>
      <w:r>
        <w:rPr>
          <w:rFonts w:ascii="Times New Roman;serif" w:hAnsi="Times New Roman;serif"/>
          <w:b w:val="false"/>
          <w:color w:val="000000"/>
          <w:sz w:val="20"/>
          <w:shd w:fill="FFFFFF" w:val="clear"/>
        </w:rPr>
        <w:t>pending invention patent applications.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proceedings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in some circumstances, we may not have the right to control the preparation, filing and prosecution of patent applications, or to maintain the patents, covering technology that we license from or license to third parties or that we may jointly 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4485"/>
                <wp:effectExtent l="0" t="0" r="0" b="0"/>
                <wp:wrapNone/>
                <wp:docPr id="74" name="Frame7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are successfully issued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patents and patent applications may in the future be jointly 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may find it necessary or prudent to acquire or obtain licenses from third-party intellectual property holders. However, we may be unable to acquire or secure such licenses to any intellectual property rights from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4485"/>
                <wp:effectExtent l="0" t="0" r="0" b="0"/>
                <wp:wrapNone/>
                <wp:docPr id="75" name="Frame7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Patents covering our current, and any future, products or our technologies could be found invalid or unenforceable if challenged in court or before administrative bodies in the United States or abroad,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 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rely substantially on our trademarks and trade names. If our trademarks and trade names are not adequately protected, then we may not be able to build name recognition in our markets of interest and our business may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4485"/>
                <wp:effectExtent l="0" t="0" r="0" b="0"/>
                <wp:wrapNone/>
                <wp:docPr id="76" name="Frame7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limited foreign intellectual property rights outside the United States, selected countries in the European Union, the UK, Japan and China and may not be able to protect our intellectual property and proprietary rights throughout the world,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limited intellectual property rights outside the United States, selected countries in the European Union, the UK,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Changes in U.S. patent law could diminish the value of patents in general, thereby impairing our ability to protect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4485"/>
                <wp:effectExtent l="0" t="0" r="0" b="0"/>
                <wp:wrapNone/>
                <wp:docPr id="77" name="Frame7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enacted in September 2011, the United States transitioned to a first to file system in which, assuming that other requirements for patentability are met, the first applicant to file a patent application will be entitled to the patent on an invention regardless of whether a third party was the first to invent the claimed invention. A third party that files a patent application in the USPTO after March 15,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Third-party claims of intellectual property infringement, misappropriation or other violation against us, the joint-owners of our intellectual property, or our collaborators may prevent or delay the sale and marketing of our current and any future products.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have been and, in the future, could become subject to intellectual property-related litigation and proceedings relating to our or third-party intellectual property and proprietary rights. See Note 17 to our </w:t>
      </w:r>
      <w:r>
        <w:rPr>
          <w:rFonts w:ascii="Times New Roman;serif" w:hAnsi="Times New Roman;serif"/>
          <w:b w:val="false"/>
          <w:color w:val="000000"/>
          <w:sz w:val="20"/>
          <w:shd w:fill="FFFFFF" w:val="clear"/>
        </w:rPr>
        <w:t xml:space="preserve">unaudited interim </w:t>
      </w:r>
      <w:r>
        <w:rPr>
          <w:rFonts w:ascii="Times New Roman;serif" w:hAnsi="Times New Roman;serif"/>
          <w:b w:val="false"/>
          <w:color w:val="000000"/>
          <w:sz w:val="20"/>
        </w:rPr>
        <w:t>consolidated financial statements included elsewhere in this Quarterly Report on Form 10-Q for further details regarding legal proceedings.</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and laboratory equipment industries are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4485"/>
                <wp:effectExtent l="0" t="0" r="0" b="0"/>
                <wp:wrapNone/>
                <wp:docPr id="78" name="Frame7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4485"/>
                <wp:effectExtent l="0" t="0" r="0" b="0"/>
                <wp:wrapNone/>
                <wp:docPr id="79" name="Frame7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and other intellectual property rights, which could be expensive, time-consuming and unsuccessful.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4485"/>
                <wp:effectExtent l="0" t="0" r="0" b="0"/>
                <wp:wrapNone/>
                <wp:docPr id="80" name="Frame8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Failure of a key information technology system, process, or site could have an adverse effect on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are and have been subject to computer viruses, ransomware or other malware, attacks by computer hackers, social engineering (including phishing), supply-chain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use of open source software could compromise our ability to offer our services and subject us to possible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open source software in connection with the software integrated in our instruments as well as our Cytek Cloud software.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4485"/>
                <wp:effectExtent l="0" t="0" r="0" b="0"/>
                <wp:wrapNone/>
                <wp:docPr id="81" name="Frame8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stock price may continue to be volatile, and our stockholders may not be able to resell shares of our common stock at or above the price they paid.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degree and rate of market adoption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variance in our financial performance from expectations of securities analysts or investors;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actual or anticipated fluctuations in our financial condition and results of operations, including as a result of anticipated or unanticipated demand based on seasonal factors;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our projected operating and financial results;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developments or disputes concerning our intellectual property or other proprietary rights;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significant lawsuits, including patent or stockholder litigation;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negative publicity associated with issues related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senior management or key personnel;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future sales of our common stock or other securities, by us or our stockholders, as well as the anticipation of lock-up releases;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trading volume of our common stock;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obtain and maintain regulatory approvals for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laws or regulations applicable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adverse developments concerning any of our third-party distribution partners and suppliers, including our single and sole-source suppliers;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announcements by us or our competitors of significant business developments, acquisitions, or new offerings;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inability to engage additional distribution partners and establish collaborations, if needed;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performance or news releases by other companies in our industry, including about adverse developments related to safety, effectiveness, accuracy and usability of their products, reputational concerns, regulatory compliance, and product recalls; </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general economic, regulatory and market conditions, including the general inflationary environment, economic recessions or slowdowns, as well as geopolitical trends, changes or events such as the ongoing war in Ukraine, and conflicts in the Middle East, and the regional and global ramifications of these events;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other events or factors, many of which are beyond our control.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4485"/>
                <wp:effectExtent l="0" t="0" r="0" b="0"/>
                <wp:wrapNone/>
                <wp:docPr id="82" name="Frame8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face such litigation, it could result in substantial costs and a diversion of management’s attention and resources, which could harm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broad discretion in the use of our cash and may invest or spend the funds in ways with which you do not agree and in ways that may not yield a return.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Substantial future sales of shares of our common stock or securities convertible into our common stock will result in additional dilution of the percentage of ownership of our stockholders and could cause the market price of our common stock to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executive officers, directors and principal stockholders and their respective affiliates, if they choose to act together, have the ability to significantly influence all matters submitted to stockholders for approval.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officers, directors, and holders of 5% or more of our common stock and their respective affiliates hold a significant amount of our common stock. These stockholders, if they choose to act together, would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do not intend to pay dividends for the foreseeable future and, as a result, your ability to achieve a return on your investment will depend on appreciation in the price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disclosure controls and procedures may not prevent or detect all errors or acts of fraud.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inherent limitations include the realities that judgments in decision making can be faulty, and that breakdowns can occur because of simple error or mistake. Additionally, controls can be circumvented by the individual acts of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4485"/>
                <wp:effectExtent l="0" t="0" r="0" b="0"/>
                <wp:wrapNone/>
                <wp:docPr id="83" name="Frame8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Anti-takeover provisions under our charter documents and Delaware law could delay or prevent a change of control which could limit the market price of our common stock and may prevent or frustrate attempts by our stockholders to replace or remove our current management.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prohibition on stockholder action through written consent, which requires that all stockholder actions be taken at a meeting of our stockholders;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requirement that special meetings of stockholders be called only by the chairman of the board of directors, the chief executive officer, the president, or by a majority of the total number of authorized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advance notice requirements for stockholder proposals and nominations for election to our board of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because we are incorporated in Delaware, we are governed by the provisions of Section 203 of the General Corporation Law of the State of Delaware (the “DGCL”),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change-of-control transaction or changes in our board of directors could cause the market price of our common stock to decline.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4485"/>
                <wp:effectExtent l="0" t="0" r="0" b="0"/>
                <wp:wrapNone/>
                <wp:docPr id="84" name="Frame8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choice-of-forum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General Risk Factors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preparation of our </w:t>
      </w:r>
      <w:r>
        <w:rPr>
          <w:rFonts w:ascii="Times New Roman;serif" w:hAnsi="Times New Roman;serif"/>
          <w:b w:val="false"/>
          <w:color w:val="000000"/>
          <w:sz w:val="20"/>
          <w:shd w:fill="FFFFFF" w:val="clear"/>
        </w:rPr>
        <w:t xml:space="preserve">unaudited interim </w:t>
      </w:r>
      <w:r>
        <w:rPr>
          <w:rFonts w:ascii="Times New Roman;serif" w:hAnsi="Times New Roman;serif"/>
          <w:b w:val="false"/>
          <w:color w:val="000000"/>
          <w:sz w:val="20"/>
        </w:rPr>
        <w:t xml:space="preserve">consolidated financial statements in conformity with generally accepted accounting principles requires management to make estimates and assumptions that affect the amounts reported in our </w:t>
      </w:r>
      <w:r>
        <w:rPr>
          <w:rFonts w:ascii="Times New Roman;serif" w:hAnsi="Times New Roman;serif"/>
          <w:b w:val="false"/>
          <w:color w:val="000000"/>
          <w:sz w:val="20"/>
          <w:shd w:fill="FFFFFF" w:val="clear"/>
        </w:rPr>
        <w:t xml:space="preserve">unaudited interim </w:t>
      </w:r>
      <w:r>
        <w:rPr>
          <w:rFonts w:ascii="Times New Roman;serif" w:hAnsi="Times New Roman;serif"/>
          <w:b w:val="false"/>
          <w:color w:val="000000"/>
          <w:sz w:val="20"/>
        </w:rPr>
        <w:t xml:space="preserve">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could be subject to securities class action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incurred and will continue to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4485"/>
                <wp:effectExtent l="0" t="0" r="0" b="0"/>
                <wp:wrapNone/>
                <wp:docPr id="85" name="Frame8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failure to meet Nasdaq’s continued listing requirements could result in a delisting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publish unfavorable or inaccurate research about our business, our common stock price and trading volume could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ability to use our net operating losses (“NOLs”) to offset future taxable income may be subject to certain limitations. </w:t>
      </w:r>
    </w:p>
    <w:p>
      <w:pPr>
        <w:pStyle w:val="TextBody"/>
        <w:bidi w:val="0"/>
        <w:spacing w:lineRule="auto" w:line="268" w:before="120" w:after="283"/>
        <w:ind w:left="0" w:right="0" w:firstLine="540"/>
        <w:jc w:val="both"/>
        <w:rPr/>
      </w:pPr>
      <w:r>
        <w:rPr>
          <w:rFonts w:ascii="Times New Roman;serif" w:hAnsi="Times New Roman;serif"/>
          <w:b w:val="false"/>
          <w:color w:val="000000"/>
          <w:sz w:val="20"/>
        </w:rPr>
        <w:t>Under Sections 382 and 383 of the Internal Revenue Code of 1986, as amended (“Code”), and similar provisions of state and local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In addition, while U.S. federal NOLs arising in tax years beginning after December 31, 2017 may be carried forward indefinitely, such NOL carryforwards cannot offset more than 80% of taxable income in any tax year. There may also be other limitations under state law on our ability to utilize NOLs, including temporary suspensions or other limitations on the use of NOLs to offset taxable income. We determined that ownership changes occurred in 2018 and 2020 and in connection with our initial public offering in 2021.</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 xml:space="preserve">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In addition, at the state level, there may be periods during which the use of NOLs is suspended or otherwise limited, which could accelerate or permanently increase state taxes owed. Any such limitations may result in the expiration of the state net operating loss carryforwards before they can be fully utilized.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Changes in our effective tax rate or tax liability may have an adverse effect on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could increase due to several factors,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relative amounts of income before taxes in the various jurisdictions in which we operate that have differing statutory tax rates;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tax laws, tax treaties, and regulations or the interpretation of them;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to our assessment about our ability to realize our deferred tax assets that are based on estimates of our future results, the prudence and feasibility of possible tax planning strategies, and the economic and political environments in which we do business;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outcome of current and future tax audits, examinations, or administrative appeals;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limitations or adverse findings regarding our ability to do business in some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 tax authority may disagree with tax positions that we have taken, which could result in increased tax liabilities. For example, a tax authority could assert that we are subject to tax in a jurisdiction where we believe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4485"/>
                <wp:effectExtent l="0" t="0" r="0" b="0"/>
                <wp:wrapNone/>
                <wp:docPr id="86" name="Frame8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established a taxable connection, often referred to as a “permanent establishment” under international tax treaties, and such an assertion, if successful, could increase our expected tax liability in one or more jurisdictions.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tax law and regulations may have a material adverse effect on our business, financial condition and results of operations.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For instance, legislation commonly referred to as the One Big Beautiful Bill Act (the “OBBBA”) enacted in 2025, the Inflation Reduction Act enacted in 2022, the Coronavirus Aid, Relief, and Economic Security Act enacted in 2020, and legislation informally titled the Tax Cuts and Jobs Act enacted in 2017 made significant changes to the U.S. tax laws. Future guidance from the Internal Revenue Service and other tax authorities with respect to any such tax legislation may affect us, and certain aspects of prior tax legislation could be repealed or modified in future legislation. Changes in corporate tax rates, the realization of net deferred tax assets relating to our U.S. operations and the deductibility of expenses under current tax law or future tax reform legislation could have a material impact on the value of our deferred tax assets, could result in significant one-time charges in the current or future taxable years and could increase our future U.S. tax expense. We urge investors to consult with their legal and tax advisers regarding the implication of potential changes in tax laws on an investment in our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Changes and uncertainties in the tax system in the countries in which we have operations, could materially adversely affect our financial condition and results of operations, and reduce net returns to our shareholders.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2021, we issued and sold an aggregate of 13,949,401 shares of common stock in connection with our initial public offering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5. </w:t>
      </w:r>
      <w:r>
        <w:rPr>
          <w:rFonts w:ascii="Times New Roman;serif" w:hAnsi="Times New Roman;serif"/>
          <w:b/>
          <w:color w:val="000000"/>
          <w:sz w:val="20"/>
          <w:shd w:fill="FFFFFF" w:val="clear"/>
        </w:rPr>
        <w:t>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4485"/>
                <wp:effectExtent l="0" t="0" r="0" b="0"/>
                <wp:wrapNone/>
                <wp:docPr id="87" name="Frame8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and officers (as defined in Rule 16a-1(f) under the Exchange Act) adopted or terminated any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9"/>
        <w:gridCol w:w="262"/>
        <w:gridCol w:w="263"/>
        <w:gridCol w:w="109"/>
        <w:gridCol w:w="109"/>
        <w:gridCol w:w="109"/>
        <w:gridCol w:w="1753"/>
        <w:gridCol w:w="1628"/>
        <w:gridCol w:w="1644"/>
        <w:gridCol w:w="109"/>
        <w:gridCol w:w="109"/>
        <w:gridCol w:w="109"/>
        <w:gridCol w:w="195"/>
        <w:gridCol w:w="195"/>
        <w:gridCol w:w="196"/>
        <w:gridCol w:w="274"/>
        <w:gridCol w:w="274"/>
        <w:gridCol w:w="172"/>
        <w:gridCol w:w="245"/>
        <w:gridCol w:w="245"/>
        <w:gridCol w:w="246"/>
        <w:gridCol w:w="241"/>
        <w:gridCol w:w="241"/>
        <w:gridCol w:w="242"/>
        <w:gridCol w:w="272"/>
        <w:gridCol w:w="272"/>
        <w:gridCol w:w="392"/>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9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Filed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hyperlink r:id="rId3">
              <w:r>
                <w:rPr>
                  <w:rStyle w:val="InternetLink"/>
                  <w:rFonts w:ascii="Times New Roman;serif" w:hAnsi="Times New Roman;serif"/>
                  <w:b w:val="false"/>
                  <w:color w:val="0000FF"/>
                  <w:sz w:val="20"/>
                  <w:u w:val="single"/>
                </w:rPr>
                <w:t>001-40632</w:t>
              </w:r>
            </w:hyperlink>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3.1</w:t>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07/27/2021</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0"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5">
              <w:r>
                <w:rPr>
                  <w:rStyle w:val="InternetLink"/>
                  <w:rFonts w:ascii="Times New Roman;serif" w:hAnsi="Times New Roman;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3.2</w:t>
            </w:r>
          </w:p>
        </w:tc>
        <w:tc>
          <w:tcPr>
            <w:tcW w:w="72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07/27/2021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1-severanceagreem.htm">
              <w:r>
                <w:rPr>
                  <w:rStyle w:val="InternetLink"/>
                  <w:rFonts w:ascii="Times New Roman;serif" w:hAnsi="Times New Roman;serif"/>
                  <w:b w:val="false"/>
                  <w:color w:val="000080"/>
                  <w:sz w:val="20"/>
                  <w:u w:val="single"/>
                </w:rPr>
                <w:t>S</w:t>
              </w:r>
            </w:hyperlink>
            <w:hyperlink w:anchor="exhibit101-severanceagreem.htm">
              <w:r>
                <w:rPr>
                  <w:rStyle w:val="InternetLink"/>
                  <w:rFonts w:ascii="Times New Roman;serif" w:hAnsi="Times New Roman;serif"/>
                  <w:b w:val="false"/>
                  <w:color w:val="000080"/>
                  <w:sz w:val="20"/>
                  <w:u w:val="single"/>
                </w:rPr>
                <w:t>everance Agreement and Consulting Agreement by and between Cytek Biosciences, Inc. and Valerie Barnett</w:t>
              </w:r>
            </w:hyperlink>
            <w:hyperlink w:anchor="exhibit101-severanceagreem.htm">
              <w:r>
                <w:rPr>
                  <w:rStyle w:val="InternetLink"/>
                  <w:rFonts w:ascii="Times New Roman;serif" w:hAnsi="Times New Roman;serif"/>
                  <w:b w:val="false"/>
                  <w:color w:val="000080"/>
                  <w:sz w:val="20"/>
                  <w:u w:val="single"/>
                </w:rPr>
                <w:t>, dated Ju</w:t>
              </w:r>
            </w:hyperlink>
            <w:hyperlink w:anchor="exhibit101-severanceagreem.htm">
              <w:r>
                <w:rPr>
                  <w:rStyle w:val="InternetLink"/>
                  <w:rFonts w:ascii="Times New Roman;serif" w:hAnsi="Times New Roman;serif"/>
                  <w:b w:val="false"/>
                  <w:color w:val="000080"/>
                  <w:sz w:val="20"/>
                  <w:u w:val="single"/>
                </w:rPr>
                <w:t>ly 9 and July 10,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60630exx311.htm">
              <w:r>
                <w:rPr>
                  <w:rStyle w:val="InternetLink"/>
                  <w:rFonts w:ascii="Times New Roman;serif" w:hAnsi="Times New Roman;serif"/>
                  <w:b w:val="false"/>
                  <w:color w:val="0000FF"/>
                  <w:sz w:val="20"/>
                  <w:u w:val="single"/>
                </w:rPr>
                <w:t>Certification of Principal Executive Officer required by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60630exx312.htm">
              <w:r>
                <w:rPr>
                  <w:rStyle w:val="InternetLink"/>
                  <w:rFonts w:ascii="Times New Roman;serif" w:hAnsi="Times New Roman;serif"/>
                  <w:b w:val="false"/>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60630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60630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0" w:after="0"/>
        <w:jc w:val="left"/>
        <w:rPr/>
      </w:pPr>
      <w:hyperlink w:anchor="ie669e6063c534f599e3e485c204b6b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676" w:type="dxa"/>
        <w:jc w:val="left"/>
        <w:tblInd w:w="0" w:type="dxa"/>
        <w:tblLayout w:type="fixed"/>
        <w:tblCellMar>
          <w:top w:w="28" w:type="dxa"/>
          <w:left w:w="28" w:type="dxa"/>
          <w:bottom w:w="28" w:type="dxa"/>
          <w:right w:w="28" w:type="dxa"/>
        </w:tblCellMar>
      </w:tblPr>
      <w:tblGrid>
        <w:gridCol w:w="667"/>
        <w:gridCol w:w="587"/>
        <w:gridCol w:w="590"/>
        <w:gridCol w:w="321"/>
        <w:gridCol w:w="321"/>
        <w:gridCol w:w="321"/>
        <w:gridCol w:w="1126"/>
        <w:gridCol w:w="1126"/>
        <w:gridCol w:w="161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Cytek Biosciences,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Wenbin Jiang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Wenbin Jiang,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 William McCombe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William McCombe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4485"/>
                <wp:effectExtent l="0" t="0" r="0" b="0"/>
                <wp:wrapNone/>
                <wp:docPr id="90" name="Frame9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Severance Agreement and Release Of All Claims</w:t>
      </w:r>
    </w:p>
    <w:p>
      <w:pPr>
        <w:pStyle w:val="TextBody"/>
        <w:bidi w:val="0"/>
        <w:spacing w:before="0" w:after="0"/>
        <w:jc w:val="center"/>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This Severance Agreement and Release Of All Claims (the “Agreement”) is made and entered into by and between Cytek Biosciences, Inc. (the “Company”) on the one hand and Valerie Barnett, an individual (“Employee”), on the one hand. Employee and the Company are collectively referred to herein as the “Parties”.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Employee’s employment with the Company shall end on July 9, 2026. The Company desires to provide a severance package to Employee;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Employee desires to obtain severance benefits to which Employee otherwise would not be entitled;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Company and Employee desire to resolve issues between them relating to Employee’s employment with the Company and relating to the severance of that relationship by entering into this Agreement. This includes, without limitation, a desire to resolve completely and finally any and all claims Employee may have regarding Employee’s employment with the Company.</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TERMS OF AGREEMENT</w:t>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val="false"/>
          <w:color w:val="000000"/>
          <w:sz w:val="24"/>
        </w:rPr>
        <w:t xml:space="preserve">As of close of business on July 9, 2026 (“Separation Date”), Employee will no longer be employed by the Company. Upon receipt by the Company of this Agreement, fully executed by Employee, and within seven (7) days of the Effective Date as set forth in paragraph 21.H below, the Company will pay to Employee the gross amount of three hundred sixty-five thousand seven hundred seventy-five dollars and twelve cents ($365,775.12) (“Severance Amount”), less applicable tax withholdings. Employee agrees that this payment shall be consideration for the release of claims and other obligations and terms contained in this Agreement. Employee agrees that Employee would not be entitled to receive the Severance Amount if Employee did not agree to the release of claims contained in this Agreement. Employee agrees that the Severance Amount shall constitute the entire amount of monetary and other consideration provided to Employee under this Agreement. Under the terms of Employee’s equity award agreement(s) and the applicable plan documents, vesting of stock options and/or restricted stock units, if any, will cease as of the cessation of Employee’s Continuous Service (as defined in the Company’s 2021 Equity Incentive Plan) with the Company. Employee’s right to exercise any vested stock options, and all other rights and obligations with respect to Employee’s equity awards, will be as set forth in Employee’s equity award agreement(s), grant notice(s) and applicable plan documents. Employee acknowledges that except as expressly provided in this Agreement, Employee has not earned and will not receive from the Company any further compensation, including any other wages, commissions, bonuses, damages, costs, or attorneys’ fees in connection with the matters encompassed in this Agreement, except Employee’s final paycheck (the “Final Pay”). The Company shall pay Employee the Final Pay, subject to standard payroll deductions and withholdings, on the Separation Date, regardless of if Employee executes this Agreement. Since the Company has a nonaccrual vacation policy, Employee does not have any accrued vacation or other paid time off and thus will not be paid out for any accrued vacation or other paid time off. Employee will be eligible for increased severance benefits (the “CIC Severance Benefits”) in the event that the Company experiences a Change in Control (as defined in the Second Amended and Restated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94995"/>
                <wp:effectExtent l="0" t="0" r="0" b="0"/>
                <wp:wrapNone/>
                <wp:docPr id="91" name="Frame9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Severance Benefit Plan) within three (3) months after the Separation Date (the “Change in Control Period”). Specifically in the event that the Company experiences a Change in Control during the Change in Control Period, then pursuant to Section 5 of the Severance Plan, the Company will pay the Employee eighteen (18) months of Employee’s base salary as of the Employee’s Separation Date (in the total amount of $731,550.24) plus an amount equal to the Employee’s bonus target for 2026 (in the total amount of $219.465.09), subject to applicable deductions and withholdings. In the event that Employee becomes eligible for the CIC Severance Benefits after the Severance Amount set forth in paragraph 1 above has already been paid to Employee, then the Company will provide Employee with the difference between the CIC Severance Benefits and the Severance Amount previously paid to the Employee, within thirty (30) days after the effective date of the Change in Control. For the avoidance of doubt, under no circumstances will Employee be eligible for both the Severance Amount set forth in paragraph 1 and the CIC Severance Benefits. In addition, in the event the Company experiences a Change in Control during the Change in Control Period, each of Employee’s then outstanding equity awards shall accelerate and become vested and exercisable as to 100% of the unvested shares subject to the equity award on the effective date of the Change in Control. For the avoidance of doubt, the outstanding and unvested portion of Employee’s equity awards will remain outstanding until the earlier of (x) the last day of the Change in Control Period, or (y) a Change in Control that occurs within the Change in Control Period, solely so that any vesting acceleration benefits due under the preceding sentence can be provided if a Change in Control occurs during the Change in Control Period.</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val="false"/>
          <w:color w:val="000000"/>
          <w:sz w:val="24"/>
        </w:rPr>
        <w:t>If Employee executes the Consultant Agreement (attached hereto as Exhibit A) (the “Consultant Agreement”), then as an additional severance benefit, the Company will engage Employee as a consultant under the terms and conditions set forth in the Consultant Agreement. The consultant period will begin on the day after the Separation Date (such that there is continuous service by Employee from employment to consulting) and end pursuant to the terms in the Consultant Agreement (the “Consultant Period”). Notwithstanding the terms in the Consulting Agreement, if Employee does not timely (</w:t>
      </w:r>
      <w:r>
        <w:rPr>
          <w:rFonts w:ascii="Times New Roman;serif" w:hAnsi="Times New Roman;serif"/>
          <w:b w:val="false"/>
          <w:i/>
          <w:color w:val="000000"/>
          <w:sz w:val="24"/>
        </w:rPr>
        <w:t>i.e.</w:t>
      </w:r>
      <w:r>
        <w:rPr>
          <w:color w:val="000000"/>
        </w:rPr>
        <w:t xml:space="preserve"> </w:t>
      </w:r>
      <w:r>
        <w:rPr>
          <w:rFonts w:ascii="Times New Roman;serif" w:hAnsi="Times New Roman;serif"/>
          <w:b w:val="false"/>
          <w:color w:val="000000"/>
          <w:sz w:val="24"/>
        </w:rPr>
        <w:t>within twenty-one (21) days after Employee receives this Agreement) execute and return this Agreement to the Company, allow the Agreement to become effective, or does not otherwise comply with obligations under the Agreement, then the Consultant Period will end immediately upon the twenty-second (22</w:t>
      </w:r>
      <w:r>
        <w:rPr>
          <w:rFonts w:ascii="Times New Roman;serif" w:hAnsi="Times New Roman;serif"/>
          <w:b w:val="false"/>
          <w:color w:val="000000"/>
          <w:sz w:val="16"/>
        </w:rPr>
        <w:t>nd</w:t>
      </w:r>
      <w:r>
        <w:rPr>
          <w:rFonts w:ascii="Times New Roman;serif" w:hAnsi="Times New Roman;serif"/>
          <w:b w:val="false"/>
          <w:color w:val="000000"/>
          <w:sz w:val="24"/>
        </w:rPr>
        <w:t xml:space="preserve">) day after Employee received this Agreement or, the date by which the Employee revokes acceptance of this Agreement pursuant to paragraph 21.H below. </w: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val="false"/>
          <w:color w:val="000000"/>
          <w:sz w:val="24"/>
        </w:rPr>
        <w:t>Employee agrees that, within thirty (30) days after the Separation Date, Employee will submit Employee’s final documented expense reimbursement statement reflecting all business expenses Employee incurred through the Separation Date, if any, for which Employee seeks reimbursement. The Company will reimburse Employee for these expenses pursuant to its regular business practice.</w:t>
      </w:r>
    </w:p>
    <w:p>
      <w:pPr>
        <w:pStyle w:val="TextBody"/>
        <w:bidi w:val="0"/>
        <w:spacing w:lineRule="auto" w:line="240" w:before="0" w:after="240"/>
        <w:ind w:left="0" w:right="0" w:firstLine="720"/>
        <w:jc w:val="both"/>
        <w:rPr/>
      </w:pPr>
      <w:r>
        <w:rPr>
          <w:rFonts w:ascii="Times New Roman;serif" w:hAnsi="Times New Roman;serif"/>
          <w:b/>
          <w:color w:val="000000"/>
          <w:sz w:val="24"/>
        </w:rPr>
        <w:t>4.</w:t>
      </w:r>
      <w:r>
        <w:rPr>
          <w:rFonts w:ascii="Times New Roman;serif" w:hAnsi="Times New Roman;serif"/>
          <w:b w:val="false"/>
          <w:color w:val="000000"/>
          <w:sz w:val="24"/>
        </w:rPr>
        <w:t xml:space="preserve">Unless Employee follows the procedures set forth in this paragraph, Employee’s participation in the Company’s group health insurance plan will end on the last day of the month in which the Separation Date occurs (the “Group Plan End Date”). To the extent provided by the federal COBRA law or, if applicable, state insurance laws, and by the Company’s current group health insurance policies, Employee will be eligible to continue Employee’s group health insurance benefits at Employee’s own expense following the Separation Date. Later, Employee may be able to convert to an individual policy through the provider of the Company’s health insurance, if Employee wishes. Employee will be provided with a separate notice describing Employee’s rights and obligations under COBRA and a form for electing COBRA coverage. Information concerning options to continue health insurance coverage under COBRA will be mailed to Employee’s home address approximately two weeks after the Group Plan End Date. Until April 30, 2027 (or, in the event that the Company experiences a Change in Control during the Change in Control Period, until January 31, 2028) (either such time, the “COBRA Premium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70890"/>
                <wp:effectExtent l="0" t="0" r="0" b="0"/>
                <wp:wrapNone/>
                <wp:docPr id="92" name="Frame92"/>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2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2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Period”), or until the date Employee becomes covered by another health group plan, whichever is earlier, the Company will directly pay Employee’s COBRA premiums as an additional severance benefit. To receive this severance benefit, Employee must make a timely election for COBRA continuation coverage and remain eligible for these benefits. In the event Employee becomes covered under another employer’s group health plan or otherwise ceases to be eligible for COBRA during the COBRA Premium Period, Employee must immediately notify the Company in writing. Notwithstanding the foregoing, if at any time the Company determines, in its sole discretion, that the payment of the COBRA premiums as provided in this paragraph would result in a violation of applicable law (including, but not limited to, Section 105(h) of the Internal Revenue Code of 1986, as amended, Section 2716 of the Public Health Service Act, or any statute or regulation of similar effect), then provided Employee remains eligible for COBRA premiums in accordance with this section, in lieu of providing the COBRA premiums, the Company will instead pay Employee on the last day of each remaining month of the COBRA Premium Period, a fully taxable cash payment equal to the COBRA premiums for that month, subject to applicable tax withholdings for the remainder of the COBRA Payment Period. Employee may, but are not obligated to, use this taxable payment to pay for medical expenses, including COBRA premiums. </w:t>
      </w:r>
    </w:p>
    <w:p>
      <w:pPr>
        <w:pStyle w:val="TextBody"/>
        <w:bidi w:val="0"/>
        <w:spacing w:lineRule="auto" w:line="240" w:before="0" w:after="240"/>
        <w:ind w:left="0" w:right="0" w:firstLine="720"/>
        <w:jc w:val="both"/>
        <w:rPr/>
      </w:pPr>
      <w:r>
        <w:rPr>
          <w:rFonts w:ascii="Times New Roman;serif" w:hAnsi="Times New Roman;serif"/>
          <w:b/>
          <w:color w:val="000000"/>
          <w:sz w:val="24"/>
        </w:rPr>
        <w:t>5.</w:t>
      </w:r>
      <w:r>
        <w:rPr>
          <w:rFonts w:ascii="Times New Roman;serif" w:hAnsi="Times New Roman;serif"/>
          <w:b w:val="false"/>
          <w:color w:val="000000"/>
          <w:sz w:val="24"/>
        </w:rPr>
        <w:t xml:space="preserve">This Agreement and compliance with this Agreement shall not be construed as an admission by the Company of any liability whatsoever, or as an admission by the Company of any violation of the rights of Employee or any person, violation of any order, law, statute, duty, or contract whatsoever against Employee or any person. The Company specifically disclaims any liability to Employee or any other person for any alleged violation of the rights of Employee or any person, or for any alleged violation of any order, law, statute, duty, or contract on the part of the Company and the current and former employees or agents or representatives of the Company. </w:t>
      </w:r>
    </w:p>
    <w:p>
      <w:pPr>
        <w:pStyle w:val="TextBody"/>
        <w:bidi w:val="0"/>
        <w:spacing w:lineRule="auto" w:line="240" w:before="0" w:after="240"/>
        <w:ind w:left="0" w:right="0" w:firstLine="720"/>
        <w:jc w:val="both"/>
        <w:rPr/>
      </w:pPr>
      <w:r>
        <w:rPr>
          <w:rFonts w:ascii="Times New Roman;serif" w:hAnsi="Times New Roman;serif"/>
          <w:b/>
          <w:color w:val="000000"/>
          <w:sz w:val="24"/>
        </w:rPr>
        <w:t>6.</w:t>
      </w:r>
      <w:r>
        <w:rPr>
          <w:rFonts w:ascii="Times New Roman;serif" w:hAnsi="Times New Roman;serif"/>
          <w:b w:val="false"/>
          <w:color w:val="000000"/>
          <w:sz w:val="24"/>
        </w:rPr>
        <w:t>In consideration for receipt of the payment and benefits identified above, Employee, and any person acting by, through, or under Employee hereby unconditionally and absolutely releases, waives, and forever discharges the Company, its current and former subsidiaries and affiliates and all of their respective current and former agents, employees, officers, directors, shareholders, attorneys, successors, and assigns from any and all actions, demands, claims, obligations, agreements, or proceedings of any kind, whether known or unknown, from the beginning of time through the date Employee signs this Agreement, including, but not limited to, any claims arising out of, or connected with employment with the Company, separation from the Company, and/or termination of employment, including, but not limited to all matters in law, in equity, in contract, in tort, or pursuant to statute, including damages, attorney’s fees, costs and expenses and, without limiting the generality of the foregoing, to all claims arising under the California Fair Employment and Housing Act, the California Labor Code (including California Labor Code section 132a), Title VII of the Civil Rights Act of 1964, the Civil Rights Act of 1991, the Americans With Disabilities Act, the Age Discrimination in Employment Act of 1967, the Family and Medical Leave Act of 1993, the Employee Retirement Income Security Act of 1974, the federal and California Worker Adjustment and Retraining Notification Acts, Equal Pay Act, 29 U.S.C. § 206(d), the Civil Rights Act of 1866, 42 U.S.C. § 1981, the Family and Medical Leave Act of 1993, 29 U.S.C. § 2601 et seq., the California Family Rights Act or any other federal, state, or local law, statute, or ordinance affecting Employee’s employment with or separation from the Company. Employee understands this release does not apply to any claims or rights that may arise after the date that Employee signed this Agreement; the consideration for this Agreement; vested rights under the Company’s ERISA-covered employee benefit plans as applicable on the date Employee signs this Agreement; claims for unemployment insurance benefits; claims for workers’ compensation benefits; and, any claims for which the controlling law clearly states may not be released by private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70890"/>
                <wp:effectExtent l="0" t="0" r="0" b="0"/>
                <wp:wrapNone/>
                <wp:docPr id="93" name="Frame93"/>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3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3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7.</w:t>
      </w:r>
      <w:r>
        <w:rPr>
          <w:rFonts w:ascii="Times New Roman;serif" w:hAnsi="Times New Roman;serif"/>
          <w:b w:val="false"/>
          <w:color w:val="000000"/>
          <w:sz w:val="24"/>
        </w:rPr>
        <w:t xml:space="preserve">Employee acknowledges that Employee has: (a) received all compensation including wage and vacation payments due Employee as a result of services performed for the Company with the receipt of Employee’s final paycheck and such payments were not made contingent on the execution of this Agreement; (b) been properly provided any leave of absence and leave benefits and protections for which Employee is eligible, and that Employee has not been subjected to any improper treatment, conduct or actions due to or related to any request for or taking of any such leave of absence and leave benefits under the Family and Medical Leave Act, the California Family Rights Act, or otherwise; and (c) reported to the Company any and all work-related injuries incurred during Employee’s employment by the Company. Employee represents that Employee has no knowledge of any wrongdoing involving any current and/or former Company employees that may constitute an actual or potential violation of law or regulation. Employee further represents that Employee has not filed or caused to be filed any lawsuits or administrative complaints against the Company and/or any of its employees in any local, state, or federal court or with any local, state, federal, or administrative agency. Employee further acknowledges and agrees that the benefits offered to Employee herein satisfy fully and exceed any and all of the obligations the Company would have had to pay to Employee in connection with Employee’s employment termination, whether pursuant to the Company’s Severance Benefit Plan (and/or amendments thereto) or any other offer letter, employment agreement or any other agreement, plan or policy. By executing this Agreement, Employee agrees and acknowledges that the Company’s obligations to provide Employee any and all severance benefits, compensation or other benefits, other than as set forth in this Agreement, are hereby extinguished. </w:t>
      </w:r>
    </w:p>
    <w:p>
      <w:pPr>
        <w:pStyle w:val="TextBody"/>
        <w:bidi w:val="0"/>
        <w:spacing w:lineRule="auto" w:line="240" w:before="0" w:after="240"/>
        <w:ind w:left="0" w:right="0" w:firstLine="720"/>
        <w:jc w:val="both"/>
        <w:rPr/>
      </w:pPr>
      <w:r>
        <w:rPr>
          <w:rFonts w:ascii="Times New Roman;serif" w:hAnsi="Times New Roman;serif"/>
          <w:b/>
          <w:color w:val="000000"/>
          <w:sz w:val="24"/>
        </w:rPr>
        <w:t>8.</w:t>
      </w:r>
      <w:r>
        <w:rPr>
          <w:rFonts w:ascii="Times New Roman;serif" w:hAnsi="Times New Roman;serif"/>
          <w:b w:val="false"/>
          <w:color w:val="000000"/>
          <w:sz w:val="24"/>
        </w:rPr>
        <w:t xml:space="preserve">Employee is releasing all rights under section 1542 of the California Civil Code and any law of any other jurisdiction of similar effect with respect to Employee’s release of claims herein. Section 1542 provides as follows: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consciously intends to release such rights even as to claims for damages that may exist as of the date this Agreement is executed that Employee does not know exist, and which, if known, would materially affect Employee’s decision to execute this Agreement, regardless of whether the lack of knowledge is the result of ignorance, oversight, error, negligence, or any other cause.</w:t>
      </w:r>
    </w:p>
    <w:p>
      <w:pPr>
        <w:pStyle w:val="TextBody"/>
        <w:bidi w:val="0"/>
        <w:spacing w:lineRule="auto" w:line="240" w:before="0" w:after="240"/>
        <w:ind w:left="0" w:right="0" w:firstLine="720"/>
        <w:jc w:val="both"/>
        <w:rPr/>
      </w:pPr>
      <w:r>
        <w:rPr>
          <w:rFonts w:ascii="Times New Roman;serif" w:hAnsi="Times New Roman;serif"/>
          <w:b/>
          <w:color w:val="000000"/>
          <w:sz w:val="24"/>
        </w:rPr>
        <w:t>9.</w:t>
      </w:r>
      <w:r>
        <w:rPr>
          <w:rFonts w:ascii="Times New Roman;serif" w:hAnsi="Times New Roman;serif"/>
          <w:b w:val="false"/>
          <w:color w:val="000000"/>
          <w:sz w:val="24"/>
        </w:rPr>
        <w:t>Notwithstanding the foregoing, Employee is not releasing the Company from: (i) any obligation to indemnify Employee pursuant to the Articles and Bylaws of the Company, any valid fully executed indemnification agreement with the Company, applicable law, or applicable directors and officers liability insurance; (ii) any claims that cannot be waived by law; or (iii) any claims for breach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10.</w:t>
      </w:r>
      <w:r>
        <w:rPr>
          <w:rFonts w:ascii="Times New Roman;serif" w:hAnsi="Times New Roman;serif"/>
          <w:b w:val="false"/>
          <w:color w:val="000000"/>
          <w:sz w:val="24"/>
        </w:rPr>
        <w:t xml:space="preserve">Employee understands that this Agreement will be final and binding. Notwithstanding the foregoing, nothing in this Agreement (including but not limited to the release of claims, promise not to sue, confidentiality, non-disparagement, and any other limiting provisions) (i) waives Employee’s or anyone else’s right to testify in an administrative, legislative, or judicial proceeding when Employee has been required or requested to attend such a proceeding pursuant to a court order, subpoena, or written request from an administrative agency or the legislature, (ii) prevents Employee or anyone else from communicating with, filing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70890"/>
                <wp:effectExtent l="0" t="0" r="0" b="0"/>
                <wp:wrapNone/>
                <wp:docPr id="94" name="Frame94"/>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4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4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charge or complaint with or from participating in an investigation or proceeding conducted by the Equal Employment Opportunity Commission (EEOC), National Labor Relations Board (NLRB), the Securities and Exchange Commission (SEC), the Department of Justice (DOJ), or any other any federal, state or local agency (each, a “Government Agency” and, collectively, the “Government Agencies”), including providing documents or any other information, (iii) limits Employee or anyone else from exercising rights under Section 7 of the NLRA to engage in protected, concerted activity with other employees, or (iv) prevents Employee or anyone else from discussing or disclosing information about unlawful acts in the workplace, such as harassment or discrimination or any other conduct that Employee has reason to believe is unlawful. Although, by signing this Agreement, Employee is waiving rights to individual relief (including back pay, front pay, reinstatement or other legal or equitable relief) in any charge, complaint, or lawsuit or other proceeding brought by Employee or on Employee’s behalf by any third party, except for any right Employee may have to receive a government-issued payment or award for information provided to a Government Agency in connection with a government whistleblower program or protected whistleblower activity, or otherwise where prohibited. </w:t>
      </w:r>
    </w:p>
    <w:p>
      <w:pPr>
        <w:pStyle w:val="TextBody"/>
        <w:bidi w:val="0"/>
        <w:spacing w:lineRule="auto" w:line="240" w:before="0" w:after="240"/>
        <w:ind w:left="0" w:right="0" w:firstLine="720"/>
        <w:jc w:val="both"/>
        <w:rPr/>
      </w:pPr>
      <w:r>
        <w:rPr>
          <w:rFonts w:ascii="Times New Roman;serif" w:hAnsi="Times New Roman;serif"/>
          <w:b/>
          <w:color w:val="000000"/>
          <w:sz w:val="24"/>
        </w:rPr>
        <w:t>11.</w:t>
      </w:r>
      <w:r>
        <w:rPr>
          <w:rFonts w:ascii="Times New Roman;serif" w:hAnsi="Times New Roman;serif"/>
          <w:b w:val="false"/>
          <w:color w:val="000000"/>
          <w:sz w:val="24"/>
        </w:rPr>
        <w:t xml:space="preserve">Employee agrees that, on the Separation Date, Employee will return to the Company all Company documents (and all copies thereof) and other Company property in Employee’s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Employee agrees that Employee will make a diligent search to locate any such documents, property and information by the close of business on the Separation Date or as soon as possible thereafter. If Employee has used any personally owned computer or other electronic device, server, or e-mail system to receive, store, review, prepare or transmit any Company confidential or proprietary data, materials or information, within five (5) days after the Separation Date, Employee shall provide the Company with a computer-useable copy of such information and then permanently delete and expunge such Company confidential or proprietary information from those systems; and Employee agrees to provide the Company access to Employee’s system as requested to verify that the necessary copying and/or deletion is completed. Employee further agrees to cooperate with the Company and provide all information needed to access Company property or information returned or required to be returned pursuant to this paragraph or Employee’s Proprietary Information and Inventions Assignment Agreement with the Company, including without limitation, any login, password, and account information. </w:t>
      </w:r>
      <w:r>
        <w:rPr>
          <w:rFonts w:ascii="Times New Roman;serif" w:hAnsi="Times New Roman;serif"/>
          <w:b/>
          <w:color w:val="000000"/>
          <w:sz w:val="24"/>
        </w:rPr>
        <w:t xml:space="preserve">Employee’s timely compliance with this paragraph is a condition to Employee’s receipt of the severance benefits provided under this Agreement. </w:t>
      </w:r>
      <w:r>
        <w:rPr>
          <w:rFonts w:ascii="Times New Roman;serif" w:hAnsi="Times New Roman;serif"/>
          <w:b w:val="false"/>
          <w:color w:val="000000"/>
          <w:sz w:val="24"/>
        </w:rPr>
        <w:t>The Company may permit the Employee to receive and/or use certain equipment, property, documents and/or information reasonably necessary to perform services during the Consultant Period, all of which Employee shall return to the Company by the last day of the Consultant Period, or earlier upon the Company’s request without retaining any Company equipment, property, or copies or embodiments of any information or documentation, in compliance with this section.</w:t>
      </w:r>
    </w:p>
    <w:p>
      <w:pPr>
        <w:pStyle w:val="TextBody"/>
        <w:bidi w:val="0"/>
        <w:spacing w:lineRule="auto" w:line="240" w:before="0" w:after="240"/>
        <w:ind w:left="0" w:right="0" w:firstLine="720"/>
        <w:jc w:val="both"/>
        <w:rPr/>
      </w:pPr>
      <w:r>
        <w:rPr>
          <w:rFonts w:ascii="Times New Roman;serif" w:hAnsi="Times New Roman;serif"/>
          <w:b/>
          <w:color w:val="000000"/>
          <w:sz w:val="24"/>
        </w:rPr>
        <w:t>12.</w:t>
      </w:r>
      <w:r>
        <w:rPr>
          <w:rFonts w:ascii="Times New Roman;serif" w:hAnsi="Times New Roman;serif"/>
          <w:b w:val="false"/>
          <w:color w:val="000000"/>
          <w:sz w:val="24"/>
        </w:rPr>
        <w:t xml:space="preserve">Employee acknowledges and agrees that the Company has made no representations to Employee regarding the tax consequences of any amounts received by Employee pursuant to the Agreement. Employee agrees to pay federal or state taxes, if any, which are required by law to be paid with respect to the Agreement. Employee further agrees to indemnify and hold the Company harmless from any claims, demands, deficiencies, levies, assessments, executions, judgments or recoveries by any governmental entity against the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70890"/>
                <wp:effectExtent l="0" t="0" r="0" b="0"/>
                <wp:wrapNone/>
                <wp:docPr id="95" name="Frame95"/>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5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5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for any amounts claimed due on account of the Agreement or pursuant to claims made under any federal or state tax laws, and any costs, expenses or damages sustained by the Company by reason of any such claims, including, any amounts paid by the Company as taxes, attorneys’ fees, deficiencies, levies, assessments, fines, penalties, interest or otherwise.</w:t>
      </w:r>
    </w:p>
    <w:p>
      <w:pPr>
        <w:pStyle w:val="TextBody"/>
        <w:bidi w:val="0"/>
        <w:spacing w:lineRule="auto" w:line="240" w:before="0" w:after="240"/>
        <w:ind w:left="0" w:right="0" w:firstLine="720"/>
        <w:jc w:val="both"/>
        <w:rPr/>
      </w:pPr>
      <w:r>
        <w:rPr>
          <w:rFonts w:ascii="Times New Roman;serif" w:hAnsi="Times New Roman;serif"/>
          <w:b/>
          <w:color w:val="000000"/>
          <w:sz w:val="24"/>
        </w:rPr>
        <w:t>13.</w:t>
      </w:r>
      <w:r>
        <w:rPr>
          <w:rFonts w:ascii="Times New Roman;serif" w:hAnsi="Times New Roman;serif"/>
          <w:b w:val="false"/>
          <w:color w:val="000000"/>
          <w:sz w:val="24"/>
        </w:rPr>
        <w:t>Employee agrees to maintain the confidentiality of this Agreement and will not disclose in any fashion this Agreement, the amount of the benefits Employee received, and/or the substance or content of discussions involved in this Agreement to any person other than Employee’s spouse or domestic partner, attorneys, accountants, and tax advisors as required by appropriate taxing authorities, or in furtherance of Employee’s rights under Section 7 of the National Labor Relations Act, or otherwise as required or permitted by law.</w:t>
      </w:r>
    </w:p>
    <w:p>
      <w:pPr>
        <w:pStyle w:val="TextBody"/>
        <w:bidi w:val="0"/>
        <w:spacing w:lineRule="auto" w:line="240" w:before="0" w:after="240"/>
        <w:ind w:left="0" w:right="0" w:firstLine="720"/>
        <w:jc w:val="both"/>
        <w:rPr/>
      </w:pPr>
      <w:r>
        <w:rPr>
          <w:rFonts w:ascii="Times New Roman;serif" w:hAnsi="Times New Roman;serif"/>
          <w:b/>
          <w:color w:val="000000"/>
          <w:sz w:val="24"/>
        </w:rPr>
        <w:t>14.</w:t>
      </w:r>
      <w:r>
        <w:rPr>
          <w:rFonts w:ascii="Times New Roman;serif" w:hAnsi="Times New Roman;serif"/>
          <w:b w:val="false"/>
          <w:color w:val="000000"/>
          <w:sz w:val="24"/>
        </w:rPr>
        <w:t>Nevertheless, nothing in this Agreement prohibits Employee from reporting an event that Employee reasonably and in good faith believes is a violation of law to the relevant Government Agency, from testifying truthfully under oath in any court, arbitration or administrative agency proceeding, from providing truthful information in the course of a government investigation or from cooperating in an investigation conducted by such a Government Agency. This may include disclosure of trade secret or confidential information within the limitations permitted by the 2016 Defend Trade Secrets Act (DTSA). Employee is hereby provided notice that under the DTSA,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Employee further acknowledges and reaffirms Employee’s continuing obligations under Employee’s Proprietary Information and Inventions Assignment Agreement, a copy of which is attached hereto as Exhibit B and incorporated herein by reference.</w:t>
      </w:r>
    </w:p>
    <w:p>
      <w:pPr>
        <w:pStyle w:val="TextBody"/>
        <w:bidi w:val="0"/>
        <w:spacing w:lineRule="auto" w:line="240" w:before="0" w:after="240"/>
        <w:ind w:left="0" w:right="0" w:firstLine="720"/>
        <w:jc w:val="both"/>
        <w:rPr/>
      </w:pPr>
      <w:r>
        <w:rPr>
          <w:rFonts w:ascii="Times New Roman;serif" w:hAnsi="Times New Roman;serif"/>
          <w:b/>
          <w:color w:val="000000"/>
          <w:sz w:val="24"/>
        </w:rPr>
        <w:t>15.</w:t>
      </w:r>
      <w:r>
        <w:rPr>
          <w:rFonts w:ascii="Times New Roman;serif" w:hAnsi="Times New Roman;serif"/>
          <w:b w:val="false"/>
          <w:color w:val="000000"/>
          <w:sz w:val="24"/>
        </w:rPr>
        <w:t>Except to the extent permitted by this Agreement: (a) Employee shall not make any negative or disparaging remarks or comments about the Company relating to the character, professionalism, reputation, or abilities of the Company, or that otherwise are derogatory of the Company; and (b) the Company agrees to instruct each of its current executive officers not to disparage Employee in any manner likely to be harmful to Employee’s business or personal reputation. Nothing in this provision or this Agreement prohibits or restrains Employee or the Company (or any of its current executive officers) from making disclosures or responding accurately or fully to any request for information if required by legal process or government investigation. In addition, nothing in this paragraph or Agreement, prohibits or restrains Employee or anyone else from making disclosures protected under the whistleblower provisions of federal or state law, or from exercising rights to engage in protected speech under Section 7 of the National Labor Relations Act, if applicable. If the Company is contacted as a reference for a potential employer of Employee, the Company will provide only the beginning and end dates of Employee’s employment, and positions held.</w:t>
      </w:r>
    </w:p>
    <w:p>
      <w:pPr>
        <w:pStyle w:val="TextBody"/>
        <w:bidi w:val="0"/>
        <w:spacing w:lineRule="auto" w:line="240" w:before="0" w:after="240"/>
        <w:ind w:left="0" w:right="0" w:firstLine="720"/>
        <w:jc w:val="both"/>
        <w:rPr/>
      </w:pPr>
      <w:r>
        <w:rPr>
          <w:rFonts w:ascii="Times New Roman;serif" w:hAnsi="Times New Roman;serif"/>
          <w:b/>
          <w:color w:val="000000"/>
          <w:sz w:val="24"/>
        </w:rPr>
        <w:t>16.</w:t>
      </w:r>
      <w:r>
        <w:rPr>
          <w:rFonts w:ascii="Times New Roman;serif" w:hAnsi="Times New Roman;serif"/>
          <w:b w:val="false"/>
          <w:color w:val="000000"/>
          <w:sz w:val="24"/>
        </w:rPr>
        <w:t>Employee agrees that Employee will not voluntarily (except in response to legal compulsion or as permitted under this Agreement) assist any person in bringing or pursuing any proposed or pending litigation, arbitration, administrative claim or other formal proceeding against the Company, its parent or subsidiary entities, affiliates, officers, directors, employees or agents.</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70890"/>
                <wp:effectExtent l="0" t="0" r="0" b="0"/>
                <wp:wrapNone/>
                <wp:docPr id="96" name="Frame9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6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6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17.</w:t>
      </w:r>
      <w:r>
        <w:rPr>
          <w:rFonts w:ascii="Times New Roman;serif" w:hAnsi="Times New Roman;serif"/>
          <w:b w:val="false"/>
          <w:color w:val="000000"/>
          <w:sz w:val="24"/>
        </w:rPr>
        <w:t>Subject to agreement on a reasonable rate of compensation between the Company and Employee, Employee agrees to cooperate fully with the Company in connection with its actual or contemplated defense, prosecution, or investigation of any claims or demands by or against third parties, or other matters arising from events, acts, or failures to act that occurred during the period of Employee’s employment by the Company. Such cooperation includes, without limitation, making Employee available to the Company upon reasonable notice, without subpoena, to provide complete, truthful and accurate information in witness interviews, depositions, and trial testimony. In connection with any such cooperation, the Company will compensate Employee for time spent at a reasonable rate agreed to by both parties and will reimburse Employee for reasonable out-of-pocket expenses Employee incurs. The Company will make reasonable efforts to accommodate Employee’s scheduling needs.</w:t>
      </w:r>
    </w:p>
    <w:p>
      <w:pPr>
        <w:pStyle w:val="TextBody"/>
        <w:bidi w:val="0"/>
        <w:spacing w:lineRule="auto" w:line="240" w:before="0" w:after="240"/>
        <w:ind w:left="0" w:right="0" w:firstLine="720"/>
        <w:jc w:val="both"/>
        <w:rPr/>
      </w:pPr>
      <w:r>
        <w:rPr>
          <w:rFonts w:ascii="Times New Roman;serif" w:hAnsi="Times New Roman;serif"/>
          <w:b/>
          <w:color w:val="000000"/>
          <w:sz w:val="24"/>
        </w:rPr>
        <w:t>18.</w:t>
      </w:r>
      <w:r>
        <w:rPr>
          <w:rFonts w:ascii="Times New Roman;serif" w:hAnsi="Times New Roman;serif"/>
          <w:b w:val="false"/>
          <w:color w:val="000000"/>
          <w:sz w:val="24"/>
        </w:rPr>
        <w:t>Employee represents that Employee is not relying on any other agreements or oral representations not fully expressed in this document. Employee further represents that Employee is entering this Agreement voluntarily with full knowledge of its intent and terms, free from duress, undue pressure or influence, harassment and intimidation.</w:t>
      </w:r>
    </w:p>
    <w:p>
      <w:pPr>
        <w:pStyle w:val="TextBody"/>
        <w:bidi w:val="0"/>
        <w:spacing w:lineRule="auto" w:line="240" w:before="0" w:after="240"/>
        <w:ind w:left="0" w:right="0" w:firstLine="720"/>
        <w:jc w:val="both"/>
        <w:rPr/>
      </w:pPr>
      <w:r>
        <w:rPr>
          <w:rFonts w:ascii="Times New Roman;serif" w:hAnsi="Times New Roman;serif"/>
          <w:b/>
          <w:color w:val="000000"/>
          <w:sz w:val="24"/>
        </w:rPr>
        <w:t>19.</w:t>
      </w:r>
      <w:r>
        <w:rPr>
          <w:rFonts w:ascii="Times New Roman;serif" w:hAnsi="Times New Roman;serif"/>
          <w:b w:val="false"/>
          <w:color w:val="000000"/>
          <w:sz w:val="24"/>
        </w:rPr>
        <w:t xml:space="preserve">Employee agrees that this Agreement shall not be modified, altered, or discharged except by written instrument signed by both the CEO, and Employee. Employee further agrees that this document may be used as evidence in a subsequent proceeding in which the Company or Employee alleges a breach of this Agreement or as a complete defense to any lawsuit. </w:t>
      </w:r>
    </w:p>
    <w:p>
      <w:pPr>
        <w:pStyle w:val="TextBody"/>
        <w:bidi w:val="0"/>
        <w:spacing w:lineRule="auto" w:line="240" w:before="0" w:after="240"/>
        <w:ind w:left="0" w:right="0" w:firstLine="720"/>
        <w:jc w:val="both"/>
        <w:rPr/>
      </w:pPr>
      <w:r>
        <w:rPr>
          <w:rFonts w:ascii="Times New Roman;serif" w:hAnsi="Times New Roman;serif"/>
          <w:b/>
          <w:color w:val="000000"/>
          <w:sz w:val="24"/>
        </w:rPr>
        <w:t>20.</w:t>
      </w:r>
      <w:r>
        <w:rPr>
          <w:rFonts w:ascii="Times New Roman;serif" w:hAnsi="Times New Roman;serif"/>
          <w:b w:val="false"/>
          <w:color w:val="000000"/>
          <w:sz w:val="24"/>
        </w:rPr>
        <w:t>Employee understands and agrees that Employee:</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Has at least a full twenty-one (21) days within which to consider this Agreement before executing it, and that if Employee executed the Agreement in less than twenty-one (21) days after receiving it, that Employee did so by own free will. </w:t>
      </w:r>
    </w:p>
    <w:p>
      <w:pPr>
        <w:pStyle w:val="TextBody"/>
        <w:bidi w:val="0"/>
        <w:spacing w:before="0" w:after="0"/>
        <w:ind w:left="0" w:right="0" w:hanging="72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Cannot sign this Agreement until Employee’s last day of employment with the Company and that if Employee signs the Agreement prior to Employee’s last day of employment with the Company, it will be rejected by the Company and Employee will be required to execute the Agreement again to obtain the severance benefits provided through the Agreement.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Has carefully read and fully understands all of the provisions of this Agreement.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Is, through this Agreement, releasing the Company from any and all claims, known and unknown, Employee may have against the Company related to Employee’s employment or separation therefrom.</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Knowingly and voluntarily agrees to all of the terms set forth in this Agreement and acknowledges that the consideration given for the waiver and releases Employee has given in this Agreement is in addition to anything of value to which Employee were already entitled.</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70890"/>
                <wp:effectExtent l="0" t="0" r="0" b="0"/>
                <wp:wrapNone/>
                <wp:docPr id="97" name="Frame97"/>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7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7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Knowingly and voluntarily intends to be legally bound by the same.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    Was advised and hereby is advised in writing to consider the terms of this Agreement and consult with an attorney of Employee’s choice prior to executing this Agreement.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H.    Has a full seven (7) days following the execution of this Agreement to revoke this Agreement and has been and hereby is advised in writing that this Agreement shall not become effective or enforceable until the revocation period has expired (the “Effective Date”). Said written revocation must be received by Melody Fan, Director HR, 47215 Lakeview Blvd., Fremont, CA 94538 on or before the end of the seventh (7th) day following Employee’s execution of this Agreement. </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I.    Understands that rights or claims under the Age Discrimination in Employment Act of 1967 (29 U.S.C. §§ 621, </w:t>
      </w:r>
      <w:r>
        <w:rPr>
          <w:rFonts w:ascii="Times New Roman;serif" w:hAnsi="Times New Roman;serif"/>
          <w:b w:val="false"/>
          <w:i/>
          <w:color w:val="000000"/>
          <w:sz w:val="24"/>
        </w:rPr>
        <w:t>et seq</w:t>
      </w:r>
      <w:r>
        <w:rPr>
          <w:rFonts w:ascii="Times New Roman;serif" w:hAnsi="Times New Roman;serif"/>
          <w:b w:val="false"/>
          <w:color w:val="000000"/>
          <w:sz w:val="24"/>
        </w:rPr>
        <w:t xml:space="preserve">.) (“ADEA”) that may arise after the date this Agreement is executed are not waived.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J.    Understands that changes to the Agreement shall not start the twenty-one (21) day deliberation period anew.</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    Acknowledges that Employee has been advised, as required by California Government Code Section 12964.5(b)(4), that Employee has the right to consult an attorney regarding this Agreement and that Employee was given a reasonable time period of not less than five business days in which to do so. Employee further acknowledges and agrees that, in the event Employee signs this Agreement prior to the end of the reasonable time period provided by the Company, Employee’s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pStyle w:val="TextBody"/>
        <w:bidi w:val="0"/>
        <w:spacing w:lineRule="auto" w:line="240" w:before="0" w:after="240"/>
        <w:ind w:left="0" w:right="0" w:firstLine="720"/>
        <w:jc w:val="both"/>
        <w:rPr/>
      </w:pPr>
      <w:r>
        <w:rPr>
          <w:rFonts w:ascii="Times New Roman;serif" w:hAnsi="Times New Roman;serif"/>
          <w:b/>
          <w:color w:val="000000"/>
          <w:sz w:val="24"/>
        </w:rPr>
        <w:t>21.</w:t>
      </w:r>
      <w:r>
        <w:rPr>
          <w:rFonts w:ascii="Times New Roman;serif" w:hAnsi="Times New Roman;serif"/>
          <w:b w:val="false"/>
          <w:color w:val="000000"/>
          <w:sz w:val="24"/>
        </w:rPr>
        <w:t>The validity of this Agreement shall be construed under California law. This Agreement constitutes the complete and total agreement between the Company and Employee with respect to the issues addressed in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22.</w:t>
      </w:r>
      <w:r>
        <w:rPr>
          <w:color w:val="000000"/>
        </w:rPr>
        <w:t xml:space="preserve"> </w:t>
      </w:r>
      <w:r>
        <w:rPr>
          <w:rFonts w:ascii="Times New Roman;serif" w:hAnsi="Times New Roman;serif"/>
          <w:b w:val="false"/>
          <w:color w:val="000000"/>
          <w:sz w:val="24"/>
        </w:rPr>
        <w:t xml:space="preserve">Any ambiguity in this Agreement shall not be construed against either party as the drafter. Any waiver of a breach of this Agreement shall be in writing and shall not be deemed to be a waiver of any successive breach. This Agreement may be executed in counterparts and may be delivered and executed via facsimile, electronic mail (including PDF or any electronic signature complying with the U.S. federal ESIGN Act of 2000, Uniform Electronic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70890"/>
                <wp:effectExtent l="0" t="0" r="0" b="0"/>
                <wp:wrapNone/>
                <wp:docPr id="98" name="Frame98"/>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8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8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Act, or other applicable law) or other transmission method and shall be deemed to have been duly and validly delivered and executed and be valid and effective for all purposes.</w:t>
      </w:r>
    </w:p>
    <w:p>
      <w:pPr>
        <w:pStyle w:val="TextBody"/>
        <w:bidi w:val="0"/>
        <w:spacing w:lineRule="auto" w:line="240" w:before="0" w:after="240"/>
        <w:ind w:left="0" w:right="0" w:firstLine="720"/>
        <w:jc w:val="both"/>
        <w:rPr/>
      </w:pPr>
      <w:r>
        <w:rPr>
          <w:rFonts w:ascii="Times New Roman;serif" w:hAnsi="Times New Roman;serif"/>
          <w:b/>
          <w:color w:val="000000"/>
          <w:sz w:val="24"/>
        </w:rPr>
        <w:t>23.</w:t>
      </w:r>
      <w:r>
        <w:rPr>
          <w:rFonts w:ascii="Times New Roman;serif" w:hAnsi="Times New Roman;serif"/>
          <w:b w:val="false"/>
          <w:color w:val="000000"/>
          <w:sz w:val="24"/>
        </w:rPr>
        <w:t xml:space="preserve">In the event that any provision in this Agreement becomes or is declared by a court of competent jurisdiction or an arbitrator to be illegal, unenforceable or void, this Agreement shall continue in full force and effect without said provision and the provision in question will be modified by the court so as to be rendered enforceable to the fullest extent permitted by law, consistent with the intent of the parties.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Employee has twenty-one (21) calendar days to decide whether to accept this Agreement, and the Company’s offer contained herein will automatically expire if Employee does not sign and return the Agreement within that time frame. In exchange for the promises contained in this Agreement, the Parties promise to provide the benefits set forth in this Agreement.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70890"/>
                <wp:effectExtent l="0" t="0" r="0" b="0"/>
                <wp:wrapNone/>
                <wp:docPr id="99" name="Frame99"/>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9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9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Dated: July 9, 2026            </w:t>
      </w:r>
      <w:r>
        <w:rPr>
          <w:rFonts w:ascii="Times New Roman;serif" w:hAnsi="Times New Roman;serif"/>
          <w:b w:val="false"/>
          <w:color w:val="000000"/>
          <w:sz w:val="24"/>
          <w:u w:val="single"/>
        </w:rPr>
        <w:t>/s/ Valerie Barnett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Employee: Valerie Barnett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Dated: July 10, 2026            </w:t>
      </w:r>
      <w:r>
        <w:rPr>
          <w:rFonts w:ascii="Times New Roman;serif" w:hAnsi="Times New Roman;serif"/>
          <w:b w:val="false"/>
          <w:color w:val="000000"/>
          <w:sz w:val="24"/>
          <w:u w:val="single"/>
        </w:rPr>
        <w:t>/s/ Connie Wedel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Connie Wedel, Chief People Officer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On behalf of Cytek Biosciences,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70890"/>
                <wp:effectExtent l="0" t="0" r="0" b="0"/>
                <wp:wrapNone/>
                <wp:docPr id="100" name="Frame10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10 of 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Page 10 of 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CYTEK BIOSCIENCES,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CONSULTING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Effective Date: July 10, 2026 </w:t>
      </w:r>
    </w:p>
    <w:p>
      <w:pPr>
        <w:pStyle w:val="TextBody"/>
        <w:bidi w:val="0"/>
        <w:spacing w:lineRule="auto" w:line="288" w:before="0" w:after="240"/>
        <w:ind w:left="0" w:right="0" w:firstLine="720"/>
        <w:jc w:val="left"/>
        <w:rPr/>
      </w:pPr>
      <w:r>
        <w:rPr>
          <w:rFonts w:ascii="Times New Roman;serif" w:hAnsi="Times New Roman;serif"/>
          <w:b/>
          <w:color w:val="000000"/>
          <w:sz w:val="22"/>
        </w:rPr>
        <w:t>This Consulting Agreement</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Consulting Agreement</w:t>
      </w:r>
      <w:r>
        <w:rPr>
          <w:color w:val="000000"/>
        </w:rPr>
        <w:t>”</w:t>
      </w:r>
      <w:r>
        <w:rPr>
          <w:rFonts w:ascii="Times New Roman;serif" w:hAnsi="Times New Roman;serif"/>
          <w:b w:val="false"/>
          <w:color w:val="000000"/>
          <w:sz w:val="22"/>
        </w:rPr>
        <w:t>) is made as of the Effective Date set forth above by and between Cytek BioSciences, Inc., a Delaware corporation (“</w:t>
      </w:r>
      <w:r>
        <w:rPr>
          <w:rFonts w:ascii="Times New Roman;serif" w:hAnsi="Times New Roman;serif"/>
          <w:b/>
          <w:i/>
          <w:color w:val="000000"/>
          <w:sz w:val="22"/>
        </w:rPr>
        <w:t>Client</w:t>
      </w:r>
      <w:r>
        <w:rPr>
          <w:color w:val="000000"/>
        </w:rPr>
        <w:t>”</w:t>
      </w:r>
      <w:r>
        <w:rPr>
          <w:rFonts w:ascii="Times New Roman;serif" w:hAnsi="Times New Roman;serif"/>
          <w:b w:val="false"/>
          <w:color w:val="000000"/>
          <w:sz w:val="22"/>
        </w:rPr>
        <w:t>) and the consultant named on the signature page hereto (“</w:t>
      </w:r>
      <w:r>
        <w:rPr>
          <w:rFonts w:ascii="Times New Roman;serif" w:hAnsi="Times New Roman;serif"/>
          <w:b/>
          <w:i/>
          <w:color w:val="000000"/>
          <w:sz w:val="22"/>
        </w:rPr>
        <w:t>Consultant</w:t>
      </w:r>
      <w:r>
        <w:rPr>
          <w:color w:val="000000"/>
        </w:rPr>
        <w:t>”</w:t>
      </w:r>
      <w:r>
        <w:rPr>
          <w:rFonts w:ascii="Times New Roman;serif" w:hAnsi="Times New Roman;serif"/>
          <w:b w:val="false"/>
          <w:color w:val="000000"/>
          <w:sz w:val="22"/>
        </w:rPr>
        <w:t>), pursuant to and as set forth in the Separation Agreement between Client and Consultant to which this Consulting Agreement is attached as an exhibit (the “</w:t>
      </w:r>
      <w:r>
        <w:rPr>
          <w:rFonts w:ascii="Times New Roman;serif" w:hAnsi="Times New Roman;serif"/>
          <w:b/>
          <w:i/>
          <w:color w:val="000000"/>
          <w:sz w:val="22"/>
        </w:rPr>
        <w:t>Separation Agreement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Engagement of Services.</w:t>
      </w:r>
      <w:r>
        <w:rPr>
          <w:color w:val="000000"/>
        </w:rPr>
        <w:t xml:space="preserve"> </w:t>
      </w:r>
      <w:r>
        <w:rPr>
          <w:rFonts w:ascii="Times New Roman;serif" w:hAnsi="Times New Roman;serif"/>
          <w:b w:val="false"/>
          <w:color w:val="000000"/>
          <w:sz w:val="22"/>
        </w:rPr>
        <w:t xml:space="preserve">Client may issue Project Assignments to Consultant in the form attached to this Consulting Agreement as </w:t>
      </w:r>
      <w:r>
        <w:rPr>
          <w:rFonts w:ascii="Times New Roman;serif" w:hAnsi="Times New Roman;serif"/>
          <w:b/>
          <w:color w:val="000000"/>
          <w:sz w:val="22"/>
        </w:rPr>
        <w:t>Exhibit A.1</w:t>
      </w:r>
      <w:r>
        <w:rPr>
          <w:color w:val="000000"/>
        </w:rPr>
        <w:t xml:space="preserve"> </w:t>
      </w:r>
      <w:r>
        <w:rPr>
          <w:rFonts w:ascii="Times New Roman;serif" w:hAnsi="Times New Roman;serif"/>
          <w:b w:val="false"/>
          <w:color w:val="000000"/>
          <w:sz w:val="22"/>
        </w:rPr>
        <w:t>(each, a “</w:t>
      </w:r>
      <w:r>
        <w:rPr>
          <w:rFonts w:ascii="Times New Roman;serif" w:hAnsi="Times New Roman;serif"/>
          <w:b/>
          <w:i/>
          <w:color w:val="000000"/>
          <w:sz w:val="22"/>
        </w:rPr>
        <w:t>Project Assignment</w:t>
      </w:r>
      <w:r>
        <w:rPr>
          <w:color w:val="000000"/>
        </w:rPr>
        <w:t>”</w:t>
      </w:r>
      <w:r>
        <w:rPr>
          <w:rFonts w:ascii="Times New Roman;serif" w:hAnsi="Times New Roman;serif"/>
          <w:b w:val="false"/>
          <w:color w:val="000000"/>
          <w:sz w:val="22"/>
        </w:rPr>
        <w:t>). Subject to the terms of this Consulting Agreement, Consultant will render the services set forth in Project Assignment(s) accepted by Consultant (the “</w:t>
      </w:r>
      <w:r>
        <w:rPr>
          <w:rFonts w:ascii="Times New Roman;serif" w:hAnsi="Times New Roman;serif"/>
          <w:b/>
          <w:i/>
          <w:color w:val="000000"/>
          <w:sz w:val="22"/>
        </w:rPr>
        <w:t>Services</w:t>
      </w:r>
      <w:r>
        <w:rPr>
          <w:color w:val="000000"/>
        </w:rPr>
        <w:t>”</w:t>
      </w:r>
      <w:r>
        <w:rPr>
          <w:rFonts w:ascii="Times New Roman;serif" w:hAnsi="Times New Roman;serif"/>
          <w:b w:val="false"/>
          <w:color w:val="000000"/>
          <w:sz w:val="22"/>
        </w:rPr>
        <w:t>) by the completion dates set forth therein. Except as otherwise provided in the applicable Project Assignment, Consultant will be free of control and direction from the Client (other than general oversight and control over the results of the Services), and will have exclusive control over the manner and means of performing the Services, including the choice of place and time. Consultant will provide, at Consultant’s own expense, a place of work and all equipment, tools and other materials necessary to complete the Services; however, to the extent necessary to facilitate performance of the Services, Client may, in its discretion, make certain of its equipment or facilities available to Consultant at Consultant’s request. While on the Client’s premises, Consultant agrees to comply with Client’s then-current access rules and procedures, including those related to safety, security and confidentiality. Consultant agrees and acknowledges that Consultant has no expectation of privacy with respect to Client’s telecommunications, networking or information processing systems (including stored computer files, email messages and voice messages) and that Consultant’s activities, including the sending or receiving of any files or messages, on or using those systems may be monitored, and the contents of such files and messages may be reviewed and disclosed, at any time, without notice.</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Compensation.</w:t>
      </w:r>
      <w:r>
        <w:rPr>
          <w:color w:val="000000"/>
        </w:rPr>
        <w:t xml:space="preserve"> </w:t>
      </w:r>
      <w:r>
        <w:rPr>
          <w:rFonts w:ascii="Times New Roman;serif" w:hAnsi="Times New Roman;serif"/>
          <w:b w:val="false"/>
          <w:color w:val="000000"/>
          <w:sz w:val="22"/>
        </w:rPr>
        <w:t>Client will provide Consultant the compensation set forth in each Project Assignment for Services rendered pursuant to this Consulting Agreement as Consultant’s sole compensation for such Services. Consultant will be reimbursed only for expenses that are expressly provided for in a Project Assignment or that have been approved in advance in writing by Client, provided Consultant has furnished such documentation for authorized expenses as Client may reasonably request. Consultant’s compensation and expenses will be provided in accordance with the applicable Project Assignment. Upon termination of this Consulting Agreement for any reason, Consultant will be provided compensation on the basis stated in the Project Assignment(s) for work that has been completed. Unless otherwise provided in a Project Assignment, payment to Consultant of undisputed fees will be due 30 days following Client’s receipt of an invoice that contains accurate records of the work performed that are sufficient to substantiate the invoiced fees.</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Ownership of Work Product.</w:t>
      </w:r>
      <w:r>
        <w:rPr>
          <w:color w:val="000000"/>
        </w:rPr>
        <w:t xml:space="preserve"> </w:t>
      </w:r>
      <w:r>
        <w:rPr>
          <w:rFonts w:ascii="Times New Roman;serif" w:hAnsi="Times New Roman;serif"/>
          <w:b w:val="false"/>
          <w:color w:val="000000"/>
          <w:sz w:val="22"/>
        </w:rPr>
        <w:t>Consultant hereby irrevocably assigns to Client all right, title and interest worldwide in and to any deliverables specified in a Project Assignment and to any ideas, concepts, processes, discoveries, inventions, developments, formulae, information, materials, improvements, designs, artwork, content, software programs, other works of authorship, and any other work product created, conceived or developed by Consultant (whether alone or jointly with others) for Client during or before the term of this Consulting Agreement, including all copyrights, patents, trademarks, trade secrets, and other intellectual property rights therein (including all rights to priority and rights to file patent applications and/or registered designs) (collectively, the “</w:t>
      </w:r>
      <w:r>
        <w:rPr>
          <w:rFonts w:ascii="Times New Roman;serif" w:hAnsi="Times New Roman;serif"/>
          <w:b/>
          <w:i/>
          <w:color w:val="000000"/>
          <w:sz w:val="22"/>
        </w:rPr>
        <w:t>Work Product</w:t>
      </w:r>
      <w:r>
        <w:rPr>
          <w:color w:val="000000"/>
        </w:rPr>
        <w:t>”</w:t>
      </w:r>
      <w:r>
        <w:rPr>
          <w:rFonts w:ascii="Times New Roman;serif" w:hAnsi="Times New Roman;serif"/>
          <w:b w:val="false"/>
          <w:color w:val="000000"/>
          <w:sz w:val="22"/>
        </w:rPr>
        <w:t xml:space="preserve">). Consultant retains no rights to use the Work Product and agrees not to challenge the validity of Client’s ownership of, or intellectual property rights in, the Work Product. Consultant agrees to execute, at Client’s request and expense, all documents and other instruments necessary or desirable to confirm such assignment, including without limitation, any copyright assignment or patent assignment provided by the Client.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94995"/>
                <wp:effectExtent l="0" t="0" r="0" b="0"/>
                <wp:wrapNone/>
                <wp:docPr id="101" name="Frame10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Consultant hereby irrevocably appoints Client as Consultant’s attorney-in-fact for the purpose of executing such documents on Consultant’s behalf, which appointment is coupled with an interest. At Client’s request, Consultant will promptly record any such patent assignment with the United States Patent and Trademark Office. Client will reimburse Consultant for any reasonable out-of-pocket expenses actually incurred by Consultant in fulfilling its obligations under this section. Consultant will deliver each item of Work Product specified in each Project Assignment and disclose promptly in writing to Client all other Work Product.</w: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Other Rights.</w:t>
      </w:r>
      <w:r>
        <w:rPr>
          <w:color w:val="000000"/>
        </w:rPr>
        <w:t xml:space="preserve"> </w:t>
      </w:r>
      <w:r>
        <w:rPr>
          <w:rFonts w:ascii="Times New Roman;serif" w:hAnsi="Times New Roman;serif"/>
          <w:b w:val="false"/>
          <w:color w:val="000000"/>
          <w:sz w:val="22"/>
        </w:rPr>
        <w:t>If Consultant has any rights, including without limitation “artist’s rights” or “moral rights,” in the Work Product that cannot be assigned, Consultant hereby unconditionally and irrevocably grants to Client an exclusive (even as to Consultant), worldwide, fully paid and royalty-free, irrevocable, perpetual license, with rights to sublicense through multiple tiers of sublicensees, to use, reproduce, distribute, create derivative works of, publicly perform and publicly display the Work Product in any medium or format, whether now known or later developed. In the event that Consultant has any rights in the Work Product that cannot be assigned or licensed, Consultant unconditionally and irrevocably waives the enforcement of such rights, and all claims and causes of action of any kind against Client or Client’s customers and channel partners.</w:t>
      </w:r>
    </w:p>
    <w:p>
      <w:pPr>
        <w:pStyle w:val="TextBody"/>
        <w:bidi w:val="0"/>
        <w:spacing w:lineRule="auto" w:line="240"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License to Preexisting IP.</w:t>
      </w:r>
      <w:r>
        <w:rPr>
          <w:color w:val="000000"/>
        </w:rPr>
        <w:t xml:space="preserve"> </w:t>
      </w:r>
      <w:r>
        <w:rPr>
          <w:rFonts w:ascii="Times New Roman;serif" w:hAnsi="Times New Roman;serif"/>
          <w:b w:val="false"/>
          <w:color w:val="000000"/>
          <w:sz w:val="22"/>
        </w:rPr>
        <w:t>Consultant agrees not to use or incorporate into Work Product any intellectual property developed by any third party or by Consultant other than in the course of performing services for Client (“</w:t>
      </w:r>
      <w:r>
        <w:rPr>
          <w:rFonts w:ascii="Times New Roman;serif" w:hAnsi="Times New Roman;serif"/>
          <w:b/>
          <w:i/>
          <w:color w:val="000000"/>
          <w:sz w:val="22"/>
        </w:rPr>
        <w:t>Preexisting IP</w:t>
      </w:r>
      <w:r>
        <w:rPr>
          <w:color w:val="000000"/>
        </w:rPr>
        <w:t>”</w:t>
      </w:r>
      <w:r>
        <w:rPr>
          <w:rFonts w:ascii="Times New Roman;serif" w:hAnsi="Times New Roman;serif"/>
          <w:b w:val="false"/>
          <w:color w:val="000000"/>
          <w:sz w:val="22"/>
        </w:rPr>
        <w:t>) unless the Preexisting IP has been specifically identified and described in the applicable Project Assignment. In the event Consultant uses or incorporates Preexisting IP into Work Product, Consultant hereby grants to Client a non-exclusive, worldwide, fully-paid and royalty-free, irrevocable, perpetual license, with the right to sublicense through multiple tiers of sublicensees, to use, reproduce, distribute, digitally transmit, create derivative works of, publicly perform and publicly display in any medium or format, whether now known or later developed, such Preexisting IP incorporated or used in Work Product.</w:t>
      </w:r>
    </w:p>
    <w:p>
      <w:pPr>
        <w:pStyle w:val="TextBody"/>
        <w:bidi w:val="0"/>
        <w:spacing w:lineRule="auto" w:line="240"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Representations and Warranties.</w:t>
      </w:r>
      <w:r>
        <w:rPr>
          <w:color w:val="000000"/>
        </w:rPr>
        <w:t xml:space="preserve"> </w:t>
      </w:r>
      <w:r>
        <w:rPr>
          <w:rFonts w:ascii="Times New Roman;serif" w:hAnsi="Times New Roman;serif"/>
          <w:b w:val="false"/>
          <w:color w:val="000000"/>
          <w:sz w:val="22"/>
        </w:rPr>
        <w:t>Consultant represents and warrants that: (a) the Services will be performed in a professional manner and in accordance with the industry standards and the Work Product will comply with the requirements and specifications set forth in the applicable Project Assignment, (b) the Work Product will be an original work of Consultant, (c) Consultant has the right and unrestricted ability to assign the ownership of Work Product to Client as set forth in Section 3 (including without limitation the right to assign the ownership of any Work Product created by Consultant’s employees or contractors), (d) neither the Work Product nor any element thereof will infringe upon or misappropriate any copyright, patent, trademark, trade secret, right of publicity or privacy, or any other proprietary right of any person, whether contractual, statutory or common law, (e) Consultant has an unqualified right to grant to Client the license to Preexisting IP set forth in Section 5, (f) none of the Work Product incorporates any software code licensed under the GNU General Public License, Lesser General Public License, Affero General Public License, “copyleft” license or any other license that, by its terms, requires or conditions the use or distribution of such code on the disclosure, licensing, or distribution of any source code owned or licensed by Client, except as expressly agreed by the Client in writing, and (g) Consultant will comply with all applicable federal, state, local and foreign laws governing self-employed individuals, including laws requiring the payment of taxes, such as income and employment taxes, and social security, disability, and other contributions. Consultant further represents and warrants that Consultant is self-employed in an independently established trade, occupation, or business; maintains and operates a business that is separate and independent from Client’s business; holds themself out to the public as independently competent and available to provide applicable services similar to the Services; has obtained and/or expects to obtain clients or customers other than Client for whom Consultant performs services; and will perform work for Client that Consultant understands is outside the usual course of Client’s business. Consultant agrees to indemnify and hold Client harmless from any and all damages, costs, claims, expenses or other liability (including reasonable attorneys’ fees) arising from or relating to the breach or alleged breach by Consultant of this Consulting Agreement, including any of the representations and warranties set forth in this Section 6.</w:t>
      </w:r>
    </w:p>
    <w:p>
      <w:pPr>
        <w:pStyle w:val="TextBody"/>
        <w:bidi w:val="0"/>
        <w:spacing w:lineRule="auto" w:line="240"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Independent Contractor Relationship.</w:t>
      </w:r>
      <w:r>
        <w:rPr>
          <w:color w:val="000000"/>
        </w:rPr>
        <w:t xml:space="preserve"> </w:t>
      </w:r>
      <w:r>
        <w:rPr>
          <w:rFonts w:ascii="Times New Roman;serif" w:hAnsi="Times New Roman;serif"/>
          <w:b w:val="false"/>
          <w:color w:val="000000"/>
          <w:sz w:val="22"/>
        </w:rPr>
        <w:t xml:space="preserve">Consultant’s relationship with Client is that of an independent contractor, and nothing in this Consulting Agreement is intended to, or should be construed to, create a partnership, agency, joint venture or employment relationship between Client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94995"/>
                <wp:effectExtent l="0" t="0" r="0" b="0"/>
                <wp:wrapNone/>
                <wp:docPr id="102" name="Frame10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of Consultant’s employees or agents. Consultant is not authorized to make any representation, contract or commitment on behalf of Client. Consultant (if Consultant is an individual) and Consultant’s employees will not be entitled to any of the benefits that Client may make available to its employees, including, but not limited to, group health or life insurance, profit-sharing or retirement benefits. Because Consultant is an independent contractor, Client will not withhold or make payments for social security, make unemployment insurance or disability insurance contributions, or obtain workers’ compensation insurance on behalf of Consultant. Consultant is solely responsible for, and will file, on a timely basis, all tax returns and payments required to be filed with, or made to, any federal, state or local tax authority with respect to the performance of Services and receipt of fees under this Consulting Agreement. Consultant is solely responsible for, and must maintain adequate records of, expenses incurred in the course of performing Services under this Consulting Agreement. No part of Consultant’s compensation will be subject to withholding by Client for the payment of any social security, federal, state or any other employee payroll taxes. Client will regularly report amounts paid to Consultant by filing Form 1099-NEC with the Internal Revenue Service as required by law. If, notwithstanding the foregoing, Consultant is reclassified as an employee of Client, or any affiliate of Client, by the U.S. Internal Revenue Service, the U.S. Department of Labor, or any other federal or state or foreign agency as the result of any administrative or judicial proceeding, Consultant agrees that Consultant will not, as the result of such reclassification, be entitled to or eligible for, on either a prospective or retrospective basis, any employee benefits under any plans or programs established or maintained by Client.</w:t>
      </w:r>
    </w:p>
    <w:p>
      <w:pPr>
        <w:pStyle w:val="TextBody"/>
        <w:bidi w:val="0"/>
        <w:spacing w:lineRule="auto" w:line="240"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During the term of this Consulting Agreement and thereafter Consultant (i) will not use or permit the use of Client’s Confidential Information in any manner or for any purpose not expressly set forth in this Consulting Agreement, (ii) will hold such Confidential Information in confidence and protect it from unauthorized use and disclosure, and (iii) will not disclose such Confidential Information to any third parties except as set forth in this section and in Section 9 below. Consultant will protect Client’s Confidential Information from accidental loss and unauthorized use, access or disclosure in the same manner as Consultant protects its own confidential information of a similar nature, but in no event will it exercise less than reasonable care. Notwithstanding the foregoing or anything to the contrary in this Consulting Agreement or any other agreement between Client and Consultant, nothing in this Consulting Agreement shall limit Consultant’s right to report possible violations of law or regulation with any federal, state, or local government agency. “</w:t>
      </w:r>
      <w:r>
        <w:rPr>
          <w:rFonts w:ascii="Times New Roman;serif" w:hAnsi="Times New Roman;serif"/>
          <w:b/>
          <w:i/>
          <w:color w:val="000000"/>
          <w:sz w:val="22"/>
        </w:rPr>
        <w:t>Confidential Information</w:t>
      </w:r>
      <w:r>
        <w:rPr>
          <w:color w:val="000000"/>
        </w:rPr>
        <w:t xml:space="preserve">” </w:t>
      </w:r>
      <w:r>
        <w:rPr>
          <w:rFonts w:ascii="Times New Roman;serif" w:hAnsi="Times New Roman;serif"/>
          <w:b w:val="false"/>
          <w:color w:val="000000"/>
          <w:sz w:val="22"/>
        </w:rPr>
        <w:t xml:space="preserve">as used in this Consulting Agreement means all information disclosed by Client to Consultant, whether during or before the term of this Consulting Agreement, that is not generally known in the Client’s trade or industry and will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(d) existence of any business discussions, negotiations or agreements between the parties; and (e) any information regarding the skills and compensation of employees, contractors or other agents of Client or its subsidiaries or affiliates. Confidential Information also includes proprietary or confidential information of any third party who may disclose such information to Client or Consultant in the course of Client’s business. Confidential Information does not include information that (x) is or becomes a part of the public domain through no act or omission of Consultant, (y) is disclosed to Consultant by a third party without restrictions on disclosure, or (z) was in Consultant’s lawful possession without obligation of confidentiality prior to the disclosure and was not obtained by Consultant either directly or indirectly from Client. In addition, this section will not be construed to prohibit disclosure of Confidential Information to the extent that such disclosure is required by law or valid order of a court or other governmental authority;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Consultant will first have given notice to Client and will have made a reasonable effort to obtain a protective order requiring that the Confidential Information so disclosed be used only for the purposes for which the order was issued. All Confidential Information furnished to Consultant by Client is the sole and exclusive property of Client or its suppliers or customers. Upon request by Client, Consultant agrees to promptly deliver to Client the original and any copies of the Confidential Information. Notwithstanding the foregoing nondisclosure obligations, pursuant to 18 U.S.C. Section 1833(b), Consultant will not be held criminally or civilly liable under any federal or state trade secret law for the disclosure of a trade secret that is made: (1) in confidence to a federal, state, or local government official, either directly or indirectly, or to an attorney, and solely for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94995"/>
                <wp:effectExtent l="0" t="0" r="0" b="0"/>
                <wp:wrapNone/>
                <wp:docPr id="103" name="Frame10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purpose of reporting or investigating a suspected violation of law; or (2) in a complaint or other document filed in a lawsuit or other proceeding, if such filing is made under seal.</w:t>
      </w:r>
    </w:p>
    <w:p>
      <w:pPr>
        <w:pStyle w:val="TextBody"/>
        <w:bidi w:val="0"/>
        <w:spacing w:lineRule="auto" w:line="240" w:before="0" w:after="240"/>
        <w:ind w:left="0" w:right="0" w:firstLine="1440"/>
        <w:jc w:val="both"/>
        <w:rPr/>
      </w:pPr>
      <w:r>
        <w:rPr>
          <w:rFonts w:ascii="Times New Roman;serif" w:hAnsi="Times New Roman;serif"/>
          <w:b/>
          <w:color w:val="000000"/>
          <w:sz w:val="22"/>
        </w:rPr>
        <w:t>8.1</w:t>
      </w:r>
      <w:r>
        <w:rPr>
          <w:rFonts w:ascii="Times New Roman;serif" w:hAnsi="Times New Roman;serif"/>
          <w:b/>
          <w:color w:val="000000"/>
          <w:sz w:val="22"/>
        </w:rPr>
        <w:t>Personal Information</w:t>
      </w:r>
      <w:r>
        <w:rPr>
          <w:rFonts w:ascii="Times New Roman;serif" w:hAnsi="Times New Roman;serif"/>
          <w:b w:val="false"/>
          <w:color w:val="000000"/>
          <w:sz w:val="22"/>
        </w:rPr>
        <w:t>. With respect to any information that Consultant collects, receives, stores, processes, generates, uses, transfers, discloses, makes accessible, protects, secures, disposes of, and transmits (collectively, processes) in connection with the Services that relates to an identified or identifiable natural person or which otherwise constitutes personal data, personal information, personally identifiable information or similar information under applicable privacy or data security laws (collectively, “</w:t>
      </w:r>
      <w:r>
        <w:rPr>
          <w:rFonts w:ascii="Times New Roman;serif" w:hAnsi="Times New Roman;serif"/>
          <w:b/>
          <w:i/>
          <w:color w:val="000000"/>
          <w:sz w:val="22"/>
        </w:rPr>
        <w:t>Personal Information</w:t>
      </w:r>
      <w:r>
        <w:rPr>
          <w:color w:val="000000"/>
        </w:rPr>
        <w:t>”</w:t>
      </w:r>
      <w:r>
        <w:rPr>
          <w:rFonts w:ascii="Times New Roman;serif" w:hAnsi="Times New Roman;serif"/>
          <w:b w:val="false"/>
          <w:color w:val="000000"/>
          <w:sz w:val="22"/>
        </w:rPr>
        <w:t>), Consultant shall not (i) sell or share Personal Information, (ii) retain, use or disclose Personal Information for any purpose other than the business purpose specified in this Consulting Agreement, (iii) retain, use, or disclose the Personal Information outside of the direct business relationship between Consultant and Client, or (iv) combine the Personal Information Consultant receives from, or on behalf of, Client with Personal Information that it receives from, or on behalf of, another person or persons, or collects from its own interaction with consumers. For the avoidance of doubt, the foregoing prohibits Consultant from “selling” Personal Information, as defined in the California Consumer Privacy Act of 2018 (as amended, the “</w:t>
      </w:r>
      <w:r>
        <w:rPr>
          <w:rFonts w:ascii="Times New Roman;serif" w:hAnsi="Times New Roman;serif"/>
          <w:b/>
          <w:i/>
          <w:color w:val="000000"/>
          <w:sz w:val="22"/>
        </w:rPr>
        <w:t>CCPA</w:t>
      </w:r>
      <w:r>
        <w:rPr>
          <w:color w:val="000000"/>
        </w:rPr>
        <w:t>”</w:t>
      </w:r>
      <w:r>
        <w:rPr>
          <w:rFonts w:ascii="Times New Roman;serif" w:hAnsi="Times New Roman;serif"/>
          <w:b w:val="false"/>
          <w:color w:val="000000"/>
          <w:sz w:val="22"/>
        </w:rPr>
        <w:t>), and from retaining, using, or disclosing Personal Information outside of the direct business relationship between Consultant and Client or for a “commercial purpose” (as defined in the CCPA). Client retains the right to take reasonable and appropriate steps to ensure that Consultant uses the Personal Information transferred in a manner consistent with Client’s obligations under the CCPA. Client retains the right to, upon notice, take reasonable and appropriate steps to stop and remediate unauthorized use of Personal Information. Consultant hereby certifies that it understands the obligations under this Section 8.1 and will comply with them, and agrees to notify Client if Consultant is no longer able to meet the obligations under this Section 8.1.</w:t>
      </w:r>
    </w:p>
    <w:p>
      <w:pPr>
        <w:pStyle w:val="TextBody"/>
        <w:bidi w:val="0"/>
        <w:spacing w:lineRule="auto" w:line="240" w:before="0" w:after="240"/>
        <w:ind w:left="0" w:right="0" w:firstLine="2160"/>
        <w:jc w:val="both"/>
        <w:rPr/>
      </w:pPr>
      <w:r>
        <w:rPr>
          <w:rFonts w:ascii="Times New Roman;serif" w:hAnsi="Times New Roman;serif"/>
          <w:b/>
          <w:color w:val="000000"/>
          <w:sz w:val="22"/>
        </w:rPr>
        <w:t>(a)</w:t>
      </w:r>
      <w:r>
        <w:rPr>
          <w:rFonts w:ascii="Times New Roman;serif" w:hAnsi="Times New Roman;serif"/>
          <w:b w:val="false"/>
          <w:color w:val="000000"/>
          <w:sz w:val="22"/>
        </w:rPr>
        <w:t>Consultant shall comply with applicable obligations under the CCPA, as amended, and provide the same level of privacy protection as required for Client.</w:t>
      </w:r>
    </w:p>
    <w:p>
      <w:pPr>
        <w:pStyle w:val="TextBody"/>
        <w:bidi w:val="0"/>
        <w:spacing w:lineRule="auto" w:line="240" w:before="0" w:after="240"/>
        <w:ind w:left="0" w:right="0" w:firstLine="2160"/>
        <w:jc w:val="both"/>
        <w:rPr/>
      </w:pPr>
      <w:r>
        <w:rPr>
          <w:rFonts w:ascii="Times New Roman;serif" w:hAnsi="Times New Roman;serif"/>
          <w:b/>
          <w:color w:val="000000"/>
          <w:sz w:val="22"/>
        </w:rPr>
        <w:t>(b)</w:t>
      </w:r>
      <w:r>
        <w:rPr>
          <w:rFonts w:ascii="Times New Roman;serif" w:hAnsi="Times New Roman;serif"/>
          <w:b w:val="false"/>
          <w:color w:val="000000"/>
          <w:sz w:val="22"/>
        </w:rPr>
        <w:t>Consultant shall use reasonable security measures appropriate to the nature of any Personal Information in its possession or control to protect the Personal Information from unauthorized access, destruction, use, modification, or disclosure.</w:t>
      </w:r>
    </w:p>
    <w:p>
      <w:pPr>
        <w:pStyle w:val="TextBody"/>
        <w:bidi w:val="0"/>
        <w:spacing w:lineRule="auto" w:line="240" w:before="0" w:after="240"/>
        <w:ind w:left="0" w:right="0" w:firstLine="2160"/>
        <w:jc w:val="both"/>
        <w:rPr/>
      </w:pPr>
      <w:r>
        <w:rPr>
          <w:rFonts w:ascii="Times New Roman;serif" w:hAnsi="Times New Roman;serif"/>
          <w:b/>
          <w:color w:val="000000"/>
          <w:sz w:val="22"/>
        </w:rPr>
        <w:t>(c)</w:t>
      </w:r>
      <w:r>
        <w:rPr>
          <w:rFonts w:ascii="Times New Roman;serif" w:hAnsi="Times New Roman;serif"/>
          <w:b w:val="false"/>
          <w:color w:val="000000"/>
          <w:sz w:val="22"/>
        </w:rPr>
        <w:t>The parties acknowledge and agree that Consultant’s access to Personal Information is not part of the consideration exchanged by the parties in respect of the Consulting Agreement.</w:t>
      </w:r>
    </w:p>
    <w:p>
      <w:pPr>
        <w:pStyle w:val="TextBody"/>
        <w:bidi w:val="0"/>
        <w:spacing w:lineRule="auto" w:line="240" w:before="0" w:after="240"/>
        <w:ind w:left="0" w:right="0" w:firstLine="2160"/>
        <w:jc w:val="both"/>
        <w:rPr/>
      </w:pPr>
      <w:r>
        <w:rPr>
          <w:rFonts w:ascii="Times New Roman;serif" w:hAnsi="Times New Roman;serif"/>
          <w:b/>
          <w:color w:val="000000"/>
          <w:sz w:val="22"/>
        </w:rPr>
        <w:t>(d)</w:t>
      </w:r>
      <w:r>
        <w:rPr>
          <w:rFonts w:ascii="Times New Roman;serif" w:hAnsi="Times New Roman;serif"/>
          <w:b w:val="false"/>
          <w:color w:val="000000"/>
          <w:sz w:val="22"/>
        </w:rPr>
        <w:t>If any individual contacts Consultant to make a request pertaining to their Personal Information, Consultant shall promptly forward the request to Client and shall not respond to the individual except as instructed by Client. Consultant shall promptly take such actions and provide such information as Client may request to help Client fulfill requests of individuals to exercise their rights under the applicable privacy or data security laws, including, without limitation, requests to access, delete, opt-out of the sale of, or receive information about the processing of, Personal Information pertaining to them as well as requests to opt-out of the use of or appeal the decisions of automated decisionmaking technologies. Consultant agrees to cooperate with Client to further amend the Consulting Agreement as may be necessary to address compliance with applicable privacy or data security laws.</w:t>
      </w:r>
    </w:p>
    <w:p>
      <w:pPr>
        <w:pStyle w:val="TextBody"/>
        <w:bidi w:val="0"/>
        <w:spacing w:lineRule="auto" w:line="240" w:before="0" w:after="240"/>
        <w:ind w:left="0" w:right="0" w:firstLine="2160"/>
        <w:jc w:val="both"/>
        <w:rPr/>
      </w:pPr>
      <w:r>
        <w:rPr>
          <w:rFonts w:ascii="Times New Roman;serif" w:hAnsi="Times New Roman;serif"/>
          <w:b/>
          <w:color w:val="000000"/>
          <w:sz w:val="22"/>
        </w:rPr>
        <w:t>(e)</w:t>
      </w:r>
      <w:r>
        <w:rPr>
          <w:rFonts w:ascii="Times New Roman;serif" w:hAnsi="Times New Roman;serif"/>
          <w:b w:val="false"/>
          <w:color w:val="000000"/>
          <w:sz w:val="22"/>
        </w:rPr>
        <w:t>Consultant shall cooperate with any cybersecurity audits or risk assessments being conducted by Client, including by making available to Client’s auditor all relevant information that the auditor requests to complete the business’s cybersecurity audit or risk assessment that is in Consultant’s possession, custody, or control, and not misrepresenting any fact that the auditor deems relevant to the business’s cybersecurity audit or risk assessment.</w:t>
      </w:r>
    </w:p>
    <w:p>
      <w:pPr>
        <w:pStyle w:val="TextBody"/>
        <w:bidi w:val="0"/>
        <w:spacing w:lineRule="auto" w:line="240" w:before="0" w:after="240"/>
        <w:ind w:left="0" w:right="0" w:firstLine="720"/>
        <w:jc w:val="both"/>
        <w:rPr/>
      </w:pPr>
      <w:r>
        <w:rPr>
          <w:rFonts w:ascii="Times New Roman;serif" w:hAnsi="Times New Roman;serif"/>
          <w:b/>
          <w:color w:val="000000"/>
          <w:sz w:val="22"/>
        </w:rPr>
        <w:t>9.</w:t>
      </w:r>
      <w:r>
        <w:rPr>
          <w:rFonts w:ascii="Times New Roman;serif" w:hAnsi="Times New Roman;serif"/>
          <w:b/>
          <w:color w:val="000000"/>
          <w:sz w:val="22"/>
        </w:rPr>
        <w:t>Consultant’s Employees, Consultants and Agents.</w:t>
      </w:r>
      <w:r>
        <w:rPr>
          <w:color w:val="000000"/>
        </w:rPr>
        <w:t xml:space="preserve"> </w:t>
      </w:r>
      <w:r>
        <w:rPr>
          <w:rFonts w:ascii="Times New Roman;serif" w:hAnsi="Times New Roman;serif"/>
          <w:b w:val="false"/>
          <w:color w:val="000000"/>
          <w:sz w:val="22"/>
        </w:rPr>
        <w:t xml:space="preserve">Consultant shall have the right to disclose Confidential Information only to those of its employees, consultants, and agents who have a need to know such information for the purpose of performing Services and who have entered into a binding written agreement that is expressly for the benefit of Client and protects Client’s rights and interests in and to the Confidential Information to at least the same degree as this Consulting Agreement. Client reserves the right to refuse or limit Consultant’s use of any employee, consultant or agent or to require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94995"/>
                <wp:effectExtent l="0" t="0" r="0" b="0"/>
                <wp:wrapNone/>
                <wp:docPr id="104" name="Frame10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Consultant to remove any employee, consultant or agent already engaged in the performance of the Services. Client’s exercise of such right will in no way limit Consultant’s obligations under this Consulting Agreement.</w:t>
      </w:r>
    </w:p>
    <w:p>
      <w:pPr>
        <w:pStyle w:val="TextBody"/>
        <w:bidi w:val="0"/>
        <w:spacing w:lineRule="auto" w:line="240" w:before="0" w:after="240"/>
        <w:ind w:left="0" w:right="0" w:firstLine="720"/>
        <w:jc w:val="both"/>
        <w:rPr/>
      </w:pPr>
      <w:r>
        <w:rPr>
          <w:rFonts w:ascii="Times New Roman;serif" w:hAnsi="Times New Roman;serif"/>
          <w:b/>
          <w:color w:val="000000"/>
          <w:sz w:val="22"/>
        </w:rPr>
        <w:t>10.</w:t>
      </w:r>
      <w:r>
        <w:rPr>
          <w:rFonts w:ascii="Times New Roman;serif" w:hAnsi="Times New Roman;serif"/>
          <w:b/>
          <w:color w:val="000000"/>
          <w:sz w:val="22"/>
        </w:rPr>
        <w:t xml:space="preserve">Indemnification. </w:t>
      </w:r>
      <w:r>
        <w:rPr>
          <w:rFonts w:ascii="Times New Roman;serif" w:hAnsi="Times New Roman;serif"/>
          <w:b w:val="false"/>
          <w:color w:val="000000"/>
          <w:sz w:val="22"/>
        </w:rPr>
        <w:t>Client acknowledges and agrees that services rendered by Consultant under this Consultant Agreement is intended to be covered under the Indemnity Agreement between Client and Consultant dated July 22, 2021 and Consultant shall continue to be deemed an “Agent” of Client pursuant thereto during the term of the Consulting Agreement.</w:t>
      </w:r>
      <w:r>
        <w:rPr>
          <w:color w:val="000000"/>
          <w:u w:val="single"/>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Term and Termination.</w:t>
      </w:r>
    </w:p>
    <w:p>
      <w:pPr>
        <w:pStyle w:val="TextBody"/>
        <w:bidi w:val="0"/>
        <w:spacing w:lineRule="auto" w:line="240" w:before="0" w:after="240"/>
        <w:ind w:left="0" w:right="0" w:firstLine="1440"/>
        <w:jc w:val="both"/>
        <w:rPr/>
      </w:pPr>
      <w:r>
        <w:rPr>
          <w:rFonts w:ascii="Times New Roman;serif" w:hAnsi="Times New Roman;serif"/>
          <w:b/>
          <w:color w:val="000000"/>
          <w:sz w:val="22"/>
        </w:rPr>
        <w:t>11.1</w:t>
      </w:r>
      <w:r>
        <w:rPr>
          <w:rFonts w:ascii="Times New Roman;serif" w:hAnsi="Times New Roman;serif"/>
          <w:b/>
          <w:color w:val="000000"/>
          <w:sz w:val="22"/>
        </w:rPr>
        <w:t>Term.</w:t>
      </w:r>
      <w:r>
        <w:rPr>
          <w:color w:val="000000"/>
        </w:rPr>
        <w:t xml:space="preserve"> </w:t>
      </w:r>
      <w:r>
        <w:rPr>
          <w:rFonts w:ascii="Times New Roman;serif" w:hAnsi="Times New Roman;serif"/>
          <w:b w:val="false"/>
          <w:color w:val="000000"/>
          <w:sz w:val="22"/>
        </w:rPr>
        <w:t>Subject to Section 1 of the Severance Agreement, unless earlier terminated pursuant to the Separation Agreement or as provided in this Consulting Agreement, the initial term of this Consulting Agreement will be from the Effective Date until August 31, 2026. The term may be extended by mutual written agreement between the parties.</w:t>
      </w:r>
    </w:p>
    <w:p>
      <w:pPr>
        <w:pStyle w:val="TextBody"/>
        <w:bidi w:val="0"/>
        <w:spacing w:lineRule="auto" w:line="240" w:before="0" w:after="240"/>
        <w:ind w:left="0" w:right="0" w:firstLine="1440"/>
        <w:jc w:val="both"/>
        <w:rPr/>
      </w:pPr>
      <w:r>
        <w:rPr>
          <w:rFonts w:ascii="Times New Roman;serif" w:hAnsi="Times New Roman;serif"/>
          <w:b/>
          <w:color w:val="000000"/>
          <w:sz w:val="22"/>
        </w:rPr>
        <w:t>11.2</w:t>
      </w:r>
      <w:r>
        <w:rPr>
          <w:rFonts w:ascii="Times New Roman;serif" w:hAnsi="Times New Roman;serif"/>
          <w:b/>
          <w:color w:val="000000"/>
          <w:sz w:val="22"/>
        </w:rPr>
        <w:t>Termination Without Cause.</w:t>
      </w:r>
      <w:r>
        <w:rPr>
          <w:color w:val="000000"/>
        </w:rPr>
        <w:t xml:space="preserve"> </w:t>
      </w:r>
      <w:r>
        <w:rPr>
          <w:rFonts w:ascii="Times New Roman;serif" w:hAnsi="Times New Roman;serif"/>
          <w:b w:val="false"/>
          <w:color w:val="000000"/>
          <w:sz w:val="22"/>
        </w:rPr>
        <w:t>Client may not terminate this Consulting Agreement without cause prior to August 18, 2026. On or after August 18, 2026, Client may terminate this Consulting Agreement without cause upon 15 days’ prior written notice to Consultant. For the avoidance of doubt, nothing in this Section 11.2 shall limit Client’s right to terminate this Agreement for cause pursuant to Section 11.3 at any time. Consultant may terminate this Consulting Agreement without cause upon 15 days’ prior written notice to Client.</w:t>
      </w:r>
    </w:p>
    <w:p>
      <w:pPr>
        <w:pStyle w:val="TextBody"/>
        <w:bidi w:val="0"/>
        <w:spacing w:lineRule="auto" w:line="240" w:before="0" w:after="240"/>
        <w:ind w:left="0" w:right="0" w:firstLine="1440"/>
        <w:jc w:val="both"/>
        <w:rPr/>
      </w:pPr>
      <w:r>
        <w:rPr>
          <w:rFonts w:ascii="Times New Roman;serif" w:hAnsi="Times New Roman;serif"/>
          <w:b/>
          <w:color w:val="000000"/>
          <w:sz w:val="22"/>
        </w:rPr>
        <w:t>11.3</w:t>
      </w:r>
      <w:r>
        <w:rPr>
          <w:rFonts w:ascii="Times New Roman;serif" w:hAnsi="Times New Roman;serif"/>
          <w:b/>
          <w:color w:val="000000"/>
          <w:sz w:val="22"/>
        </w:rPr>
        <w:t>Termination for Cause.</w:t>
      </w:r>
      <w:r>
        <w:rPr>
          <w:color w:val="000000"/>
        </w:rPr>
        <w:t xml:space="preserve"> </w:t>
      </w:r>
      <w:r>
        <w:rPr>
          <w:rFonts w:ascii="Times New Roman;serif" w:hAnsi="Times New Roman;serif"/>
          <w:b w:val="false"/>
          <w:color w:val="000000"/>
          <w:sz w:val="22"/>
        </w:rPr>
        <w:t>Either party may terminate this Consulting Agreement immediately in the event the other party has materially breached the Consulting Agreement and failed to cure such breach within 3 days after notice by the non-breaching party is given.</w:t>
      </w:r>
    </w:p>
    <w:p>
      <w:pPr>
        <w:pStyle w:val="TextBody"/>
        <w:bidi w:val="0"/>
        <w:spacing w:lineRule="auto" w:line="240" w:before="0" w:after="240"/>
        <w:ind w:left="0" w:right="0" w:firstLine="1440"/>
        <w:jc w:val="both"/>
        <w:rPr/>
      </w:pPr>
      <w:r>
        <w:rPr>
          <w:rFonts w:ascii="Times New Roman;serif" w:hAnsi="Times New Roman;serif"/>
          <w:b/>
          <w:color w:val="000000"/>
          <w:sz w:val="22"/>
        </w:rPr>
        <w:t>11.4</w:t>
      </w:r>
      <w:r>
        <w:rPr>
          <w:rFonts w:ascii="Times New Roman;serif" w:hAnsi="Times New Roman;serif"/>
          <w:b/>
          <w:color w:val="000000"/>
          <w:sz w:val="22"/>
        </w:rPr>
        <w:t>Survival.</w:t>
      </w:r>
      <w:r>
        <w:rPr>
          <w:color w:val="000000"/>
        </w:rPr>
        <w:t xml:space="preserve"> </w:t>
      </w:r>
      <w:r>
        <w:rPr>
          <w:rFonts w:ascii="Times New Roman;serif" w:hAnsi="Times New Roman;serif"/>
          <w:b w:val="false"/>
          <w:color w:val="000000"/>
          <w:sz w:val="22"/>
        </w:rPr>
        <w:t>The rights and obligations contained in Sections 3 (“</w:t>
      </w:r>
      <w:r>
        <w:rPr>
          <w:rFonts w:ascii="Times New Roman;serif" w:hAnsi="Times New Roman;serif"/>
          <w:b/>
          <w:i/>
          <w:color w:val="000000"/>
          <w:sz w:val="22"/>
        </w:rPr>
        <w:t>Ownership of Work Product</w:t>
      </w:r>
      <w:r>
        <w:rPr>
          <w:color w:val="000000"/>
        </w:rPr>
        <w:t>”</w:t>
      </w:r>
      <w:r>
        <w:rPr>
          <w:rFonts w:ascii="Times New Roman;serif" w:hAnsi="Times New Roman;serif"/>
          <w:b w:val="false"/>
          <w:color w:val="000000"/>
          <w:sz w:val="22"/>
        </w:rPr>
        <w:t>), 4 (“</w:t>
      </w:r>
      <w:r>
        <w:rPr>
          <w:rFonts w:ascii="Times New Roman;serif" w:hAnsi="Times New Roman;serif"/>
          <w:b/>
          <w:i/>
          <w:color w:val="000000"/>
          <w:sz w:val="22"/>
        </w:rPr>
        <w:t>Other Rights</w:t>
      </w:r>
      <w:r>
        <w:rPr>
          <w:color w:val="000000"/>
        </w:rPr>
        <w:t>”</w:t>
      </w:r>
      <w:r>
        <w:rPr>
          <w:rFonts w:ascii="Times New Roman;serif" w:hAnsi="Times New Roman;serif"/>
          <w:b w:val="false"/>
          <w:color w:val="000000"/>
          <w:sz w:val="22"/>
        </w:rPr>
        <w:t>), 5 (“</w:t>
      </w:r>
      <w:r>
        <w:rPr>
          <w:rFonts w:ascii="Times New Roman;serif" w:hAnsi="Times New Roman;serif"/>
          <w:b/>
          <w:i/>
          <w:color w:val="000000"/>
          <w:sz w:val="22"/>
        </w:rPr>
        <w:t>License to Preexisting IP</w:t>
      </w:r>
      <w:r>
        <w:rPr>
          <w:color w:val="000000"/>
        </w:rPr>
        <w:t>”</w:t>
      </w:r>
      <w:r>
        <w:rPr>
          <w:rFonts w:ascii="Times New Roman;serif" w:hAnsi="Times New Roman;serif"/>
          <w:b w:val="false"/>
          <w:color w:val="000000"/>
          <w:sz w:val="22"/>
        </w:rPr>
        <w:t>), 6 (“</w:t>
      </w:r>
      <w:r>
        <w:rPr>
          <w:rFonts w:ascii="Times New Roman;serif" w:hAnsi="Times New Roman;serif"/>
          <w:b/>
          <w:i/>
          <w:color w:val="000000"/>
          <w:sz w:val="22"/>
        </w:rPr>
        <w:t>Representations and</w:t>
      </w:r>
      <w:r>
        <w:rPr>
          <w:color w:val="000000"/>
        </w:rPr>
        <w:t xml:space="preserve"> </w:t>
      </w:r>
      <w:r>
        <w:rPr>
          <w:rFonts w:ascii="Times New Roman;serif" w:hAnsi="Times New Roman;serif"/>
          <w:b/>
          <w:i/>
          <w:color w:val="000000"/>
          <w:sz w:val="22"/>
        </w:rPr>
        <w:t>Warranties</w:t>
      </w:r>
      <w:r>
        <w:rPr>
          <w:color w:val="000000"/>
        </w:rPr>
        <w:t>”</w:t>
      </w:r>
      <w:r>
        <w:rPr>
          <w:rFonts w:ascii="Times New Roman;serif" w:hAnsi="Times New Roman;serif"/>
          <w:b w:val="false"/>
          <w:color w:val="000000"/>
          <w:sz w:val="22"/>
        </w:rPr>
        <w:t>), 8 (“</w:t>
      </w:r>
      <w:r>
        <w:rPr>
          <w:rFonts w:ascii="Times New Roman;serif" w:hAnsi="Times New Roman;serif"/>
          <w:b/>
          <w:i/>
          <w:color w:val="000000"/>
          <w:sz w:val="22"/>
        </w:rPr>
        <w:t>Confidential Information</w:t>
      </w:r>
      <w:r>
        <w:rPr>
          <w:color w:val="000000"/>
        </w:rPr>
        <w:t>”</w:t>
      </w:r>
      <w:r>
        <w:rPr>
          <w:rFonts w:ascii="Times New Roman;serif" w:hAnsi="Times New Roman;serif"/>
          <w:b w:val="false"/>
          <w:color w:val="000000"/>
          <w:sz w:val="22"/>
        </w:rPr>
        <w:t>) and 12 (“</w:t>
      </w:r>
      <w:r>
        <w:rPr>
          <w:rFonts w:ascii="Times New Roman;serif" w:hAnsi="Times New Roman;serif"/>
          <w:b/>
          <w:i/>
          <w:color w:val="000000"/>
          <w:sz w:val="22"/>
        </w:rPr>
        <w:t>Non-solicitation</w:t>
      </w:r>
      <w:r>
        <w:rPr>
          <w:color w:val="000000"/>
        </w:rPr>
        <w:t>”</w:t>
      </w:r>
      <w:r>
        <w:rPr>
          <w:rFonts w:ascii="Times New Roman;serif" w:hAnsi="Times New Roman;serif"/>
          <w:b w:val="false"/>
          <w:color w:val="000000"/>
          <w:sz w:val="22"/>
        </w:rPr>
        <w:t>) will survive any termination or expiration of this Consulting Agreement.</w:t>
      </w:r>
    </w:p>
    <w:p>
      <w:pPr>
        <w:pStyle w:val="TextBody"/>
        <w:bidi w:val="0"/>
        <w:spacing w:lineRule="auto" w:line="240"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No Conflicts.</w:t>
      </w:r>
      <w:r>
        <w:rPr>
          <w:color w:val="000000"/>
        </w:rPr>
        <w:t xml:space="preserve"> </w:t>
      </w:r>
      <w:r>
        <w:rPr>
          <w:rFonts w:ascii="Times New Roman;serif" w:hAnsi="Times New Roman;serif"/>
          <w:b w:val="false"/>
          <w:color w:val="000000"/>
          <w:sz w:val="22"/>
        </w:rPr>
        <w:t>Consultant will refrain from any activity, and will not enter into any agreement or make any commitment, that is inconsistent or incompatible with Consultant’s obligations under this Consulting Agreement, including Consultant’s ability to perform the Services. Consultant represents and warrants that Consultant is not subject to any contract or duty that would be breached by Consultant’s entering into or performing Consultant’s obligations under this Consulting Agreement or that is otherwise inconsistent with this Consulting Agreement.</w:t>
      </w:r>
    </w:p>
    <w:p>
      <w:pPr>
        <w:pStyle w:val="TextBody"/>
        <w:bidi w:val="0"/>
        <w:spacing w:lineRule="auto" w:line="240" w:before="0" w:after="240"/>
        <w:ind w:left="0" w:right="0" w:firstLine="720"/>
        <w:jc w:val="both"/>
        <w:rPr/>
      </w:pPr>
      <w:r>
        <w:rPr>
          <w:rFonts w:ascii="Times New Roman;serif" w:hAnsi="Times New Roman;serif"/>
          <w:b/>
          <w:color w:val="000000"/>
          <w:sz w:val="22"/>
        </w:rPr>
        <w:t>13.</w:t>
      </w:r>
      <w:r>
        <w:rPr>
          <w:rFonts w:ascii="Times New Roman;serif" w:hAnsi="Times New Roman;serif"/>
          <w:b/>
          <w:color w:val="000000"/>
          <w:sz w:val="22"/>
        </w:rPr>
        <w:t xml:space="preserve">Non-solicitation. </w:t>
      </w:r>
      <w:r>
        <w:rPr>
          <w:rFonts w:ascii="Times New Roman;serif" w:hAnsi="Times New Roman;serif"/>
          <w:b w:val="false"/>
          <w:color w:val="000000"/>
          <w:sz w:val="22"/>
        </w:rPr>
        <w:t>Consultant agrees that during the Term of this Consulting Agreement, and for one year thereafter, Consultant will not either directly or indirectly, solicit or attempt to solicit any employee, independent contractor, or consultant of Client to terminate their relationship with Client in order to become an employee, consultant, or independent contractor to or for any other person or entity.</w:t>
      </w:r>
    </w:p>
    <w:p>
      <w:pPr>
        <w:pStyle w:val="TextBody"/>
        <w:bidi w:val="0"/>
        <w:spacing w:lineRule="auto" w:line="240" w:before="0" w:after="240"/>
        <w:ind w:left="0" w:right="0" w:firstLine="720"/>
        <w:jc w:val="both"/>
        <w:rPr/>
      </w:pPr>
      <w:r>
        <w:rPr>
          <w:rFonts w:ascii="Times New Roman;serif" w:hAnsi="Times New Roman;serif"/>
          <w:b/>
          <w:color w:val="000000"/>
          <w:sz w:val="22"/>
        </w:rPr>
        <w:t>14.</w:t>
      </w:r>
      <w:r>
        <w:rPr>
          <w:rFonts w:ascii="Times New Roman;serif" w:hAnsi="Times New Roman;serif"/>
          <w:b/>
          <w:color w:val="000000"/>
          <w:sz w:val="22"/>
        </w:rPr>
        <w:t>Successors and Assigns.</w:t>
      </w:r>
      <w:r>
        <w:rPr>
          <w:color w:val="000000"/>
        </w:rPr>
        <w:t xml:space="preserve"> </w:t>
      </w:r>
      <w:r>
        <w:rPr>
          <w:rFonts w:ascii="Times New Roman;serif" w:hAnsi="Times New Roman;serif"/>
          <w:b w:val="false"/>
          <w:color w:val="000000"/>
          <w:sz w:val="22"/>
        </w:rPr>
        <w:t>Consultant may not subcontract or otherwise delegate or assign this Consulting Agreement or any of its obligations under this Consulting Agreement without Client’s prior written consent. Any attempted assignment in violation of the foregoing will be null and void. Subject to the foregoing, this Consulting Agreement will be for the benefit of Client’s successors and assigns, and will be binding on Consultant’s assignees.</w:t>
      </w:r>
    </w:p>
    <w:p>
      <w:pPr>
        <w:pStyle w:val="TextBody"/>
        <w:bidi w:val="0"/>
        <w:spacing w:lineRule="auto" w:line="240" w:before="0" w:after="240"/>
        <w:ind w:left="0" w:right="0" w:firstLine="720"/>
        <w:jc w:val="both"/>
        <w:rPr/>
      </w:pPr>
      <w:r>
        <w:rPr>
          <w:rFonts w:ascii="Times New Roman;serif" w:hAnsi="Times New Roman;serif"/>
          <w:b/>
          <w:color w:val="000000"/>
          <w:sz w:val="22"/>
        </w:rPr>
        <w:t>15.</w:t>
      </w:r>
      <w:r>
        <w:rPr>
          <w:rFonts w:ascii="Times New Roman;serif" w:hAnsi="Times New Roman;serif"/>
          <w:b/>
          <w:color w:val="000000"/>
          <w:sz w:val="22"/>
        </w:rPr>
        <w:t>Notices.</w:t>
      </w:r>
      <w:r>
        <w:rPr>
          <w:color w:val="000000"/>
        </w:rPr>
        <w:t xml:space="preserve"> </w:t>
      </w:r>
      <w:r>
        <w:rPr>
          <w:rFonts w:ascii="Times New Roman;serif" w:hAnsi="Times New Roman;serif"/>
          <w:b w:val="false"/>
          <w:color w:val="000000"/>
          <w:sz w:val="22"/>
        </w:rPr>
        <w:t>Any notice required or permitted by this Consulting Agreement will be in writing and will be delivered as follows with notice deemed given as indicated: (i) by personal delivery when delivered personally; (ii) by overnight courier upon written verification of receipt; (iii) by email (</w:t>
      </w:r>
      <w:r>
        <w:rPr>
          <w:rFonts w:ascii="Times New Roman;serif" w:hAnsi="Times New Roman;serif"/>
          <w:b w:val="false"/>
          <w:i/>
          <w:color w:val="000000"/>
          <w:sz w:val="22"/>
        </w:rPr>
        <w:t>provided, however</w:t>
      </w:r>
      <w:r>
        <w:rPr>
          <w:rFonts w:ascii="Times New Roman;serif" w:hAnsi="Times New Roman;serif"/>
          <w:b w:val="false"/>
          <w:color w:val="000000"/>
          <w:sz w:val="22"/>
        </w:rPr>
        <w:t>, if the sender receives an automatically generated notification that such email was not delivered, such attempted email notice shall be ineffective and deemed to not have been given); or (iv) by certified or registered mail, return receipt requested, upon verification of receipt. Notice will be sent to the addresses set forth below or such other address as either party may specify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94995"/>
                <wp:effectExtent l="0" t="0" r="0" b="0"/>
                <wp:wrapNone/>
                <wp:docPr id="105" name="Frame10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16.</w:t>
      </w:r>
      <w:r>
        <w:rPr>
          <w:rFonts w:ascii="Times New Roman;serif" w:hAnsi="Times New Roman;serif"/>
          <w:b/>
          <w:color w:val="000000"/>
          <w:sz w:val="22"/>
        </w:rPr>
        <w:t>Governing Law.</w:t>
      </w:r>
      <w:r>
        <w:rPr>
          <w:color w:val="000000"/>
        </w:rPr>
        <w:t xml:space="preserve"> </w:t>
      </w:r>
      <w:r>
        <w:rPr>
          <w:rFonts w:ascii="Times New Roman;serif" w:hAnsi="Times New Roman;serif"/>
          <w:b w:val="false"/>
          <w:color w:val="000000"/>
          <w:sz w:val="22"/>
        </w:rPr>
        <w:t xml:space="preserve">This Consulting Agreement will be governed in all respects by the laws of the United States of America and by the laws of the State of California, without giving effect to any conflicts of laws principles that require the application of the law of a different jurisdiction. </w:t>
      </w:r>
    </w:p>
    <w:p>
      <w:pPr>
        <w:pStyle w:val="TextBody"/>
        <w:bidi w:val="0"/>
        <w:spacing w:lineRule="auto" w:line="240" w:before="0" w:after="240"/>
        <w:ind w:left="0" w:right="0" w:firstLine="720"/>
        <w:jc w:val="both"/>
        <w:rPr/>
      </w:pPr>
      <w:r>
        <w:rPr>
          <w:rFonts w:ascii="Times New Roman;serif" w:hAnsi="Times New Roman;serif"/>
          <w:b/>
          <w:color w:val="000000"/>
          <w:sz w:val="22"/>
        </w:rPr>
        <w:t>17.</w:t>
      </w:r>
      <w:r>
        <w:rPr>
          <w:rFonts w:ascii="Times New Roman;serif" w:hAnsi="Times New Roman;serif"/>
          <w:b/>
          <w:color w:val="000000"/>
          <w:sz w:val="22"/>
        </w:rPr>
        <w:t>Severability.</w:t>
      </w:r>
      <w:r>
        <w:rPr>
          <w:color w:val="000000"/>
        </w:rPr>
        <w:t xml:space="preserve"> </w:t>
      </w:r>
      <w:r>
        <w:rPr>
          <w:rFonts w:ascii="Times New Roman;serif" w:hAnsi="Times New Roman;serif"/>
          <w:b w:val="false"/>
          <w:color w:val="000000"/>
          <w:sz w:val="22"/>
        </w:rPr>
        <w:t>Should any provisions of this Consulting Agreement be held by a court of law to be illegal, invalid or unenforceable, the legality, validity and enforceability of the remaining provisions of this Consulting Agreement will not be affected or impaired thereby.</w:t>
      </w:r>
    </w:p>
    <w:p>
      <w:pPr>
        <w:pStyle w:val="TextBody"/>
        <w:bidi w:val="0"/>
        <w:spacing w:lineRule="auto" w:line="240" w:before="0" w:after="240"/>
        <w:ind w:left="0" w:right="0" w:firstLine="720"/>
        <w:jc w:val="both"/>
        <w:rPr/>
      </w:pPr>
      <w:r>
        <w:rPr>
          <w:rFonts w:ascii="Times New Roman;serif" w:hAnsi="Times New Roman;serif"/>
          <w:b/>
          <w:color w:val="000000"/>
          <w:sz w:val="22"/>
        </w:rPr>
        <w:t>18.</w:t>
      </w:r>
      <w:r>
        <w:rPr>
          <w:rFonts w:ascii="Times New Roman;serif" w:hAnsi="Times New Roman;serif"/>
          <w:b/>
          <w:color w:val="000000"/>
          <w:sz w:val="22"/>
        </w:rPr>
        <w:t>Waiver.</w:t>
      </w:r>
      <w:r>
        <w:rPr>
          <w:color w:val="000000"/>
        </w:rPr>
        <w:t xml:space="preserve"> </w:t>
      </w:r>
      <w:r>
        <w:rPr>
          <w:rFonts w:ascii="Times New Roman;serif" w:hAnsi="Times New Roman;serif"/>
          <w:b w:val="false"/>
          <w:color w:val="000000"/>
          <w:sz w:val="22"/>
        </w:rPr>
        <w:t>The waiver by Client of a breach of any provision of this Consulting Agreement by Consultant will not operate or be construed as a waiver of any other or subsequent breach by Consultant.</w:t>
      </w:r>
    </w:p>
    <w:p>
      <w:pPr>
        <w:pStyle w:val="TextBody"/>
        <w:bidi w:val="0"/>
        <w:spacing w:lineRule="auto" w:line="240" w:before="0" w:after="240"/>
        <w:ind w:left="0" w:right="0" w:firstLine="720"/>
        <w:jc w:val="both"/>
        <w:rPr/>
      </w:pPr>
      <w:r>
        <w:rPr>
          <w:rFonts w:ascii="Times New Roman;serif" w:hAnsi="Times New Roman;serif"/>
          <w:b/>
          <w:color w:val="000000"/>
          <w:sz w:val="22"/>
        </w:rPr>
        <w:t>19.</w:t>
      </w:r>
      <w:r>
        <w:rPr>
          <w:rFonts w:ascii="Times New Roman;serif" w:hAnsi="Times New Roman;serif"/>
          <w:b/>
          <w:color w:val="000000"/>
          <w:sz w:val="22"/>
        </w:rPr>
        <w:t>Injunctive Relief for Breach.</w:t>
      </w:r>
      <w:r>
        <w:rPr>
          <w:color w:val="000000"/>
        </w:rPr>
        <w:t xml:space="preserve"> </w:t>
      </w:r>
      <w:r>
        <w:rPr>
          <w:rFonts w:ascii="Times New Roman;serif" w:hAnsi="Times New Roman;serif"/>
          <w:b w:val="false"/>
          <w:color w:val="000000"/>
          <w:sz w:val="22"/>
        </w:rPr>
        <w:t>Consultant’s obligations under this Consulting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w:t>
      </w:r>
    </w:p>
    <w:p>
      <w:pPr>
        <w:pStyle w:val="TextBody"/>
        <w:bidi w:val="0"/>
        <w:spacing w:lineRule="auto" w:line="240" w:before="0" w:after="240"/>
        <w:ind w:left="0" w:right="0" w:firstLine="720"/>
        <w:jc w:val="both"/>
        <w:rPr/>
      </w:pPr>
      <w:r>
        <w:rPr>
          <w:rFonts w:ascii="Times New Roman;serif" w:hAnsi="Times New Roman;serif"/>
          <w:b/>
          <w:color w:val="000000"/>
          <w:sz w:val="22"/>
        </w:rPr>
        <w:t>20.</w:t>
      </w:r>
      <w:r>
        <w:rPr>
          <w:rFonts w:ascii="Times New Roman;serif" w:hAnsi="Times New Roman;serif"/>
          <w:b/>
          <w:color w:val="000000"/>
          <w:sz w:val="22"/>
        </w:rPr>
        <w:t>Entire Agreement.</w:t>
      </w:r>
      <w:r>
        <w:rPr>
          <w:color w:val="000000"/>
        </w:rPr>
        <w:t xml:space="preserve"> </w:t>
      </w:r>
      <w:r>
        <w:rPr>
          <w:rFonts w:ascii="Times New Roman;serif" w:hAnsi="Times New Roman;serif"/>
          <w:b w:val="false"/>
          <w:color w:val="000000"/>
          <w:sz w:val="22"/>
        </w:rPr>
        <w:t xml:space="preserve">This Consulting Agreement constitutes the entire agreement between the parties relating to this subject matter and supersedes all prior or contemporaneous oral or written agreements concerning such subject matter. The terms of this Consulting Agreement will govern all services undertaken by Consultant for Client; </w:t>
      </w:r>
      <w:r>
        <w:rPr>
          <w:rFonts w:ascii="Times New Roman;serif" w:hAnsi="Times New Roman;serif"/>
          <w:b w:val="false"/>
          <w:i/>
          <w:color w:val="000000"/>
          <w:sz w:val="22"/>
        </w:rPr>
        <w:t>provided, however</w:t>
      </w:r>
      <w:r>
        <w:rPr>
          <w:rFonts w:ascii="Times New Roman;serif" w:hAnsi="Times New Roman;serif"/>
          <w:b w:val="false"/>
          <w:color w:val="000000"/>
          <w:sz w:val="22"/>
        </w:rPr>
        <w:t>, that in the event of any conflict between the terms of this Consulting Agreement and any Project Assignment, the terms of the applicable Project Assignment will control, provided that the Project Assignment specifically calls out the applicable Section number of this Consulting Agreement to be superseded and has been signed by an authorized officer of Client. This Consulting Agreement may only be changed or amended by mutual agreement of authorized representatives of the parties in writing. This Consulting Agreement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94995"/>
                <wp:effectExtent l="0" t="0" r="0" b="0"/>
                <wp:wrapNone/>
                <wp:docPr id="106" name="Frame10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parties have executed this Consulting Agreement as of the Effective Date.</w:t>
      </w:r>
    </w:p>
    <w:tbl>
      <w:tblPr>
        <w:tblW w:w="3999" w:type="dxa"/>
        <w:jc w:val="left"/>
        <w:tblInd w:w="0" w:type="dxa"/>
        <w:tblLayout w:type="fixed"/>
        <w:tblCellMar>
          <w:top w:w="28" w:type="dxa"/>
          <w:left w:w="28" w:type="dxa"/>
          <w:bottom w:w="28" w:type="dxa"/>
          <w:right w:w="28" w:type="dxa"/>
        </w:tblCellMar>
      </w:tblPr>
      <w:tblGrid>
        <w:gridCol w:w="124"/>
        <w:gridCol w:w="109"/>
        <w:gridCol w:w="109"/>
        <w:gridCol w:w="257"/>
        <w:gridCol w:w="257"/>
        <w:gridCol w:w="257"/>
        <w:gridCol w:w="272"/>
        <w:gridCol w:w="272"/>
        <w:gridCol w:w="272"/>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57"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CLIENT:</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c>
          <w:tcPr>
            <w:tcW w:w="3657" w:type="dxa"/>
            <w:gridSpan w:val="9"/>
            <w:tcBorders/>
            <w:tcMar>
              <w:top w:w="0" w:type="dxa"/>
              <w:left w:w="0" w:type="dxa"/>
              <w:bottom w:w="0" w:type="dxa"/>
              <w:right w:w="0" w:type="dxa"/>
            </w:tcMar>
            <w:vAlign w:val="center"/>
          </w:tcPr>
          <w:p>
            <w:pPr>
              <w:pStyle w:val="TableContents"/>
              <w:bidi w:val="0"/>
              <w:spacing w:before="0" w:after="0"/>
              <w:ind w:left="0" w:right="0" w:hanging="1080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57"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Cytek BioSciences,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57" w:type="dxa"/>
            <w:gridSpan w:val="9"/>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88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Connie Wedel</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886" w:type="dxa"/>
            <w:gridSpan w:val="6"/>
            <w:tcBorders>
              <w:top w:val="single" w:sz="4" w:space="0" w:color="000000"/>
            </w:tcBorders>
            <w:tcMar>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Connie Wedel</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20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People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886"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57" w:type="dxa"/>
            <w:gridSpan w:val="9"/>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tbl>
      <w:tblPr>
        <w:tblW w:w="3656" w:type="dxa"/>
        <w:jc w:val="left"/>
        <w:tblInd w:w="0" w:type="dxa"/>
        <w:tblLayout w:type="fixed"/>
        <w:tblCellMar>
          <w:top w:w="28" w:type="dxa"/>
          <w:left w:w="28" w:type="dxa"/>
          <w:bottom w:w="28" w:type="dxa"/>
          <w:right w:w="28" w:type="dxa"/>
        </w:tblCellMar>
      </w:tblPr>
      <w:tblGrid>
        <w:gridCol w:w="124"/>
        <w:gridCol w:w="109"/>
        <w:gridCol w:w="109"/>
        <w:gridCol w:w="969"/>
        <w:gridCol w:w="969"/>
        <w:gridCol w:w="1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CONSULTANT:</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Valerie Barnett </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Name of Consultant (Please Print)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Valerie Barnett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Title (if applicable)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94995"/>
                <wp:effectExtent l="0" t="0" r="0" b="0"/>
                <wp:wrapNone/>
                <wp:docPr id="107" name="Frame10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A.1</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Project Assignment #A Under Consulting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July 10, 2026</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Project: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Consultant will render services to Client relating to the transitioning of Consultant’s former duties and responsibilities as the Company’s Chief Legal Officer and related legal matters, as Client may from time to time request.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Schedule Of Work: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Maximum of ten (10) hours per week.</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Fees And Reimbursement: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Cash Fee: $1,000 per hour.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Equity Fee: In connection with Consultant’s employment with the Company, Consultant was granted certain stock options and restricted stock units pursuant to the Company’s 2021 Equity Incentive Plan (the “Equity Awards”). The Equity Awards will continue to vest during the term of this Consulting Agreement, and in all cases the Equity Awards will continue to be governed by the terms and conditions of the Plan, subject to Consultant’s Continuous Service (as defined in the Plan).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Consultant will be reimbursed for third party expenses (at cost) if approved in writing in advance by Client.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Consultant will invoice Client monthly for services and expenses and will provide such reasonable receipts or other documentation of expenses as Client might request, including copies of time records.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Payment terms: Client will be invoiced on the first day of each month for services rendered and expenses incurred during the previous month.</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94995"/>
                <wp:effectExtent l="0" t="0" r="0" b="0"/>
                <wp:wrapNone/>
                <wp:docPr id="108" name="Frame10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parties have executed this Project Assignment as of the date first written above.</w:t>
      </w:r>
    </w:p>
    <w:p>
      <w:pPr>
        <w:pStyle w:val="TextBody"/>
        <w:bidi w:val="0"/>
        <w:spacing w:before="0" w:after="0"/>
        <w:jc w:val="left"/>
        <w:rPr/>
      </w:pPr>
      <w:r>
        <w:rPr/>
      </w:r>
    </w:p>
    <w:tbl>
      <w:tblPr>
        <w:tblW w:w="4422" w:type="dxa"/>
        <w:jc w:val="left"/>
        <w:tblInd w:w="0" w:type="dxa"/>
        <w:tblLayout w:type="fixed"/>
        <w:tblCellMar>
          <w:top w:w="28" w:type="dxa"/>
          <w:left w:w="28" w:type="dxa"/>
          <w:bottom w:w="28" w:type="dxa"/>
          <w:right w:w="28" w:type="dxa"/>
        </w:tblCellMar>
      </w:tblPr>
      <w:tblGrid>
        <w:gridCol w:w="124"/>
        <w:gridCol w:w="109"/>
        <w:gridCol w:w="109"/>
        <w:gridCol w:w="335"/>
        <w:gridCol w:w="335"/>
        <w:gridCol w:w="335"/>
        <w:gridCol w:w="335"/>
        <w:gridCol w:w="335"/>
        <w:gridCol w:w="335"/>
        <w:gridCol w:w="601"/>
        <w:gridCol w:w="601"/>
        <w:gridCol w:w="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08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CLIENT:</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c>
          <w:tcPr>
            <w:tcW w:w="4080" w:type="dxa"/>
            <w:gridSpan w:val="9"/>
            <w:tcBorders/>
            <w:tcMar>
              <w:top w:w="0" w:type="dxa"/>
              <w:left w:w="0" w:type="dxa"/>
              <w:bottom w:w="0" w:type="dxa"/>
              <w:right w:w="0" w:type="dxa"/>
            </w:tcMar>
            <w:vAlign w:val="center"/>
          </w:tcPr>
          <w:p>
            <w:pPr>
              <w:pStyle w:val="TableContents"/>
              <w:bidi w:val="0"/>
              <w:spacing w:before="0" w:after="0"/>
              <w:ind w:left="0" w:right="0" w:hanging="1080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080"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CYTEK BIOSCIENCES,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080" w:type="dxa"/>
            <w:gridSpan w:val="9"/>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307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Connie Wedel</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075" w:type="dxa"/>
            <w:gridSpan w:val="6"/>
            <w:tcBorders>
              <w:top w:val="single" w:sz="4" w:space="0" w:color="000000"/>
            </w:tcBorders>
            <w:tcMar>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Connie Wedel</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2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People Officer</w:t>
            </w:r>
          </w:p>
        </w:tc>
      </w:tr>
    </w:tbl>
    <w:p>
      <w:pPr>
        <w:pStyle w:val="TextBody"/>
        <w:bidi w:val="0"/>
        <w:spacing w:before="0" w:after="0"/>
        <w:jc w:val="left"/>
        <w:rPr/>
      </w:pPr>
      <w:r>
        <w:rPr/>
      </w:r>
    </w:p>
    <w:p>
      <w:pPr>
        <w:pStyle w:val="TextBody"/>
        <w:bidi w:val="0"/>
        <w:spacing w:before="0" w:after="0"/>
        <w:jc w:val="left"/>
        <w:rPr/>
      </w:pPr>
      <w:r>
        <w:rPr/>
      </w:r>
    </w:p>
    <w:tbl>
      <w:tblPr>
        <w:tblW w:w="3656" w:type="dxa"/>
        <w:jc w:val="left"/>
        <w:tblInd w:w="0" w:type="dxa"/>
        <w:tblLayout w:type="fixed"/>
        <w:tblCellMar>
          <w:top w:w="28" w:type="dxa"/>
          <w:left w:w="28" w:type="dxa"/>
          <w:bottom w:w="28" w:type="dxa"/>
          <w:right w:w="28" w:type="dxa"/>
        </w:tblCellMar>
      </w:tblPr>
      <w:tblGrid>
        <w:gridCol w:w="124"/>
        <w:gridCol w:w="109"/>
        <w:gridCol w:w="109"/>
        <w:gridCol w:w="969"/>
        <w:gridCol w:w="969"/>
        <w:gridCol w:w="1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CONSULTANT:</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ind w:left="0" w:right="0" w:hanging="1080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Valerie Barnett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Name of Consultant (Please Print)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Valerie Barnett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Title (if applicable)</w:t>
            </w:r>
          </w:p>
        </w:tc>
      </w:tr>
    </w:tbl>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94995"/>
                <wp:effectExtent l="0" t="0" r="0" b="0"/>
                <wp:wrapNone/>
                <wp:docPr id="109" name="Frame10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EMPLOYEE PROPRIETARY INVENTIONS AND INFORMATION AGREEMENT</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94995"/>
                <wp:effectExtent l="0" t="0" r="0" b="0"/>
                <wp:wrapNone/>
                <wp:docPr id="110" name="Frame11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Wenbin Jiang, Ph.D., certify that:</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Cytek Biosciences, Inc.;</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85"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936"/>
        <w:gridCol w:w="936"/>
        <w:gridCol w:w="133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val="false"/>
                <w:color w:val="000000"/>
                <w:sz w:val="20"/>
                <w:u w:val="single"/>
              </w:rPr>
              <w:t>/s/ Wenbin Jiang,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Wenbin Jiang,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51460"/>
                <wp:effectExtent l="0" t="0" r="0" b="0"/>
                <wp:wrapNone/>
                <wp:docPr id="111" name="Frame1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William McCombe, certify that:</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Cytek Biosciences, Inc.;</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6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William McCombe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McCombe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120" w:after="283"/>
        <w:ind w:left="0" w:right="0" w:firstLine="1440"/>
        <w:jc w:val="both"/>
        <w:rPr/>
      </w:pPr>
      <w:r>
        <w:rPr/>
      </w:r>
    </w:p>
    <w:p>
      <w:pPr>
        <w:pStyle w:val="TextBody"/>
        <w:bidi w:val="0"/>
        <w:spacing w:lineRule="auto" w:line="288" w:before="12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Cytek Biosciences, Inc. (the “Company”) for the period ended June 30, 2026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Exchange Act; and</w:t>
      </w:r>
    </w:p>
    <w:p>
      <w:pPr>
        <w:pStyle w:val="TextBody"/>
        <w:bidi w:val="0"/>
        <w:spacing w:lineRule="auto" w:line="288" w:before="120" w:after="283"/>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45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36"/>
        <w:gridCol w:w="936"/>
        <w:gridCol w:w="133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Wenbin Jiang,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Wenbin Jiang,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before="120" w:after="283"/>
        <w:ind w:left="0" w:right="0" w:firstLine="1440"/>
        <w:jc w:val="left"/>
        <w:rPr/>
      </w:pPr>
      <w:r>
        <w:rPr/>
      </w:r>
    </w:p>
    <w:p>
      <w:pPr>
        <w:pStyle w:val="TextBody"/>
        <w:bidi w:val="0"/>
        <w:spacing w:lineRule="auto" w:line="288" w:before="12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Cytek Biosciences, Inc. (the “Company”) for the period ended June 30, 2026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Exchange Act; and</w:t>
      </w:r>
    </w:p>
    <w:p>
      <w:pPr>
        <w:pStyle w:val="TextBody"/>
        <w:bidi w:val="0"/>
        <w:spacing w:lineRule="auto" w:line="288" w:before="12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90"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34"/>
        <w:gridCol w:w="134"/>
        <w:gridCol w:w="136"/>
        <w:gridCol w:w="374"/>
        <w:gridCol w:w="374"/>
        <w:gridCol w:w="374"/>
        <w:gridCol w:w="374"/>
        <w:gridCol w:w="374"/>
        <w:gridCol w:w="5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William McCombe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McCombe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1915/000119312521225716/d183956dex31.htm" TargetMode="External"/><Relationship Id="rId3" Type="http://schemas.openxmlformats.org/officeDocument/2006/relationships/hyperlink" Target="https://www.sec.gov/Archives/edgar/data/1831915/000119312521225716/d183956dex31.htm" TargetMode="External"/><Relationship Id="rId4" Type="http://schemas.openxmlformats.org/officeDocument/2006/relationships/hyperlink" Target="https://www.sec.gov/Archives/edgar/data/1831915/000119312521225716/d183956dex32.htm" TargetMode="External"/><Relationship Id="rId5" Type="http://schemas.openxmlformats.org/officeDocument/2006/relationships/hyperlink" Target="https://www.sec.gov/Archives/edgar/data/1831915/000119312521225716/d183956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71380</Words>
  <Characters>400129</Characters>
  <CharactersWithSpaces>469524</CharactersWithSpaces>
  <Paragraphs>3886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