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Cytek Biosciences,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47-2547526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464"/>
        <w:spacing w:after="0"/>
        <w:rPr>
          <w:sz w:val="20"/>
          <w:szCs w:val="20"/>
          <w:color w:val="auto"/>
        </w:rPr>
      </w:pPr>
      <w:r>
        <w:rPr>
          <w:rFonts w:ascii="Times New Roman" w:cs="Times New Roman" w:eastAsia="Times New Roman" w:hAnsi="Times New Roman"/>
          <w:sz w:val="18"/>
          <w:szCs w:val="18"/>
          <w:b w:val="1"/>
          <w:bCs w:val="1"/>
          <w:color w:val="auto"/>
        </w:rPr>
        <w:t>47215 Lakeview Boulevard</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Fremont, California 94538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(877) 922-9835</w:t>
      </w:r>
    </w:p>
    <w:p>
      <w:pPr>
        <w:spacing w:after="0" w:line="3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CTKB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On June 10, 2026, Cytek Biosciences, Inc. (the “Company”) held its 2026 annual meeting of stockholders (the “Annual Meeting”). Of the 129,142,587 shares of the Company’s common stock outstanding as of the close of business on the record date of April 13, 2026, 111,161,490 shares were either present at the virtual meeting or represented by proxy, constituting approximately 86.1% of the outstanding shares of common stock entitled to vote. The matters voted on at the Annual Meeting and the votes cast with respect to each such matter are set forth below:</w:t>
      </w:r>
    </w:p>
    <w:p>
      <w:pPr>
        <w:spacing w:after="0" w:line="81" w:lineRule="exact"/>
        <w:rPr>
          <w:sz w:val="20"/>
          <w:szCs w:val="20"/>
          <w:color w:val="auto"/>
        </w:rPr>
      </w:pPr>
    </w:p>
    <w:p>
      <w:pPr>
        <w:ind w:left="544" w:right="280" w:hanging="544"/>
        <w:spacing w:after="0" w:line="268"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Class II Directors. </w:t>
      </w:r>
      <w:r>
        <w:rPr>
          <w:rFonts w:ascii="Times New Roman" w:cs="Times New Roman" w:eastAsia="Times New Roman" w:hAnsi="Times New Roman"/>
          <w:sz w:val="18"/>
          <w:szCs w:val="18"/>
          <w:color w:val="auto"/>
        </w:rPr>
        <w:t>Each of the following nominees was elected to serve as a Class II director, to hold office until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2029 annual meeting of stockholders and until his or her successor has been duly elected and qualified or until his or her earlier death, resignation or removal, based on the following results of voting:</w:t>
      </w:r>
    </w:p>
    <w:p>
      <w:pPr>
        <w:spacing w:after="0" w:line="195"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1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Vera Imper, Ph.D.</w:t>
            </w:r>
          </w:p>
        </w:tc>
        <w:tc>
          <w:tcPr>
            <w:tcW w:w="3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64,769,976</w:t>
            </w:r>
          </w:p>
        </w:tc>
        <w:tc>
          <w:tcPr>
            <w:tcW w:w="1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20,723,477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25,668,037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Glenn P. Muir</w:t>
            </w:r>
          </w:p>
        </w:tc>
        <w:tc>
          <w:tcPr>
            <w:tcW w:w="31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79,599,103</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5,894,350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25,668,037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Ming Yan, Ph.D.</w:t>
            </w:r>
          </w:p>
        </w:tc>
        <w:tc>
          <w:tcPr>
            <w:tcW w:w="3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76,741,063</w:t>
            </w:r>
          </w:p>
        </w:tc>
        <w:tc>
          <w:tcPr>
            <w:tcW w:w="1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8,752,390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25,668,037</w:t>
            </w:r>
          </w:p>
        </w:tc>
      </w:tr>
    </w:tbl>
    <w:p>
      <w:pPr>
        <w:spacing w:after="0" w:line="99" w:lineRule="exact"/>
        <w:rPr>
          <w:sz w:val="20"/>
          <w:szCs w:val="20"/>
          <w:color w:val="auto"/>
        </w:rPr>
      </w:pPr>
    </w:p>
    <w:p>
      <w:pPr>
        <w:ind w:left="544" w:right="340" w:hanging="544"/>
        <w:spacing w:after="0" w:line="286"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Compensation. </w:t>
      </w:r>
      <w:r>
        <w:rPr>
          <w:rFonts w:ascii="Times New Roman" w:cs="Times New Roman" w:eastAsia="Times New Roman" w:hAnsi="Times New Roman"/>
          <w:sz w:val="18"/>
          <w:szCs w:val="18"/>
          <w:color w:val="auto"/>
        </w:rPr>
        <w:t>On a non-binding, advisory basis, the compensation paid to the Company’s named executive officers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2025 was approved based on the following results of voting:</w:t>
      </w:r>
    </w:p>
    <w:p>
      <w:pPr>
        <w:spacing w:after="0" w:line="179"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9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90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920" w:type="dxa"/>
            <w:vAlign w:val="bottom"/>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92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84,794,380</w:t>
            </w:r>
          </w:p>
        </w:tc>
        <w:tc>
          <w:tcPr>
            <w:tcW w:w="29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677,861</w:t>
            </w:r>
          </w:p>
        </w:tc>
        <w:tc>
          <w:tcPr>
            <w:tcW w:w="23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21,212</w:t>
            </w:r>
          </w:p>
        </w:tc>
        <w:tc>
          <w:tcPr>
            <w:tcW w:w="1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25,668,037</w:t>
            </w:r>
          </w:p>
        </w:tc>
      </w:tr>
    </w:tbl>
    <w:p>
      <w:pPr>
        <w:spacing w:after="0" w:line="99" w:lineRule="exact"/>
        <w:rPr>
          <w:sz w:val="20"/>
          <w:szCs w:val="20"/>
          <w:color w:val="auto"/>
        </w:rPr>
      </w:pPr>
    </w:p>
    <w:p>
      <w:pPr>
        <w:jc w:val="both"/>
        <w:ind w:left="544" w:hanging="544"/>
        <w:spacing w:after="0" w:line="317" w:lineRule="auto"/>
        <w:tabs>
          <w:tab w:leader="none" w:pos="5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Ratification of the Selection of Independent Registered Public Accounting Firm. </w:t>
      </w:r>
      <w:r>
        <w:rPr>
          <w:rFonts w:ascii="Times New Roman" w:cs="Times New Roman" w:eastAsia="Times New Roman" w:hAnsi="Times New Roman"/>
          <w:sz w:val="17"/>
          <w:szCs w:val="17"/>
          <w:color w:val="auto"/>
        </w:rPr>
        <w:t>The selection of Deloitte &amp; Touche LLP as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registered public accounting firm for the fiscal year ending December 31, 2026 was ratified based on the following results of voting:</w:t>
      </w:r>
    </w:p>
    <w:p>
      <w:pPr>
        <w:spacing w:after="0" w:line="15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98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8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920" w:type="dxa"/>
            <w:vAlign w:val="bottom"/>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98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110,533,253</w:t>
            </w:r>
          </w:p>
        </w:tc>
        <w:tc>
          <w:tcPr>
            <w:tcW w:w="28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479,883</w:t>
            </w:r>
          </w:p>
        </w:tc>
        <w:tc>
          <w:tcPr>
            <w:tcW w:w="23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148,354</w:t>
            </w:r>
          </w:p>
        </w:tc>
        <w:tc>
          <w:tcPr>
            <w:tcW w:w="192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2026-06-16T15:10:59Z</dcterms:created>
  <dcterms:modified xsi:type="dcterms:W3CDTF">2026-06-16T15:10:59Z</dcterms:modified>
</cp:coreProperties>
</file>