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-215265</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 w:lineRule="exact"/>
        <w:rPr>
          <w:sz w:val="24"/>
          <w:szCs w:val="24"/>
          <w:color w:val="auto"/>
        </w:rPr>
      </w:pPr>
    </w:p>
    <w:p>
      <w:pPr>
        <w:ind w:left="3880" w:right="1640" w:hanging="3859"/>
        <w:spacing w:after="0" w:line="265" w:lineRule="auto"/>
        <w:tabs>
          <w:tab w:leader="none" w:pos="48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31"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w:t>
      </w:r>
    </w:p>
    <w:p>
      <w:pPr>
        <w:spacing w:after="0" w:line="29" w:lineRule="exact"/>
        <w:rPr>
          <w:sz w:val="24"/>
          <w:szCs w:val="24"/>
          <w:color w:val="auto"/>
        </w:rPr>
      </w:pPr>
    </w:p>
    <w:p>
      <w:pPr>
        <w:ind w:left="500"/>
        <w:spacing w:after="0"/>
        <w:tabs>
          <w:tab w:leader="none" w:pos="394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57150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CYTEK BIOSCIENCES, INC.</w:t>
      </w:r>
    </w:p>
    <w:p>
      <w:pPr>
        <w:spacing w:after="0" w:line="3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jc w:val="center"/>
              <w:ind w:left="1066"/>
              <w:spacing w:after="0"/>
              <w:rPr>
                <w:sz w:val="20"/>
                <w:szCs w:val="20"/>
                <w:color w:val="auto"/>
              </w:rPr>
            </w:pPr>
            <w:r>
              <w:rPr>
                <w:rFonts w:ascii="Arial" w:cs="Arial" w:eastAsia="Arial" w:hAnsi="Arial"/>
                <w:sz w:val="18"/>
                <w:szCs w:val="18"/>
                <w:b w:val="1"/>
                <w:bCs w:val="1"/>
                <w:color w:val="auto"/>
                <w:w w:val="91"/>
              </w:rPr>
              <w:t>Delaware</w:t>
            </w: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500" w:type="dxa"/>
            <w:vAlign w:val="bottom"/>
          </w:tcPr>
          <w:p>
            <w:pPr>
              <w:jc w:val="right"/>
              <w:ind w:right="2306"/>
              <w:spacing w:after="0"/>
              <w:rPr>
                <w:sz w:val="20"/>
                <w:szCs w:val="20"/>
                <w:color w:val="auto"/>
              </w:rPr>
            </w:pPr>
            <w:r>
              <w:rPr>
                <w:rFonts w:ascii="Arial" w:cs="Arial" w:eastAsia="Arial" w:hAnsi="Arial"/>
                <w:sz w:val="18"/>
                <w:szCs w:val="18"/>
                <w:b w:val="1"/>
                <w:bCs w:val="1"/>
                <w:color w:val="auto"/>
              </w:rPr>
              <w:t>47-2547526</w:t>
            </w:r>
          </w:p>
        </w:tc>
        <w:tc>
          <w:tcPr>
            <w:tcW w:w="0" w:type="dxa"/>
            <w:vAlign w:val="bottom"/>
          </w:tcPr>
          <w:p>
            <w:pPr>
              <w:spacing w:after="0"/>
              <w:rPr>
                <w:sz w:val="1"/>
                <w:szCs w:val="1"/>
                <w:color w:val="auto"/>
              </w:rPr>
            </w:pPr>
          </w:p>
        </w:tc>
      </w:tr>
      <w:tr>
        <w:trPr>
          <w:trHeight w:val="148"/>
        </w:trPr>
        <w:tc>
          <w:tcPr>
            <w:tcW w:w="4500" w:type="dxa"/>
            <w:vAlign w:val="bottom"/>
            <w:gridSpan w:val="3"/>
          </w:tcPr>
          <w:p>
            <w:pPr>
              <w:jc w:val="center"/>
              <w:ind w:left="1046"/>
              <w:spacing w:after="0" w:line="148" w:lineRule="exact"/>
              <w:rPr>
                <w:sz w:val="20"/>
                <w:szCs w:val="20"/>
                <w:color w:val="auto"/>
              </w:rPr>
            </w:pPr>
            <w:r>
              <w:rPr>
                <w:rFonts w:ascii="Arial" w:cs="Arial" w:eastAsia="Arial" w:hAnsi="Arial"/>
                <w:sz w:val="13"/>
                <w:szCs w:val="13"/>
                <w:color w:val="auto"/>
                <w:w w:val="89"/>
              </w:rPr>
              <w:t>(State or other jurisdiction of</w:t>
            </w: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500" w:type="dxa"/>
            <w:vAlign w:val="bottom"/>
          </w:tcPr>
          <w:p>
            <w:pPr>
              <w:jc w:val="center"/>
              <w:ind w:right="1046"/>
              <w:spacing w:after="0" w:line="148" w:lineRule="exact"/>
              <w:rPr>
                <w:sz w:val="20"/>
                <w:szCs w:val="20"/>
                <w:color w:val="auto"/>
              </w:rPr>
            </w:pPr>
            <w:r>
              <w:rPr>
                <w:rFonts w:ascii="Arial" w:cs="Arial" w:eastAsia="Arial" w:hAnsi="Arial"/>
                <w:sz w:val="13"/>
                <w:szCs w:val="13"/>
                <w:color w:val="auto"/>
                <w:w w:val="90"/>
              </w:rPr>
              <w:t>(I.R.S. Employer</w:t>
            </w:r>
          </w:p>
        </w:tc>
        <w:tc>
          <w:tcPr>
            <w:tcW w:w="0" w:type="dxa"/>
            <w:vAlign w:val="bottom"/>
          </w:tcPr>
          <w:p>
            <w:pPr>
              <w:spacing w:after="0"/>
              <w:rPr>
                <w:sz w:val="1"/>
                <w:szCs w:val="1"/>
                <w:color w:val="auto"/>
              </w:rPr>
            </w:pPr>
          </w:p>
        </w:tc>
      </w:tr>
      <w:tr>
        <w:trPr>
          <w:trHeight w:val="158"/>
        </w:trPr>
        <w:tc>
          <w:tcPr>
            <w:tcW w:w="4500" w:type="dxa"/>
            <w:vAlign w:val="bottom"/>
            <w:gridSpan w:val="3"/>
          </w:tcPr>
          <w:p>
            <w:pPr>
              <w:jc w:val="center"/>
              <w:ind w:left="1066"/>
              <w:spacing w:after="0"/>
              <w:rPr>
                <w:sz w:val="20"/>
                <w:szCs w:val="20"/>
                <w:color w:val="auto"/>
              </w:rPr>
            </w:pPr>
            <w:r>
              <w:rPr>
                <w:rFonts w:ascii="Arial" w:cs="Arial" w:eastAsia="Arial" w:hAnsi="Arial"/>
                <w:sz w:val="13"/>
                <w:szCs w:val="13"/>
                <w:color w:val="auto"/>
                <w:w w:val="89"/>
              </w:rPr>
              <w:t>incorporation or organization)</w:t>
            </w: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500" w:type="dxa"/>
            <w:vAlign w:val="bottom"/>
          </w:tcPr>
          <w:p>
            <w:pPr>
              <w:jc w:val="center"/>
              <w:ind w:right="1046"/>
              <w:spacing w:after="0"/>
              <w:rPr>
                <w:sz w:val="20"/>
                <w:szCs w:val="20"/>
                <w:color w:val="auto"/>
              </w:rPr>
            </w:pPr>
            <w:r>
              <w:rPr>
                <w:rFonts w:ascii="Arial" w:cs="Arial" w:eastAsia="Arial" w:hAnsi="Arial"/>
                <w:sz w:val="13"/>
                <w:szCs w:val="13"/>
                <w:color w:val="auto"/>
                <w:w w:val="92"/>
              </w:rPr>
              <w:t>Identification No.)</w:t>
            </w:r>
          </w:p>
        </w:tc>
        <w:tc>
          <w:tcPr>
            <w:tcW w:w="0" w:type="dxa"/>
            <w:vAlign w:val="bottom"/>
          </w:tcPr>
          <w:p>
            <w:pPr>
              <w:spacing w:after="0"/>
              <w:rPr>
                <w:sz w:val="1"/>
                <w:szCs w:val="1"/>
                <w:color w:val="auto"/>
              </w:rPr>
            </w:pPr>
          </w:p>
        </w:tc>
      </w:tr>
      <w:tr>
        <w:trPr>
          <w:trHeight w:val="234"/>
        </w:trPr>
        <w:tc>
          <w:tcPr>
            <w:tcW w:w="4500" w:type="dxa"/>
            <w:vAlign w:val="bottom"/>
            <w:gridSpan w:val="3"/>
          </w:tcPr>
          <w:p>
            <w:pPr>
              <w:jc w:val="center"/>
              <w:ind w:left="1066"/>
              <w:spacing w:after="0"/>
              <w:rPr>
                <w:sz w:val="20"/>
                <w:szCs w:val="20"/>
                <w:color w:val="auto"/>
              </w:rPr>
            </w:pPr>
            <w:r>
              <w:rPr>
                <w:rFonts w:ascii="Arial" w:cs="Arial" w:eastAsia="Arial" w:hAnsi="Arial"/>
                <w:sz w:val="18"/>
                <w:szCs w:val="18"/>
                <w:b w:val="1"/>
                <w:bCs w:val="1"/>
                <w:color w:val="auto"/>
                <w:w w:val="92"/>
              </w:rPr>
              <w:t>47215 Lakeview Blvd. Fremont, California</w:t>
            </w: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500" w:type="dxa"/>
            <w:vAlign w:val="bottom"/>
          </w:tcPr>
          <w:p>
            <w:pPr>
              <w:jc w:val="right"/>
              <w:ind w:right="2506"/>
              <w:spacing w:after="0"/>
              <w:rPr>
                <w:sz w:val="20"/>
                <w:szCs w:val="20"/>
                <w:color w:val="auto"/>
              </w:rPr>
            </w:pPr>
            <w:r>
              <w:rPr>
                <w:rFonts w:ascii="Arial" w:cs="Arial" w:eastAsia="Arial" w:hAnsi="Arial"/>
                <w:sz w:val="18"/>
                <w:szCs w:val="18"/>
                <w:b w:val="1"/>
                <w:bCs w:val="1"/>
                <w:color w:val="auto"/>
              </w:rPr>
              <w:t>94538</w:t>
            </w:r>
          </w:p>
        </w:tc>
        <w:tc>
          <w:tcPr>
            <w:tcW w:w="0" w:type="dxa"/>
            <w:vAlign w:val="bottom"/>
          </w:tcPr>
          <w:p>
            <w:pPr>
              <w:spacing w:after="0"/>
              <w:rPr>
                <w:sz w:val="1"/>
                <w:szCs w:val="1"/>
                <w:color w:val="auto"/>
              </w:rPr>
            </w:pPr>
          </w:p>
        </w:tc>
      </w:tr>
      <w:tr>
        <w:trPr>
          <w:trHeight w:val="157"/>
        </w:trPr>
        <w:tc>
          <w:tcPr>
            <w:tcW w:w="4500" w:type="dxa"/>
            <w:vAlign w:val="bottom"/>
            <w:gridSpan w:val="3"/>
          </w:tcPr>
          <w:p>
            <w:pPr>
              <w:jc w:val="center"/>
              <w:ind w:left="1066"/>
              <w:spacing w:after="0"/>
              <w:rPr>
                <w:sz w:val="20"/>
                <w:szCs w:val="20"/>
                <w:color w:val="auto"/>
              </w:rPr>
            </w:pPr>
            <w:r>
              <w:rPr>
                <w:rFonts w:ascii="Arial" w:cs="Arial" w:eastAsia="Arial" w:hAnsi="Arial"/>
                <w:sz w:val="13"/>
                <w:szCs w:val="13"/>
                <w:color w:val="auto"/>
                <w:w w:val="89"/>
              </w:rPr>
              <w:t>(Address of principal executive offices)</w:t>
            </w: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500" w:type="dxa"/>
            <w:vAlign w:val="bottom"/>
          </w:tcPr>
          <w:p>
            <w:pPr>
              <w:jc w:val="center"/>
              <w:ind w:right="1026"/>
              <w:spacing w:after="0"/>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234"/>
        </w:trPr>
        <w:tc>
          <w:tcPr>
            <w:tcW w:w="11240" w:type="dxa"/>
            <w:vAlign w:val="bottom"/>
            <w:gridSpan w:val="7"/>
          </w:tcPr>
          <w:p>
            <w:pPr>
              <w:ind w:left="354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7"/>
                <w:szCs w:val="17"/>
                <w:b w:val="1"/>
                <w:bCs w:val="1"/>
                <w:color w:val="auto"/>
              </w:rPr>
              <w:t>(877) 922-9835</w:t>
            </w:r>
          </w:p>
        </w:tc>
        <w:tc>
          <w:tcPr>
            <w:tcW w:w="0" w:type="dxa"/>
            <w:vAlign w:val="bottom"/>
          </w:tcPr>
          <w:p>
            <w:pPr>
              <w:spacing w:after="0"/>
              <w:rPr>
                <w:sz w:val="1"/>
                <w:szCs w:val="1"/>
                <w:color w:val="auto"/>
              </w:rPr>
            </w:pPr>
          </w:p>
        </w:tc>
      </w:tr>
      <w:tr>
        <w:trPr>
          <w:trHeight w:val="67"/>
        </w:trPr>
        <w:tc>
          <w:tcPr>
            <w:tcW w:w="4500" w:type="dxa"/>
            <w:vAlign w:val="bottom"/>
            <w:gridSpan w:val="3"/>
            <w:vMerge w:val="restart"/>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5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500" w:type="dxa"/>
            <w:vAlign w:val="bottom"/>
            <w:gridSpan w:val="3"/>
            <w:vMerge w:val="continue"/>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500" w:type="dxa"/>
            <w:vAlign w:val="bottom"/>
            <w:gridSpan w:val="3"/>
          </w:tcPr>
          <w:p>
            <w:pPr>
              <w:ind w:left="1620"/>
              <w:spacing w:after="0"/>
              <w:rPr>
                <w:sz w:val="20"/>
                <w:szCs w:val="20"/>
                <w:color w:val="auto"/>
              </w:rPr>
            </w:pPr>
            <w:r>
              <w:rPr>
                <w:rFonts w:ascii="Arial" w:cs="Arial" w:eastAsia="Arial" w:hAnsi="Arial"/>
                <w:sz w:val="14"/>
                <w:szCs w:val="14"/>
                <w:color w:val="auto"/>
              </w:rPr>
              <w:t>Title of each class</w:t>
            </w:r>
          </w:p>
        </w:tc>
        <w:tc>
          <w:tcPr>
            <w:tcW w:w="2240" w:type="dxa"/>
            <w:vAlign w:val="bottom"/>
            <w:gridSpan w:val="3"/>
          </w:tcPr>
          <w:p>
            <w:pPr>
              <w:jc w:val="center"/>
              <w:ind w:right="760"/>
              <w:spacing w:after="0"/>
              <w:rPr>
                <w:sz w:val="20"/>
                <w:szCs w:val="20"/>
                <w:color w:val="auto"/>
              </w:rPr>
            </w:pPr>
            <w:r>
              <w:rPr>
                <w:rFonts w:ascii="Arial" w:cs="Arial" w:eastAsia="Arial" w:hAnsi="Arial"/>
                <w:sz w:val="14"/>
                <w:szCs w:val="14"/>
                <w:color w:val="auto"/>
                <w:w w:val="94"/>
              </w:rPr>
              <w:t>Trading Symbol(s)</w:t>
            </w:r>
          </w:p>
        </w:tc>
        <w:tc>
          <w:tcPr>
            <w:tcW w:w="4500" w:type="dxa"/>
            <w:vAlign w:val="bottom"/>
          </w:tcPr>
          <w:p>
            <w:pPr>
              <w:jc w:val="center"/>
              <w:ind w:right="446"/>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192"/>
        </w:trPr>
        <w:tc>
          <w:tcPr>
            <w:tcW w:w="4240" w:type="dxa"/>
            <w:vAlign w:val="bottom"/>
            <w:tcBorders>
              <w:top w:val="single" w:sz="8" w:color="auto"/>
            </w:tcBorders>
          </w:tcPr>
          <w:p>
            <w:pPr>
              <w:ind w:left="60"/>
              <w:spacing w:after="0"/>
              <w:rPr>
                <w:sz w:val="20"/>
                <w:szCs w:val="20"/>
                <w:color w:val="auto"/>
              </w:rPr>
            </w:pPr>
            <w:r>
              <w:rPr>
                <w:rFonts w:ascii="Arial" w:cs="Arial" w:eastAsia="Arial" w:hAnsi="Arial"/>
                <w:sz w:val="15"/>
                <w:szCs w:val="15"/>
                <w:b w:val="1"/>
                <w:bCs w:val="1"/>
                <w:color w:val="auto"/>
              </w:rPr>
              <w:t>Common Stock, par value $0.001 per share</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CTKB</w:t>
            </w:r>
          </w:p>
        </w:tc>
        <w:tc>
          <w:tcPr>
            <w:tcW w:w="14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500" w:type="dxa"/>
            <w:vAlign w:val="bottom"/>
            <w:tcBorders>
              <w:top w:val="single" w:sz="8" w:color="auto"/>
            </w:tcBorders>
          </w:tcPr>
          <w:p>
            <w:pPr>
              <w:jc w:val="center"/>
              <w:ind w:right="486"/>
              <w:spacing w:after="0"/>
              <w:rPr>
                <w:sz w:val="20"/>
                <w:szCs w:val="20"/>
                <w:color w:val="auto"/>
              </w:rPr>
            </w:pPr>
            <w:r>
              <w:rPr>
                <w:rFonts w:ascii="Arial" w:cs="Arial" w:eastAsia="Arial" w:hAnsi="Arial"/>
                <w:sz w:val="15"/>
                <w:szCs w:val="15"/>
                <w:b w:val="1"/>
                <w:bCs w:val="1"/>
                <w:color w:val="auto"/>
                <w:w w:val="93"/>
              </w:rPr>
              <w:t>The Nasdaq Global Select Market</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right="140"/>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80"/>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20" w:type="dxa"/>
        <w:tblCellMar>
          <w:top w:w="0" w:type="dxa"/>
          <w:left w:w="0" w:type="dxa"/>
          <w:bottom w:w="0" w:type="dxa"/>
          <w:right w:w="0" w:type="dxa"/>
        </w:tblCellMar>
      </w:tblPr>
      <w:tr>
        <w:trPr>
          <w:trHeight w:val="259"/>
        </w:trPr>
        <w:tc>
          <w:tcPr>
            <w:tcW w:w="19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080"/>
              <w:spacing w:after="0"/>
              <w:rPr>
                <w:sz w:val="20"/>
                <w:szCs w:val="20"/>
                <w:color w:val="auto"/>
              </w:rPr>
            </w:pPr>
            <w:r>
              <w:rPr>
                <w:rFonts w:ascii="Arial" w:cs="Arial" w:eastAsia="Arial" w:hAnsi="Arial"/>
                <w:sz w:val="15"/>
                <w:szCs w:val="15"/>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980" w:type="dxa"/>
            <w:vAlign w:val="bottom"/>
          </w:tcPr>
          <w:p>
            <w:pPr>
              <w:spacing w:after="0"/>
              <w:rPr>
                <w:sz w:val="20"/>
                <w:szCs w:val="20"/>
                <w:color w:val="auto"/>
              </w:rPr>
            </w:pPr>
            <w:r>
              <w:rPr>
                <w:rFonts w:ascii="Arial" w:cs="Arial" w:eastAsia="Arial" w:hAnsi="Arial"/>
                <w:sz w:val="15"/>
                <w:szCs w:val="15"/>
                <w:color w:val="auto"/>
              </w:rPr>
              <w:t>Non-accelerated filer</w:t>
            </w:r>
          </w:p>
        </w:tc>
        <w:tc>
          <w:tcPr>
            <w:tcW w:w="352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ind w:left="3080"/>
              <w:spacing w:after="0"/>
              <w:rPr>
                <w:sz w:val="20"/>
                <w:szCs w:val="20"/>
                <w:color w:val="auto"/>
              </w:rPr>
            </w:pPr>
            <w:r>
              <w:rPr>
                <w:rFonts w:ascii="Arial" w:cs="Arial" w:eastAsia="Arial" w:hAnsi="Arial"/>
                <w:sz w:val="15"/>
                <w:szCs w:val="15"/>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98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2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33" w:lineRule="exact"/>
        <w:rPr>
          <w:sz w:val="24"/>
          <w:szCs w:val="24"/>
          <w:color w:val="auto"/>
        </w:rPr>
      </w:pPr>
    </w:p>
    <w:p>
      <w:pPr>
        <w:ind w:right="520"/>
        <w:spacing w:after="0" w:line="17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3740"/>
        <w:spacing w:after="0" w:line="16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number of shares of Registrant’s Common Stock outstanding as of July 31, 2023 was 136,360,208.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441325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w:t>
            </w:r>
          </w:p>
        </w:tc>
        <w:tc>
          <w:tcPr>
            <w:tcW w:w="9260" w:type="dxa"/>
            <w:vAlign w:val="bottom"/>
            <w:gridSpan w:val="14"/>
          </w:tcPr>
          <w:p>
            <w:pPr>
              <w:spacing w:after="0"/>
              <w:rPr>
                <w:sz w:val="20"/>
                <w:szCs w:val="20"/>
                <w:color w:val="auto"/>
              </w:rPr>
            </w:pPr>
            <w:r>
              <w:rPr>
                <w:rFonts w:ascii="Arial" w:cs="Arial" w:eastAsia="Arial" w:hAnsi="Arial"/>
                <w:sz w:val="18"/>
                <w:szCs w:val="18"/>
                <w:color w:val="auto"/>
              </w:rPr>
              <w:t>FINANCIAL INFORMATION</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8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Item 1.</w:t>
            </w:r>
          </w:p>
        </w:tc>
        <w:tc>
          <w:tcPr>
            <w:tcW w:w="9260" w:type="dxa"/>
            <w:vAlign w:val="bottom"/>
            <w:gridSpan w:val="14"/>
          </w:tcPr>
          <w:p>
            <w:pPr>
              <w:spacing w:after="0" w:line="202" w:lineRule="exact"/>
              <w:rPr>
                <w:sz w:val="20"/>
                <w:szCs w:val="20"/>
                <w:color w:val="auto"/>
              </w:rPr>
            </w:pPr>
            <w:r>
              <w:rPr>
                <w:rFonts w:ascii="Arial" w:cs="Arial" w:eastAsia="Arial" w:hAnsi="Arial"/>
                <w:sz w:val="18"/>
                <w:szCs w:val="18"/>
                <w:color w:val="0000FF"/>
              </w:rPr>
              <w:t>Consolidated Financial Statements (Unaudited)</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60" w:type="dxa"/>
            <w:vAlign w:val="bottom"/>
            <w:gridSpan w:val="14"/>
          </w:tcPr>
          <w:p>
            <w:pPr>
              <w:spacing w:after="0"/>
              <w:rPr>
                <w:sz w:val="20"/>
                <w:szCs w:val="20"/>
                <w:color w:val="auto"/>
              </w:rPr>
            </w:pPr>
            <w:r>
              <w:rPr>
                <w:rFonts w:ascii="Arial" w:cs="Arial" w:eastAsia="Arial" w:hAnsi="Arial"/>
                <w:sz w:val="18"/>
                <w:szCs w:val="18"/>
                <w:color w:val="0000FF"/>
              </w:rPr>
              <w:t>Consolidated Balance Sheets</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60" w:type="dxa"/>
            <w:vAlign w:val="bottom"/>
            <w:gridSpan w:val="14"/>
          </w:tcPr>
          <w:p>
            <w:pPr>
              <w:spacing w:after="0"/>
              <w:rPr>
                <w:sz w:val="20"/>
                <w:szCs w:val="20"/>
                <w:color w:val="auto"/>
              </w:rPr>
            </w:pPr>
            <w:r>
              <w:rPr>
                <w:rFonts w:ascii="Arial" w:cs="Arial" w:eastAsia="Arial" w:hAnsi="Arial"/>
                <w:sz w:val="18"/>
                <w:szCs w:val="18"/>
                <w:color w:val="0000FF"/>
              </w:rPr>
              <w:t>Consolidated Statements of Operations and Comprehensive Loss</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60" w:type="dxa"/>
            <w:vAlign w:val="bottom"/>
            <w:gridSpan w:val="14"/>
          </w:tcPr>
          <w:p>
            <w:pPr>
              <w:spacing w:after="0"/>
              <w:rPr>
                <w:sz w:val="20"/>
                <w:szCs w:val="20"/>
                <w:color w:val="auto"/>
              </w:rPr>
            </w:pPr>
            <w:r>
              <w:rPr>
                <w:rFonts w:ascii="Arial" w:cs="Arial" w:eastAsia="Arial" w:hAnsi="Arial"/>
                <w:sz w:val="18"/>
                <w:szCs w:val="18"/>
                <w:color w:val="0000FF"/>
              </w:rPr>
              <w:t>Consolidated Statements of Stockholders' Equity</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60" w:type="dxa"/>
            <w:vAlign w:val="bottom"/>
            <w:gridSpan w:val="14"/>
          </w:tcPr>
          <w:p>
            <w:pPr>
              <w:spacing w:after="0"/>
              <w:rPr>
                <w:sz w:val="20"/>
                <w:szCs w:val="20"/>
                <w:color w:val="auto"/>
              </w:rPr>
            </w:pPr>
            <w:r>
              <w:rPr>
                <w:rFonts w:ascii="Arial" w:cs="Arial" w:eastAsia="Arial" w:hAnsi="Arial"/>
                <w:sz w:val="18"/>
                <w:szCs w:val="18"/>
                <w:color w:val="0000FF"/>
              </w:rPr>
              <w:t>Consolidated Statements of Cash Flows</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60" w:type="dxa"/>
            <w:vAlign w:val="bottom"/>
            <w:gridSpan w:val="14"/>
          </w:tcPr>
          <w:p>
            <w:pPr>
              <w:spacing w:after="0"/>
              <w:rPr>
                <w:sz w:val="20"/>
                <w:szCs w:val="20"/>
                <w:color w:val="auto"/>
              </w:rPr>
            </w:pPr>
            <w:r>
              <w:rPr>
                <w:rFonts w:ascii="Arial" w:cs="Arial" w:eastAsia="Arial" w:hAnsi="Arial"/>
                <w:sz w:val="18"/>
                <w:szCs w:val="18"/>
                <w:color w:val="0000FF"/>
              </w:rPr>
              <w:t>Notes to Consolidated Financial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140"/>
              <w:spacing w:after="0"/>
              <w:rPr>
                <w:sz w:val="20"/>
                <w:szCs w:val="20"/>
                <w:color w:val="auto"/>
              </w:rPr>
            </w:pPr>
            <w:r>
              <w:rPr>
                <w:rFonts w:ascii="Arial" w:cs="Arial" w:eastAsia="Arial" w:hAnsi="Arial"/>
                <w:sz w:val="18"/>
                <w:szCs w:val="18"/>
                <w:color w:val="auto"/>
              </w:rPr>
              <w:t>Item 2.</w:t>
            </w:r>
          </w:p>
        </w:tc>
        <w:tc>
          <w:tcPr>
            <w:tcW w:w="9260" w:type="dxa"/>
            <w:vAlign w:val="bottom"/>
            <w:gridSpan w:val="14"/>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140"/>
              <w:spacing w:after="0"/>
              <w:rPr>
                <w:sz w:val="20"/>
                <w:szCs w:val="20"/>
                <w:color w:val="auto"/>
              </w:rPr>
            </w:pPr>
            <w:r>
              <w:rPr>
                <w:rFonts w:ascii="Arial" w:cs="Arial" w:eastAsia="Arial" w:hAnsi="Arial"/>
                <w:sz w:val="18"/>
                <w:szCs w:val="18"/>
                <w:color w:val="auto"/>
              </w:rPr>
              <w:t>Item 3.</w:t>
            </w:r>
          </w:p>
        </w:tc>
        <w:tc>
          <w:tcPr>
            <w:tcW w:w="9260" w:type="dxa"/>
            <w:vAlign w:val="bottom"/>
            <w:gridSpan w:val="14"/>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20" w:type="dxa"/>
            <w:vAlign w:val="bottom"/>
            <w:tcBorders>
              <w:left w:val="single" w:sz="8" w:color="0000FF"/>
            </w:tcBorders>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3"/>
          </w:tcPr>
          <w:p>
            <w:pPr>
              <w:ind w:left="140"/>
              <w:spacing w:after="0"/>
              <w:rPr>
                <w:sz w:val="20"/>
                <w:szCs w:val="20"/>
                <w:color w:val="auto"/>
              </w:rPr>
            </w:pPr>
            <w:r>
              <w:rPr>
                <w:rFonts w:ascii="Arial" w:cs="Arial" w:eastAsia="Arial" w:hAnsi="Arial"/>
                <w:sz w:val="18"/>
                <w:szCs w:val="18"/>
                <w:color w:val="auto"/>
              </w:rPr>
              <w:t>Item 4.</w:t>
            </w:r>
          </w:p>
        </w:tc>
        <w:tc>
          <w:tcPr>
            <w:tcW w:w="9260" w:type="dxa"/>
            <w:vAlign w:val="bottom"/>
            <w:gridSpan w:val="14"/>
          </w:tcPr>
          <w:p>
            <w:pPr>
              <w:spacing w:after="0"/>
              <w:rPr>
                <w:sz w:val="20"/>
                <w:szCs w:val="20"/>
                <w:color w:val="auto"/>
              </w:rPr>
            </w:pPr>
            <w:r>
              <w:rPr>
                <w:rFonts w:ascii="Arial" w:cs="Arial" w:eastAsia="Arial" w:hAnsi="Arial"/>
                <w:sz w:val="18"/>
                <w:szCs w:val="18"/>
                <w:color w:val="0000FF"/>
              </w:rPr>
              <w:t>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11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180" w:type="dxa"/>
            <w:vAlign w:val="bottom"/>
            <w:gridSpan w:val="3"/>
            <w:vMerge w:val="continue"/>
          </w:tcPr>
          <w:p>
            <w:pPr>
              <w:spacing w:after="0"/>
              <w:rPr>
                <w:sz w:val="24"/>
                <w:szCs w:val="24"/>
                <w:color w:val="auto"/>
              </w:rPr>
            </w:pPr>
          </w:p>
        </w:tc>
        <w:tc>
          <w:tcPr>
            <w:tcW w:w="9260" w:type="dxa"/>
            <w:vAlign w:val="bottom"/>
            <w:gridSpan w:val="14"/>
          </w:tcPr>
          <w:p>
            <w:pPr>
              <w:spacing w:after="0"/>
              <w:rPr>
                <w:sz w:val="20"/>
                <w:szCs w:val="20"/>
                <w:color w:val="auto"/>
              </w:rPr>
            </w:pPr>
            <w:r>
              <w:rPr>
                <w:rFonts w:ascii="Arial" w:cs="Arial" w:eastAsia="Arial" w:hAnsi="Arial"/>
                <w:sz w:val="18"/>
                <w:szCs w:val="18"/>
                <w:color w:val="auto"/>
              </w:rPr>
              <w:t>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8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Item 1.</w:t>
            </w:r>
          </w:p>
        </w:tc>
        <w:tc>
          <w:tcPr>
            <w:tcW w:w="9260" w:type="dxa"/>
            <w:vAlign w:val="bottom"/>
            <w:gridSpan w:val="14"/>
          </w:tcPr>
          <w:p>
            <w:pPr>
              <w:spacing w:after="0" w:line="202" w:lineRule="exact"/>
              <w:rPr>
                <w:sz w:val="20"/>
                <w:szCs w:val="20"/>
                <w:color w:val="auto"/>
              </w:rPr>
            </w:pPr>
            <w:r>
              <w:rPr>
                <w:rFonts w:ascii="Arial" w:cs="Arial" w:eastAsia="Arial" w:hAnsi="Arial"/>
                <w:sz w:val="18"/>
                <w:szCs w:val="18"/>
                <w:color w:val="0000FF"/>
              </w:rPr>
              <w:t>Legal Proceedings</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140"/>
              <w:spacing w:after="0"/>
              <w:rPr>
                <w:sz w:val="20"/>
                <w:szCs w:val="20"/>
                <w:color w:val="auto"/>
              </w:rPr>
            </w:pPr>
            <w:r>
              <w:rPr>
                <w:rFonts w:ascii="Arial" w:cs="Arial" w:eastAsia="Arial" w:hAnsi="Arial"/>
                <w:sz w:val="18"/>
                <w:szCs w:val="18"/>
                <w:color w:val="auto"/>
              </w:rPr>
              <w:t>Item 1A.</w:t>
            </w:r>
          </w:p>
        </w:tc>
        <w:tc>
          <w:tcPr>
            <w:tcW w:w="9260" w:type="dxa"/>
            <w:vAlign w:val="bottom"/>
            <w:gridSpan w:val="14"/>
          </w:tcPr>
          <w:p>
            <w:pPr>
              <w:spacing w:after="0"/>
              <w:rPr>
                <w:sz w:val="20"/>
                <w:szCs w:val="20"/>
                <w:color w:val="auto"/>
              </w:rPr>
            </w:pPr>
            <w:r>
              <w:rPr>
                <w:rFonts w:ascii="Arial" w:cs="Arial" w:eastAsia="Arial" w:hAnsi="Arial"/>
                <w:sz w:val="18"/>
                <w:szCs w:val="18"/>
                <w:color w:val="0000FF"/>
              </w:rPr>
              <w:t>Risk Factors</w:t>
            </w: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140"/>
              <w:spacing w:after="0"/>
              <w:rPr>
                <w:sz w:val="20"/>
                <w:szCs w:val="20"/>
                <w:color w:val="auto"/>
              </w:rPr>
            </w:pPr>
            <w:r>
              <w:rPr>
                <w:rFonts w:ascii="Arial" w:cs="Arial" w:eastAsia="Arial" w:hAnsi="Arial"/>
                <w:sz w:val="18"/>
                <w:szCs w:val="18"/>
                <w:color w:val="auto"/>
              </w:rPr>
              <w:t>Item 2.</w:t>
            </w:r>
          </w:p>
        </w:tc>
        <w:tc>
          <w:tcPr>
            <w:tcW w:w="9260" w:type="dxa"/>
            <w:vAlign w:val="bottom"/>
            <w:gridSpan w:val="14"/>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140"/>
              <w:spacing w:after="0"/>
              <w:rPr>
                <w:sz w:val="20"/>
                <w:szCs w:val="20"/>
                <w:color w:val="auto"/>
              </w:rPr>
            </w:pPr>
            <w:r>
              <w:rPr>
                <w:rFonts w:ascii="Arial" w:cs="Arial" w:eastAsia="Arial" w:hAnsi="Arial"/>
                <w:sz w:val="18"/>
                <w:szCs w:val="18"/>
                <w:color w:val="auto"/>
              </w:rPr>
              <w:t>Item 3.</w:t>
            </w:r>
          </w:p>
        </w:tc>
        <w:tc>
          <w:tcPr>
            <w:tcW w:w="9260" w:type="dxa"/>
            <w:vAlign w:val="bottom"/>
            <w:gridSpan w:val="14"/>
          </w:tcPr>
          <w:p>
            <w:pPr>
              <w:spacing w:after="0"/>
              <w:rPr>
                <w:sz w:val="20"/>
                <w:szCs w:val="20"/>
                <w:color w:val="auto"/>
              </w:rPr>
            </w:pPr>
            <w:r>
              <w:rPr>
                <w:rFonts w:ascii="Arial" w:cs="Arial" w:eastAsia="Arial" w:hAnsi="Arial"/>
                <w:sz w:val="18"/>
                <w:szCs w:val="18"/>
                <w:color w:val="0000FF"/>
              </w:rPr>
              <w:t>Defaults Upon Senior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94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140"/>
              <w:spacing w:after="0"/>
              <w:rPr>
                <w:sz w:val="20"/>
                <w:szCs w:val="20"/>
                <w:color w:val="auto"/>
              </w:rPr>
            </w:pPr>
            <w:r>
              <w:rPr>
                <w:rFonts w:ascii="Arial" w:cs="Arial" w:eastAsia="Arial" w:hAnsi="Arial"/>
                <w:sz w:val="18"/>
                <w:szCs w:val="18"/>
                <w:color w:val="auto"/>
              </w:rPr>
              <w:t>Item 4.</w:t>
            </w:r>
          </w:p>
        </w:tc>
        <w:tc>
          <w:tcPr>
            <w:tcW w:w="9260" w:type="dxa"/>
            <w:vAlign w:val="bottom"/>
            <w:gridSpan w:val="14"/>
          </w:tcPr>
          <w:p>
            <w:pPr>
              <w:spacing w:after="0"/>
              <w:rPr>
                <w:sz w:val="20"/>
                <w:szCs w:val="20"/>
                <w:color w:val="auto"/>
              </w:rPr>
            </w:pPr>
            <w:r>
              <w:rPr>
                <w:rFonts w:ascii="Arial" w:cs="Arial" w:eastAsia="Arial" w:hAnsi="Arial"/>
                <w:sz w:val="18"/>
                <w:szCs w:val="18"/>
                <w:color w:val="0000FF"/>
              </w:rPr>
              <w:t>Mine Safety Disclosures</w:t>
            </w: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0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140"/>
              <w:spacing w:after="0"/>
              <w:rPr>
                <w:sz w:val="20"/>
                <w:szCs w:val="20"/>
                <w:color w:val="auto"/>
              </w:rPr>
            </w:pPr>
            <w:r>
              <w:rPr>
                <w:rFonts w:ascii="Arial" w:cs="Arial" w:eastAsia="Arial" w:hAnsi="Arial"/>
                <w:sz w:val="18"/>
                <w:szCs w:val="18"/>
                <w:color w:val="auto"/>
              </w:rPr>
              <w:t>Item 5.</w:t>
            </w:r>
          </w:p>
        </w:tc>
        <w:tc>
          <w:tcPr>
            <w:tcW w:w="9260" w:type="dxa"/>
            <w:vAlign w:val="bottom"/>
            <w:gridSpan w:val="14"/>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96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140"/>
              <w:spacing w:after="0"/>
              <w:rPr>
                <w:sz w:val="20"/>
                <w:szCs w:val="20"/>
                <w:color w:val="auto"/>
              </w:rPr>
            </w:pPr>
            <w:r>
              <w:rPr>
                <w:rFonts w:ascii="Arial" w:cs="Arial" w:eastAsia="Arial" w:hAnsi="Arial"/>
                <w:sz w:val="18"/>
                <w:szCs w:val="18"/>
                <w:color w:val="auto"/>
              </w:rPr>
              <w:t>Item 6.</w:t>
            </w:r>
          </w:p>
        </w:tc>
        <w:tc>
          <w:tcPr>
            <w:tcW w:w="9260" w:type="dxa"/>
            <w:vAlign w:val="bottom"/>
            <w:gridSpan w:val="14"/>
          </w:tcPr>
          <w:p>
            <w:pPr>
              <w:spacing w:after="0"/>
              <w:rPr>
                <w:sz w:val="20"/>
                <w:szCs w:val="20"/>
                <w:color w:val="auto"/>
              </w:rPr>
            </w:pPr>
            <w:r>
              <w:rPr>
                <w:rFonts w:ascii="Arial" w:cs="Arial" w:eastAsia="Arial" w:hAnsi="Arial"/>
                <w:sz w:val="18"/>
                <w:szCs w:val="18"/>
                <w:color w:val="0000FF"/>
              </w:rPr>
              <w:t>Exhibits</w:t>
            </w: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1180" w:type="dxa"/>
            <w:vAlign w:val="bottom"/>
            <w:gridSpan w:val="3"/>
          </w:tcPr>
          <w:p>
            <w:pPr>
              <w:ind w:left="140"/>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615"/>
        </w:trPr>
        <w:tc>
          <w:tcPr>
            <w:tcW w:w="14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680" w:type="dxa"/>
            <w:vAlign w:val="bottom"/>
            <w:gridSpan w:val="12"/>
          </w:tcPr>
          <w:p>
            <w:pPr>
              <w:ind w:left="4400"/>
              <w:spacing w:after="0"/>
              <w:rPr>
                <w:sz w:val="20"/>
                <w:szCs w:val="20"/>
                <w:color w:val="auto"/>
              </w:rPr>
            </w:pPr>
            <w:r>
              <w:rPr>
                <w:rFonts w:ascii="Arial" w:cs="Arial" w:eastAsia="Arial" w:hAnsi="Arial"/>
                <w:sz w:val="18"/>
                <w:szCs w:val="18"/>
                <w:color w:val="auto"/>
              </w:rPr>
              <w:t>1</w:t>
            </w:r>
          </w:p>
        </w:tc>
        <w:tc>
          <w:tcPr>
            <w:tcW w:w="17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left="4060"/>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6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Cytek Biosciences,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Consolidated Balance Sheets</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292"/>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ind w:right="25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70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w w:val="89"/>
              </w:rPr>
              <w:t>2023</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69"/>
        </w:trPr>
        <w:tc>
          <w:tcPr>
            <w:tcW w:w="7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292"/>
              <w:spacing w:after="0"/>
              <w:rPr>
                <w:sz w:val="20"/>
                <w:szCs w:val="20"/>
                <w:color w:val="auto"/>
              </w:rPr>
            </w:pPr>
            <w:r>
              <w:rPr>
                <w:rFonts w:ascii="Arial" w:cs="Arial" w:eastAsia="Arial" w:hAnsi="Arial"/>
                <w:sz w:val="14"/>
                <w:szCs w:val="14"/>
                <w:b w:val="1"/>
                <w:bCs w:val="1"/>
                <w:i w:val="1"/>
                <w:iCs w:val="1"/>
                <w:color w:val="auto"/>
                <w:w w:val="89"/>
              </w:rPr>
              <w:t>(unaudited)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ind w:right="252"/>
              <w:spacing w:after="0"/>
              <w:rPr>
                <w:sz w:val="20"/>
                <w:szCs w:val="20"/>
                <w:color w:val="auto"/>
              </w:rPr>
            </w:pPr>
            <w:r>
              <w:rPr>
                <w:rFonts w:ascii="Arial" w:cs="Arial" w:eastAsia="Arial" w:hAnsi="Arial"/>
                <w:sz w:val="14"/>
                <w:szCs w:val="14"/>
                <w:b w:val="1"/>
                <w:bCs w:val="1"/>
                <w:i w:val="1"/>
                <w:iCs w:val="1"/>
                <w:color w:val="auto"/>
                <w:w w:val="87"/>
              </w:rPr>
              <w:t>(audited)</w:t>
            </w:r>
          </w:p>
        </w:tc>
        <w:tc>
          <w:tcPr>
            <w:tcW w:w="0" w:type="dxa"/>
            <w:vAlign w:val="bottom"/>
          </w:tcPr>
          <w:p>
            <w:pPr>
              <w:spacing w:after="0"/>
              <w:rPr>
                <w:sz w:val="1"/>
                <w:szCs w:val="1"/>
                <w:color w:val="auto"/>
              </w:rPr>
            </w:pPr>
          </w:p>
        </w:tc>
      </w:tr>
      <w:tr>
        <w:trPr>
          <w:trHeight w:val="243"/>
        </w:trPr>
        <w:tc>
          <w:tcPr>
            <w:tcW w:w="7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131,544</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296,601</w:t>
            </w:r>
          </w:p>
        </w:tc>
        <w:tc>
          <w:tcPr>
            <w:tcW w:w="0" w:type="dxa"/>
            <w:vAlign w:val="bottom"/>
          </w:tcPr>
          <w:p>
            <w:pPr>
              <w:spacing w:after="0"/>
              <w:rPr>
                <w:sz w:val="1"/>
                <w:szCs w:val="1"/>
                <w:color w:val="auto"/>
              </w:rPr>
            </w:pPr>
          </w:p>
        </w:tc>
      </w:tr>
      <w:tr>
        <w:trPr>
          <w:trHeight w:val="237"/>
        </w:trPr>
        <w:tc>
          <w:tcPr>
            <w:tcW w:w="702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49"/>
        </w:trPr>
        <w:tc>
          <w:tcPr>
            <w:tcW w:w="7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167,294</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44,548</w:t>
            </w:r>
          </w:p>
        </w:tc>
        <w:tc>
          <w:tcPr>
            <w:tcW w:w="0" w:type="dxa"/>
            <w:vAlign w:val="bottom"/>
          </w:tcPr>
          <w:p>
            <w:pPr>
              <w:spacing w:after="0"/>
              <w:rPr>
                <w:sz w:val="1"/>
                <w:szCs w:val="1"/>
                <w:color w:val="auto"/>
              </w:rPr>
            </w:pPr>
          </w:p>
        </w:tc>
      </w:tr>
      <w:tr>
        <w:trPr>
          <w:trHeight w:val="237"/>
        </w:trPr>
        <w:tc>
          <w:tcPr>
            <w:tcW w:w="7020" w:type="dxa"/>
            <w:vAlign w:val="bottom"/>
          </w:tcPr>
          <w:p>
            <w:pPr>
              <w:ind w:left="180"/>
              <w:spacing w:after="0"/>
              <w:rPr>
                <w:sz w:val="20"/>
                <w:szCs w:val="20"/>
                <w:color w:val="auto"/>
              </w:rPr>
            </w:pPr>
            <w:r>
              <w:rPr>
                <w:rFonts w:ascii="Arial" w:cs="Arial" w:eastAsia="Arial" w:hAnsi="Arial"/>
                <w:sz w:val="18"/>
                <w:szCs w:val="18"/>
                <w:color w:val="auto"/>
              </w:rPr>
              <w:t>Trade accounts receivable, net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49,624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48,864</w:t>
            </w:r>
          </w:p>
        </w:tc>
        <w:tc>
          <w:tcPr>
            <w:tcW w:w="0" w:type="dxa"/>
            <w:vAlign w:val="bottom"/>
          </w:tcPr>
          <w:p>
            <w:pPr>
              <w:spacing w:after="0"/>
              <w:rPr>
                <w:sz w:val="1"/>
                <w:szCs w:val="1"/>
                <w:color w:val="auto"/>
              </w:rPr>
            </w:pPr>
          </w:p>
        </w:tc>
      </w:tr>
      <w:tr>
        <w:trPr>
          <w:trHeight w:val="249"/>
        </w:trPr>
        <w:tc>
          <w:tcPr>
            <w:tcW w:w="7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65,731</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48,154</w:t>
            </w:r>
          </w:p>
        </w:tc>
        <w:tc>
          <w:tcPr>
            <w:tcW w:w="0" w:type="dxa"/>
            <w:vAlign w:val="bottom"/>
          </w:tcPr>
          <w:p>
            <w:pPr>
              <w:spacing w:after="0"/>
              <w:rPr>
                <w:sz w:val="1"/>
                <w:szCs w:val="1"/>
                <w:color w:val="auto"/>
              </w:rPr>
            </w:pPr>
          </w:p>
        </w:tc>
      </w:tr>
      <w:tr>
        <w:trPr>
          <w:trHeight w:val="243"/>
        </w:trPr>
        <w:tc>
          <w:tcPr>
            <w:tcW w:w="70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10,628</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12,954</w:t>
            </w:r>
          </w:p>
        </w:tc>
        <w:tc>
          <w:tcPr>
            <w:tcW w:w="0" w:type="dxa"/>
            <w:vAlign w:val="bottom"/>
          </w:tcPr>
          <w:p>
            <w:pPr>
              <w:spacing w:after="0"/>
              <w:rPr>
                <w:sz w:val="1"/>
                <w:szCs w:val="1"/>
                <w:color w:val="auto"/>
              </w:rPr>
            </w:pPr>
          </w:p>
        </w:tc>
      </w:tr>
      <w:tr>
        <w:trPr>
          <w:trHeight w:val="237"/>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424,821</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454,020</w:t>
            </w: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r>
              <w:rPr>
                <w:rFonts w:ascii="Arial" w:cs="Arial" w:eastAsia="Arial" w:hAnsi="Arial"/>
                <w:sz w:val="18"/>
                <w:szCs w:val="18"/>
                <w:color w:val="auto"/>
              </w:rPr>
              <w:t>Deferred income tax assets, noncurrent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26,387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20,459</w:t>
            </w:r>
          </w:p>
        </w:tc>
        <w:tc>
          <w:tcPr>
            <w:tcW w:w="0" w:type="dxa"/>
            <w:vAlign w:val="bottom"/>
          </w:tcPr>
          <w:p>
            <w:pPr>
              <w:spacing w:after="0"/>
              <w:rPr>
                <w:sz w:val="1"/>
                <w:szCs w:val="1"/>
                <w:color w:val="auto"/>
              </w:rPr>
            </w:pPr>
          </w:p>
        </w:tc>
      </w:tr>
      <w:tr>
        <w:trPr>
          <w:trHeight w:val="249"/>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15,588</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13,682</w:t>
            </w: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12,423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13,883</w:t>
            </w:r>
          </w:p>
        </w:tc>
        <w:tc>
          <w:tcPr>
            <w:tcW w:w="0" w:type="dxa"/>
            <w:vAlign w:val="bottom"/>
          </w:tcPr>
          <w:p>
            <w:pPr>
              <w:spacing w:after="0"/>
              <w:rPr>
                <w:sz w:val="1"/>
                <w:szCs w:val="1"/>
                <w:color w:val="auto"/>
              </w:rPr>
            </w:pPr>
          </w:p>
        </w:tc>
      </w:tr>
      <w:tr>
        <w:trPr>
          <w:trHeight w:val="249"/>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19,143</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10,144</w:t>
            </w: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23,683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4,331</w:t>
            </w:r>
          </w:p>
        </w:tc>
        <w:tc>
          <w:tcPr>
            <w:tcW w:w="0" w:type="dxa"/>
            <w:vAlign w:val="bottom"/>
          </w:tcPr>
          <w:p>
            <w:pPr>
              <w:spacing w:after="0"/>
              <w:rPr>
                <w:sz w:val="1"/>
                <w:szCs w:val="1"/>
                <w:color w:val="auto"/>
              </w:rPr>
            </w:pPr>
          </w:p>
        </w:tc>
      </w:tr>
      <w:tr>
        <w:trPr>
          <w:trHeight w:val="249"/>
        </w:trPr>
        <w:tc>
          <w:tcPr>
            <w:tcW w:w="7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3,009</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36"/>
        </w:trPr>
        <w:tc>
          <w:tcPr>
            <w:tcW w:w="70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525,054</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519,476</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Trade accounts payable</w:t>
            </w:r>
          </w:p>
        </w:tc>
        <w:tc>
          <w:tcPr>
            <w:tcW w:w="4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3,082</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4,805</w:t>
            </w:r>
          </w:p>
        </w:tc>
        <w:tc>
          <w:tcPr>
            <w:tcW w:w="0" w:type="dxa"/>
            <w:vAlign w:val="bottom"/>
          </w:tcPr>
          <w:p>
            <w:pPr>
              <w:spacing w:after="0"/>
              <w:rPr>
                <w:sz w:val="1"/>
                <w:szCs w:val="1"/>
                <w:color w:val="auto"/>
              </w:rPr>
            </w:pPr>
          </w:p>
        </w:tc>
      </w:tr>
      <w:tr>
        <w:trPr>
          <w:trHeight w:val="237"/>
        </w:trPr>
        <w:tc>
          <w:tcPr>
            <w:tcW w:w="7020" w:type="dxa"/>
            <w:vAlign w:val="bottom"/>
          </w:tcPr>
          <w:p>
            <w:pPr>
              <w:ind w:left="180"/>
              <w:spacing w:after="0"/>
              <w:rPr>
                <w:sz w:val="20"/>
                <w:szCs w:val="20"/>
                <w:color w:val="auto"/>
              </w:rPr>
            </w:pPr>
            <w:r>
              <w:rPr>
                <w:rFonts w:ascii="Arial" w:cs="Arial" w:eastAsia="Arial" w:hAnsi="Arial"/>
                <w:sz w:val="18"/>
                <w:szCs w:val="18"/>
                <w:color w:val="auto"/>
              </w:rPr>
              <w:t>Legal settlement liability, current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1,918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49"/>
        </w:trPr>
        <w:tc>
          <w:tcPr>
            <w:tcW w:w="7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19,591</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21,126</w:t>
            </w:r>
          </w:p>
        </w:tc>
        <w:tc>
          <w:tcPr>
            <w:tcW w:w="0" w:type="dxa"/>
            <w:vAlign w:val="bottom"/>
          </w:tcPr>
          <w:p>
            <w:pPr>
              <w:spacing w:after="0"/>
              <w:rPr>
                <w:sz w:val="1"/>
                <w:szCs w:val="1"/>
                <w:color w:val="auto"/>
              </w:rPr>
            </w:pPr>
          </w:p>
        </w:tc>
      </w:tr>
      <w:tr>
        <w:trPr>
          <w:trHeight w:val="237"/>
        </w:trPr>
        <w:tc>
          <w:tcPr>
            <w:tcW w:w="702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8,388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7,960</w:t>
            </w:r>
          </w:p>
        </w:tc>
        <w:tc>
          <w:tcPr>
            <w:tcW w:w="0" w:type="dxa"/>
            <w:vAlign w:val="bottom"/>
          </w:tcPr>
          <w:p>
            <w:pPr>
              <w:spacing w:after="0"/>
              <w:rPr>
                <w:sz w:val="1"/>
                <w:szCs w:val="1"/>
                <w:color w:val="auto"/>
              </w:rPr>
            </w:pPr>
          </w:p>
        </w:tc>
      </w:tr>
      <w:tr>
        <w:trPr>
          <w:trHeight w:val="249"/>
        </w:trPr>
        <w:tc>
          <w:tcPr>
            <w:tcW w:w="70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Deferred revenue, current</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20,612</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12,986</w:t>
            </w: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53,591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49,040</w:t>
            </w:r>
          </w:p>
        </w:tc>
        <w:tc>
          <w:tcPr>
            <w:tcW w:w="0" w:type="dxa"/>
            <w:vAlign w:val="bottom"/>
          </w:tcPr>
          <w:p>
            <w:pPr>
              <w:spacing w:after="0"/>
              <w:rPr>
                <w:sz w:val="1"/>
                <w:szCs w:val="1"/>
                <w:color w:val="auto"/>
              </w:rPr>
            </w:pPr>
          </w:p>
        </w:tc>
      </w:tr>
      <w:tr>
        <w:trPr>
          <w:trHeight w:val="249"/>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Legal settlement liability, noncurrent</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16,462</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15,596</w:t>
            </w: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16,054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13,124</w:t>
            </w:r>
          </w:p>
        </w:tc>
        <w:tc>
          <w:tcPr>
            <w:tcW w:w="0" w:type="dxa"/>
            <w:vAlign w:val="bottom"/>
          </w:tcPr>
          <w:p>
            <w:pPr>
              <w:spacing w:after="0"/>
              <w:rPr>
                <w:sz w:val="1"/>
                <w:szCs w:val="1"/>
                <w:color w:val="auto"/>
              </w:rPr>
            </w:pPr>
          </w:p>
        </w:tc>
      </w:tr>
      <w:tr>
        <w:trPr>
          <w:trHeight w:val="249"/>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noncurrent</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10,833</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12,312</w:t>
            </w: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r>
              <w:rPr>
                <w:rFonts w:ascii="Arial" w:cs="Arial" w:eastAsia="Arial" w:hAnsi="Arial"/>
                <w:sz w:val="18"/>
                <w:szCs w:val="18"/>
                <w:color w:val="auto"/>
              </w:rPr>
              <w:t>Long term debt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1,882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49"/>
        </w:trPr>
        <w:tc>
          <w:tcPr>
            <w:tcW w:w="7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2,053</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36"/>
        </w:trPr>
        <w:tc>
          <w:tcPr>
            <w:tcW w:w="7020" w:type="dxa"/>
            <w:vAlign w:val="bottom"/>
          </w:tcPr>
          <w:p>
            <w:pPr>
              <w:spacing w:after="0"/>
              <w:rPr>
                <w:sz w:val="20"/>
                <w:szCs w:val="20"/>
                <w:color w:val="auto"/>
              </w:rPr>
            </w:pPr>
            <w:r>
              <w:rPr>
                <w:rFonts w:ascii="Arial" w:cs="Arial" w:eastAsia="Arial" w:hAnsi="Arial"/>
                <w:sz w:val="18"/>
                <w:szCs w:val="18"/>
                <w:color w:val="auto"/>
              </w:rPr>
              <w:t>Total liabilities</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100,875</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93,930</w:t>
            </w:r>
          </w:p>
        </w:tc>
        <w:tc>
          <w:tcPr>
            <w:tcW w:w="0" w:type="dxa"/>
            <w:vAlign w:val="bottom"/>
          </w:tcPr>
          <w:p>
            <w:pPr>
              <w:spacing w:after="0"/>
              <w:rPr>
                <w:sz w:val="1"/>
                <w:szCs w:val="1"/>
                <w:color w:val="auto"/>
              </w:rPr>
            </w:pPr>
          </w:p>
        </w:tc>
      </w:tr>
      <w:tr>
        <w:trPr>
          <w:trHeight w:val="237"/>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18)</w:t>
            </w: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w w:val="95"/>
              </w:rPr>
              <w:t>Common stock, $0.001 par value; 1,000,000,000 authorized shares as of June 30, 2023 and</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w w:val="89"/>
              </w:rPr>
              <w:t>December 31, 2022, respectively; 136,344,908 and 135,365,381 issued and outstanding shares as</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of June 30, 2023 and December 31, 2022, respectively.</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454,027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442,887</w:t>
            </w:r>
          </w:p>
        </w:tc>
        <w:tc>
          <w:tcPr>
            <w:tcW w:w="0" w:type="dxa"/>
            <w:vAlign w:val="bottom"/>
          </w:tcPr>
          <w:p>
            <w:pPr>
              <w:spacing w:after="0"/>
              <w:rPr>
                <w:sz w:val="1"/>
                <w:szCs w:val="1"/>
                <w:color w:val="auto"/>
              </w:rPr>
            </w:pPr>
          </w:p>
        </w:tc>
      </w:tr>
      <w:tr>
        <w:trPr>
          <w:trHeight w:val="249"/>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(28,225 )</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(17,030 )</w:t>
            </w: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(1,759 )</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(697 )</w:t>
            </w:r>
          </w:p>
        </w:tc>
        <w:tc>
          <w:tcPr>
            <w:tcW w:w="0" w:type="dxa"/>
            <w:vAlign w:val="bottom"/>
          </w:tcPr>
          <w:p>
            <w:pPr>
              <w:spacing w:after="0"/>
              <w:rPr>
                <w:sz w:val="1"/>
                <w:szCs w:val="1"/>
                <w:color w:val="auto"/>
              </w:rPr>
            </w:pPr>
          </w:p>
        </w:tc>
      </w:tr>
      <w:tr>
        <w:trPr>
          <w:trHeight w:val="249"/>
        </w:trPr>
        <w:tc>
          <w:tcPr>
            <w:tcW w:w="7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Noncontrolling interest in consolidated subsidiary</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6"/>
        </w:trPr>
        <w:tc>
          <w:tcPr>
            <w:tcW w:w="702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424,179</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425,546</w:t>
            </w:r>
          </w:p>
        </w:tc>
        <w:tc>
          <w:tcPr>
            <w:tcW w:w="0" w:type="dxa"/>
            <w:vAlign w:val="bottom"/>
          </w:tcPr>
          <w:p>
            <w:pPr>
              <w:spacing w:after="0"/>
              <w:rPr>
                <w:sz w:val="1"/>
                <w:szCs w:val="1"/>
                <w:color w:val="auto"/>
              </w:rPr>
            </w:pPr>
          </w:p>
        </w:tc>
      </w:tr>
      <w:tr>
        <w:trPr>
          <w:trHeight w:val="276"/>
        </w:trPr>
        <w:tc>
          <w:tcPr>
            <w:tcW w:w="70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525,054</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519,476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-4079875</wp:posOffset>
            </wp:positionV>
            <wp:extent cx="128905"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-2811145</wp:posOffset>
            </wp:positionV>
            <wp:extent cx="12890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6319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-1876425</wp:posOffset>
            </wp:positionV>
            <wp:extent cx="12890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7145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-350520</wp:posOffset>
            </wp:positionV>
            <wp:extent cx="12890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7145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1289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1289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The accompanying notes are an integral part of these unaudited interim consolidated financial statements</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445" w:right="6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Cytek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4"/>
          </w:tcPr>
          <w:p>
            <w:pPr>
              <w:jc w:val="right"/>
              <w:ind w:right="75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2"/>
        </w:trPr>
        <w:tc>
          <w:tcPr>
            <w:tcW w:w="5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71"/>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31"/>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371"/>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351"/>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7"/>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net:</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200"/>
              <w:spacing w:after="0"/>
              <w:rPr>
                <w:sz w:val="20"/>
                <w:szCs w:val="20"/>
                <w:color w:val="auto"/>
              </w:rPr>
            </w:pPr>
            <w:r>
              <w:rPr>
                <w:rFonts w:ascii="Arial" w:cs="Arial" w:eastAsia="Arial" w:hAnsi="Arial"/>
                <w:sz w:val="18"/>
                <w:szCs w:val="18"/>
                <w:color w:val="auto"/>
              </w:rPr>
              <w:t>Product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40,452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37,093</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71,624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68,574</w:t>
            </w:r>
          </w:p>
        </w:tc>
        <w:tc>
          <w:tcPr>
            <w:tcW w:w="0" w:type="dxa"/>
            <w:vAlign w:val="bottom"/>
          </w:tcPr>
          <w:p>
            <w:pPr>
              <w:spacing w:after="0"/>
              <w:rPr>
                <w:sz w:val="1"/>
                <w:szCs w:val="1"/>
                <w:color w:val="auto"/>
              </w:rPr>
            </w:pPr>
          </w:p>
        </w:tc>
      </w:tr>
      <w:tr>
        <w:trPr>
          <w:trHeight w:val="249"/>
        </w:trPr>
        <w:tc>
          <w:tcPr>
            <w:tcW w:w="5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Service</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9,241</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3,066</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15,157</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6,649</w:t>
            </w:r>
          </w:p>
        </w:tc>
        <w:tc>
          <w:tcPr>
            <w:tcW w:w="0" w:type="dxa"/>
            <w:vAlign w:val="bottom"/>
          </w:tcPr>
          <w:p>
            <w:pPr>
              <w:spacing w:after="0"/>
              <w:rPr>
                <w:sz w:val="1"/>
                <w:szCs w:val="1"/>
                <w:color w:val="auto"/>
              </w:rPr>
            </w:pPr>
          </w:p>
        </w:tc>
      </w:tr>
      <w:tr>
        <w:trPr>
          <w:trHeight w:val="237"/>
        </w:trPr>
        <w:tc>
          <w:tcPr>
            <w:tcW w:w="5340" w:type="dxa"/>
            <w:vAlign w:val="bottom"/>
          </w:tcPr>
          <w:p>
            <w:pPr>
              <w:ind w:left="200"/>
              <w:spacing w:after="0"/>
              <w:rPr>
                <w:sz w:val="20"/>
                <w:szCs w:val="20"/>
                <w:color w:val="auto"/>
              </w:rPr>
            </w:pPr>
            <w:r>
              <w:rPr>
                <w:rFonts w:ascii="Arial" w:cs="Arial" w:eastAsia="Arial" w:hAnsi="Arial"/>
                <w:sz w:val="18"/>
                <w:szCs w:val="18"/>
                <w:color w:val="auto"/>
              </w:rPr>
              <w:t>Total revenue, net</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49,693</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40,159</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86,781</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75,223</w:t>
            </w:r>
          </w:p>
        </w:tc>
        <w:tc>
          <w:tcPr>
            <w:tcW w:w="0" w:type="dxa"/>
            <w:vAlign w:val="bottom"/>
          </w:tcPr>
          <w:p>
            <w:pPr>
              <w:spacing w:after="0"/>
              <w:rPr>
                <w:sz w:val="1"/>
                <w:szCs w:val="1"/>
                <w:color w:val="auto"/>
              </w:rPr>
            </w:pPr>
          </w:p>
        </w:tc>
      </w:tr>
      <w:tr>
        <w:trPr>
          <w:trHeight w:val="237"/>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200"/>
              <w:spacing w:after="0"/>
              <w:rPr>
                <w:sz w:val="20"/>
                <w:szCs w:val="20"/>
                <w:color w:val="auto"/>
              </w:rPr>
            </w:pPr>
            <w:r>
              <w:rPr>
                <w:rFonts w:ascii="Arial" w:cs="Arial" w:eastAsia="Arial" w:hAnsi="Arial"/>
                <w:sz w:val="18"/>
                <w:szCs w:val="18"/>
                <w:color w:val="auto"/>
              </w:rPr>
              <w:t>Product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16,675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11,780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29,352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23,547</w:t>
            </w:r>
          </w:p>
        </w:tc>
        <w:tc>
          <w:tcPr>
            <w:tcW w:w="0" w:type="dxa"/>
            <w:vAlign w:val="bottom"/>
          </w:tcPr>
          <w:p>
            <w:pPr>
              <w:spacing w:after="0"/>
              <w:rPr>
                <w:sz w:val="1"/>
                <w:szCs w:val="1"/>
                <w:color w:val="auto"/>
              </w:rPr>
            </w:pPr>
          </w:p>
        </w:tc>
      </w:tr>
      <w:tr>
        <w:trPr>
          <w:trHeight w:val="249"/>
        </w:trPr>
        <w:tc>
          <w:tcPr>
            <w:tcW w:w="5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Service</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4,856</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3,818</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8,229</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6,938</w:t>
            </w:r>
          </w:p>
        </w:tc>
        <w:tc>
          <w:tcPr>
            <w:tcW w:w="0" w:type="dxa"/>
            <w:vAlign w:val="bottom"/>
          </w:tcPr>
          <w:p>
            <w:pPr>
              <w:spacing w:after="0"/>
              <w:rPr>
                <w:sz w:val="1"/>
                <w:szCs w:val="1"/>
                <w:color w:val="auto"/>
              </w:rPr>
            </w:pPr>
          </w:p>
        </w:tc>
      </w:tr>
      <w:tr>
        <w:trPr>
          <w:trHeight w:val="237"/>
        </w:trPr>
        <w:tc>
          <w:tcPr>
            <w:tcW w:w="5340" w:type="dxa"/>
            <w:vAlign w:val="bottom"/>
          </w:tcPr>
          <w:p>
            <w:pPr>
              <w:ind w:left="200"/>
              <w:spacing w:after="0"/>
              <w:rPr>
                <w:sz w:val="20"/>
                <w:szCs w:val="20"/>
                <w:color w:val="auto"/>
              </w:rPr>
            </w:pPr>
            <w:r>
              <w:rPr>
                <w:rFonts w:ascii="Arial" w:cs="Arial" w:eastAsia="Arial" w:hAnsi="Arial"/>
                <w:sz w:val="18"/>
                <w:szCs w:val="18"/>
                <w:color w:val="auto"/>
              </w:rPr>
              <w:t>Total cost of sales</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21,531</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15,598</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37,581</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30,485</w:t>
            </w:r>
          </w:p>
        </w:tc>
        <w:tc>
          <w:tcPr>
            <w:tcW w:w="0" w:type="dxa"/>
            <w:vAlign w:val="bottom"/>
          </w:tcPr>
          <w:p>
            <w:pPr>
              <w:spacing w:after="0"/>
              <w:rPr>
                <w:sz w:val="1"/>
                <w:szCs w:val="1"/>
                <w:color w:val="auto"/>
              </w:rPr>
            </w:pPr>
          </w:p>
        </w:tc>
      </w:tr>
      <w:tr>
        <w:trPr>
          <w:trHeight w:val="237"/>
        </w:trPr>
        <w:tc>
          <w:tcPr>
            <w:tcW w:w="5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28,162</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24,561</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49,200</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44,738</w:t>
            </w:r>
          </w:p>
        </w:tc>
        <w:tc>
          <w:tcPr>
            <w:tcW w:w="0" w:type="dxa"/>
            <w:vAlign w:val="bottom"/>
          </w:tcPr>
          <w:p>
            <w:pPr>
              <w:spacing w:after="0"/>
              <w:rPr>
                <w:sz w:val="1"/>
                <w:szCs w:val="1"/>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12,136</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8,436</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22,110</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16,461</w:t>
            </w:r>
          </w:p>
        </w:tc>
        <w:tc>
          <w:tcPr>
            <w:tcW w:w="0" w:type="dxa"/>
            <w:vAlign w:val="bottom"/>
          </w:tcPr>
          <w:p>
            <w:pPr>
              <w:spacing w:after="0"/>
              <w:rPr>
                <w:sz w:val="1"/>
                <w:szCs w:val="1"/>
                <w:color w:val="auto"/>
              </w:rPr>
            </w:pPr>
          </w:p>
        </w:tc>
      </w:tr>
      <w:tr>
        <w:trPr>
          <w:trHeight w:val="237"/>
        </w:trPr>
        <w:tc>
          <w:tcPr>
            <w:tcW w:w="534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14,367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8,431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25,512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15,391</w:t>
            </w:r>
          </w:p>
        </w:tc>
        <w:tc>
          <w:tcPr>
            <w:tcW w:w="0" w:type="dxa"/>
            <w:vAlign w:val="bottom"/>
          </w:tcPr>
          <w:p>
            <w:pPr>
              <w:spacing w:after="0"/>
              <w:rPr>
                <w:sz w:val="1"/>
                <w:szCs w:val="1"/>
                <w:color w:val="auto"/>
              </w:rPr>
            </w:pPr>
          </w:p>
        </w:tc>
      </w:tr>
      <w:tr>
        <w:trPr>
          <w:trHeight w:val="249"/>
        </w:trPr>
        <w:tc>
          <w:tcPr>
            <w:tcW w:w="5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10,786</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8,585</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22,867</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16,134</w:t>
            </w:r>
          </w:p>
        </w:tc>
        <w:tc>
          <w:tcPr>
            <w:tcW w:w="0" w:type="dxa"/>
            <w:vAlign w:val="bottom"/>
          </w:tcPr>
          <w:p>
            <w:pPr>
              <w:spacing w:after="0"/>
              <w:rPr>
                <w:sz w:val="1"/>
                <w:szCs w:val="1"/>
                <w:color w:val="auto"/>
              </w:rPr>
            </w:pPr>
          </w:p>
        </w:tc>
      </w:tr>
      <w:tr>
        <w:trPr>
          <w:trHeight w:val="237"/>
        </w:trPr>
        <w:tc>
          <w:tcPr>
            <w:tcW w:w="534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37,289</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25,452</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70,489</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47,986</w:t>
            </w:r>
          </w:p>
        </w:tc>
        <w:tc>
          <w:tcPr>
            <w:tcW w:w="0" w:type="dxa"/>
            <w:vAlign w:val="bottom"/>
          </w:tcPr>
          <w:p>
            <w:pPr>
              <w:spacing w:after="0"/>
              <w:rPr>
                <w:sz w:val="1"/>
                <w:szCs w:val="1"/>
                <w:color w:val="auto"/>
              </w:rPr>
            </w:pPr>
          </w:p>
        </w:tc>
      </w:tr>
      <w:tr>
        <w:trPr>
          <w:trHeight w:val="237"/>
        </w:trPr>
        <w:tc>
          <w:tcPr>
            <w:tcW w:w="5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(9,127 )</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(891 )</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(21,289 )</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(3,248 )</w:t>
            </w:r>
          </w:p>
        </w:tc>
        <w:tc>
          <w:tcPr>
            <w:tcW w:w="0" w:type="dxa"/>
            <w:vAlign w:val="bottom"/>
          </w:tcPr>
          <w:p>
            <w:pPr>
              <w:spacing w:after="0"/>
              <w:rPr>
                <w:sz w:val="1"/>
                <w:szCs w:val="1"/>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(1,237 )</w:t>
            </w:r>
          </w:p>
        </w:tc>
        <w:tc>
          <w:tcPr>
            <w:tcW w:w="0" w:type="dxa"/>
            <w:vAlign w:val="bottom"/>
          </w:tcPr>
          <w:p>
            <w:pPr>
              <w:spacing w:after="0"/>
              <w:rPr>
                <w:sz w:val="1"/>
                <w:szCs w:val="1"/>
                <w:color w:val="auto"/>
              </w:rPr>
            </w:pPr>
          </w:p>
        </w:tc>
      </w:tr>
      <w:tr>
        <w:trPr>
          <w:trHeight w:val="237"/>
        </w:trPr>
        <w:tc>
          <w:tcPr>
            <w:tcW w:w="53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1,201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391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3,344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49"/>
        </w:trPr>
        <w:tc>
          <w:tcPr>
            <w:tcW w:w="5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1,740</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(254 )</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3,392</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(628 )</w:t>
            </w:r>
          </w:p>
        </w:tc>
        <w:tc>
          <w:tcPr>
            <w:tcW w:w="0" w:type="dxa"/>
            <w:vAlign w:val="bottom"/>
          </w:tcPr>
          <w:p>
            <w:pPr>
              <w:spacing w:after="0"/>
              <w:rPr>
                <w:sz w:val="1"/>
                <w:szCs w:val="1"/>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2,532</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(510 )</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5,654</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(1,456 )</w:t>
            </w:r>
          </w:p>
        </w:tc>
        <w:tc>
          <w:tcPr>
            <w:tcW w:w="0" w:type="dxa"/>
            <w:vAlign w:val="bottom"/>
          </w:tcPr>
          <w:p>
            <w:pPr>
              <w:spacing w:after="0"/>
              <w:rPr>
                <w:sz w:val="1"/>
                <w:szCs w:val="1"/>
                <w:color w:val="auto"/>
              </w:rPr>
            </w:pPr>
          </w:p>
        </w:tc>
      </w:tr>
      <w:tr>
        <w:trPr>
          <w:trHeight w:val="236"/>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(6,595 )</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(1,401 )</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(15,635 )</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(4,704 )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Benefit from income taxes</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(2,207 )</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(699 )</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(4,440 )</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(1,844 )</w:t>
            </w:r>
          </w:p>
        </w:tc>
        <w:tc>
          <w:tcPr>
            <w:tcW w:w="0" w:type="dxa"/>
            <w:vAlign w:val="bottom"/>
          </w:tcPr>
          <w:p>
            <w:pPr>
              <w:spacing w:after="0"/>
              <w:rPr>
                <w:sz w:val="1"/>
                <w:szCs w:val="1"/>
                <w:color w:val="auto"/>
              </w:rPr>
            </w:pPr>
          </w:p>
        </w:tc>
      </w:tr>
      <w:tr>
        <w:trPr>
          <w:trHeight w:val="276"/>
        </w:trPr>
        <w:tc>
          <w:tcPr>
            <w:tcW w:w="5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(4,388 )</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(702 )</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(11,195 )</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(2,860 )</w:t>
            </w:r>
          </w:p>
        </w:tc>
        <w:tc>
          <w:tcPr>
            <w:tcW w:w="0" w:type="dxa"/>
            <w:vAlign w:val="bottom"/>
          </w:tcPr>
          <w:p>
            <w:pPr>
              <w:spacing w:after="0"/>
              <w:rPr>
                <w:sz w:val="1"/>
                <w:szCs w:val="1"/>
                <w:color w:val="auto"/>
              </w:rPr>
            </w:pPr>
          </w:p>
        </w:tc>
      </w:tr>
      <w:tr>
        <w:trPr>
          <w:trHeight w:val="217"/>
        </w:trPr>
        <w:tc>
          <w:tcPr>
            <w:tcW w:w="53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net loss allocated to noncontrolling interests</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104</w:t>
            </w:r>
          </w:p>
        </w:tc>
        <w:tc>
          <w:tcPr>
            <w:tcW w:w="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83"/>
        </w:trPr>
        <w:tc>
          <w:tcPr>
            <w:tcW w:w="5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 basic and diluted</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(4,388 )</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(598 )</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(11,195 )</w:t>
            </w:r>
          </w:p>
        </w:tc>
        <w:tc>
          <w:tcPr>
            <w:tcW w:w="340" w:type="dxa"/>
            <w:vAlign w:val="bottom"/>
            <w:tcBorders>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(2,619 )</w:t>
            </w:r>
          </w:p>
        </w:tc>
        <w:tc>
          <w:tcPr>
            <w:tcW w:w="0" w:type="dxa"/>
            <w:vAlign w:val="bottom"/>
          </w:tcPr>
          <w:p>
            <w:pPr>
              <w:spacing w:after="0"/>
              <w:rPr>
                <w:sz w:val="1"/>
                <w:szCs w:val="1"/>
                <w:color w:val="auto"/>
              </w:rPr>
            </w:pPr>
          </w:p>
        </w:tc>
      </w:tr>
      <w:tr>
        <w:trPr>
          <w:trHeight w:val="224"/>
        </w:trPr>
        <w:tc>
          <w:tcPr>
            <w:tcW w:w="5340" w:type="dxa"/>
            <w:vAlign w:val="bottom"/>
          </w:tcPr>
          <w:p>
            <w:pPr>
              <w:ind w:left="20"/>
              <w:spacing w:after="0"/>
              <w:rPr>
                <w:sz w:val="20"/>
                <w:szCs w:val="20"/>
                <w:color w:val="auto"/>
              </w:rPr>
            </w:pPr>
            <w:r>
              <w:rPr>
                <w:rFonts w:ascii="Arial" w:cs="Arial" w:eastAsia="Arial" w:hAnsi="Arial"/>
                <w:sz w:val="18"/>
                <w:szCs w:val="18"/>
                <w:color w:val="auto"/>
                <w:w w:val="90"/>
              </w:rPr>
              <w:t>Net loss attributable to common stockholders per share, basic and diluted</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(0.03 )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(0.00 )</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(0.08 )</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(0.02 )</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w w:val="89"/>
              </w:rPr>
              <w:t>Weighted-average shares used in calculating net loss per share, basic and</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ind w:right="71"/>
              <w:spacing w:after="0"/>
              <w:rPr>
                <w:sz w:val="20"/>
                <w:szCs w:val="20"/>
                <w:color w:val="auto"/>
              </w:rPr>
            </w:pPr>
            <w:r>
              <w:rPr>
                <w:rFonts w:ascii="Arial" w:cs="Arial" w:eastAsia="Arial" w:hAnsi="Arial"/>
                <w:sz w:val="18"/>
                <w:szCs w:val="18"/>
                <w:color w:val="auto"/>
                <w:w w:val="97"/>
              </w:rPr>
              <w:t>135,918,707</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vMerge w:val="restart"/>
            <w:shd w:val="clear" w:color="auto" w:fill="CFF0FC"/>
          </w:tcPr>
          <w:p>
            <w:pPr>
              <w:jc w:val="right"/>
              <w:ind w:right="51"/>
              <w:spacing w:after="0"/>
              <w:rPr>
                <w:sz w:val="20"/>
                <w:szCs w:val="20"/>
                <w:color w:val="auto"/>
              </w:rPr>
            </w:pPr>
            <w:r>
              <w:rPr>
                <w:rFonts w:ascii="Arial" w:cs="Arial" w:eastAsia="Arial" w:hAnsi="Arial"/>
                <w:sz w:val="18"/>
                <w:szCs w:val="18"/>
                <w:color w:val="auto"/>
                <w:w w:val="93"/>
              </w:rPr>
              <w:t>134,403,059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ind w:right="71"/>
              <w:spacing w:after="0"/>
              <w:rPr>
                <w:sz w:val="20"/>
                <w:szCs w:val="20"/>
                <w:color w:val="auto"/>
              </w:rPr>
            </w:pPr>
            <w:r>
              <w:rPr>
                <w:rFonts w:ascii="Arial" w:cs="Arial" w:eastAsia="Arial" w:hAnsi="Arial"/>
                <w:sz w:val="18"/>
                <w:szCs w:val="18"/>
                <w:color w:val="auto"/>
                <w:w w:val="95"/>
              </w:rPr>
              <w:t>135,705,139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ind w:right="51"/>
              <w:spacing w:after="0"/>
              <w:rPr>
                <w:sz w:val="20"/>
                <w:szCs w:val="20"/>
                <w:color w:val="auto"/>
              </w:rPr>
            </w:pPr>
            <w:r>
              <w:rPr>
                <w:rFonts w:ascii="Arial" w:cs="Arial" w:eastAsia="Arial" w:hAnsi="Arial"/>
                <w:sz w:val="18"/>
                <w:szCs w:val="18"/>
                <w:color w:val="auto"/>
                <w:w w:val="97"/>
              </w:rPr>
              <w:t>134,154,171</w:t>
            </w:r>
          </w:p>
        </w:tc>
        <w:tc>
          <w:tcPr>
            <w:tcW w:w="0" w:type="dxa"/>
            <w:vAlign w:val="bottom"/>
          </w:tcPr>
          <w:p>
            <w:pPr>
              <w:spacing w:after="0"/>
              <w:rPr>
                <w:sz w:val="1"/>
                <w:szCs w:val="1"/>
                <w:color w:val="auto"/>
              </w:rPr>
            </w:pPr>
          </w:p>
        </w:tc>
      </w:tr>
      <w:tr>
        <w:trPr>
          <w:trHeight w:val="243"/>
        </w:trPr>
        <w:tc>
          <w:tcPr>
            <w:tcW w:w="5340" w:type="dxa"/>
            <w:vAlign w:val="bottom"/>
            <w:tcBorders>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3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(4,388 )</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(702 )</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(11,195 )</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(2,860 )</w:t>
            </w:r>
          </w:p>
        </w:tc>
        <w:tc>
          <w:tcPr>
            <w:tcW w:w="0" w:type="dxa"/>
            <w:vAlign w:val="bottom"/>
          </w:tcPr>
          <w:p>
            <w:pPr>
              <w:spacing w:after="0"/>
              <w:rPr>
                <w:sz w:val="1"/>
                <w:szCs w:val="1"/>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Foreign currency translation adjustment, net of tax</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(980 )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(683 )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(1,022 )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(669 )</w:t>
            </w:r>
          </w:p>
        </w:tc>
        <w:tc>
          <w:tcPr>
            <w:tcW w:w="0" w:type="dxa"/>
            <w:vAlign w:val="bottom"/>
          </w:tcPr>
          <w:p>
            <w:pPr>
              <w:spacing w:after="0"/>
              <w:rPr>
                <w:sz w:val="1"/>
                <w:szCs w:val="1"/>
                <w:color w:val="auto"/>
              </w:rPr>
            </w:pPr>
          </w:p>
        </w:tc>
      </w:tr>
      <w:tr>
        <w:trPr>
          <w:trHeight w:val="249"/>
        </w:trPr>
        <w:tc>
          <w:tcPr>
            <w:tcW w:w="5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Unrealized loss on marketable securities</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(192 )</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(40 )</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40" w:type="dxa"/>
            <w:vAlign w:val="bottom"/>
          </w:tcPr>
          <w:p>
            <w:pPr>
              <w:ind w:left="200"/>
              <w:spacing w:after="0"/>
              <w:rPr>
                <w:sz w:val="20"/>
                <w:szCs w:val="20"/>
                <w:color w:val="auto"/>
              </w:rPr>
            </w:pPr>
            <w:r>
              <w:rPr>
                <w:rFonts w:ascii="Arial" w:cs="Arial" w:eastAsia="Arial" w:hAnsi="Arial"/>
                <w:sz w:val="18"/>
                <w:szCs w:val="18"/>
                <w:color w:val="auto"/>
              </w:rPr>
              <w:t>Net comprehensive loss</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(5,560 )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(1,385 )</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(12,257 )</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(3,529 )</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-4808855</wp:posOffset>
            </wp:positionV>
            <wp:extent cx="9461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-4808855</wp:posOffset>
            </wp:positionV>
            <wp:extent cx="8572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-4808855</wp:posOffset>
            </wp:positionV>
            <wp:extent cx="9461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-4174490</wp:posOffset>
            </wp:positionV>
            <wp:extent cx="9461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-4174490</wp:posOffset>
            </wp:positionV>
            <wp:extent cx="8572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-4174490</wp:posOffset>
            </wp:positionV>
            <wp:extent cx="9461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-3231515</wp:posOffset>
            </wp:positionV>
            <wp:extent cx="9461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-3231515</wp:posOffset>
            </wp:positionV>
            <wp:extent cx="8572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-3231515</wp:posOffset>
            </wp:positionV>
            <wp:extent cx="9461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-2288540</wp:posOffset>
            </wp:positionV>
            <wp:extent cx="9461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-2288540</wp:posOffset>
            </wp:positionV>
            <wp:extent cx="857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-2288540</wp:posOffset>
            </wp:positionV>
            <wp:extent cx="9461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-1645285</wp:posOffset>
            </wp:positionV>
            <wp:extent cx="1937385" cy="548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37385" cy="54864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-831215</wp:posOffset>
            </wp:positionV>
            <wp:extent cx="1937385"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37385" cy="17970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-187960</wp:posOffset>
            </wp:positionV>
            <wp:extent cx="94615"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-187960</wp:posOffset>
            </wp:positionV>
            <wp:extent cx="85725"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94615"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615" cy="188595"/>
                    </a:xfrm>
                    <a:prstGeom prst="rect">
                      <a:avLst/>
                    </a:prstGeom>
                    <a:noFill/>
                  </pic:spPr>
                </pic:pic>
              </a:graphicData>
            </a:graphic>
          </wp:anchor>
        </w:drawing>
      </w:r>
    </w:p>
    <w:p>
      <w:pPr>
        <w:spacing w:after="0" w:line="11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interim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Cytek Biosciences, Inc</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Stockholders’ Equity</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Borders>
              <w:right w:val="single" w:sz="8" w:color="auto"/>
            </w:tcBorders>
          </w:tcPr>
          <w:p>
            <w:pPr>
              <w:spacing w:after="0"/>
              <w:rPr>
                <w:sz w:val="14"/>
                <w:szCs w:val="14"/>
                <w:color w:val="auto"/>
              </w:rPr>
            </w:pPr>
          </w:p>
        </w:tc>
        <w:tc>
          <w:tcPr>
            <w:tcW w:w="1320" w:type="dxa"/>
            <w:vAlign w:val="bottom"/>
            <w:gridSpan w:val="2"/>
            <w:vMerge w:val="restart"/>
          </w:tcPr>
          <w:p>
            <w:pPr>
              <w:jc w:val="right"/>
              <w:ind w:right="57"/>
              <w:spacing w:after="0"/>
              <w:rPr>
                <w:sz w:val="20"/>
                <w:szCs w:val="20"/>
                <w:color w:val="auto"/>
              </w:rPr>
            </w:pPr>
            <w:r>
              <w:rPr>
                <w:rFonts w:ascii="Arial" w:cs="Arial" w:eastAsia="Arial" w:hAnsi="Arial"/>
                <w:sz w:val="13"/>
                <w:szCs w:val="13"/>
                <w:b w:val="1"/>
                <w:bCs w:val="1"/>
                <w:color w:val="auto"/>
              </w:rPr>
              <w:t>Common stock</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97"/>
              <w:spacing w:after="0"/>
              <w:rPr>
                <w:sz w:val="20"/>
                <w:szCs w:val="20"/>
                <w:color w:val="auto"/>
              </w:rPr>
            </w:pPr>
            <w:r>
              <w:rPr>
                <w:rFonts w:ascii="Arial" w:cs="Arial" w:eastAsia="Arial" w:hAnsi="Arial"/>
                <w:sz w:val="13"/>
                <w:szCs w:val="13"/>
                <w:b w:val="1"/>
                <w:bCs w:val="1"/>
                <w:color w:val="auto"/>
                <w:w w:val="88"/>
              </w:rPr>
              <w:t>Additional</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auto"/>
                <w:w w:val="88"/>
              </w:rPr>
              <w:t>Accumulated other</w:t>
            </w:r>
          </w:p>
        </w:tc>
        <w:tc>
          <w:tcPr>
            <w:tcW w:w="220" w:type="dxa"/>
            <w:vAlign w:val="bottom"/>
          </w:tcPr>
          <w:p>
            <w:pPr>
              <w:spacing w:after="0"/>
              <w:rPr>
                <w:sz w:val="14"/>
                <w:szCs w:val="14"/>
                <w:color w:val="auto"/>
              </w:rPr>
            </w:pPr>
          </w:p>
        </w:tc>
        <w:tc>
          <w:tcPr>
            <w:tcW w:w="1660" w:type="dxa"/>
            <w:vAlign w:val="bottom"/>
          </w:tcPr>
          <w:p>
            <w:pPr>
              <w:jc w:val="center"/>
              <w:ind w:right="217"/>
              <w:spacing w:after="0"/>
              <w:rPr>
                <w:sz w:val="20"/>
                <w:szCs w:val="20"/>
                <w:color w:val="auto"/>
              </w:rPr>
            </w:pPr>
            <w:r>
              <w:rPr>
                <w:rFonts w:ascii="Arial" w:cs="Arial" w:eastAsia="Arial" w:hAnsi="Arial"/>
                <w:sz w:val="13"/>
                <w:szCs w:val="13"/>
                <w:b w:val="1"/>
                <w:bCs w:val="1"/>
                <w:color w:val="auto"/>
                <w:w w:val="88"/>
              </w:rPr>
              <w:t>Noncontrolling</w:t>
            </w:r>
          </w:p>
        </w:tc>
        <w:tc>
          <w:tcPr>
            <w:tcW w:w="240" w:type="dxa"/>
            <w:vAlign w:val="bottom"/>
          </w:tcPr>
          <w:p>
            <w:pPr>
              <w:spacing w:after="0"/>
              <w:rPr>
                <w:sz w:val="14"/>
                <w:szCs w:val="14"/>
                <w:color w:val="auto"/>
              </w:rPr>
            </w:pPr>
          </w:p>
        </w:tc>
        <w:tc>
          <w:tcPr>
            <w:tcW w:w="1080" w:type="dxa"/>
            <w:vAlign w:val="bottom"/>
          </w:tcPr>
          <w:p>
            <w:pPr>
              <w:jc w:val="center"/>
              <w:ind w:right="21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2420" w:type="dxa"/>
            <w:vAlign w:val="bottom"/>
            <w:tcBorders>
              <w:right w:val="single" w:sz="8" w:color="auto"/>
            </w:tcBorders>
          </w:tcPr>
          <w:p>
            <w:pPr>
              <w:spacing w:after="0"/>
              <w:rPr>
                <w:sz w:val="13"/>
                <w:szCs w:val="13"/>
                <w:color w:val="auto"/>
              </w:rPr>
            </w:pPr>
          </w:p>
        </w:tc>
        <w:tc>
          <w:tcPr>
            <w:tcW w:w="1320" w:type="dxa"/>
            <w:vAlign w:val="bottom"/>
            <w:tcBorders>
              <w:bottom w:val="single" w:sz="8" w:color="auto"/>
            </w:tcBorders>
            <w:gridSpan w:val="2"/>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center"/>
              <w:ind w:right="197"/>
              <w:spacing w:after="0"/>
              <w:rPr>
                <w:sz w:val="20"/>
                <w:szCs w:val="20"/>
                <w:color w:val="auto"/>
              </w:rPr>
            </w:pPr>
            <w:r>
              <w:rPr>
                <w:rFonts w:ascii="Arial" w:cs="Arial" w:eastAsia="Arial" w:hAnsi="Arial"/>
                <w:sz w:val="13"/>
                <w:szCs w:val="13"/>
                <w:b w:val="1"/>
                <w:bCs w:val="1"/>
                <w:color w:val="auto"/>
                <w:w w:val="93"/>
              </w:rPr>
              <w:t>paid-in</w:t>
            </w:r>
          </w:p>
        </w:tc>
        <w:tc>
          <w:tcPr>
            <w:tcW w:w="220" w:type="dxa"/>
            <w:vAlign w:val="bottom"/>
          </w:tcPr>
          <w:p>
            <w:pPr>
              <w:spacing w:after="0"/>
              <w:rPr>
                <w:sz w:val="13"/>
                <w:szCs w:val="13"/>
                <w:color w:val="auto"/>
              </w:rPr>
            </w:pPr>
          </w:p>
        </w:tc>
        <w:tc>
          <w:tcPr>
            <w:tcW w:w="1120" w:type="dxa"/>
            <w:vAlign w:val="bottom"/>
          </w:tcPr>
          <w:p>
            <w:pPr>
              <w:jc w:val="right"/>
              <w:ind w:right="277"/>
              <w:spacing w:after="0"/>
              <w:rPr>
                <w:sz w:val="20"/>
                <w:szCs w:val="20"/>
                <w:color w:val="auto"/>
              </w:rPr>
            </w:pPr>
            <w:r>
              <w:rPr>
                <w:rFonts w:ascii="Arial" w:cs="Arial" w:eastAsia="Arial" w:hAnsi="Arial"/>
                <w:sz w:val="13"/>
                <w:szCs w:val="13"/>
                <w:b w:val="1"/>
                <w:bCs w:val="1"/>
                <w:color w:val="auto"/>
                <w:w w:val="93"/>
              </w:rPr>
              <w:t>Accumulated</w:t>
            </w:r>
          </w:p>
        </w:tc>
        <w:tc>
          <w:tcPr>
            <w:tcW w:w="220" w:type="dxa"/>
            <w:vAlign w:val="bottom"/>
          </w:tcPr>
          <w:p>
            <w:pPr>
              <w:spacing w:after="0"/>
              <w:rPr>
                <w:sz w:val="13"/>
                <w:szCs w:val="13"/>
                <w:color w:val="auto"/>
              </w:rPr>
            </w:pPr>
          </w:p>
        </w:tc>
        <w:tc>
          <w:tcPr>
            <w:tcW w:w="1220" w:type="dxa"/>
            <w:vAlign w:val="bottom"/>
          </w:tcPr>
          <w:p>
            <w:pPr>
              <w:jc w:val="center"/>
              <w:ind w:right="237"/>
              <w:spacing w:after="0"/>
              <w:rPr>
                <w:sz w:val="20"/>
                <w:szCs w:val="20"/>
                <w:color w:val="auto"/>
              </w:rPr>
            </w:pPr>
            <w:r>
              <w:rPr>
                <w:rFonts w:ascii="Arial" w:cs="Arial" w:eastAsia="Arial" w:hAnsi="Arial"/>
                <w:sz w:val="13"/>
                <w:szCs w:val="13"/>
                <w:b w:val="1"/>
                <w:bCs w:val="1"/>
                <w:color w:val="auto"/>
                <w:w w:val="83"/>
              </w:rPr>
              <w:t>comprehensive</w:t>
            </w:r>
          </w:p>
        </w:tc>
        <w:tc>
          <w:tcPr>
            <w:tcW w:w="220" w:type="dxa"/>
            <w:vAlign w:val="bottom"/>
          </w:tcPr>
          <w:p>
            <w:pPr>
              <w:spacing w:after="0"/>
              <w:rPr>
                <w:sz w:val="13"/>
                <w:szCs w:val="13"/>
                <w:color w:val="auto"/>
              </w:rPr>
            </w:pPr>
          </w:p>
        </w:tc>
        <w:tc>
          <w:tcPr>
            <w:tcW w:w="1660" w:type="dxa"/>
            <w:vAlign w:val="bottom"/>
          </w:tcPr>
          <w:p>
            <w:pPr>
              <w:jc w:val="center"/>
              <w:ind w:right="237"/>
              <w:spacing w:after="0"/>
              <w:rPr>
                <w:sz w:val="20"/>
                <w:szCs w:val="20"/>
                <w:color w:val="auto"/>
              </w:rPr>
            </w:pPr>
            <w:r>
              <w:rPr>
                <w:rFonts w:ascii="Arial" w:cs="Arial" w:eastAsia="Arial" w:hAnsi="Arial"/>
                <w:sz w:val="13"/>
                <w:szCs w:val="13"/>
                <w:b w:val="1"/>
                <w:bCs w:val="1"/>
                <w:color w:val="auto"/>
                <w:w w:val="84"/>
              </w:rPr>
              <w:t>interest in consolidated</w:t>
            </w:r>
          </w:p>
        </w:tc>
        <w:tc>
          <w:tcPr>
            <w:tcW w:w="240" w:type="dxa"/>
            <w:vAlign w:val="bottom"/>
          </w:tcPr>
          <w:p>
            <w:pPr>
              <w:spacing w:after="0"/>
              <w:rPr>
                <w:sz w:val="13"/>
                <w:szCs w:val="13"/>
                <w:color w:val="auto"/>
              </w:rPr>
            </w:pPr>
          </w:p>
        </w:tc>
        <w:tc>
          <w:tcPr>
            <w:tcW w:w="1080" w:type="dxa"/>
            <w:vAlign w:val="bottom"/>
          </w:tcPr>
          <w:p>
            <w:pPr>
              <w:jc w:val="center"/>
              <w:ind w:right="217"/>
              <w:spacing w:after="0"/>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55"/>
        </w:trPr>
        <w:tc>
          <w:tcPr>
            <w:tcW w:w="24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3"/>
                <w:szCs w:val="13"/>
                <w:b w:val="1"/>
                <w:bCs w:val="1"/>
                <w:color w:val="auto"/>
                <w:w w:val="99"/>
              </w:rPr>
              <w:t>(In thousands, except share data)</w:t>
            </w: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3"/>
                <w:szCs w:val="13"/>
                <w:b w:val="1"/>
                <w:bCs w:val="1"/>
                <w:color w:val="auto"/>
              </w:rPr>
              <w:t>Amount</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97"/>
              <w:spacing w:after="0"/>
              <w:rPr>
                <w:sz w:val="20"/>
                <w:szCs w:val="20"/>
                <w:color w:val="auto"/>
              </w:rPr>
            </w:pPr>
            <w:r>
              <w:rPr>
                <w:rFonts w:ascii="Arial" w:cs="Arial" w:eastAsia="Arial" w:hAnsi="Arial"/>
                <w:sz w:val="13"/>
                <w:szCs w:val="13"/>
                <w:b w:val="1"/>
                <w:bCs w:val="1"/>
                <w:color w:val="auto"/>
                <w:w w:val="87"/>
              </w:rPr>
              <w:t>capital</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deficit</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17"/>
              <w:spacing w:after="0"/>
              <w:rPr>
                <w:sz w:val="20"/>
                <w:szCs w:val="20"/>
                <w:color w:val="auto"/>
              </w:rPr>
            </w:pPr>
            <w:r>
              <w:rPr>
                <w:rFonts w:ascii="Arial" w:cs="Arial" w:eastAsia="Arial" w:hAnsi="Arial"/>
                <w:sz w:val="13"/>
                <w:szCs w:val="13"/>
                <w:b w:val="1"/>
                <w:bCs w:val="1"/>
                <w:color w:val="auto"/>
                <w:w w:val="83"/>
              </w:rPr>
              <w:t>income (loss)</w:t>
            </w:r>
          </w:p>
        </w:tc>
        <w:tc>
          <w:tcPr>
            <w:tcW w:w="2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86"/>
              </w:rPr>
              <w:t>subsidiary</w:t>
            </w: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97"/>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56"/>
        </w:trPr>
        <w:tc>
          <w:tcPr>
            <w:tcW w:w="2420" w:type="dxa"/>
            <w:vAlign w:val="bottom"/>
            <w:tcBorders>
              <w:right w:val="single" w:sz="8" w:color="auto"/>
            </w:tcBorders>
            <w:shd w:val="clear" w:color="auto" w:fill="CCECFF"/>
          </w:tcPr>
          <w:p>
            <w:pPr>
              <w:ind w:left="20"/>
              <w:spacing w:after="0"/>
              <w:rPr>
                <w:sz w:val="20"/>
                <w:szCs w:val="20"/>
                <w:color w:val="auto"/>
              </w:rPr>
            </w:pPr>
            <w:r>
              <w:rPr>
                <w:rFonts w:ascii="Arial" w:cs="Arial" w:eastAsia="Arial" w:hAnsi="Arial"/>
                <w:sz w:val="13"/>
                <w:szCs w:val="13"/>
                <w:color w:val="auto"/>
              </w:rPr>
              <w:t>Balances at December 31, 2022</w:t>
            </w:r>
          </w:p>
        </w:tc>
        <w:tc>
          <w:tcPr>
            <w:tcW w:w="1080" w:type="dxa"/>
            <w:vAlign w:val="bottom"/>
            <w:shd w:val="clear" w:color="auto" w:fill="CCECFF"/>
          </w:tcPr>
          <w:p>
            <w:pPr>
              <w:jc w:val="right"/>
              <w:ind w:right="37"/>
              <w:spacing w:after="0"/>
              <w:rPr>
                <w:sz w:val="20"/>
                <w:szCs w:val="20"/>
                <w:color w:val="auto"/>
              </w:rPr>
            </w:pPr>
            <w:r>
              <w:rPr>
                <w:rFonts w:ascii="Arial" w:cs="Arial" w:eastAsia="Arial" w:hAnsi="Arial"/>
                <w:sz w:val="13"/>
                <w:szCs w:val="13"/>
                <w:color w:val="auto"/>
              </w:rPr>
              <w:t>135,365,381</w:t>
            </w:r>
          </w:p>
        </w:tc>
        <w:tc>
          <w:tcPr>
            <w:tcW w:w="240" w:type="dxa"/>
            <w:vAlign w:val="bottom"/>
            <w:shd w:val="clear" w:color="auto" w:fill="CCECFF"/>
          </w:tcPr>
          <w:p>
            <w:pPr>
              <w:jc w:val="right"/>
              <w:ind w:right="5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CFF"/>
          </w:tcPr>
          <w:p>
            <w:pPr>
              <w:jc w:val="right"/>
              <w:ind w:right="97"/>
              <w:spacing w:after="0"/>
              <w:rPr>
                <w:sz w:val="20"/>
                <w:szCs w:val="20"/>
                <w:color w:val="auto"/>
              </w:rPr>
            </w:pPr>
            <w:r>
              <w:rPr>
                <w:rFonts w:ascii="Arial" w:cs="Arial" w:eastAsia="Arial" w:hAnsi="Arial"/>
                <w:sz w:val="13"/>
                <w:szCs w:val="13"/>
                <w:color w:val="auto"/>
              </w:rPr>
              <w:t>135</w:t>
            </w:r>
          </w:p>
        </w:tc>
        <w:tc>
          <w:tcPr>
            <w:tcW w:w="2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442,887</w:t>
            </w:r>
          </w:p>
        </w:tc>
        <w:tc>
          <w:tcPr>
            <w:tcW w:w="2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CFF"/>
          </w:tcPr>
          <w:p>
            <w:pPr>
              <w:jc w:val="right"/>
              <w:ind w:right="37"/>
              <w:spacing w:after="0"/>
              <w:rPr>
                <w:sz w:val="20"/>
                <w:szCs w:val="20"/>
                <w:color w:val="auto"/>
              </w:rPr>
            </w:pPr>
            <w:r>
              <w:rPr>
                <w:rFonts w:ascii="Arial" w:cs="Arial" w:eastAsia="Arial" w:hAnsi="Arial"/>
                <w:sz w:val="13"/>
                <w:szCs w:val="13"/>
                <w:color w:val="auto"/>
              </w:rPr>
              <w:t>(17,030 )</w:t>
            </w:r>
          </w:p>
        </w:tc>
        <w:tc>
          <w:tcPr>
            <w:tcW w:w="2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CFF"/>
          </w:tcPr>
          <w:p>
            <w:pPr>
              <w:jc w:val="right"/>
              <w:ind w:right="57"/>
              <w:spacing w:after="0"/>
              <w:rPr>
                <w:sz w:val="20"/>
                <w:szCs w:val="20"/>
                <w:color w:val="auto"/>
              </w:rPr>
            </w:pPr>
            <w:r>
              <w:rPr>
                <w:rFonts w:ascii="Arial" w:cs="Arial" w:eastAsia="Arial" w:hAnsi="Arial"/>
                <w:sz w:val="13"/>
                <w:szCs w:val="13"/>
                <w:color w:val="auto"/>
              </w:rPr>
              <w:t>(697 )</w:t>
            </w:r>
          </w:p>
        </w:tc>
        <w:tc>
          <w:tcPr>
            <w:tcW w:w="2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660" w:type="dxa"/>
            <w:vAlign w:val="bottom"/>
            <w:shd w:val="clear" w:color="auto" w:fill="CCECFF"/>
          </w:tcPr>
          <w:p>
            <w:pPr>
              <w:jc w:val="right"/>
              <w:ind w:right="97"/>
              <w:spacing w:after="0"/>
              <w:rPr>
                <w:sz w:val="20"/>
                <w:szCs w:val="20"/>
                <w:color w:val="auto"/>
              </w:rPr>
            </w:pPr>
            <w:r>
              <w:rPr>
                <w:rFonts w:ascii="Arial" w:cs="Arial" w:eastAsia="Arial" w:hAnsi="Arial"/>
                <w:sz w:val="13"/>
                <w:szCs w:val="13"/>
                <w:color w:val="auto"/>
              </w:rPr>
              <w:t>251</w:t>
            </w:r>
          </w:p>
        </w:tc>
        <w:tc>
          <w:tcPr>
            <w:tcW w:w="2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CFF"/>
          </w:tcPr>
          <w:p>
            <w:pPr>
              <w:jc w:val="right"/>
              <w:ind w:right="77"/>
              <w:spacing w:after="0"/>
              <w:rPr>
                <w:sz w:val="20"/>
                <w:szCs w:val="20"/>
                <w:color w:val="auto"/>
              </w:rPr>
            </w:pPr>
            <w:r>
              <w:rPr>
                <w:rFonts w:ascii="Arial" w:cs="Arial" w:eastAsia="Arial" w:hAnsi="Arial"/>
                <w:sz w:val="13"/>
                <w:szCs w:val="13"/>
                <w:color w:val="auto"/>
              </w:rPr>
              <w:t>425,546</w:t>
            </w:r>
          </w:p>
        </w:tc>
        <w:tc>
          <w:tcPr>
            <w:tcW w:w="0" w:type="dxa"/>
            <w:vAlign w:val="bottom"/>
          </w:tcPr>
          <w:p>
            <w:pPr>
              <w:spacing w:after="0"/>
              <w:rPr>
                <w:sz w:val="1"/>
                <w:szCs w:val="1"/>
                <w:color w:val="auto"/>
              </w:rPr>
            </w:pPr>
          </w:p>
        </w:tc>
      </w:tr>
      <w:tr>
        <w:trPr>
          <w:trHeight w:val="134"/>
        </w:trPr>
        <w:tc>
          <w:tcPr>
            <w:tcW w:w="242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3"/>
                <w:szCs w:val="13"/>
                <w:color w:val="auto"/>
                <w:w w:val="94"/>
              </w:rPr>
              <w:t>Shares issued in connection with employee</w:t>
            </w: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stock plans</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283,856</w:t>
            </w:r>
          </w:p>
        </w:tc>
        <w:tc>
          <w:tcPr>
            <w:tcW w:w="240" w:type="dxa"/>
            <w:vAlign w:val="bottom"/>
          </w:tcPr>
          <w:p>
            <w:pPr>
              <w:spacing w:after="0"/>
              <w:rPr>
                <w:sz w:val="14"/>
                <w:szCs w:val="14"/>
                <w:color w:val="auto"/>
              </w:rPr>
            </w:pPr>
          </w:p>
        </w:tc>
        <w:tc>
          <w:tcPr>
            <w:tcW w:w="44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203</w:t>
            </w:r>
          </w:p>
        </w:tc>
        <w:tc>
          <w:tcPr>
            <w:tcW w:w="220" w:type="dxa"/>
            <w:vAlign w:val="bottom"/>
          </w:tcPr>
          <w:p>
            <w:pPr>
              <w:spacing w:after="0"/>
              <w:rPr>
                <w:sz w:val="14"/>
                <w:szCs w:val="14"/>
                <w:color w:val="auto"/>
              </w:rPr>
            </w:pP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136"/>
        </w:trPr>
        <w:tc>
          <w:tcPr>
            <w:tcW w:w="2420" w:type="dxa"/>
            <w:vAlign w:val="bottom"/>
            <w:tcBorders>
              <w:right w:val="single" w:sz="8" w:color="auto"/>
            </w:tcBorders>
            <w:shd w:val="clear" w:color="auto" w:fill="CCECFF"/>
          </w:tcPr>
          <w:p>
            <w:pPr>
              <w:ind w:left="20"/>
              <w:spacing w:after="0" w:line="136" w:lineRule="exact"/>
              <w:rPr>
                <w:sz w:val="20"/>
                <w:szCs w:val="20"/>
                <w:color w:val="auto"/>
              </w:rPr>
            </w:pPr>
            <w:r>
              <w:rPr>
                <w:rFonts w:ascii="Arial" w:cs="Arial" w:eastAsia="Arial" w:hAnsi="Arial"/>
                <w:sz w:val="13"/>
                <w:szCs w:val="13"/>
                <w:color w:val="auto"/>
                <w:w w:val="91"/>
              </w:rPr>
              <w:t>Shares of Common Stock withheld related to</w:t>
            </w:r>
          </w:p>
        </w:tc>
        <w:tc>
          <w:tcPr>
            <w:tcW w:w="10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1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420" w:type="dxa"/>
            <w:vAlign w:val="bottom"/>
            <w:tcBorders>
              <w:right w:val="single" w:sz="8" w:color="auto"/>
            </w:tcBorders>
            <w:shd w:val="clear" w:color="auto" w:fill="CCECFF"/>
          </w:tcPr>
          <w:p>
            <w:pPr>
              <w:ind w:left="20"/>
              <w:spacing w:after="0"/>
              <w:rPr>
                <w:sz w:val="20"/>
                <w:szCs w:val="20"/>
                <w:color w:val="auto"/>
              </w:rPr>
            </w:pPr>
            <w:r>
              <w:rPr>
                <w:rFonts w:ascii="Arial" w:cs="Arial" w:eastAsia="Arial" w:hAnsi="Arial"/>
                <w:sz w:val="13"/>
                <w:szCs w:val="13"/>
                <w:color w:val="auto"/>
              </w:rPr>
              <w:t>net share settlement</w:t>
            </w:r>
          </w:p>
        </w:tc>
        <w:tc>
          <w:tcPr>
            <w:tcW w:w="10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(5,182 )</w:t>
            </w:r>
          </w:p>
        </w:tc>
        <w:tc>
          <w:tcPr>
            <w:tcW w:w="240" w:type="dxa"/>
            <w:vAlign w:val="bottom"/>
            <w:shd w:val="clear" w:color="auto" w:fill="CCECFF"/>
          </w:tcPr>
          <w:p>
            <w:pPr>
              <w:spacing w:after="0"/>
              <w:rPr>
                <w:sz w:val="14"/>
                <w:szCs w:val="14"/>
                <w:color w:val="auto"/>
              </w:rPr>
            </w:pPr>
          </w:p>
        </w:tc>
        <w:tc>
          <w:tcPr>
            <w:tcW w:w="440" w:type="dxa"/>
            <w:vAlign w:val="bottom"/>
            <w:shd w:val="clear" w:color="auto" w:fill="CCEC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ind w:right="37"/>
              <w:spacing w:after="0"/>
              <w:rPr>
                <w:sz w:val="20"/>
                <w:szCs w:val="20"/>
                <w:color w:val="auto"/>
              </w:rPr>
            </w:pPr>
            <w:r>
              <w:rPr>
                <w:rFonts w:ascii="Arial" w:cs="Arial" w:eastAsia="Arial" w:hAnsi="Arial"/>
                <w:sz w:val="13"/>
                <w:szCs w:val="13"/>
                <w:color w:val="auto"/>
              </w:rPr>
              <w:t>(57 )</w:t>
            </w:r>
          </w:p>
        </w:tc>
        <w:tc>
          <w:tcPr>
            <w:tcW w:w="220" w:type="dxa"/>
            <w:vAlign w:val="bottom"/>
            <w:shd w:val="clear" w:color="auto" w:fill="CCECFF"/>
          </w:tcPr>
          <w:p>
            <w:pPr>
              <w:spacing w:after="0"/>
              <w:rPr>
                <w:sz w:val="14"/>
                <w:szCs w:val="14"/>
                <w:color w:val="auto"/>
              </w:rPr>
            </w:pPr>
          </w:p>
        </w:tc>
        <w:tc>
          <w:tcPr>
            <w:tcW w:w="112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122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1660" w:type="dxa"/>
            <w:vAlign w:val="bottom"/>
            <w:shd w:val="clear" w:color="auto" w:fill="CCECFF"/>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CFF"/>
          </w:tcPr>
          <w:p>
            <w:pPr>
              <w:spacing w:after="0"/>
              <w:rPr>
                <w:sz w:val="14"/>
                <w:szCs w:val="14"/>
                <w:color w:val="auto"/>
              </w:rPr>
            </w:pPr>
          </w:p>
        </w:tc>
        <w:tc>
          <w:tcPr>
            <w:tcW w:w="1080" w:type="dxa"/>
            <w:vAlign w:val="bottom"/>
            <w:shd w:val="clear" w:color="auto" w:fill="CCECFF"/>
          </w:tcPr>
          <w:p>
            <w:pPr>
              <w:jc w:val="right"/>
              <w:ind w:right="17"/>
              <w:spacing w:after="0"/>
              <w:rPr>
                <w:sz w:val="20"/>
                <w:szCs w:val="20"/>
                <w:color w:val="auto"/>
              </w:rPr>
            </w:pPr>
            <w:r>
              <w:rPr>
                <w:rFonts w:ascii="Arial" w:cs="Arial" w:eastAsia="Arial" w:hAnsi="Arial"/>
                <w:sz w:val="13"/>
                <w:szCs w:val="13"/>
                <w:color w:val="auto"/>
              </w:rPr>
              <w:t>(57 )</w:t>
            </w:r>
          </w:p>
        </w:tc>
        <w:tc>
          <w:tcPr>
            <w:tcW w:w="0" w:type="dxa"/>
            <w:vAlign w:val="bottom"/>
          </w:tcPr>
          <w:p>
            <w:pPr>
              <w:spacing w:after="0"/>
              <w:rPr>
                <w:sz w:val="1"/>
                <w:szCs w:val="1"/>
                <w:color w:val="auto"/>
              </w:rPr>
            </w:pPr>
          </w:p>
        </w:tc>
      </w:tr>
      <w:tr>
        <w:trPr>
          <w:trHeight w:val="161"/>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Stock-based compensation</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4,699</w:t>
            </w:r>
          </w:p>
        </w:tc>
        <w:tc>
          <w:tcPr>
            <w:tcW w:w="220" w:type="dxa"/>
            <w:vAlign w:val="bottom"/>
          </w:tcPr>
          <w:p>
            <w:pPr>
              <w:spacing w:after="0"/>
              <w:rPr>
                <w:sz w:val="14"/>
                <w:szCs w:val="14"/>
                <w:color w:val="auto"/>
              </w:rPr>
            </w:pP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4,699</w:t>
            </w:r>
          </w:p>
        </w:tc>
        <w:tc>
          <w:tcPr>
            <w:tcW w:w="0" w:type="dxa"/>
            <w:vAlign w:val="bottom"/>
          </w:tcPr>
          <w:p>
            <w:pPr>
              <w:spacing w:after="0"/>
              <w:rPr>
                <w:sz w:val="1"/>
                <w:szCs w:val="1"/>
                <w:color w:val="auto"/>
              </w:rPr>
            </w:pPr>
          </w:p>
        </w:tc>
      </w:tr>
      <w:tr>
        <w:trPr>
          <w:trHeight w:val="163"/>
        </w:trPr>
        <w:tc>
          <w:tcPr>
            <w:tcW w:w="2420" w:type="dxa"/>
            <w:vAlign w:val="bottom"/>
            <w:tcBorders>
              <w:right w:val="single" w:sz="8" w:color="auto"/>
            </w:tcBorders>
            <w:shd w:val="clear" w:color="auto" w:fill="CCECFF"/>
          </w:tcPr>
          <w:p>
            <w:pPr>
              <w:ind w:left="20"/>
              <w:spacing w:after="0"/>
              <w:rPr>
                <w:sz w:val="20"/>
                <w:szCs w:val="20"/>
                <w:color w:val="auto"/>
              </w:rPr>
            </w:pPr>
            <w:r>
              <w:rPr>
                <w:rFonts w:ascii="Arial" w:cs="Arial" w:eastAsia="Arial" w:hAnsi="Arial"/>
                <w:sz w:val="13"/>
                <w:szCs w:val="13"/>
                <w:color w:val="auto"/>
              </w:rPr>
              <w:t>Unrealized gain on marketable securities</w:t>
            </w:r>
          </w:p>
        </w:tc>
        <w:tc>
          <w:tcPr>
            <w:tcW w:w="1080" w:type="dxa"/>
            <w:vAlign w:val="bottom"/>
            <w:shd w:val="clear" w:color="auto" w:fill="CCEC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CFF"/>
          </w:tcPr>
          <w:p>
            <w:pPr>
              <w:spacing w:after="0"/>
              <w:rPr>
                <w:sz w:val="14"/>
                <w:szCs w:val="14"/>
                <w:color w:val="auto"/>
              </w:rPr>
            </w:pPr>
          </w:p>
        </w:tc>
        <w:tc>
          <w:tcPr>
            <w:tcW w:w="440" w:type="dxa"/>
            <w:vAlign w:val="bottom"/>
            <w:shd w:val="clear" w:color="auto" w:fill="CCEC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112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122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152</w:t>
            </w:r>
          </w:p>
        </w:tc>
        <w:tc>
          <w:tcPr>
            <w:tcW w:w="220" w:type="dxa"/>
            <w:vAlign w:val="bottom"/>
            <w:shd w:val="clear" w:color="auto" w:fill="CCECFF"/>
          </w:tcPr>
          <w:p>
            <w:pPr>
              <w:spacing w:after="0"/>
              <w:rPr>
                <w:sz w:val="14"/>
                <w:szCs w:val="14"/>
                <w:color w:val="auto"/>
              </w:rPr>
            </w:pPr>
          </w:p>
        </w:tc>
        <w:tc>
          <w:tcPr>
            <w:tcW w:w="1660" w:type="dxa"/>
            <w:vAlign w:val="bottom"/>
            <w:shd w:val="clear" w:color="auto" w:fill="CCECFF"/>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CFF"/>
          </w:tcPr>
          <w:p>
            <w:pPr>
              <w:spacing w:after="0"/>
              <w:rPr>
                <w:sz w:val="14"/>
                <w:szCs w:val="14"/>
                <w:color w:val="auto"/>
              </w:rPr>
            </w:pPr>
          </w:p>
        </w:tc>
        <w:tc>
          <w:tcPr>
            <w:tcW w:w="1080" w:type="dxa"/>
            <w:vAlign w:val="bottom"/>
            <w:shd w:val="clear" w:color="auto" w:fill="CCECFF"/>
          </w:tcPr>
          <w:p>
            <w:pPr>
              <w:jc w:val="right"/>
              <w:ind w:right="77"/>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34"/>
        </w:trPr>
        <w:tc>
          <w:tcPr>
            <w:tcW w:w="242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3"/>
                <w:szCs w:val="13"/>
                <w:color w:val="auto"/>
                <w:w w:val="93"/>
              </w:rPr>
              <w:t>Foreign currency translation adjustment, net</w:t>
            </w: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of tax</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(42 )</w:t>
            </w:r>
          </w:p>
        </w:tc>
        <w:tc>
          <w:tcPr>
            <w:tcW w:w="220" w:type="dxa"/>
            <w:vAlign w:val="bottom"/>
          </w:tcPr>
          <w:p>
            <w:pPr>
              <w:spacing w:after="0"/>
              <w:rPr>
                <w:sz w:val="14"/>
                <w:szCs w:val="14"/>
                <w:color w:val="auto"/>
              </w:rPr>
            </w:pPr>
          </w:p>
        </w:tc>
        <w:tc>
          <w:tcPr>
            <w:tcW w:w="16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(42 )</w:t>
            </w:r>
          </w:p>
        </w:tc>
        <w:tc>
          <w:tcPr>
            <w:tcW w:w="0" w:type="dxa"/>
            <w:vAlign w:val="bottom"/>
          </w:tcPr>
          <w:p>
            <w:pPr>
              <w:spacing w:after="0"/>
              <w:rPr>
                <w:sz w:val="1"/>
                <w:szCs w:val="1"/>
                <w:color w:val="auto"/>
              </w:rPr>
            </w:pPr>
          </w:p>
        </w:tc>
      </w:tr>
      <w:tr>
        <w:trPr>
          <w:trHeight w:val="163"/>
        </w:trPr>
        <w:tc>
          <w:tcPr>
            <w:tcW w:w="2420" w:type="dxa"/>
            <w:vAlign w:val="bottom"/>
            <w:tcBorders>
              <w:right w:val="single" w:sz="8" w:color="auto"/>
            </w:tcBorders>
            <w:shd w:val="clear" w:color="auto" w:fill="CCECFF"/>
          </w:tcPr>
          <w:p>
            <w:pPr>
              <w:ind w:left="20"/>
              <w:spacing w:after="0"/>
              <w:rPr>
                <w:sz w:val="20"/>
                <w:szCs w:val="20"/>
                <w:color w:val="auto"/>
              </w:rPr>
            </w:pPr>
            <w:r>
              <w:rPr>
                <w:rFonts w:ascii="Arial" w:cs="Arial" w:eastAsia="Arial" w:hAnsi="Arial"/>
                <w:sz w:val="13"/>
                <w:szCs w:val="13"/>
                <w:color w:val="auto"/>
              </w:rPr>
              <w:t>Net loss</w:t>
            </w:r>
          </w:p>
        </w:tc>
        <w:tc>
          <w:tcPr>
            <w:tcW w:w="1080" w:type="dxa"/>
            <w:vAlign w:val="bottom"/>
            <w:shd w:val="clear" w:color="auto" w:fill="CCEC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CFF"/>
          </w:tcPr>
          <w:p>
            <w:pPr>
              <w:spacing w:after="0"/>
              <w:rPr>
                <w:sz w:val="14"/>
                <w:szCs w:val="14"/>
                <w:color w:val="auto"/>
              </w:rPr>
            </w:pPr>
          </w:p>
        </w:tc>
        <w:tc>
          <w:tcPr>
            <w:tcW w:w="440" w:type="dxa"/>
            <w:vAlign w:val="bottom"/>
            <w:shd w:val="clear" w:color="auto" w:fill="CCEC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1120" w:type="dxa"/>
            <w:vAlign w:val="bottom"/>
            <w:shd w:val="clear" w:color="auto" w:fill="CCECFF"/>
          </w:tcPr>
          <w:p>
            <w:pPr>
              <w:jc w:val="right"/>
              <w:ind w:right="37"/>
              <w:spacing w:after="0"/>
              <w:rPr>
                <w:sz w:val="20"/>
                <w:szCs w:val="20"/>
                <w:color w:val="auto"/>
              </w:rPr>
            </w:pPr>
            <w:r>
              <w:rPr>
                <w:rFonts w:ascii="Arial" w:cs="Arial" w:eastAsia="Arial" w:hAnsi="Arial"/>
                <w:sz w:val="13"/>
                <w:szCs w:val="13"/>
                <w:color w:val="auto"/>
              </w:rPr>
              <w:t>(6,807 )</w:t>
            </w:r>
          </w:p>
        </w:tc>
        <w:tc>
          <w:tcPr>
            <w:tcW w:w="220" w:type="dxa"/>
            <w:vAlign w:val="bottom"/>
            <w:shd w:val="clear" w:color="auto" w:fill="CCECFF"/>
          </w:tcPr>
          <w:p>
            <w:pPr>
              <w:spacing w:after="0"/>
              <w:rPr>
                <w:sz w:val="14"/>
                <w:szCs w:val="14"/>
                <w:color w:val="auto"/>
              </w:rPr>
            </w:pPr>
          </w:p>
        </w:tc>
        <w:tc>
          <w:tcPr>
            <w:tcW w:w="122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1660" w:type="dxa"/>
            <w:vAlign w:val="bottom"/>
            <w:shd w:val="clear" w:color="auto" w:fill="CCECFF"/>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CFF"/>
          </w:tcPr>
          <w:p>
            <w:pPr>
              <w:spacing w:after="0"/>
              <w:rPr>
                <w:sz w:val="14"/>
                <w:szCs w:val="14"/>
                <w:color w:val="auto"/>
              </w:rPr>
            </w:pPr>
          </w:p>
        </w:tc>
        <w:tc>
          <w:tcPr>
            <w:tcW w:w="1080" w:type="dxa"/>
            <w:vAlign w:val="bottom"/>
            <w:shd w:val="clear" w:color="auto" w:fill="CCECFF"/>
          </w:tcPr>
          <w:p>
            <w:pPr>
              <w:jc w:val="right"/>
              <w:ind w:right="17"/>
              <w:spacing w:after="0"/>
              <w:rPr>
                <w:sz w:val="20"/>
                <w:szCs w:val="20"/>
                <w:color w:val="auto"/>
              </w:rPr>
            </w:pPr>
            <w:r>
              <w:rPr>
                <w:rFonts w:ascii="Arial" w:cs="Arial" w:eastAsia="Arial" w:hAnsi="Arial"/>
                <w:sz w:val="13"/>
                <w:szCs w:val="13"/>
                <w:color w:val="auto"/>
              </w:rPr>
              <w:t>(6,807 )</w:t>
            </w:r>
          </w:p>
        </w:tc>
        <w:tc>
          <w:tcPr>
            <w:tcW w:w="0" w:type="dxa"/>
            <w:vAlign w:val="bottom"/>
          </w:tcPr>
          <w:p>
            <w:pPr>
              <w:spacing w:after="0"/>
              <w:rPr>
                <w:sz w:val="1"/>
                <w:szCs w:val="1"/>
                <w:color w:val="auto"/>
              </w:rPr>
            </w:pPr>
          </w:p>
        </w:tc>
      </w:tr>
      <w:tr>
        <w:trPr>
          <w:trHeight w:val="162"/>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Noncontrolling interest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16</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(251 )</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(235 )</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CCECFF"/>
              <w:right w:val="single" w:sz="8" w:color="auto"/>
            </w:tcBorders>
            <w:shd w:val="clear" w:color="auto" w:fill="CCECFF"/>
          </w:tcPr>
          <w:p>
            <w:pPr>
              <w:ind w:left="20"/>
              <w:spacing w:after="0"/>
              <w:rPr>
                <w:sz w:val="20"/>
                <w:szCs w:val="20"/>
                <w:color w:val="auto"/>
              </w:rPr>
            </w:pPr>
            <w:r>
              <w:rPr>
                <w:rFonts w:ascii="Arial" w:cs="Arial" w:eastAsia="Arial" w:hAnsi="Arial"/>
                <w:sz w:val="13"/>
                <w:szCs w:val="13"/>
                <w:color w:val="auto"/>
              </w:rPr>
              <w:t>Balances at March 31, 2023</w:t>
            </w:r>
          </w:p>
        </w:tc>
        <w:tc>
          <w:tcPr>
            <w:tcW w:w="1080" w:type="dxa"/>
            <w:vAlign w:val="bottom"/>
            <w:tcBorders>
              <w:bottom w:val="single" w:sz="8" w:color="auto"/>
            </w:tcBorders>
            <w:shd w:val="clear" w:color="auto" w:fill="CCECFF"/>
          </w:tcPr>
          <w:p>
            <w:pPr>
              <w:jc w:val="right"/>
              <w:ind w:right="37"/>
              <w:spacing w:after="0"/>
              <w:rPr>
                <w:sz w:val="20"/>
                <w:szCs w:val="20"/>
                <w:color w:val="auto"/>
              </w:rPr>
            </w:pPr>
            <w:r>
              <w:rPr>
                <w:rFonts w:ascii="Arial" w:cs="Arial" w:eastAsia="Arial" w:hAnsi="Arial"/>
                <w:sz w:val="13"/>
                <w:szCs w:val="13"/>
                <w:color w:val="auto"/>
              </w:rPr>
              <w:t>135,644,055</w:t>
            </w:r>
          </w:p>
        </w:tc>
        <w:tc>
          <w:tcPr>
            <w:tcW w:w="240" w:type="dxa"/>
            <w:vAlign w:val="bottom"/>
            <w:tcBorders>
              <w:bottom w:val="single" w:sz="8" w:color="auto"/>
            </w:tcBorders>
            <w:shd w:val="clear" w:color="auto" w:fill="CCECFF"/>
          </w:tcPr>
          <w:p>
            <w:pPr>
              <w:jc w:val="right"/>
              <w:ind w:right="5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CFF"/>
          </w:tcPr>
          <w:p>
            <w:pPr>
              <w:jc w:val="right"/>
              <w:ind w:right="97"/>
              <w:spacing w:after="0"/>
              <w:rPr>
                <w:sz w:val="20"/>
                <w:szCs w:val="20"/>
                <w:color w:val="auto"/>
              </w:rPr>
            </w:pPr>
            <w:r>
              <w:rPr>
                <w:rFonts w:ascii="Arial" w:cs="Arial" w:eastAsia="Arial" w:hAnsi="Arial"/>
                <w:sz w:val="13"/>
                <w:szCs w:val="13"/>
                <w:color w:val="auto"/>
              </w:rPr>
              <w:t>136</w:t>
            </w:r>
          </w:p>
        </w:tc>
        <w:tc>
          <w:tcPr>
            <w:tcW w:w="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CFF"/>
          </w:tcPr>
          <w:p>
            <w:pPr>
              <w:jc w:val="right"/>
              <w:ind w:right="117"/>
              <w:spacing w:after="0"/>
              <w:rPr>
                <w:sz w:val="20"/>
                <w:szCs w:val="20"/>
                <w:color w:val="auto"/>
              </w:rPr>
            </w:pPr>
            <w:r>
              <w:rPr>
                <w:rFonts w:ascii="Arial" w:cs="Arial" w:eastAsia="Arial" w:hAnsi="Arial"/>
                <w:sz w:val="13"/>
                <w:szCs w:val="13"/>
                <w:color w:val="auto"/>
              </w:rPr>
              <w:t>447,748</w:t>
            </w:r>
          </w:p>
        </w:tc>
        <w:tc>
          <w:tcPr>
            <w:tcW w:w="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CFF"/>
          </w:tcPr>
          <w:p>
            <w:pPr>
              <w:jc w:val="right"/>
              <w:ind w:right="37"/>
              <w:spacing w:after="0"/>
              <w:rPr>
                <w:sz w:val="20"/>
                <w:szCs w:val="20"/>
                <w:color w:val="auto"/>
              </w:rPr>
            </w:pPr>
            <w:r>
              <w:rPr>
                <w:rFonts w:ascii="Arial" w:cs="Arial" w:eastAsia="Arial" w:hAnsi="Arial"/>
                <w:sz w:val="13"/>
                <w:szCs w:val="13"/>
                <w:color w:val="auto"/>
              </w:rPr>
              <w:t>(23,837 )</w:t>
            </w:r>
          </w:p>
        </w:tc>
        <w:tc>
          <w:tcPr>
            <w:tcW w:w="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CFF"/>
          </w:tcPr>
          <w:p>
            <w:pPr>
              <w:jc w:val="right"/>
              <w:ind w:right="57"/>
              <w:spacing w:after="0"/>
              <w:rPr>
                <w:sz w:val="20"/>
                <w:szCs w:val="20"/>
                <w:color w:val="auto"/>
              </w:rPr>
            </w:pPr>
            <w:r>
              <w:rPr>
                <w:rFonts w:ascii="Arial" w:cs="Arial" w:eastAsia="Arial" w:hAnsi="Arial"/>
                <w:sz w:val="13"/>
                <w:szCs w:val="13"/>
                <w:color w:val="auto"/>
              </w:rPr>
              <w:t>(587 )</w:t>
            </w:r>
          </w:p>
        </w:tc>
        <w:tc>
          <w:tcPr>
            <w:tcW w:w="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auto"/>
            </w:tcBorders>
            <w:shd w:val="clear" w:color="auto" w:fill="CCECFF"/>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CFF"/>
          </w:tcPr>
          <w:p>
            <w:pPr>
              <w:jc w:val="right"/>
              <w:ind w:right="77"/>
              <w:spacing w:after="0"/>
              <w:rPr>
                <w:sz w:val="20"/>
                <w:szCs w:val="20"/>
                <w:color w:val="auto"/>
              </w:rPr>
            </w:pPr>
            <w:r>
              <w:rPr>
                <w:rFonts w:ascii="Arial" w:cs="Arial" w:eastAsia="Arial" w:hAnsi="Arial"/>
                <w:sz w:val="13"/>
                <w:szCs w:val="13"/>
                <w:color w:val="auto"/>
              </w:rPr>
              <w:t>423,460</w:t>
            </w:r>
          </w:p>
        </w:tc>
        <w:tc>
          <w:tcPr>
            <w:tcW w:w="0" w:type="dxa"/>
            <w:vAlign w:val="bottom"/>
          </w:tcPr>
          <w:p>
            <w:pPr>
              <w:spacing w:after="0"/>
              <w:rPr>
                <w:sz w:val="1"/>
                <w:szCs w:val="1"/>
                <w:color w:val="auto"/>
              </w:rPr>
            </w:pPr>
          </w:p>
        </w:tc>
      </w:tr>
      <w:tr>
        <w:trPr>
          <w:trHeight w:val="115"/>
        </w:trPr>
        <w:tc>
          <w:tcPr>
            <w:tcW w:w="2420" w:type="dxa"/>
            <w:vAlign w:val="bottom"/>
            <w:tcBorders>
              <w:right w:val="single" w:sz="8" w:color="auto"/>
            </w:tcBorders>
          </w:tcPr>
          <w:p>
            <w:pPr>
              <w:ind w:left="20"/>
              <w:spacing w:after="0" w:line="115" w:lineRule="exact"/>
              <w:rPr>
                <w:sz w:val="20"/>
                <w:szCs w:val="20"/>
                <w:color w:val="auto"/>
              </w:rPr>
            </w:pPr>
            <w:r>
              <w:rPr>
                <w:rFonts w:ascii="Arial" w:cs="Arial" w:eastAsia="Arial" w:hAnsi="Arial"/>
                <w:sz w:val="13"/>
                <w:szCs w:val="13"/>
                <w:color w:val="auto"/>
                <w:w w:val="94"/>
              </w:rPr>
              <w:t>Shares issued in connection with employee</w:t>
            </w: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stock plans</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697,670</w:t>
            </w:r>
          </w:p>
        </w:tc>
        <w:tc>
          <w:tcPr>
            <w:tcW w:w="240" w:type="dxa"/>
            <w:vAlign w:val="bottom"/>
          </w:tcPr>
          <w:p>
            <w:pPr>
              <w:spacing w:after="0"/>
              <w:rPr>
                <w:sz w:val="14"/>
                <w:szCs w:val="14"/>
                <w:color w:val="auto"/>
              </w:rPr>
            </w:pPr>
          </w:p>
        </w:tc>
        <w:tc>
          <w:tcPr>
            <w:tcW w:w="4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483</w:t>
            </w:r>
          </w:p>
        </w:tc>
        <w:tc>
          <w:tcPr>
            <w:tcW w:w="220" w:type="dxa"/>
            <w:vAlign w:val="bottom"/>
          </w:tcPr>
          <w:p>
            <w:pPr>
              <w:spacing w:after="0"/>
              <w:rPr>
                <w:sz w:val="14"/>
                <w:szCs w:val="14"/>
                <w:color w:val="auto"/>
              </w:rPr>
            </w:pP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483</w:t>
            </w:r>
          </w:p>
        </w:tc>
        <w:tc>
          <w:tcPr>
            <w:tcW w:w="0" w:type="dxa"/>
            <w:vAlign w:val="bottom"/>
          </w:tcPr>
          <w:p>
            <w:pPr>
              <w:spacing w:after="0"/>
              <w:rPr>
                <w:sz w:val="1"/>
                <w:szCs w:val="1"/>
                <w:color w:val="auto"/>
              </w:rPr>
            </w:pPr>
          </w:p>
        </w:tc>
      </w:tr>
      <w:tr>
        <w:trPr>
          <w:trHeight w:val="163"/>
        </w:trPr>
        <w:tc>
          <w:tcPr>
            <w:tcW w:w="2420" w:type="dxa"/>
            <w:vAlign w:val="bottom"/>
            <w:tcBorders>
              <w:right w:val="single" w:sz="8" w:color="auto"/>
            </w:tcBorders>
            <w:shd w:val="clear" w:color="auto" w:fill="CCECFF"/>
          </w:tcPr>
          <w:p>
            <w:pPr>
              <w:ind w:left="20"/>
              <w:spacing w:after="0"/>
              <w:rPr>
                <w:sz w:val="20"/>
                <w:szCs w:val="20"/>
                <w:color w:val="auto"/>
              </w:rPr>
            </w:pPr>
            <w:r>
              <w:rPr>
                <w:rFonts w:ascii="Arial" w:cs="Arial" w:eastAsia="Arial" w:hAnsi="Arial"/>
                <w:sz w:val="13"/>
                <w:szCs w:val="13"/>
                <w:color w:val="auto"/>
                <w:w w:val="87"/>
              </w:rPr>
              <w:t>Proceeds from Employee Stock Purchase Plan</w:t>
            </w:r>
          </w:p>
        </w:tc>
        <w:tc>
          <w:tcPr>
            <w:tcW w:w="1080" w:type="dxa"/>
            <w:vAlign w:val="bottom"/>
            <w:shd w:val="clear" w:color="auto" w:fill="CCECFF"/>
          </w:tcPr>
          <w:p>
            <w:pPr>
              <w:jc w:val="right"/>
              <w:ind w:right="37"/>
              <w:spacing w:after="0"/>
              <w:rPr>
                <w:sz w:val="20"/>
                <w:szCs w:val="20"/>
                <w:color w:val="auto"/>
              </w:rPr>
            </w:pPr>
            <w:r>
              <w:rPr>
                <w:rFonts w:ascii="Arial" w:cs="Arial" w:eastAsia="Arial" w:hAnsi="Arial"/>
                <w:sz w:val="13"/>
                <w:szCs w:val="13"/>
                <w:color w:val="auto"/>
              </w:rPr>
              <w:t>145,569</w:t>
            </w:r>
          </w:p>
        </w:tc>
        <w:tc>
          <w:tcPr>
            <w:tcW w:w="240" w:type="dxa"/>
            <w:vAlign w:val="bottom"/>
            <w:shd w:val="clear" w:color="auto" w:fill="CCECFF"/>
          </w:tcPr>
          <w:p>
            <w:pPr>
              <w:spacing w:after="0"/>
              <w:rPr>
                <w:sz w:val="14"/>
                <w:szCs w:val="14"/>
                <w:color w:val="auto"/>
              </w:rPr>
            </w:pPr>
          </w:p>
        </w:tc>
        <w:tc>
          <w:tcPr>
            <w:tcW w:w="440" w:type="dxa"/>
            <w:vAlign w:val="bottom"/>
            <w:shd w:val="clear" w:color="auto" w:fill="CCEC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966</w:t>
            </w:r>
          </w:p>
        </w:tc>
        <w:tc>
          <w:tcPr>
            <w:tcW w:w="220" w:type="dxa"/>
            <w:vAlign w:val="bottom"/>
            <w:shd w:val="clear" w:color="auto" w:fill="CCECFF"/>
          </w:tcPr>
          <w:p>
            <w:pPr>
              <w:spacing w:after="0"/>
              <w:rPr>
                <w:sz w:val="14"/>
                <w:szCs w:val="14"/>
                <w:color w:val="auto"/>
              </w:rPr>
            </w:pPr>
          </w:p>
        </w:tc>
        <w:tc>
          <w:tcPr>
            <w:tcW w:w="112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122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1660" w:type="dxa"/>
            <w:vAlign w:val="bottom"/>
            <w:shd w:val="clear" w:color="auto" w:fill="CCECFF"/>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CFF"/>
          </w:tcPr>
          <w:p>
            <w:pPr>
              <w:spacing w:after="0"/>
              <w:rPr>
                <w:sz w:val="14"/>
                <w:szCs w:val="14"/>
                <w:color w:val="auto"/>
              </w:rPr>
            </w:pPr>
          </w:p>
        </w:tc>
        <w:tc>
          <w:tcPr>
            <w:tcW w:w="1080" w:type="dxa"/>
            <w:vAlign w:val="bottom"/>
            <w:shd w:val="clear" w:color="auto" w:fill="CCECFF"/>
          </w:tcPr>
          <w:p>
            <w:pPr>
              <w:jc w:val="right"/>
              <w:ind w:right="77"/>
              <w:spacing w:after="0"/>
              <w:rPr>
                <w:sz w:val="20"/>
                <w:szCs w:val="20"/>
                <w:color w:val="auto"/>
              </w:rPr>
            </w:pPr>
            <w:r>
              <w:rPr>
                <w:rFonts w:ascii="Arial" w:cs="Arial" w:eastAsia="Arial" w:hAnsi="Arial"/>
                <w:sz w:val="13"/>
                <w:szCs w:val="13"/>
                <w:color w:val="auto"/>
              </w:rPr>
              <w:t>966</w:t>
            </w:r>
          </w:p>
        </w:tc>
        <w:tc>
          <w:tcPr>
            <w:tcW w:w="0" w:type="dxa"/>
            <w:vAlign w:val="bottom"/>
          </w:tcPr>
          <w:p>
            <w:pPr>
              <w:spacing w:after="0"/>
              <w:rPr>
                <w:sz w:val="1"/>
                <w:szCs w:val="1"/>
                <w:color w:val="auto"/>
              </w:rPr>
            </w:pPr>
          </w:p>
        </w:tc>
      </w:tr>
      <w:tr>
        <w:trPr>
          <w:trHeight w:val="134"/>
        </w:trPr>
        <w:tc>
          <w:tcPr>
            <w:tcW w:w="242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3"/>
                <w:szCs w:val="13"/>
                <w:color w:val="auto"/>
                <w:w w:val="91"/>
              </w:rPr>
              <w:t>Shares of Common Stock withheld related to</w:t>
            </w: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net share settlement</w:t>
            </w:r>
          </w:p>
        </w:tc>
        <w:tc>
          <w:tcPr>
            <w:tcW w:w="1080" w:type="dxa"/>
            <w:vAlign w:val="bottom"/>
          </w:tcPr>
          <w:p>
            <w:pPr>
              <w:jc w:val="right"/>
              <w:spacing w:after="0"/>
              <w:rPr>
                <w:sz w:val="20"/>
                <w:szCs w:val="20"/>
                <w:color w:val="auto"/>
              </w:rPr>
            </w:pPr>
            <w:r>
              <w:rPr>
                <w:rFonts w:ascii="Arial" w:cs="Arial" w:eastAsia="Arial" w:hAnsi="Arial"/>
                <w:sz w:val="13"/>
                <w:szCs w:val="13"/>
                <w:color w:val="auto"/>
              </w:rPr>
              <w:t>(16,604 )</w:t>
            </w:r>
          </w:p>
        </w:tc>
        <w:tc>
          <w:tcPr>
            <w:tcW w:w="240" w:type="dxa"/>
            <w:vAlign w:val="bottom"/>
          </w:tcPr>
          <w:p>
            <w:pPr>
              <w:spacing w:after="0"/>
              <w:rPr>
                <w:sz w:val="14"/>
                <w:szCs w:val="14"/>
                <w:color w:val="auto"/>
              </w:rPr>
            </w:pPr>
          </w:p>
        </w:tc>
        <w:tc>
          <w:tcPr>
            <w:tcW w:w="4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(111 )</w:t>
            </w:r>
          </w:p>
        </w:tc>
        <w:tc>
          <w:tcPr>
            <w:tcW w:w="220" w:type="dxa"/>
            <w:vAlign w:val="bottom"/>
          </w:tcPr>
          <w:p>
            <w:pPr>
              <w:spacing w:after="0"/>
              <w:rPr>
                <w:sz w:val="14"/>
                <w:szCs w:val="14"/>
                <w:color w:val="auto"/>
              </w:rPr>
            </w:pP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(111 )</w:t>
            </w:r>
          </w:p>
        </w:tc>
        <w:tc>
          <w:tcPr>
            <w:tcW w:w="0" w:type="dxa"/>
            <w:vAlign w:val="bottom"/>
          </w:tcPr>
          <w:p>
            <w:pPr>
              <w:spacing w:after="0"/>
              <w:rPr>
                <w:sz w:val="1"/>
                <w:szCs w:val="1"/>
                <w:color w:val="auto"/>
              </w:rPr>
            </w:pPr>
          </w:p>
        </w:tc>
      </w:tr>
      <w:tr>
        <w:trPr>
          <w:trHeight w:val="163"/>
        </w:trPr>
        <w:tc>
          <w:tcPr>
            <w:tcW w:w="2420" w:type="dxa"/>
            <w:vAlign w:val="bottom"/>
            <w:tcBorders>
              <w:right w:val="single" w:sz="8" w:color="auto"/>
            </w:tcBorders>
            <w:shd w:val="clear" w:color="auto" w:fill="CCECFF"/>
          </w:tcPr>
          <w:p>
            <w:pPr>
              <w:ind w:left="20"/>
              <w:spacing w:after="0"/>
              <w:rPr>
                <w:sz w:val="20"/>
                <w:szCs w:val="20"/>
                <w:color w:val="auto"/>
              </w:rPr>
            </w:pPr>
            <w:r>
              <w:rPr>
                <w:rFonts w:ascii="Arial" w:cs="Arial" w:eastAsia="Arial" w:hAnsi="Arial"/>
                <w:sz w:val="13"/>
                <w:szCs w:val="13"/>
                <w:color w:val="auto"/>
              </w:rPr>
              <w:t>Repurchase of shares</w:t>
            </w:r>
          </w:p>
        </w:tc>
        <w:tc>
          <w:tcPr>
            <w:tcW w:w="10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(125,782 )</w:t>
            </w:r>
          </w:p>
        </w:tc>
        <w:tc>
          <w:tcPr>
            <w:tcW w:w="240" w:type="dxa"/>
            <w:vAlign w:val="bottom"/>
            <w:shd w:val="clear" w:color="auto" w:fill="CCECFF"/>
          </w:tcPr>
          <w:p>
            <w:pPr>
              <w:spacing w:after="0"/>
              <w:rPr>
                <w:sz w:val="14"/>
                <w:szCs w:val="14"/>
                <w:color w:val="auto"/>
              </w:rPr>
            </w:pPr>
          </w:p>
        </w:tc>
        <w:tc>
          <w:tcPr>
            <w:tcW w:w="440" w:type="dxa"/>
            <w:vAlign w:val="bottom"/>
            <w:shd w:val="clear" w:color="auto" w:fill="CCEC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ind w:right="37"/>
              <w:spacing w:after="0"/>
              <w:rPr>
                <w:sz w:val="20"/>
                <w:szCs w:val="20"/>
                <w:color w:val="auto"/>
              </w:rPr>
            </w:pPr>
            <w:r>
              <w:rPr>
                <w:rFonts w:ascii="Arial" w:cs="Arial" w:eastAsia="Arial" w:hAnsi="Arial"/>
                <w:sz w:val="13"/>
                <w:szCs w:val="13"/>
                <w:color w:val="auto"/>
              </w:rPr>
              <w:t>(981 )</w:t>
            </w:r>
          </w:p>
        </w:tc>
        <w:tc>
          <w:tcPr>
            <w:tcW w:w="220" w:type="dxa"/>
            <w:vAlign w:val="bottom"/>
            <w:shd w:val="clear" w:color="auto" w:fill="CCECFF"/>
          </w:tcPr>
          <w:p>
            <w:pPr>
              <w:spacing w:after="0"/>
              <w:rPr>
                <w:sz w:val="14"/>
                <w:szCs w:val="14"/>
                <w:color w:val="auto"/>
              </w:rPr>
            </w:pPr>
          </w:p>
        </w:tc>
        <w:tc>
          <w:tcPr>
            <w:tcW w:w="112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122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1660" w:type="dxa"/>
            <w:vAlign w:val="bottom"/>
            <w:shd w:val="clear" w:color="auto" w:fill="CCECFF"/>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CFF"/>
          </w:tcPr>
          <w:p>
            <w:pPr>
              <w:spacing w:after="0"/>
              <w:rPr>
                <w:sz w:val="14"/>
                <w:szCs w:val="14"/>
                <w:color w:val="auto"/>
              </w:rPr>
            </w:pPr>
          </w:p>
        </w:tc>
        <w:tc>
          <w:tcPr>
            <w:tcW w:w="1080" w:type="dxa"/>
            <w:vAlign w:val="bottom"/>
            <w:shd w:val="clear" w:color="auto" w:fill="CCECFF"/>
          </w:tcPr>
          <w:p>
            <w:pPr>
              <w:jc w:val="right"/>
              <w:ind w:right="17"/>
              <w:spacing w:after="0"/>
              <w:rPr>
                <w:sz w:val="20"/>
                <w:szCs w:val="20"/>
                <w:color w:val="auto"/>
              </w:rPr>
            </w:pPr>
            <w:r>
              <w:rPr>
                <w:rFonts w:ascii="Arial" w:cs="Arial" w:eastAsia="Arial" w:hAnsi="Arial"/>
                <w:sz w:val="13"/>
                <w:szCs w:val="13"/>
                <w:color w:val="auto"/>
              </w:rPr>
              <w:t>(981 )</w:t>
            </w:r>
          </w:p>
        </w:tc>
        <w:tc>
          <w:tcPr>
            <w:tcW w:w="0" w:type="dxa"/>
            <w:vAlign w:val="bottom"/>
          </w:tcPr>
          <w:p>
            <w:pPr>
              <w:spacing w:after="0"/>
              <w:rPr>
                <w:sz w:val="1"/>
                <w:szCs w:val="1"/>
                <w:color w:val="auto"/>
              </w:rPr>
            </w:pPr>
          </w:p>
        </w:tc>
      </w:tr>
      <w:tr>
        <w:trPr>
          <w:trHeight w:val="161"/>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Stock-based compensation</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5,922</w:t>
            </w:r>
          </w:p>
        </w:tc>
        <w:tc>
          <w:tcPr>
            <w:tcW w:w="220" w:type="dxa"/>
            <w:vAlign w:val="bottom"/>
          </w:tcPr>
          <w:p>
            <w:pPr>
              <w:spacing w:after="0"/>
              <w:rPr>
                <w:sz w:val="14"/>
                <w:szCs w:val="14"/>
                <w:color w:val="auto"/>
              </w:rPr>
            </w:pP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5,922</w:t>
            </w:r>
          </w:p>
        </w:tc>
        <w:tc>
          <w:tcPr>
            <w:tcW w:w="0" w:type="dxa"/>
            <w:vAlign w:val="bottom"/>
          </w:tcPr>
          <w:p>
            <w:pPr>
              <w:spacing w:after="0"/>
              <w:rPr>
                <w:sz w:val="1"/>
                <w:szCs w:val="1"/>
                <w:color w:val="auto"/>
              </w:rPr>
            </w:pPr>
          </w:p>
        </w:tc>
      </w:tr>
      <w:tr>
        <w:trPr>
          <w:trHeight w:val="163"/>
        </w:trPr>
        <w:tc>
          <w:tcPr>
            <w:tcW w:w="2420" w:type="dxa"/>
            <w:vAlign w:val="bottom"/>
            <w:tcBorders>
              <w:right w:val="single" w:sz="8" w:color="auto"/>
            </w:tcBorders>
            <w:shd w:val="clear" w:color="auto" w:fill="CCECFF"/>
          </w:tcPr>
          <w:p>
            <w:pPr>
              <w:ind w:left="20"/>
              <w:spacing w:after="0"/>
              <w:rPr>
                <w:sz w:val="20"/>
                <w:szCs w:val="20"/>
                <w:color w:val="auto"/>
              </w:rPr>
            </w:pPr>
            <w:r>
              <w:rPr>
                <w:rFonts w:ascii="Arial" w:cs="Arial" w:eastAsia="Arial" w:hAnsi="Arial"/>
                <w:sz w:val="13"/>
                <w:szCs w:val="13"/>
                <w:color w:val="auto"/>
              </w:rPr>
              <w:t>Unrealized loss on marketable securities</w:t>
            </w:r>
          </w:p>
        </w:tc>
        <w:tc>
          <w:tcPr>
            <w:tcW w:w="1080" w:type="dxa"/>
            <w:vAlign w:val="bottom"/>
            <w:shd w:val="clear" w:color="auto" w:fill="CCEC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CFF"/>
          </w:tcPr>
          <w:p>
            <w:pPr>
              <w:spacing w:after="0"/>
              <w:rPr>
                <w:sz w:val="14"/>
                <w:szCs w:val="14"/>
                <w:color w:val="auto"/>
              </w:rPr>
            </w:pPr>
          </w:p>
        </w:tc>
        <w:tc>
          <w:tcPr>
            <w:tcW w:w="440" w:type="dxa"/>
            <w:vAlign w:val="bottom"/>
            <w:shd w:val="clear" w:color="auto" w:fill="CCEC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112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1220" w:type="dxa"/>
            <w:vAlign w:val="bottom"/>
            <w:shd w:val="clear" w:color="auto" w:fill="CCECFF"/>
          </w:tcPr>
          <w:p>
            <w:pPr>
              <w:jc w:val="right"/>
              <w:ind w:right="57"/>
              <w:spacing w:after="0"/>
              <w:rPr>
                <w:sz w:val="20"/>
                <w:szCs w:val="20"/>
                <w:color w:val="auto"/>
              </w:rPr>
            </w:pPr>
            <w:r>
              <w:rPr>
                <w:rFonts w:ascii="Arial" w:cs="Arial" w:eastAsia="Arial" w:hAnsi="Arial"/>
                <w:sz w:val="13"/>
                <w:szCs w:val="13"/>
                <w:color w:val="auto"/>
              </w:rPr>
              <w:t>(192 )</w:t>
            </w:r>
          </w:p>
        </w:tc>
        <w:tc>
          <w:tcPr>
            <w:tcW w:w="220" w:type="dxa"/>
            <w:vAlign w:val="bottom"/>
            <w:shd w:val="clear" w:color="auto" w:fill="CCECFF"/>
          </w:tcPr>
          <w:p>
            <w:pPr>
              <w:spacing w:after="0"/>
              <w:rPr>
                <w:sz w:val="14"/>
                <w:szCs w:val="14"/>
                <w:color w:val="auto"/>
              </w:rPr>
            </w:pPr>
          </w:p>
        </w:tc>
        <w:tc>
          <w:tcPr>
            <w:tcW w:w="1660" w:type="dxa"/>
            <w:vAlign w:val="bottom"/>
            <w:shd w:val="clear" w:color="auto" w:fill="CCECFF"/>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CFF"/>
          </w:tcPr>
          <w:p>
            <w:pPr>
              <w:spacing w:after="0"/>
              <w:rPr>
                <w:sz w:val="14"/>
                <w:szCs w:val="14"/>
                <w:color w:val="auto"/>
              </w:rPr>
            </w:pPr>
          </w:p>
        </w:tc>
        <w:tc>
          <w:tcPr>
            <w:tcW w:w="1080" w:type="dxa"/>
            <w:vAlign w:val="bottom"/>
            <w:shd w:val="clear" w:color="auto" w:fill="CCECFF"/>
          </w:tcPr>
          <w:p>
            <w:pPr>
              <w:jc w:val="right"/>
              <w:ind w:right="17"/>
              <w:spacing w:after="0"/>
              <w:rPr>
                <w:sz w:val="20"/>
                <w:szCs w:val="20"/>
                <w:color w:val="auto"/>
              </w:rPr>
            </w:pPr>
            <w:r>
              <w:rPr>
                <w:rFonts w:ascii="Arial" w:cs="Arial" w:eastAsia="Arial" w:hAnsi="Arial"/>
                <w:sz w:val="13"/>
                <w:szCs w:val="13"/>
                <w:color w:val="auto"/>
              </w:rPr>
              <w:t>(192 )</w:t>
            </w:r>
          </w:p>
        </w:tc>
        <w:tc>
          <w:tcPr>
            <w:tcW w:w="0" w:type="dxa"/>
            <w:vAlign w:val="bottom"/>
          </w:tcPr>
          <w:p>
            <w:pPr>
              <w:spacing w:after="0"/>
              <w:rPr>
                <w:sz w:val="1"/>
                <w:szCs w:val="1"/>
                <w:color w:val="auto"/>
              </w:rPr>
            </w:pPr>
          </w:p>
        </w:tc>
      </w:tr>
      <w:tr>
        <w:trPr>
          <w:trHeight w:val="134"/>
        </w:trPr>
        <w:tc>
          <w:tcPr>
            <w:tcW w:w="242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3"/>
                <w:szCs w:val="13"/>
                <w:color w:val="auto"/>
                <w:w w:val="93"/>
              </w:rPr>
              <w:t>Foreign currency translation adjustment, net</w:t>
            </w: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of tax</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(980 )</w:t>
            </w:r>
          </w:p>
        </w:tc>
        <w:tc>
          <w:tcPr>
            <w:tcW w:w="220" w:type="dxa"/>
            <w:vAlign w:val="bottom"/>
          </w:tcPr>
          <w:p>
            <w:pPr>
              <w:spacing w:after="0"/>
              <w:rPr>
                <w:sz w:val="14"/>
                <w:szCs w:val="14"/>
                <w:color w:val="auto"/>
              </w:rPr>
            </w:pPr>
          </w:p>
        </w:tc>
        <w:tc>
          <w:tcPr>
            <w:tcW w:w="16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(980 )</w:t>
            </w:r>
          </w:p>
        </w:tc>
        <w:tc>
          <w:tcPr>
            <w:tcW w:w="0" w:type="dxa"/>
            <w:vAlign w:val="bottom"/>
          </w:tcPr>
          <w:p>
            <w:pPr>
              <w:spacing w:after="0"/>
              <w:rPr>
                <w:sz w:val="1"/>
                <w:szCs w:val="1"/>
                <w:color w:val="auto"/>
              </w:rPr>
            </w:pPr>
          </w:p>
        </w:tc>
      </w:tr>
      <w:tr>
        <w:trPr>
          <w:trHeight w:val="163"/>
        </w:trPr>
        <w:tc>
          <w:tcPr>
            <w:tcW w:w="2420" w:type="dxa"/>
            <w:vAlign w:val="bottom"/>
            <w:tcBorders>
              <w:bottom w:val="single" w:sz="8" w:color="CCECFF"/>
              <w:right w:val="single" w:sz="8" w:color="auto"/>
            </w:tcBorders>
            <w:shd w:val="clear" w:color="auto" w:fill="CCECFF"/>
          </w:tcPr>
          <w:p>
            <w:pPr>
              <w:ind w:left="20"/>
              <w:spacing w:after="0"/>
              <w:rPr>
                <w:sz w:val="20"/>
                <w:szCs w:val="20"/>
                <w:color w:val="auto"/>
              </w:rPr>
            </w:pPr>
            <w:r>
              <w:rPr>
                <w:rFonts w:ascii="Arial" w:cs="Arial" w:eastAsia="Arial" w:hAnsi="Arial"/>
                <w:sz w:val="13"/>
                <w:szCs w:val="13"/>
                <w:color w:val="auto"/>
              </w:rPr>
              <w:t>Net loss</w:t>
            </w:r>
          </w:p>
        </w:tc>
        <w:tc>
          <w:tcPr>
            <w:tcW w:w="1080" w:type="dxa"/>
            <w:vAlign w:val="bottom"/>
            <w:tcBorders>
              <w:bottom w:val="single" w:sz="8" w:color="auto"/>
            </w:tcBorders>
            <w:shd w:val="clear" w:color="auto" w:fill="CCECFF"/>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CFF"/>
          </w:tcPr>
          <w:p>
            <w:pPr>
              <w:spacing w:after="0"/>
              <w:rPr>
                <w:sz w:val="14"/>
                <w:szCs w:val="14"/>
                <w:color w:val="auto"/>
              </w:rPr>
            </w:pPr>
          </w:p>
        </w:tc>
        <w:tc>
          <w:tcPr>
            <w:tcW w:w="440" w:type="dxa"/>
            <w:vAlign w:val="bottom"/>
            <w:tcBorders>
              <w:bottom w:val="single" w:sz="8" w:color="auto"/>
            </w:tcBorders>
            <w:shd w:val="clear" w:color="auto" w:fill="CCEC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CFF"/>
          </w:tcPr>
          <w:p>
            <w:pPr>
              <w:spacing w:after="0"/>
              <w:rPr>
                <w:sz w:val="14"/>
                <w:szCs w:val="14"/>
                <w:color w:val="auto"/>
              </w:rPr>
            </w:pPr>
          </w:p>
        </w:tc>
        <w:tc>
          <w:tcPr>
            <w:tcW w:w="860" w:type="dxa"/>
            <w:vAlign w:val="bottom"/>
            <w:tcBorders>
              <w:bottom w:val="single" w:sz="8" w:color="auto"/>
            </w:tcBorders>
            <w:shd w:val="clear" w:color="auto" w:fill="CCECFF"/>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ind w:right="37"/>
              <w:spacing w:after="0"/>
              <w:rPr>
                <w:sz w:val="20"/>
                <w:szCs w:val="20"/>
                <w:color w:val="auto"/>
              </w:rPr>
            </w:pPr>
            <w:r>
              <w:rPr>
                <w:rFonts w:ascii="Arial" w:cs="Arial" w:eastAsia="Arial" w:hAnsi="Arial"/>
                <w:sz w:val="13"/>
                <w:szCs w:val="13"/>
                <w:color w:val="auto"/>
              </w:rPr>
              <w:t>(4,388 )</w:t>
            </w:r>
          </w:p>
        </w:tc>
        <w:tc>
          <w:tcPr>
            <w:tcW w:w="22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CFF"/>
          </w:tcPr>
          <w:p>
            <w:pPr>
              <w:spacing w:after="0"/>
              <w:rPr>
                <w:sz w:val="14"/>
                <w:szCs w:val="14"/>
                <w:color w:val="auto"/>
              </w:rPr>
            </w:pPr>
          </w:p>
        </w:tc>
        <w:tc>
          <w:tcPr>
            <w:tcW w:w="1660" w:type="dxa"/>
            <w:vAlign w:val="bottom"/>
            <w:tcBorders>
              <w:bottom w:val="single" w:sz="8" w:color="auto"/>
            </w:tcBorders>
            <w:shd w:val="clear" w:color="auto" w:fill="CCECFF"/>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jc w:val="right"/>
              <w:ind w:right="17"/>
              <w:spacing w:after="0"/>
              <w:rPr>
                <w:sz w:val="20"/>
                <w:szCs w:val="20"/>
                <w:color w:val="auto"/>
              </w:rPr>
            </w:pPr>
            <w:r>
              <w:rPr>
                <w:rFonts w:ascii="Arial" w:cs="Arial" w:eastAsia="Arial" w:hAnsi="Arial"/>
                <w:sz w:val="13"/>
                <w:szCs w:val="13"/>
                <w:color w:val="auto"/>
              </w:rPr>
              <w:t>(4,388 )</w:t>
            </w:r>
          </w:p>
        </w:tc>
        <w:tc>
          <w:tcPr>
            <w:tcW w:w="0" w:type="dxa"/>
            <w:vAlign w:val="bottom"/>
          </w:tcPr>
          <w:p>
            <w:pPr>
              <w:spacing w:after="0"/>
              <w:rPr>
                <w:sz w:val="1"/>
                <w:szCs w:val="1"/>
                <w:color w:val="auto"/>
              </w:rPr>
            </w:pPr>
          </w:p>
        </w:tc>
      </w:tr>
      <w:tr>
        <w:trPr>
          <w:trHeight w:val="155"/>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Balances at June 30, 2023</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136,344,908</w:t>
            </w: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454,027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(28,225 )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(1,759 )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424,179</w:t>
            </w:r>
          </w:p>
        </w:tc>
        <w:tc>
          <w:tcPr>
            <w:tcW w:w="0" w:type="dxa"/>
            <w:vAlign w:val="bottom"/>
          </w:tcPr>
          <w:p>
            <w:pPr>
              <w:spacing w:after="0"/>
              <w:rPr>
                <w:sz w:val="1"/>
                <w:szCs w:val="1"/>
                <w:color w:val="auto"/>
              </w:rPr>
            </w:pPr>
          </w:p>
        </w:tc>
      </w:tr>
      <w:tr>
        <w:trPr>
          <w:trHeight w:val="20"/>
        </w:trPr>
        <w:tc>
          <w:tcPr>
            <w:tcW w:w="2420" w:type="dxa"/>
            <w:vAlign w:val="bottom"/>
            <w:tcBorders>
              <w:right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Borders>
              <w:right w:val="single" w:sz="8" w:color="auto"/>
            </w:tcBorders>
          </w:tcPr>
          <w:p>
            <w:pPr>
              <w:spacing w:after="0"/>
              <w:rPr>
                <w:sz w:val="14"/>
                <w:szCs w:val="14"/>
                <w:color w:val="auto"/>
              </w:rPr>
            </w:pPr>
          </w:p>
        </w:tc>
        <w:tc>
          <w:tcPr>
            <w:tcW w:w="1320" w:type="dxa"/>
            <w:vAlign w:val="bottom"/>
            <w:gridSpan w:val="2"/>
            <w:vMerge w:val="restart"/>
          </w:tcPr>
          <w:p>
            <w:pPr>
              <w:jc w:val="right"/>
              <w:ind w:right="37"/>
              <w:spacing w:after="0"/>
              <w:rPr>
                <w:sz w:val="20"/>
                <w:szCs w:val="20"/>
                <w:color w:val="auto"/>
              </w:rPr>
            </w:pPr>
            <w:r>
              <w:rPr>
                <w:rFonts w:ascii="Arial" w:cs="Arial" w:eastAsia="Arial" w:hAnsi="Arial"/>
                <w:sz w:val="13"/>
                <w:szCs w:val="13"/>
                <w:b w:val="1"/>
                <w:bCs w:val="1"/>
                <w:color w:val="auto"/>
              </w:rPr>
              <w:t>Common stock</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77"/>
              <w:spacing w:after="0"/>
              <w:rPr>
                <w:sz w:val="20"/>
                <w:szCs w:val="20"/>
                <w:color w:val="auto"/>
              </w:rPr>
            </w:pPr>
            <w:r>
              <w:rPr>
                <w:rFonts w:ascii="Arial" w:cs="Arial" w:eastAsia="Arial" w:hAnsi="Arial"/>
                <w:sz w:val="13"/>
                <w:szCs w:val="13"/>
                <w:b w:val="1"/>
                <w:bCs w:val="1"/>
                <w:color w:val="auto"/>
                <w:w w:val="91"/>
              </w:rPr>
              <w:t>Additional</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Accumulated other</w:t>
            </w:r>
          </w:p>
        </w:tc>
        <w:tc>
          <w:tcPr>
            <w:tcW w:w="220" w:type="dxa"/>
            <w:vAlign w:val="bottom"/>
          </w:tcPr>
          <w:p>
            <w:pPr>
              <w:spacing w:after="0"/>
              <w:rPr>
                <w:sz w:val="14"/>
                <w:szCs w:val="14"/>
                <w:color w:val="auto"/>
              </w:rPr>
            </w:pPr>
          </w:p>
        </w:tc>
        <w:tc>
          <w:tcPr>
            <w:tcW w:w="1680" w:type="dxa"/>
            <w:vAlign w:val="bottom"/>
          </w:tcPr>
          <w:p>
            <w:pPr>
              <w:jc w:val="center"/>
              <w:ind w:right="237"/>
              <w:spacing w:after="0"/>
              <w:rPr>
                <w:sz w:val="20"/>
                <w:szCs w:val="20"/>
                <w:color w:val="auto"/>
              </w:rPr>
            </w:pPr>
            <w:r>
              <w:rPr>
                <w:rFonts w:ascii="Arial" w:cs="Arial" w:eastAsia="Arial" w:hAnsi="Arial"/>
                <w:sz w:val="13"/>
                <w:szCs w:val="13"/>
                <w:b w:val="1"/>
                <w:bCs w:val="1"/>
                <w:color w:val="auto"/>
                <w:w w:val="88"/>
              </w:rPr>
              <w:t>Noncontrolling</w:t>
            </w:r>
          </w:p>
        </w:tc>
        <w:tc>
          <w:tcPr>
            <w:tcW w:w="220" w:type="dxa"/>
            <w:vAlign w:val="bottom"/>
          </w:tcPr>
          <w:p>
            <w:pPr>
              <w:spacing w:after="0"/>
              <w:rPr>
                <w:sz w:val="14"/>
                <w:szCs w:val="14"/>
                <w:color w:val="auto"/>
              </w:rPr>
            </w:pPr>
          </w:p>
        </w:tc>
        <w:tc>
          <w:tcPr>
            <w:tcW w:w="1080" w:type="dxa"/>
            <w:vAlign w:val="bottom"/>
          </w:tcPr>
          <w:p>
            <w:pPr>
              <w:jc w:val="center"/>
              <w:ind w:right="21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2420" w:type="dxa"/>
            <w:vAlign w:val="bottom"/>
            <w:tcBorders>
              <w:right w:val="single" w:sz="8" w:color="auto"/>
            </w:tcBorders>
          </w:tcPr>
          <w:p>
            <w:pPr>
              <w:spacing w:after="0"/>
              <w:rPr>
                <w:sz w:val="13"/>
                <w:szCs w:val="13"/>
                <w:color w:val="auto"/>
              </w:rPr>
            </w:pPr>
          </w:p>
        </w:tc>
        <w:tc>
          <w:tcPr>
            <w:tcW w:w="1320" w:type="dxa"/>
            <w:vAlign w:val="bottom"/>
            <w:tcBorders>
              <w:bottom w:val="single" w:sz="8" w:color="auto"/>
            </w:tcBorders>
            <w:gridSpan w:val="2"/>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center"/>
              <w:ind w:right="177"/>
              <w:spacing w:after="0"/>
              <w:rPr>
                <w:sz w:val="20"/>
                <w:szCs w:val="20"/>
                <w:color w:val="auto"/>
              </w:rPr>
            </w:pPr>
            <w:r>
              <w:rPr>
                <w:rFonts w:ascii="Arial" w:cs="Arial" w:eastAsia="Arial" w:hAnsi="Arial"/>
                <w:sz w:val="13"/>
                <w:szCs w:val="13"/>
                <w:b w:val="1"/>
                <w:bCs w:val="1"/>
                <w:color w:val="auto"/>
                <w:w w:val="89"/>
              </w:rPr>
              <w:t>paid-in</w:t>
            </w:r>
          </w:p>
        </w:tc>
        <w:tc>
          <w:tcPr>
            <w:tcW w:w="240" w:type="dxa"/>
            <w:vAlign w:val="bottom"/>
          </w:tcPr>
          <w:p>
            <w:pPr>
              <w:spacing w:after="0"/>
              <w:rPr>
                <w:sz w:val="13"/>
                <w:szCs w:val="13"/>
                <w:color w:val="auto"/>
              </w:rPr>
            </w:pPr>
          </w:p>
        </w:tc>
        <w:tc>
          <w:tcPr>
            <w:tcW w:w="1100" w:type="dxa"/>
            <w:vAlign w:val="bottom"/>
          </w:tcPr>
          <w:p>
            <w:pPr>
              <w:jc w:val="right"/>
              <w:ind w:right="277"/>
              <w:spacing w:after="0"/>
              <w:rPr>
                <w:sz w:val="20"/>
                <w:szCs w:val="20"/>
                <w:color w:val="auto"/>
              </w:rPr>
            </w:pPr>
            <w:r>
              <w:rPr>
                <w:rFonts w:ascii="Arial" w:cs="Arial" w:eastAsia="Arial" w:hAnsi="Arial"/>
                <w:sz w:val="13"/>
                <w:szCs w:val="13"/>
                <w:b w:val="1"/>
                <w:bCs w:val="1"/>
                <w:color w:val="auto"/>
                <w:w w:val="90"/>
              </w:rPr>
              <w:t>Accumulated</w:t>
            </w:r>
          </w:p>
        </w:tc>
        <w:tc>
          <w:tcPr>
            <w:tcW w:w="240" w:type="dxa"/>
            <w:vAlign w:val="bottom"/>
          </w:tcPr>
          <w:p>
            <w:pPr>
              <w:spacing w:after="0"/>
              <w:rPr>
                <w:sz w:val="13"/>
                <w:szCs w:val="13"/>
                <w:color w:val="auto"/>
              </w:rPr>
            </w:pPr>
          </w:p>
        </w:tc>
        <w:tc>
          <w:tcPr>
            <w:tcW w:w="1200" w:type="dxa"/>
            <w:vAlign w:val="bottom"/>
          </w:tcPr>
          <w:p>
            <w:pPr>
              <w:jc w:val="center"/>
              <w:ind w:right="257"/>
              <w:spacing w:after="0"/>
              <w:rPr>
                <w:sz w:val="20"/>
                <w:szCs w:val="20"/>
                <w:color w:val="auto"/>
              </w:rPr>
            </w:pPr>
            <w:r>
              <w:rPr>
                <w:rFonts w:ascii="Arial" w:cs="Arial" w:eastAsia="Arial" w:hAnsi="Arial"/>
                <w:sz w:val="13"/>
                <w:szCs w:val="13"/>
                <w:b w:val="1"/>
                <w:bCs w:val="1"/>
                <w:color w:val="auto"/>
                <w:w w:val="83"/>
              </w:rPr>
              <w:t>comprehensive</w:t>
            </w:r>
          </w:p>
        </w:tc>
        <w:tc>
          <w:tcPr>
            <w:tcW w:w="220" w:type="dxa"/>
            <w:vAlign w:val="bottom"/>
          </w:tcPr>
          <w:p>
            <w:pPr>
              <w:spacing w:after="0"/>
              <w:rPr>
                <w:sz w:val="13"/>
                <w:szCs w:val="13"/>
                <w:color w:val="auto"/>
              </w:rPr>
            </w:pPr>
          </w:p>
        </w:tc>
        <w:tc>
          <w:tcPr>
            <w:tcW w:w="1680" w:type="dxa"/>
            <w:vAlign w:val="bottom"/>
          </w:tcPr>
          <w:p>
            <w:pPr>
              <w:jc w:val="center"/>
              <w:ind w:right="237"/>
              <w:spacing w:after="0"/>
              <w:rPr>
                <w:sz w:val="20"/>
                <w:szCs w:val="20"/>
                <w:color w:val="auto"/>
              </w:rPr>
            </w:pPr>
            <w:r>
              <w:rPr>
                <w:rFonts w:ascii="Arial" w:cs="Arial" w:eastAsia="Arial" w:hAnsi="Arial"/>
                <w:sz w:val="13"/>
                <w:szCs w:val="13"/>
                <w:b w:val="1"/>
                <w:bCs w:val="1"/>
                <w:color w:val="auto"/>
                <w:w w:val="86"/>
              </w:rPr>
              <w:t>interest in consolidated</w:t>
            </w:r>
          </w:p>
        </w:tc>
        <w:tc>
          <w:tcPr>
            <w:tcW w:w="220" w:type="dxa"/>
            <w:vAlign w:val="bottom"/>
          </w:tcPr>
          <w:p>
            <w:pPr>
              <w:spacing w:after="0"/>
              <w:rPr>
                <w:sz w:val="13"/>
                <w:szCs w:val="13"/>
                <w:color w:val="auto"/>
              </w:rPr>
            </w:pPr>
          </w:p>
        </w:tc>
        <w:tc>
          <w:tcPr>
            <w:tcW w:w="1080" w:type="dxa"/>
            <w:vAlign w:val="bottom"/>
          </w:tcPr>
          <w:p>
            <w:pPr>
              <w:jc w:val="center"/>
              <w:ind w:right="217"/>
              <w:spacing w:after="0"/>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55"/>
        </w:trPr>
        <w:tc>
          <w:tcPr>
            <w:tcW w:w="24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3"/>
                <w:szCs w:val="13"/>
                <w:b w:val="1"/>
                <w:bCs w:val="1"/>
                <w:color w:val="auto"/>
                <w:w w:val="99"/>
              </w:rPr>
              <w:t>(In thousands, except share data)</w:t>
            </w:r>
          </w:p>
        </w:tc>
        <w:tc>
          <w:tcPr>
            <w:tcW w:w="11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Shares</w:t>
            </w:r>
          </w:p>
        </w:tc>
        <w:tc>
          <w:tcPr>
            <w:tcW w:w="64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97"/>
              <w:spacing w:after="0"/>
              <w:rPr>
                <w:sz w:val="20"/>
                <w:szCs w:val="20"/>
                <w:color w:val="auto"/>
              </w:rPr>
            </w:pPr>
            <w:r>
              <w:rPr>
                <w:rFonts w:ascii="Arial" w:cs="Arial" w:eastAsia="Arial" w:hAnsi="Arial"/>
                <w:sz w:val="13"/>
                <w:szCs w:val="13"/>
                <w:b w:val="1"/>
                <w:bCs w:val="1"/>
                <w:color w:val="auto"/>
                <w:w w:val="87"/>
              </w:rPr>
              <w:t>capital</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deficit</w:t>
            </w: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83"/>
              </w:rPr>
              <w:t>income (loss)</w:t>
            </w:r>
          </w:p>
        </w:tc>
        <w:tc>
          <w:tcPr>
            <w:tcW w:w="2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center"/>
              <w:ind w:right="257"/>
              <w:spacing w:after="0"/>
              <w:rPr>
                <w:sz w:val="20"/>
                <w:szCs w:val="20"/>
                <w:color w:val="auto"/>
              </w:rPr>
            </w:pPr>
            <w:r>
              <w:rPr>
                <w:rFonts w:ascii="Arial" w:cs="Arial" w:eastAsia="Arial" w:hAnsi="Arial"/>
                <w:sz w:val="13"/>
                <w:szCs w:val="13"/>
                <w:b w:val="1"/>
                <w:bCs w:val="1"/>
                <w:color w:val="auto"/>
                <w:w w:val="86"/>
              </w:rPr>
              <w:t>subsidiary</w:t>
            </w: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97"/>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56"/>
        </w:trPr>
        <w:tc>
          <w:tcPr>
            <w:tcW w:w="2420" w:type="dxa"/>
            <w:vAlign w:val="bottom"/>
            <w:tcBorders>
              <w:right w:val="single" w:sz="8" w:color="auto"/>
            </w:tcBorders>
            <w:shd w:val="clear" w:color="auto" w:fill="CCECFF"/>
          </w:tcPr>
          <w:p>
            <w:pPr>
              <w:ind w:left="20"/>
              <w:spacing w:after="0"/>
              <w:rPr>
                <w:sz w:val="20"/>
                <w:szCs w:val="20"/>
                <w:color w:val="auto"/>
              </w:rPr>
            </w:pPr>
            <w:r>
              <w:rPr>
                <w:rFonts w:ascii="Arial" w:cs="Arial" w:eastAsia="Arial" w:hAnsi="Arial"/>
                <w:sz w:val="13"/>
                <w:szCs w:val="13"/>
                <w:color w:val="auto"/>
              </w:rPr>
              <w:t>Balances at December 31, 2021</w:t>
            </w:r>
          </w:p>
        </w:tc>
        <w:tc>
          <w:tcPr>
            <w:tcW w:w="1120" w:type="dxa"/>
            <w:vAlign w:val="bottom"/>
            <w:shd w:val="clear" w:color="auto" w:fill="CCECFF"/>
          </w:tcPr>
          <w:p>
            <w:pPr>
              <w:jc w:val="right"/>
              <w:ind w:right="77"/>
              <w:spacing w:after="0"/>
              <w:rPr>
                <w:sz w:val="20"/>
                <w:szCs w:val="20"/>
                <w:color w:val="auto"/>
              </w:rPr>
            </w:pPr>
            <w:r>
              <w:rPr>
                <w:rFonts w:ascii="Arial" w:cs="Arial" w:eastAsia="Arial" w:hAnsi="Arial"/>
                <w:sz w:val="13"/>
                <w:szCs w:val="13"/>
                <w:color w:val="auto"/>
              </w:rPr>
              <w:t>133,749,663</w:t>
            </w:r>
          </w:p>
        </w:tc>
        <w:tc>
          <w:tcPr>
            <w:tcW w:w="200" w:type="dxa"/>
            <w:vAlign w:val="bottom"/>
            <w:shd w:val="clear" w:color="auto" w:fill="CCECFF"/>
          </w:tcPr>
          <w:p>
            <w:pPr>
              <w:jc w:val="right"/>
              <w:ind w:right="5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CFF"/>
          </w:tcPr>
          <w:p>
            <w:pPr>
              <w:jc w:val="right"/>
              <w:ind w:right="77"/>
              <w:spacing w:after="0"/>
              <w:rPr>
                <w:sz w:val="20"/>
                <w:szCs w:val="20"/>
                <w:color w:val="auto"/>
              </w:rPr>
            </w:pPr>
            <w:r>
              <w:rPr>
                <w:rFonts w:ascii="Arial" w:cs="Arial" w:eastAsia="Arial" w:hAnsi="Arial"/>
                <w:sz w:val="13"/>
                <w:szCs w:val="13"/>
                <w:color w:val="auto"/>
              </w:rPr>
              <w:t>126</w:t>
            </w:r>
          </w:p>
        </w:tc>
        <w:tc>
          <w:tcPr>
            <w:tcW w:w="2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423,625</w:t>
            </w:r>
          </w:p>
        </w:tc>
        <w:tc>
          <w:tcPr>
            <w:tcW w:w="2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CFF"/>
          </w:tcPr>
          <w:p>
            <w:pPr>
              <w:jc w:val="right"/>
              <w:ind w:right="37"/>
              <w:spacing w:after="0"/>
              <w:rPr>
                <w:sz w:val="20"/>
                <w:szCs w:val="20"/>
                <w:color w:val="auto"/>
              </w:rPr>
            </w:pPr>
            <w:r>
              <w:rPr>
                <w:rFonts w:ascii="Arial" w:cs="Arial" w:eastAsia="Arial" w:hAnsi="Arial"/>
                <w:sz w:val="13"/>
                <w:szCs w:val="13"/>
                <w:color w:val="auto"/>
              </w:rPr>
              <w:t>(19,606 )</w:t>
            </w:r>
          </w:p>
        </w:tc>
        <w:tc>
          <w:tcPr>
            <w:tcW w:w="2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897</w:t>
            </w:r>
          </w:p>
        </w:tc>
        <w:tc>
          <w:tcPr>
            <w:tcW w:w="2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68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343</w:t>
            </w:r>
          </w:p>
        </w:tc>
        <w:tc>
          <w:tcPr>
            <w:tcW w:w="2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CFF"/>
          </w:tcPr>
          <w:p>
            <w:pPr>
              <w:jc w:val="right"/>
              <w:ind w:right="77"/>
              <w:spacing w:after="0"/>
              <w:rPr>
                <w:sz w:val="20"/>
                <w:szCs w:val="20"/>
                <w:color w:val="auto"/>
              </w:rPr>
            </w:pPr>
            <w:r>
              <w:rPr>
                <w:rFonts w:ascii="Arial" w:cs="Arial" w:eastAsia="Arial" w:hAnsi="Arial"/>
                <w:sz w:val="13"/>
                <w:szCs w:val="13"/>
                <w:color w:val="auto"/>
              </w:rPr>
              <w:t>405,385</w:t>
            </w:r>
          </w:p>
        </w:tc>
        <w:tc>
          <w:tcPr>
            <w:tcW w:w="0" w:type="dxa"/>
            <w:vAlign w:val="bottom"/>
          </w:tcPr>
          <w:p>
            <w:pPr>
              <w:spacing w:after="0"/>
              <w:rPr>
                <w:sz w:val="1"/>
                <w:szCs w:val="1"/>
                <w:color w:val="auto"/>
              </w:rPr>
            </w:pPr>
          </w:p>
        </w:tc>
      </w:tr>
      <w:tr>
        <w:trPr>
          <w:trHeight w:val="161"/>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Exercise of stock options</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493,267</w:t>
            </w:r>
          </w:p>
        </w:tc>
        <w:tc>
          <w:tcPr>
            <w:tcW w:w="200" w:type="dxa"/>
            <w:vAlign w:val="bottom"/>
          </w:tcPr>
          <w:p>
            <w:pPr>
              <w:spacing w:after="0"/>
              <w:rPr>
                <w:sz w:val="14"/>
                <w:szCs w:val="14"/>
                <w:color w:val="auto"/>
              </w:rPr>
            </w:pPr>
          </w:p>
        </w:tc>
        <w:tc>
          <w:tcPr>
            <w:tcW w:w="440" w:type="dxa"/>
            <w:vAlign w:val="bottom"/>
          </w:tcPr>
          <w:p>
            <w:pPr>
              <w:jc w:val="right"/>
              <w:ind w:right="77"/>
              <w:spacing w:after="0"/>
              <w:rPr>
                <w:sz w:val="20"/>
                <w:szCs w:val="20"/>
                <w:color w:val="auto"/>
              </w:rPr>
            </w:pPr>
            <w:r>
              <w:rPr>
                <w:rFonts w:ascii="Arial" w:cs="Arial" w:eastAsia="Arial" w:hAnsi="Arial"/>
                <w:sz w:val="13"/>
                <w:szCs w:val="13"/>
                <w:color w:val="auto"/>
              </w:rPr>
              <w:t>8</w:t>
            </w:r>
          </w:p>
        </w:tc>
        <w:tc>
          <w:tcPr>
            <w:tcW w:w="22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356</w:t>
            </w:r>
          </w:p>
        </w:tc>
        <w:tc>
          <w:tcPr>
            <w:tcW w:w="240" w:type="dxa"/>
            <w:vAlign w:val="bottom"/>
          </w:tcPr>
          <w:p>
            <w:pPr>
              <w:spacing w:after="0"/>
              <w:rPr>
                <w:sz w:val="14"/>
                <w:szCs w:val="14"/>
                <w:color w:val="auto"/>
              </w:rPr>
            </w:pPr>
          </w:p>
        </w:tc>
        <w:tc>
          <w:tcPr>
            <w:tcW w:w="11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163"/>
        </w:trPr>
        <w:tc>
          <w:tcPr>
            <w:tcW w:w="2420" w:type="dxa"/>
            <w:vAlign w:val="bottom"/>
            <w:tcBorders>
              <w:right w:val="single" w:sz="8" w:color="auto"/>
            </w:tcBorders>
            <w:shd w:val="clear" w:color="auto" w:fill="CCECFF"/>
          </w:tcPr>
          <w:p>
            <w:pPr>
              <w:ind w:left="20"/>
              <w:spacing w:after="0"/>
              <w:rPr>
                <w:sz w:val="20"/>
                <w:szCs w:val="20"/>
                <w:color w:val="auto"/>
              </w:rPr>
            </w:pPr>
            <w:r>
              <w:rPr>
                <w:rFonts w:ascii="Arial" w:cs="Arial" w:eastAsia="Arial" w:hAnsi="Arial"/>
                <w:sz w:val="13"/>
                <w:szCs w:val="13"/>
                <w:color w:val="auto"/>
              </w:rPr>
              <w:t>Stock-based compensation</w:t>
            </w:r>
          </w:p>
        </w:tc>
        <w:tc>
          <w:tcPr>
            <w:tcW w:w="1120" w:type="dxa"/>
            <w:vAlign w:val="bottom"/>
            <w:shd w:val="clear" w:color="auto" w:fill="CCECFF"/>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CFF"/>
          </w:tcPr>
          <w:p>
            <w:pPr>
              <w:spacing w:after="0"/>
              <w:rPr>
                <w:sz w:val="14"/>
                <w:szCs w:val="14"/>
                <w:color w:val="auto"/>
              </w:rPr>
            </w:pPr>
          </w:p>
        </w:tc>
        <w:tc>
          <w:tcPr>
            <w:tcW w:w="440" w:type="dxa"/>
            <w:vAlign w:val="bottom"/>
            <w:shd w:val="clear" w:color="auto" w:fill="CCEC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3,837</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CFF"/>
          </w:tcPr>
          <w:p>
            <w:pPr>
              <w:spacing w:after="0"/>
              <w:rPr>
                <w:sz w:val="14"/>
                <w:szCs w:val="14"/>
                <w:color w:val="auto"/>
              </w:rPr>
            </w:pPr>
          </w:p>
        </w:tc>
        <w:tc>
          <w:tcPr>
            <w:tcW w:w="120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168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1080" w:type="dxa"/>
            <w:vAlign w:val="bottom"/>
            <w:shd w:val="clear" w:color="auto" w:fill="CCECFF"/>
          </w:tcPr>
          <w:p>
            <w:pPr>
              <w:jc w:val="right"/>
              <w:ind w:right="77"/>
              <w:spacing w:after="0"/>
              <w:rPr>
                <w:sz w:val="20"/>
                <w:szCs w:val="20"/>
                <w:color w:val="auto"/>
              </w:rPr>
            </w:pPr>
            <w:r>
              <w:rPr>
                <w:rFonts w:ascii="Arial" w:cs="Arial" w:eastAsia="Arial" w:hAnsi="Arial"/>
                <w:sz w:val="13"/>
                <w:szCs w:val="13"/>
                <w:color w:val="auto"/>
              </w:rPr>
              <w:t>3,837</w:t>
            </w:r>
          </w:p>
        </w:tc>
        <w:tc>
          <w:tcPr>
            <w:tcW w:w="0" w:type="dxa"/>
            <w:vAlign w:val="bottom"/>
          </w:tcPr>
          <w:p>
            <w:pPr>
              <w:spacing w:after="0"/>
              <w:rPr>
                <w:sz w:val="1"/>
                <w:szCs w:val="1"/>
                <w:color w:val="auto"/>
              </w:rPr>
            </w:pPr>
          </w:p>
        </w:tc>
      </w:tr>
      <w:tr>
        <w:trPr>
          <w:trHeight w:val="134"/>
        </w:trPr>
        <w:tc>
          <w:tcPr>
            <w:tcW w:w="242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3"/>
                <w:szCs w:val="13"/>
                <w:color w:val="auto"/>
                <w:w w:val="88"/>
              </w:rPr>
              <w:t>Foreign currency translation adjustment, net of</w:t>
            </w: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tax</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0" w:type="dxa"/>
            <w:vAlign w:val="bottom"/>
          </w:tcPr>
          <w:p>
            <w:pPr>
              <w:jc w:val="right"/>
              <w:ind w:right="117"/>
              <w:spacing w:after="0"/>
              <w:rPr>
                <w:sz w:val="20"/>
                <w:szCs w:val="20"/>
                <w:color w:val="auto"/>
              </w:rPr>
            </w:pPr>
            <w:r>
              <w:rPr>
                <w:rFonts w:ascii="Arial" w:cs="Arial" w:eastAsia="Arial" w:hAnsi="Arial"/>
                <w:sz w:val="13"/>
                <w:szCs w:val="13"/>
                <w:color w:val="auto"/>
              </w:rPr>
              <w:t>14</w:t>
            </w:r>
          </w:p>
        </w:tc>
        <w:tc>
          <w:tcPr>
            <w:tcW w:w="220" w:type="dxa"/>
            <w:vAlign w:val="bottom"/>
          </w:tcPr>
          <w:p>
            <w:pPr>
              <w:spacing w:after="0"/>
              <w:rPr>
                <w:sz w:val="14"/>
                <w:szCs w:val="14"/>
                <w:color w:val="auto"/>
              </w:rPr>
            </w:pPr>
          </w:p>
        </w:tc>
        <w:tc>
          <w:tcPr>
            <w:tcW w:w="16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3"/>
        </w:trPr>
        <w:tc>
          <w:tcPr>
            <w:tcW w:w="2420" w:type="dxa"/>
            <w:vAlign w:val="bottom"/>
            <w:tcBorders>
              <w:right w:val="single" w:sz="8" w:color="auto"/>
            </w:tcBorders>
            <w:shd w:val="clear" w:color="auto" w:fill="CCECFF"/>
          </w:tcPr>
          <w:p>
            <w:pPr>
              <w:ind w:left="20"/>
              <w:spacing w:after="0"/>
              <w:rPr>
                <w:sz w:val="20"/>
                <w:szCs w:val="20"/>
                <w:color w:val="auto"/>
              </w:rPr>
            </w:pPr>
            <w:r>
              <w:rPr>
                <w:rFonts w:ascii="Arial" w:cs="Arial" w:eastAsia="Arial" w:hAnsi="Arial"/>
                <w:sz w:val="13"/>
                <w:szCs w:val="13"/>
                <w:color w:val="auto"/>
              </w:rPr>
              <w:t>Net loss</w:t>
            </w:r>
          </w:p>
        </w:tc>
        <w:tc>
          <w:tcPr>
            <w:tcW w:w="1120" w:type="dxa"/>
            <w:vAlign w:val="bottom"/>
            <w:shd w:val="clear" w:color="auto" w:fill="CCECFF"/>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CFF"/>
          </w:tcPr>
          <w:p>
            <w:pPr>
              <w:spacing w:after="0"/>
              <w:rPr>
                <w:sz w:val="14"/>
                <w:szCs w:val="14"/>
                <w:color w:val="auto"/>
              </w:rPr>
            </w:pPr>
          </w:p>
        </w:tc>
        <w:tc>
          <w:tcPr>
            <w:tcW w:w="440" w:type="dxa"/>
            <w:vAlign w:val="bottom"/>
            <w:shd w:val="clear" w:color="auto" w:fill="CCEC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ind w:right="37"/>
              <w:spacing w:after="0"/>
              <w:rPr>
                <w:sz w:val="20"/>
                <w:szCs w:val="20"/>
                <w:color w:val="auto"/>
              </w:rPr>
            </w:pPr>
            <w:r>
              <w:rPr>
                <w:rFonts w:ascii="Arial" w:cs="Arial" w:eastAsia="Arial" w:hAnsi="Arial"/>
                <w:sz w:val="13"/>
                <w:szCs w:val="13"/>
                <w:color w:val="auto"/>
              </w:rPr>
              <w:t>(2,021 )</w:t>
            </w:r>
          </w:p>
        </w:tc>
        <w:tc>
          <w:tcPr>
            <w:tcW w:w="240" w:type="dxa"/>
            <w:vAlign w:val="bottom"/>
            <w:shd w:val="clear" w:color="auto" w:fill="CCECFF"/>
          </w:tcPr>
          <w:p>
            <w:pPr>
              <w:spacing w:after="0"/>
              <w:rPr>
                <w:sz w:val="14"/>
                <w:szCs w:val="14"/>
                <w:color w:val="auto"/>
              </w:rPr>
            </w:pPr>
          </w:p>
        </w:tc>
        <w:tc>
          <w:tcPr>
            <w:tcW w:w="120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168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1080" w:type="dxa"/>
            <w:vAlign w:val="bottom"/>
            <w:shd w:val="clear" w:color="auto" w:fill="CCECFF"/>
          </w:tcPr>
          <w:p>
            <w:pPr>
              <w:jc w:val="right"/>
              <w:ind w:right="17"/>
              <w:spacing w:after="0"/>
              <w:rPr>
                <w:sz w:val="20"/>
                <w:szCs w:val="20"/>
                <w:color w:val="auto"/>
              </w:rPr>
            </w:pPr>
            <w:r>
              <w:rPr>
                <w:rFonts w:ascii="Arial" w:cs="Arial" w:eastAsia="Arial" w:hAnsi="Arial"/>
                <w:sz w:val="13"/>
                <w:szCs w:val="13"/>
                <w:color w:val="auto"/>
              </w:rPr>
              <w:t>(2,021 )</w:t>
            </w:r>
          </w:p>
        </w:tc>
        <w:tc>
          <w:tcPr>
            <w:tcW w:w="0" w:type="dxa"/>
            <w:vAlign w:val="bottom"/>
          </w:tcPr>
          <w:p>
            <w:pPr>
              <w:spacing w:after="0"/>
              <w:rPr>
                <w:sz w:val="1"/>
                <w:szCs w:val="1"/>
                <w:color w:val="auto"/>
              </w:rPr>
            </w:pPr>
          </w:p>
        </w:tc>
      </w:tr>
      <w:tr>
        <w:trPr>
          <w:trHeight w:val="161"/>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Noncontrolling interest</w:t>
            </w: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(137 )</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(137 )</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CCECFF"/>
              <w:right w:val="single" w:sz="8" w:color="auto"/>
            </w:tcBorders>
            <w:shd w:val="clear" w:color="auto" w:fill="CCECFF"/>
          </w:tcPr>
          <w:p>
            <w:pPr>
              <w:ind w:left="20"/>
              <w:spacing w:after="0"/>
              <w:rPr>
                <w:sz w:val="20"/>
                <w:szCs w:val="20"/>
                <w:color w:val="auto"/>
              </w:rPr>
            </w:pPr>
            <w:r>
              <w:rPr>
                <w:rFonts w:ascii="Arial" w:cs="Arial" w:eastAsia="Arial" w:hAnsi="Arial"/>
                <w:sz w:val="13"/>
                <w:szCs w:val="13"/>
                <w:color w:val="auto"/>
              </w:rPr>
              <w:t>Balances at March 31, 2022</w:t>
            </w:r>
          </w:p>
        </w:tc>
        <w:tc>
          <w:tcPr>
            <w:tcW w:w="1120" w:type="dxa"/>
            <w:vAlign w:val="bottom"/>
            <w:tcBorders>
              <w:bottom w:val="single" w:sz="8" w:color="auto"/>
            </w:tcBorders>
            <w:shd w:val="clear" w:color="auto" w:fill="CCECFF"/>
          </w:tcPr>
          <w:p>
            <w:pPr>
              <w:jc w:val="right"/>
              <w:ind w:right="77"/>
              <w:spacing w:after="0"/>
              <w:rPr>
                <w:sz w:val="20"/>
                <w:szCs w:val="20"/>
                <w:color w:val="auto"/>
              </w:rPr>
            </w:pPr>
            <w:r>
              <w:rPr>
                <w:rFonts w:ascii="Arial" w:cs="Arial" w:eastAsia="Arial" w:hAnsi="Arial"/>
                <w:sz w:val="13"/>
                <w:szCs w:val="13"/>
                <w:color w:val="auto"/>
              </w:rPr>
              <w:t>134,242,930</w:t>
            </w:r>
          </w:p>
        </w:tc>
        <w:tc>
          <w:tcPr>
            <w:tcW w:w="200" w:type="dxa"/>
            <w:vAlign w:val="bottom"/>
            <w:tcBorders>
              <w:bottom w:val="single" w:sz="8" w:color="auto"/>
            </w:tcBorders>
            <w:shd w:val="clear" w:color="auto" w:fill="CCECFF"/>
          </w:tcPr>
          <w:p>
            <w:pPr>
              <w:jc w:val="right"/>
              <w:ind w:right="57"/>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CFF"/>
          </w:tcPr>
          <w:p>
            <w:pPr>
              <w:jc w:val="right"/>
              <w:ind w:right="77"/>
              <w:spacing w:after="0"/>
              <w:rPr>
                <w:sz w:val="20"/>
                <w:szCs w:val="20"/>
                <w:color w:val="auto"/>
              </w:rPr>
            </w:pPr>
            <w:r>
              <w:rPr>
                <w:rFonts w:ascii="Arial" w:cs="Arial" w:eastAsia="Arial" w:hAnsi="Arial"/>
                <w:sz w:val="13"/>
                <w:szCs w:val="13"/>
                <w:color w:val="auto"/>
              </w:rPr>
              <w:t>134</w:t>
            </w:r>
          </w:p>
        </w:tc>
        <w:tc>
          <w:tcPr>
            <w:tcW w:w="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CFF"/>
          </w:tcPr>
          <w:p>
            <w:pPr>
              <w:jc w:val="right"/>
              <w:ind w:right="117"/>
              <w:spacing w:after="0"/>
              <w:rPr>
                <w:sz w:val="20"/>
                <w:szCs w:val="20"/>
                <w:color w:val="auto"/>
              </w:rPr>
            </w:pPr>
            <w:r>
              <w:rPr>
                <w:rFonts w:ascii="Arial" w:cs="Arial" w:eastAsia="Arial" w:hAnsi="Arial"/>
                <w:sz w:val="13"/>
                <w:szCs w:val="13"/>
                <w:color w:val="auto"/>
              </w:rPr>
              <w:t>427,818</w:t>
            </w:r>
          </w:p>
        </w:tc>
        <w:tc>
          <w:tcPr>
            <w:tcW w:w="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CFF"/>
          </w:tcPr>
          <w:p>
            <w:pPr>
              <w:jc w:val="right"/>
              <w:ind w:right="37"/>
              <w:spacing w:after="0"/>
              <w:rPr>
                <w:sz w:val="20"/>
                <w:szCs w:val="20"/>
                <w:color w:val="auto"/>
              </w:rPr>
            </w:pPr>
            <w:r>
              <w:rPr>
                <w:rFonts w:ascii="Arial" w:cs="Arial" w:eastAsia="Arial" w:hAnsi="Arial"/>
                <w:sz w:val="13"/>
                <w:szCs w:val="13"/>
                <w:color w:val="auto"/>
              </w:rPr>
              <w:t>(21,627 )</w:t>
            </w:r>
          </w:p>
        </w:tc>
        <w:tc>
          <w:tcPr>
            <w:tcW w:w="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CFF"/>
          </w:tcPr>
          <w:p>
            <w:pPr>
              <w:jc w:val="right"/>
              <w:ind w:right="117"/>
              <w:spacing w:after="0"/>
              <w:rPr>
                <w:sz w:val="20"/>
                <w:szCs w:val="20"/>
                <w:color w:val="auto"/>
              </w:rPr>
            </w:pPr>
            <w:r>
              <w:rPr>
                <w:rFonts w:ascii="Arial" w:cs="Arial" w:eastAsia="Arial" w:hAnsi="Arial"/>
                <w:sz w:val="13"/>
                <w:szCs w:val="13"/>
                <w:color w:val="auto"/>
              </w:rPr>
              <w:t>911</w:t>
            </w:r>
          </w:p>
        </w:tc>
        <w:tc>
          <w:tcPr>
            <w:tcW w:w="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680" w:type="dxa"/>
            <w:vAlign w:val="bottom"/>
            <w:tcBorders>
              <w:bottom w:val="single" w:sz="8" w:color="auto"/>
            </w:tcBorders>
            <w:shd w:val="clear" w:color="auto" w:fill="CCECFF"/>
          </w:tcPr>
          <w:p>
            <w:pPr>
              <w:jc w:val="right"/>
              <w:ind w:right="117"/>
              <w:spacing w:after="0"/>
              <w:rPr>
                <w:sz w:val="20"/>
                <w:szCs w:val="20"/>
                <w:color w:val="auto"/>
              </w:rPr>
            </w:pPr>
            <w:r>
              <w:rPr>
                <w:rFonts w:ascii="Arial" w:cs="Arial" w:eastAsia="Arial" w:hAnsi="Arial"/>
                <w:sz w:val="13"/>
                <w:szCs w:val="13"/>
                <w:color w:val="auto"/>
              </w:rPr>
              <w:t>206</w:t>
            </w:r>
          </w:p>
        </w:tc>
        <w:tc>
          <w:tcPr>
            <w:tcW w:w="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CFF"/>
          </w:tcPr>
          <w:p>
            <w:pPr>
              <w:jc w:val="right"/>
              <w:ind w:right="77"/>
              <w:spacing w:after="0"/>
              <w:rPr>
                <w:sz w:val="20"/>
                <w:szCs w:val="20"/>
                <w:color w:val="auto"/>
              </w:rPr>
            </w:pPr>
            <w:r>
              <w:rPr>
                <w:rFonts w:ascii="Arial" w:cs="Arial" w:eastAsia="Arial" w:hAnsi="Arial"/>
                <w:sz w:val="13"/>
                <w:szCs w:val="13"/>
                <w:color w:val="auto"/>
              </w:rPr>
              <w:t>407,442</w:t>
            </w:r>
          </w:p>
        </w:tc>
        <w:tc>
          <w:tcPr>
            <w:tcW w:w="0" w:type="dxa"/>
            <w:vAlign w:val="bottom"/>
          </w:tcPr>
          <w:p>
            <w:pPr>
              <w:spacing w:after="0"/>
              <w:rPr>
                <w:sz w:val="1"/>
                <w:szCs w:val="1"/>
                <w:color w:val="auto"/>
              </w:rPr>
            </w:pPr>
          </w:p>
        </w:tc>
      </w:tr>
      <w:tr>
        <w:trPr>
          <w:trHeight w:val="115"/>
        </w:trPr>
        <w:tc>
          <w:tcPr>
            <w:tcW w:w="2420" w:type="dxa"/>
            <w:vAlign w:val="bottom"/>
            <w:tcBorders>
              <w:right w:val="single" w:sz="8" w:color="auto"/>
            </w:tcBorders>
          </w:tcPr>
          <w:p>
            <w:pPr>
              <w:ind w:left="20"/>
              <w:spacing w:after="0" w:line="115" w:lineRule="exact"/>
              <w:rPr>
                <w:sz w:val="20"/>
                <w:szCs w:val="20"/>
                <w:color w:val="auto"/>
              </w:rPr>
            </w:pPr>
            <w:r>
              <w:rPr>
                <w:rFonts w:ascii="Arial" w:cs="Arial" w:eastAsia="Arial" w:hAnsi="Arial"/>
                <w:sz w:val="13"/>
                <w:szCs w:val="13"/>
                <w:color w:val="auto"/>
                <w:w w:val="94"/>
              </w:rPr>
              <w:t>Shares issued in connection with employee</w:t>
            </w: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stock plans</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365,649</w:t>
            </w:r>
          </w:p>
        </w:tc>
        <w:tc>
          <w:tcPr>
            <w:tcW w:w="200" w:type="dxa"/>
            <w:vAlign w:val="bottom"/>
          </w:tcPr>
          <w:p>
            <w:pPr>
              <w:spacing w:after="0"/>
              <w:rPr>
                <w:sz w:val="14"/>
                <w:szCs w:val="14"/>
                <w:color w:val="auto"/>
              </w:rPr>
            </w:pPr>
          </w:p>
        </w:tc>
        <w:tc>
          <w:tcPr>
            <w:tcW w:w="44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1,204</w:t>
            </w:r>
          </w:p>
        </w:tc>
        <w:tc>
          <w:tcPr>
            <w:tcW w:w="240" w:type="dxa"/>
            <w:vAlign w:val="bottom"/>
          </w:tcPr>
          <w:p>
            <w:pPr>
              <w:spacing w:after="0"/>
              <w:rPr>
                <w:sz w:val="14"/>
                <w:szCs w:val="14"/>
                <w:color w:val="auto"/>
              </w:rPr>
            </w:pPr>
          </w:p>
        </w:tc>
        <w:tc>
          <w:tcPr>
            <w:tcW w:w="11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1,205</w:t>
            </w:r>
          </w:p>
        </w:tc>
        <w:tc>
          <w:tcPr>
            <w:tcW w:w="0" w:type="dxa"/>
            <w:vAlign w:val="bottom"/>
          </w:tcPr>
          <w:p>
            <w:pPr>
              <w:spacing w:after="0"/>
              <w:rPr>
                <w:sz w:val="1"/>
                <w:szCs w:val="1"/>
                <w:color w:val="auto"/>
              </w:rPr>
            </w:pPr>
          </w:p>
        </w:tc>
      </w:tr>
      <w:tr>
        <w:trPr>
          <w:trHeight w:val="136"/>
        </w:trPr>
        <w:tc>
          <w:tcPr>
            <w:tcW w:w="2420" w:type="dxa"/>
            <w:vAlign w:val="bottom"/>
            <w:tcBorders>
              <w:right w:val="single" w:sz="8" w:color="auto"/>
            </w:tcBorders>
            <w:shd w:val="clear" w:color="auto" w:fill="CCECFF"/>
          </w:tcPr>
          <w:p>
            <w:pPr>
              <w:ind w:left="20"/>
              <w:spacing w:after="0" w:line="136" w:lineRule="exact"/>
              <w:rPr>
                <w:sz w:val="20"/>
                <w:szCs w:val="20"/>
                <w:color w:val="auto"/>
              </w:rPr>
            </w:pPr>
            <w:r>
              <w:rPr>
                <w:rFonts w:ascii="Arial" w:cs="Arial" w:eastAsia="Arial" w:hAnsi="Arial"/>
                <w:sz w:val="13"/>
                <w:szCs w:val="13"/>
                <w:color w:val="auto"/>
                <w:w w:val="91"/>
              </w:rPr>
              <w:t>Shares of Common Stock withheld related to</w:t>
            </w:r>
          </w:p>
        </w:tc>
        <w:tc>
          <w:tcPr>
            <w:tcW w:w="11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4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1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420" w:type="dxa"/>
            <w:vAlign w:val="bottom"/>
            <w:tcBorders>
              <w:right w:val="single" w:sz="8" w:color="auto"/>
            </w:tcBorders>
            <w:shd w:val="clear" w:color="auto" w:fill="CCECFF"/>
          </w:tcPr>
          <w:p>
            <w:pPr>
              <w:ind w:left="20"/>
              <w:spacing w:after="0"/>
              <w:rPr>
                <w:sz w:val="20"/>
                <w:szCs w:val="20"/>
                <w:color w:val="auto"/>
              </w:rPr>
            </w:pPr>
            <w:r>
              <w:rPr>
                <w:rFonts w:ascii="Arial" w:cs="Arial" w:eastAsia="Arial" w:hAnsi="Arial"/>
                <w:sz w:val="13"/>
                <w:szCs w:val="13"/>
                <w:color w:val="auto"/>
              </w:rPr>
              <w:t>net share settlement</w:t>
            </w:r>
          </w:p>
        </w:tc>
        <w:tc>
          <w:tcPr>
            <w:tcW w:w="11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(6,908 )</w:t>
            </w:r>
          </w:p>
        </w:tc>
        <w:tc>
          <w:tcPr>
            <w:tcW w:w="200" w:type="dxa"/>
            <w:vAlign w:val="bottom"/>
            <w:shd w:val="clear" w:color="auto" w:fill="CCECFF"/>
          </w:tcPr>
          <w:p>
            <w:pPr>
              <w:spacing w:after="0"/>
              <w:rPr>
                <w:sz w:val="14"/>
                <w:szCs w:val="14"/>
                <w:color w:val="auto"/>
              </w:rPr>
            </w:pPr>
          </w:p>
        </w:tc>
        <w:tc>
          <w:tcPr>
            <w:tcW w:w="440" w:type="dxa"/>
            <w:vAlign w:val="bottom"/>
            <w:shd w:val="clear" w:color="auto" w:fill="CCEC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ind w:right="37"/>
              <w:spacing w:after="0"/>
              <w:rPr>
                <w:sz w:val="20"/>
                <w:szCs w:val="20"/>
                <w:color w:val="auto"/>
              </w:rPr>
            </w:pPr>
            <w:r>
              <w:rPr>
                <w:rFonts w:ascii="Arial" w:cs="Arial" w:eastAsia="Arial" w:hAnsi="Arial"/>
                <w:sz w:val="13"/>
                <w:szCs w:val="13"/>
                <w:color w:val="auto"/>
              </w:rPr>
              <w:t>(67 )</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CFF"/>
          </w:tcPr>
          <w:p>
            <w:pPr>
              <w:spacing w:after="0"/>
              <w:rPr>
                <w:sz w:val="14"/>
                <w:szCs w:val="14"/>
                <w:color w:val="auto"/>
              </w:rPr>
            </w:pPr>
          </w:p>
        </w:tc>
        <w:tc>
          <w:tcPr>
            <w:tcW w:w="120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1680" w:type="dxa"/>
            <w:vAlign w:val="bottom"/>
            <w:shd w:val="clear" w:color="auto" w:fill="CCECFF"/>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4"/>
                <w:szCs w:val="14"/>
                <w:color w:val="auto"/>
              </w:rPr>
            </w:pPr>
          </w:p>
        </w:tc>
        <w:tc>
          <w:tcPr>
            <w:tcW w:w="1080" w:type="dxa"/>
            <w:vAlign w:val="bottom"/>
            <w:shd w:val="clear" w:color="auto" w:fill="CCECFF"/>
          </w:tcPr>
          <w:p>
            <w:pPr>
              <w:jc w:val="right"/>
              <w:ind w:right="17"/>
              <w:spacing w:after="0"/>
              <w:rPr>
                <w:sz w:val="20"/>
                <w:szCs w:val="20"/>
                <w:color w:val="auto"/>
              </w:rPr>
            </w:pPr>
            <w:r>
              <w:rPr>
                <w:rFonts w:ascii="Arial" w:cs="Arial" w:eastAsia="Arial" w:hAnsi="Arial"/>
                <w:sz w:val="13"/>
                <w:szCs w:val="13"/>
                <w:color w:val="auto"/>
              </w:rPr>
              <w:t>(67 )</w:t>
            </w:r>
          </w:p>
        </w:tc>
        <w:tc>
          <w:tcPr>
            <w:tcW w:w="0" w:type="dxa"/>
            <w:vAlign w:val="bottom"/>
          </w:tcPr>
          <w:p>
            <w:pPr>
              <w:spacing w:after="0"/>
              <w:rPr>
                <w:sz w:val="1"/>
                <w:szCs w:val="1"/>
                <w:color w:val="auto"/>
              </w:rPr>
            </w:pPr>
          </w:p>
        </w:tc>
      </w:tr>
      <w:tr>
        <w:trPr>
          <w:trHeight w:val="161"/>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Stock-based compensation</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3,934</w:t>
            </w:r>
          </w:p>
        </w:tc>
        <w:tc>
          <w:tcPr>
            <w:tcW w:w="240" w:type="dxa"/>
            <w:vAlign w:val="bottom"/>
          </w:tcPr>
          <w:p>
            <w:pPr>
              <w:spacing w:after="0"/>
              <w:rPr>
                <w:sz w:val="14"/>
                <w:szCs w:val="14"/>
                <w:color w:val="auto"/>
              </w:rPr>
            </w:pPr>
          </w:p>
        </w:tc>
        <w:tc>
          <w:tcPr>
            <w:tcW w:w="11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3,934</w:t>
            </w:r>
          </w:p>
        </w:tc>
        <w:tc>
          <w:tcPr>
            <w:tcW w:w="0" w:type="dxa"/>
            <w:vAlign w:val="bottom"/>
          </w:tcPr>
          <w:p>
            <w:pPr>
              <w:spacing w:after="0"/>
              <w:rPr>
                <w:sz w:val="1"/>
                <w:szCs w:val="1"/>
                <w:color w:val="auto"/>
              </w:rPr>
            </w:pPr>
          </w:p>
        </w:tc>
      </w:tr>
      <w:tr>
        <w:trPr>
          <w:trHeight w:val="135"/>
        </w:trPr>
        <w:tc>
          <w:tcPr>
            <w:tcW w:w="2420" w:type="dxa"/>
            <w:vAlign w:val="bottom"/>
            <w:tcBorders>
              <w:right w:val="single" w:sz="8" w:color="auto"/>
            </w:tcBorders>
            <w:shd w:val="clear" w:color="auto" w:fill="CFF0FC"/>
          </w:tcPr>
          <w:p>
            <w:pPr>
              <w:ind w:left="20"/>
              <w:spacing w:after="0" w:line="135" w:lineRule="exact"/>
              <w:rPr>
                <w:sz w:val="20"/>
                <w:szCs w:val="20"/>
                <w:color w:val="auto"/>
              </w:rPr>
            </w:pPr>
            <w:r>
              <w:rPr>
                <w:rFonts w:ascii="Arial" w:cs="Arial" w:eastAsia="Arial" w:hAnsi="Arial"/>
                <w:sz w:val="13"/>
                <w:szCs w:val="13"/>
                <w:color w:val="auto"/>
                <w:w w:val="88"/>
              </w:rPr>
              <w:t>Foreign currency translation adjustment, net of</w:t>
            </w:r>
          </w:p>
        </w:tc>
        <w:tc>
          <w:tcPr>
            <w:tcW w:w="1120" w:type="dxa"/>
            <w:vAlign w:val="bottom"/>
            <w:shd w:val="clear" w:color="auto" w:fill="CFF0FC"/>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440" w:type="dxa"/>
            <w:vAlign w:val="bottom"/>
            <w:shd w:val="clear" w:color="auto" w:fill="CCECFF"/>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42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tax</w:t>
            </w:r>
          </w:p>
        </w:tc>
        <w:tc>
          <w:tcPr>
            <w:tcW w:w="11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CFF"/>
          </w:tcPr>
          <w:p>
            <w:pPr>
              <w:spacing w:after="0"/>
              <w:rPr>
                <w:sz w:val="14"/>
                <w:szCs w:val="14"/>
                <w:color w:val="auto"/>
              </w:rPr>
            </w:pPr>
          </w:p>
        </w:tc>
        <w:tc>
          <w:tcPr>
            <w:tcW w:w="440" w:type="dxa"/>
            <w:vAlign w:val="bottom"/>
            <w:shd w:val="clear" w:color="auto" w:fill="CCEC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(683 )</w:t>
            </w:r>
          </w:p>
        </w:tc>
        <w:tc>
          <w:tcPr>
            <w:tcW w:w="220" w:type="dxa"/>
            <w:vAlign w:val="bottom"/>
            <w:shd w:val="clear" w:color="auto" w:fill="CFF0FC"/>
          </w:tcPr>
          <w:p>
            <w:pPr>
              <w:spacing w:after="0"/>
              <w:rPr>
                <w:sz w:val="14"/>
                <w:szCs w:val="14"/>
                <w:color w:val="auto"/>
              </w:rPr>
            </w:pPr>
          </w:p>
        </w:tc>
        <w:tc>
          <w:tcPr>
            <w:tcW w:w="1680" w:type="dxa"/>
            <w:vAlign w:val="bottom"/>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(683 )</w:t>
            </w:r>
          </w:p>
        </w:tc>
        <w:tc>
          <w:tcPr>
            <w:tcW w:w="0" w:type="dxa"/>
            <w:vAlign w:val="bottom"/>
          </w:tcPr>
          <w:p>
            <w:pPr>
              <w:spacing w:after="0"/>
              <w:rPr>
                <w:sz w:val="1"/>
                <w:szCs w:val="1"/>
                <w:color w:val="auto"/>
              </w:rPr>
            </w:pPr>
          </w:p>
        </w:tc>
      </w:tr>
      <w:tr>
        <w:trPr>
          <w:trHeight w:val="161"/>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Net loss</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(598 )</w:t>
            </w:r>
          </w:p>
        </w:tc>
        <w:tc>
          <w:tcPr>
            <w:tcW w:w="240" w:type="dxa"/>
            <w:vAlign w:val="bottom"/>
          </w:tcPr>
          <w:p>
            <w:pPr>
              <w:spacing w:after="0"/>
              <w:rPr>
                <w:sz w:val="14"/>
                <w:szCs w:val="14"/>
                <w:color w:val="auto"/>
              </w:rPr>
            </w:pPr>
          </w:p>
        </w:tc>
        <w:tc>
          <w:tcPr>
            <w:tcW w:w="12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(598 )</w:t>
            </w:r>
          </w:p>
        </w:tc>
        <w:tc>
          <w:tcPr>
            <w:tcW w:w="0" w:type="dxa"/>
            <w:vAlign w:val="bottom"/>
          </w:tcPr>
          <w:p>
            <w:pPr>
              <w:spacing w:after="0"/>
              <w:rPr>
                <w:sz w:val="1"/>
                <w:szCs w:val="1"/>
                <w:color w:val="auto"/>
              </w:rPr>
            </w:pPr>
          </w:p>
        </w:tc>
      </w:tr>
      <w:tr>
        <w:trPr>
          <w:trHeight w:val="162"/>
        </w:trPr>
        <w:tc>
          <w:tcPr>
            <w:tcW w:w="2420" w:type="dxa"/>
            <w:vAlign w:val="bottom"/>
            <w:tcBorders>
              <w:bottom w:val="single" w:sz="8" w:color="CFF0FC"/>
              <w:right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Noncontrolling interest</w:t>
            </w:r>
          </w:p>
        </w:tc>
        <w:tc>
          <w:tcPr>
            <w:tcW w:w="112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CFF"/>
          </w:tcPr>
          <w:p>
            <w:pPr>
              <w:spacing w:after="0"/>
              <w:rPr>
                <w:sz w:val="14"/>
                <w:szCs w:val="14"/>
                <w:color w:val="auto"/>
              </w:rPr>
            </w:pPr>
          </w:p>
        </w:tc>
        <w:tc>
          <w:tcPr>
            <w:tcW w:w="440" w:type="dxa"/>
            <w:vAlign w:val="bottom"/>
            <w:tcBorders>
              <w:bottom w:val="single" w:sz="8" w:color="auto"/>
            </w:tcBorders>
            <w:shd w:val="clear" w:color="auto" w:fill="CCEC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16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(104 )</w:t>
            </w:r>
          </w:p>
        </w:tc>
        <w:tc>
          <w:tcPr>
            <w:tcW w:w="22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(104 )</w:t>
            </w:r>
          </w:p>
        </w:tc>
        <w:tc>
          <w:tcPr>
            <w:tcW w:w="0" w:type="dxa"/>
            <w:vAlign w:val="bottom"/>
          </w:tcPr>
          <w:p>
            <w:pPr>
              <w:spacing w:after="0"/>
              <w:rPr>
                <w:sz w:val="1"/>
                <w:szCs w:val="1"/>
                <w:color w:val="auto"/>
              </w:rPr>
            </w:pPr>
          </w:p>
        </w:tc>
      </w:tr>
      <w:tr>
        <w:trPr>
          <w:trHeight w:val="156"/>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Balances at June 30, 2022</w:t>
            </w: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134,601,671</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432,889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(22,225 )</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228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102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411,129</w:t>
            </w:r>
          </w:p>
        </w:tc>
        <w:tc>
          <w:tcPr>
            <w:tcW w:w="0" w:type="dxa"/>
            <w:vAlign w:val="bottom"/>
          </w:tcPr>
          <w:p>
            <w:pPr>
              <w:spacing w:after="0"/>
              <w:rPr>
                <w:sz w:val="1"/>
                <w:szCs w:val="1"/>
                <w:color w:val="auto"/>
              </w:rPr>
            </w:pPr>
          </w:p>
        </w:tc>
      </w:tr>
      <w:tr>
        <w:trPr>
          <w:trHeight w:val="20"/>
        </w:trPr>
        <w:tc>
          <w:tcPr>
            <w:tcW w:w="2420" w:type="dxa"/>
            <w:vAlign w:val="bottom"/>
            <w:tcBorders>
              <w:right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accompanying notes are an integral part of these unaudited interim consolidated financial statements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Cytek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5"/>
          </w:tcPr>
          <w:p>
            <w:pPr>
              <w:ind w:left="820"/>
              <w:spacing w:after="0"/>
              <w:rPr>
                <w:sz w:val="20"/>
                <w:szCs w:val="20"/>
                <w:color w:val="auto"/>
              </w:rPr>
            </w:pPr>
            <w:r>
              <w:rPr>
                <w:rFonts w:ascii="Arial" w:cs="Arial" w:eastAsia="Arial" w:hAnsi="Arial"/>
                <w:sz w:val="13"/>
                <w:szCs w:val="13"/>
                <w:b w:val="1"/>
                <w:bCs w:val="1"/>
                <w:color w:val="auto"/>
              </w:rPr>
              <w:t>Six months ended June 30,</w:t>
            </w:r>
          </w:p>
        </w:tc>
      </w:tr>
      <w:tr>
        <w:trPr>
          <w:trHeight w:val="158"/>
        </w:trPr>
        <w:tc>
          <w:tcPr>
            <w:tcW w:w="746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360" w:type="dxa"/>
            <w:vAlign w:val="bottom"/>
          </w:tcPr>
          <w:p>
            <w:pPr>
              <w:spacing w:after="0"/>
              <w:rPr>
                <w:sz w:val="13"/>
                <w:szCs w:val="13"/>
                <w:color w:val="auto"/>
              </w:rPr>
            </w:pPr>
          </w:p>
        </w:tc>
        <w:tc>
          <w:tcPr>
            <w:tcW w:w="1340" w:type="dxa"/>
            <w:vAlign w:val="bottom"/>
          </w:tcPr>
          <w:p>
            <w:pPr>
              <w:jc w:val="right"/>
              <w:ind w:right="728"/>
              <w:spacing w:after="0"/>
              <w:rPr>
                <w:sz w:val="20"/>
                <w:szCs w:val="20"/>
                <w:color w:val="auto"/>
              </w:rPr>
            </w:pPr>
            <w:r>
              <w:rPr>
                <w:rFonts w:ascii="Arial" w:cs="Arial" w:eastAsia="Arial" w:hAnsi="Arial"/>
                <w:sz w:val="13"/>
                <w:szCs w:val="13"/>
                <w:b w:val="1"/>
                <w:bCs w:val="1"/>
                <w:color w:val="auto"/>
              </w:rPr>
              <w:t>2023</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jc w:val="right"/>
              <w:ind w:right="728"/>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r>
      <w:tr>
        <w:trPr>
          <w:trHeight w:val="169"/>
        </w:trPr>
        <w:tc>
          <w:tcPr>
            <w:tcW w:w="72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r>
      <w:tr>
        <w:trPr>
          <w:trHeight w:val="176"/>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(11,195 )</w:t>
            </w:r>
          </w:p>
        </w:tc>
        <w:tc>
          <w:tcPr>
            <w:tcW w:w="5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(2,860 )</w:t>
            </w:r>
          </w:p>
        </w:tc>
        <w:tc>
          <w:tcPr>
            <w:tcW w:w="200" w:type="dxa"/>
            <w:vAlign w:val="bottom"/>
          </w:tcPr>
          <w:p>
            <w:pPr>
              <w:spacing w:after="0"/>
              <w:rPr>
                <w:sz w:val="15"/>
                <w:szCs w:val="15"/>
                <w:color w:val="auto"/>
              </w:rPr>
            </w:pPr>
          </w:p>
        </w:tc>
      </w:tr>
      <w:tr>
        <w:trPr>
          <w:trHeight w:val="176"/>
        </w:trPr>
        <w:tc>
          <w:tcPr>
            <w:tcW w:w="74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r>
      <w:tr>
        <w:trPr>
          <w:trHeight w:val="175"/>
        </w:trPr>
        <w:tc>
          <w:tcPr>
            <w:tcW w:w="7460" w:type="dxa"/>
            <w:vAlign w:val="bottom"/>
            <w:gridSpan w:val="2"/>
          </w:tcPr>
          <w:p>
            <w:pPr>
              <w:ind w:left="20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2,650</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1,659</w:t>
            </w:r>
          </w:p>
        </w:tc>
        <w:tc>
          <w:tcPr>
            <w:tcW w:w="200" w:type="dxa"/>
            <w:vAlign w:val="bottom"/>
          </w:tcPr>
          <w:p>
            <w:pPr>
              <w:spacing w:after="0"/>
              <w:rPr>
                <w:sz w:val="15"/>
                <w:szCs w:val="15"/>
                <w:color w:val="auto"/>
              </w:rPr>
            </w:pPr>
          </w:p>
        </w:tc>
      </w:tr>
      <w:tr>
        <w:trPr>
          <w:trHeight w:val="176"/>
        </w:trPr>
        <w:tc>
          <w:tcPr>
            <w:tcW w:w="74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Amortization of operating lease-right-of use assets</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1,596</w:t>
            </w: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1,365</w:t>
            </w:r>
          </w:p>
        </w:tc>
        <w:tc>
          <w:tcPr>
            <w:tcW w:w="200" w:type="dxa"/>
            <w:vAlign w:val="bottom"/>
            <w:shd w:val="clear" w:color="auto" w:fill="CFF0FC"/>
          </w:tcPr>
          <w:p>
            <w:pPr>
              <w:spacing w:after="0"/>
              <w:rPr>
                <w:sz w:val="15"/>
                <w:szCs w:val="15"/>
                <w:color w:val="auto"/>
              </w:rPr>
            </w:pPr>
          </w:p>
        </w:tc>
      </w:tr>
      <w:tr>
        <w:trPr>
          <w:trHeight w:val="175"/>
        </w:trPr>
        <w:tc>
          <w:tcPr>
            <w:tcW w:w="7460" w:type="dxa"/>
            <w:vAlign w:val="bottom"/>
            <w:gridSpan w:val="2"/>
          </w:tcPr>
          <w:p>
            <w:pPr>
              <w:ind w:left="200"/>
              <w:spacing w:after="0"/>
              <w:rPr>
                <w:sz w:val="20"/>
                <w:szCs w:val="20"/>
                <w:color w:val="auto"/>
              </w:rPr>
            </w:pPr>
            <w:r>
              <w:rPr>
                <w:rFonts w:ascii="Arial" w:cs="Arial" w:eastAsia="Arial" w:hAnsi="Arial"/>
                <w:sz w:val="14"/>
                <w:szCs w:val="14"/>
                <w:color w:val="auto"/>
              </w:rPr>
              <w:t>Stock-based compensation</w:t>
            </w:r>
          </w:p>
        </w:tc>
        <w:tc>
          <w:tcPr>
            <w:tcW w:w="36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10,621</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7,771</w:t>
            </w:r>
          </w:p>
        </w:tc>
        <w:tc>
          <w:tcPr>
            <w:tcW w:w="200" w:type="dxa"/>
            <w:vAlign w:val="bottom"/>
          </w:tcPr>
          <w:p>
            <w:pPr>
              <w:spacing w:after="0"/>
              <w:rPr>
                <w:sz w:val="15"/>
                <w:szCs w:val="15"/>
                <w:color w:val="auto"/>
              </w:rPr>
            </w:pPr>
          </w:p>
        </w:tc>
      </w:tr>
      <w:tr>
        <w:trPr>
          <w:trHeight w:val="176"/>
        </w:trPr>
        <w:tc>
          <w:tcPr>
            <w:tcW w:w="74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Increase in accounts receivable allowance for credit losses</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w:t>
            </w: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r>
      <w:tr>
        <w:trPr>
          <w:trHeight w:val="176"/>
        </w:trPr>
        <w:tc>
          <w:tcPr>
            <w:tcW w:w="7460" w:type="dxa"/>
            <w:vAlign w:val="bottom"/>
            <w:gridSpan w:val="2"/>
          </w:tcPr>
          <w:p>
            <w:pPr>
              <w:ind w:left="200"/>
              <w:spacing w:after="0"/>
              <w:rPr>
                <w:sz w:val="20"/>
                <w:szCs w:val="20"/>
                <w:color w:val="auto"/>
              </w:rPr>
            </w:pPr>
            <w:r>
              <w:rPr>
                <w:rFonts w:ascii="Arial" w:cs="Arial" w:eastAsia="Arial" w:hAnsi="Arial"/>
                <w:sz w:val="14"/>
                <w:szCs w:val="14"/>
                <w:color w:val="auto"/>
              </w:rPr>
              <w:t>Provision for excess and obsolete inventory</w:t>
            </w:r>
          </w:p>
        </w:tc>
        <w:tc>
          <w:tcPr>
            <w:tcW w:w="36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596</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287</w:t>
            </w:r>
          </w:p>
        </w:tc>
        <w:tc>
          <w:tcPr>
            <w:tcW w:w="200" w:type="dxa"/>
            <w:vAlign w:val="bottom"/>
          </w:tcPr>
          <w:p>
            <w:pPr>
              <w:spacing w:after="0"/>
              <w:rPr>
                <w:sz w:val="15"/>
                <w:szCs w:val="15"/>
                <w:color w:val="auto"/>
              </w:rPr>
            </w:pPr>
          </w:p>
        </w:tc>
      </w:tr>
      <w:tr>
        <w:trPr>
          <w:trHeight w:val="175"/>
        </w:trPr>
        <w:tc>
          <w:tcPr>
            <w:tcW w:w="74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Gain on investments, accretion, and amortization, net</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(3,704 )</w:t>
            </w: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r>
      <w:tr>
        <w:trPr>
          <w:trHeight w:val="176"/>
        </w:trPr>
        <w:tc>
          <w:tcPr>
            <w:tcW w:w="7460" w:type="dxa"/>
            <w:vAlign w:val="bottom"/>
            <w:gridSpan w:val="2"/>
          </w:tcPr>
          <w:p>
            <w:pPr>
              <w:ind w:left="200"/>
              <w:spacing w:after="0"/>
              <w:rPr>
                <w:sz w:val="20"/>
                <w:szCs w:val="20"/>
                <w:color w:val="auto"/>
              </w:rPr>
            </w:pPr>
            <w:r>
              <w:rPr>
                <w:rFonts w:ascii="Arial" w:cs="Arial" w:eastAsia="Arial" w:hAnsi="Arial"/>
                <w:sz w:val="14"/>
                <w:szCs w:val="14"/>
                <w:color w:val="auto"/>
              </w:rPr>
              <w:t>Interest expenses for accretion of the legal settlement liabilities</w:t>
            </w:r>
          </w:p>
        </w:tc>
        <w:tc>
          <w:tcPr>
            <w:tcW w:w="36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831</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1,047</w:t>
            </w:r>
          </w:p>
        </w:tc>
        <w:tc>
          <w:tcPr>
            <w:tcW w:w="200" w:type="dxa"/>
            <w:vAlign w:val="bottom"/>
          </w:tcPr>
          <w:p>
            <w:pPr>
              <w:spacing w:after="0"/>
              <w:rPr>
                <w:sz w:val="15"/>
                <w:szCs w:val="15"/>
                <w:color w:val="auto"/>
              </w:rPr>
            </w:pPr>
          </w:p>
        </w:tc>
      </w:tr>
      <w:tr>
        <w:trPr>
          <w:trHeight w:val="175"/>
        </w:trPr>
        <w:tc>
          <w:tcPr>
            <w:tcW w:w="74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Change in operating assets and liabilities:</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r>
      <w:tr>
        <w:trPr>
          <w:trHeight w:val="176"/>
        </w:trPr>
        <w:tc>
          <w:tcPr>
            <w:tcW w:w="7460" w:type="dxa"/>
            <w:vAlign w:val="bottom"/>
            <w:gridSpan w:val="2"/>
          </w:tcPr>
          <w:p>
            <w:pPr>
              <w:ind w:left="380"/>
              <w:spacing w:after="0"/>
              <w:rPr>
                <w:sz w:val="20"/>
                <w:szCs w:val="20"/>
                <w:color w:val="auto"/>
              </w:rPr>
            </w:pPr>
            <w:r>
              <w:rPr>
                <w:rFonts w:ascii="Arial" w:cs="Arial" w:eastAsia="Arial" w:hAnsi="Arial"/>
                <w:sz w:val="14"/>
                <w:szCs w:val="14"/>
                <w:color w:val="auto"/>
              </w:rPr>
              <w:t>Trade accounts receivable</w:t>
            </w:r>
          </w:p>
        </w:tc>
        <w:tc>
          <w:tcPr>
            <w:tcW w:w="36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(745 )</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(7,964 )</w:t>
            </w:r>
          </w:p>
        </w:tc>
        <w:tc>
          <w:tcPr>
            <w:tcW w:w="200" w:type="dxa"/>
            <w:vAlign w:val="bottom"/>
          </w:tcPr>
          <w:p>
            <w:pPr>
              <w:spacing w:after="0"/>
              <w:rPr>
                <w:sz w:val="15"/>
                <w:szCs w:val="15"/>
                <w:color w:val="auto"/>
              </w:rPr>
            </w:pPr>
          </w:p>
        </w:tc>
      </w:tr>
      <w:tr>
        <w:trPr>
          <w:trHeight w:val="176"/>
        </w:trPr>
        <w:tc>
          <w:tcPr>
            <w:tcW w:w="746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Inventories</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(159 )</w:t>
            </w: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(14,355 )</w:t>
            </w:r>
          </w:p>
        </w:tc>
        <w:tc>
          <w:tcPr>
            <w:tcW w:w="200" w:type="dxa"/>
            <w:vAlign w:val="bottom"/>
            <w:shd w:val="clear" w:color="auto" w:fill="CFF0FC"/>
          </w:tcPr>
          <w:p>
            <w:pPr>
              <w:spacing w:after="0"/>
              <w:rPr>
                <w:sz w:val="15"/>
                <w:szCs w:val="15"/>
                <w:color w:val="auto"/>
              </w:rPr>
            </w:pPr>
          </w:p>
        </w:tc>
      </w:tr>
      <w:tr>
        <w:trPr>
          <w:trHeight w:val="175"/>
        </w:trPr>
        <w:tc>
          <w:tcPr>
            <w:tcW w:w="7460" w:type="dxa"/>
            <w:vAlign w:val="bottom"/>
            <w:gridSpan w:val="2"/>
          </w:tcPr>
          <w:p>
            <w:pPr>
              <w:ind w:left="380"/>
              <w:spacing w:after="0"/>
              <w:rPr>
                <w:sz w:val="20"/>
                <w:szCs w:val="20"/>
                <w:color w:val="auto"/>
              </w:rPr>
            </w:pPr>
            <w:r>
              <w:rPr>
                <w:rFonts w:ascii="Arial" w:cs="Arial" w:eastAsia="Arial" w:hAnsi="Arial"/>
                <w:sz w:val="14"/>
                <w:szCs w:val="14"/>
                <w:color w:val="auto"/>
              </w:rPr>
              <w:t>Prepaid expenses and other assets</w:t>
            </w:r>
          </w:p>
        </w:tc>
        <w:tc>
          <w:tcPr>
            <w:tcW w:w="36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(3,169 )</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(8,664 )</w:t>
            </w:r>
          </w:p>
        </w:tc>
        <w:tc>
          <w:tcPr>
            <w:tcW w:w="200" w:type="dxa"/>
            <w:vAlign w:val="bottom"/>
          </w:tcPr>
          <w:p>
            <w:pPr>
              <w:spacing w:after="0"/>
              <w:rPr>
                <w:sz w:val="15"/>
                <w:szCs w:val="15"/>
                <w:color w:val="auto"/>
              </w:rPr>
            </w:pPr>
          </w:p>
        </w:tc>
      </w:tr>
      <w:tr>
        <w:trPr>
          <w:trHeight w:val="176"/>
        </w:trPr>
        <w:tc>
          <w:tcPr>
            <w:tcW w:w="746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Trade accounts payable</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(1,699 )</w:t>
            </w: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3,677</w:t>
            </w:r>
          </w:p>
        </w:tc>
        <w:tc>
          <w:tcPr>
            <w:tcW w:w="200" w:type="dxa"/>
            <w:vAlign w:val="bottom"/>
            <w:shd w:val="clear" w:color="auto" w:fill="CFF0FC"/>
          </w:tcPr>
          <w:p>
            <w:pPr>
              <w:spacing w:after="0"/>
              <w:rPr>
                <w:sz w:val="15"/>
                <w:szCs w:val="15"/>
                <w:color w:val="auto"/>
              </w:rPr>
            </w:pPr>
          </w:p>
        </w:tc>
      </w:tr>
      <w:tr>
        <w:trPr>
          <w:trHeight w:val="175"/>
        </w:trPr>
        <w:tc>
          <w:tcPr>
            <w:tcW w:w="7460" w:type="dxa"/>
            <w:vAlign w:val="bottom"/>
            <w:gridSpan w:val="2"/>
          </w:tcPr>
          <w:p>
            <w:pPr>
              <w:ind w:left="380"/>
              <w:spacing w:after="0"/>
              <w:rPr>
                <w:sz w:val="20"/>
                <w:szCs w:val="20"/>
                <w:color w:val="auto"/>
              </w:rPr>
            </w:pPr>
            <w:r>
              <w:rPr>
                <w:rFonts w:ascii="Arial" w:cs="Arial" w:eastAsia="Arial" w:hAnsi="Arial"/>
                <w:sz w:val="14"/>
                <w:szCs w:val="14"/>
                <w:color w:val="auto"/>
              </w:rPr>
              <w:t>Accrued expenses and other liabilities</w:t>
            </w:r>
          </w:p>
        </w:tc>
        <w:tc>
          <w:tcPr>
            <w:tcW w:w="36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275</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2,784</w:t>
            </w:r>
          </w:p>
        </w:tc>
        <w:tc>
          <w:tcPr>
            <w:tcW w:w="200" w:type="dxa"/>
            <w:vAlign w:val="bottom"/>
          </w:tcPr>
          <w:p>
            <w:pPr>
              <w:spacing w:after="0"/>
              <w:rPr>
                <w:sz w:val="15"/>
                <w:szCs w:val="15"/>
                <w:color w:val="auto"/>
              </w:rPr>
            </w:pPr>
          </w:p>
        </w:tc>
      </w:tr>
      <w:tr>
        <w:trPr>
          <w:trHeight w:val="176"/>
        </w:trPr>
        <w:tc>
          <w:tcPr>
            <w:tcW w:w="746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Legal settlement liabilities</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(210 )</w:t>
            </w: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533</w:t>
            </w:r>
          </w:p>
        </w:tc>
        <w:tc>
          <w:tcPr>
            <w:tcW w:w="200" w:type="dxa"/>
            <w:vAlign w:val="bottom"/>
            <w:shd w:val="clear" w:color="auto" w:fill="CFF0FC"/>
          </w:tcPr>
          <w:p>
            <w:pPr>
              <w:spacing w:after="0"/>
              <w:rPr>
                <w:sz w:val="15"/>
                <w:szCs w:val="15"/>
                <w:color w:val="auto"/>
              </w:rPr>
            </w:pPr>
          </w:p>
        </w:tc>
      </w:tr>
      <w:tr>
        <w:trPr>
          <w:trHeight w:val="175"/>
        </w:trPr>
        <w:tc>
          <w:tcPr>
            <w:tcW w:w="7460" w:type="dxa"/>
            <w:vAlign w:val="bottom"/>
            <w:gridSpan w:val="2"/>
          </w:tcPr>
          <w:p>
            <w:pPr>
              <w:ind w:left="380"/>
              <w:spacing w:after="0"/>
              <w:rPr>
                <w:sz w:val="20"/>
                <w:szCs w:val="20"/>
                <w:color w:val="auto"/>
              </w:rPr>
            </w:pPr>
            <w:r>
              <w:rPr>
                <w:rFonts w:ascii="Arial" w:cs="Arial" w:eastAsia="Arial" w:hAnsi="Arial"/>
                <w:sz w:val="14"/>
                <w:szCs w:val="14"/>
                <w:color w:val="auto"/>
              </w:rPr>
              <w:t>Deferred revenue</w:t>
            </w:r>
          </w:p>
        </w:tc>
        <w:tc>
          <w:tcPr>
            <w:tcW w:w="36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5,721</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4,598</w:t>
            </w:r>
          </w:p>
        </w:tc>
        <w:tc>
          <w:tcPr>
            <w:tcW w:w="200" w:type="dxa"/>
            <w:vAlign w:val="bottom"/>
          </w:tcPr>
          <w:p>
            <w:pPr>
              <w:spacing w:after="0"/>
              <w:rPr>
                <w:sz w:val="15"/>
                <w:szCs w:val="15"/>
                <w:color w:val="auto"/>
              </w:rPr>
            </w:pPr>
          </w:p>
        </w:tc>
      </w:tr>
      <w:tr>
        <w:trPr>
          <w:trHeight w:val="176"/>
        </w:trPr>
        <w:tc>
          <w:tcPr>
            <w:tcW w:w="746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4"/>
                <w:szCs w:val="14"/>
                <w:color w:val="auto"/>
              </w:rPr>
              <w:t>Lease liabilities</w:t>
            </w:r>
          </w:p>
        </w:tc>
        <w:tc>
          <w:tcPr>
            <w:tcW w:w="3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(1,415 )</w:t>
            </w:r>
          </w:p>
        </w:tc>
        <w:tc>
          <w:tcPr>
            <w:tcW w:w="18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(798 )</w:t>
            </w:r>
          </w:p>
        </w:tc>
        <w:tc>
          <w:tcPr>
            <w:tcW w:w="200" w:type="dxa"/>
            <w:vAlign w:val="bottom"/>
            <w:tcBorders>
              <w:bottom w:val="single" w:sz="8" w:color="CFF0FC"/>
            </w:tcBorders>
            <w:shd w:val="clear" w:color="auto" w:fill="CFF0FC"/>
          </w:tcPr>
          <w:p>
            <w:pPr>
              <w:spacing w:after="0"/>
              <w:rPr>
                <w:sz w:val="15"/>
                <w:szCs w:val="15"/>
                <w:color w:val="auto"/>
              </w:rPr>
            </w:pPr>
          </w:p>
        </w:tc>
      </w:tr>
      <w:tr>
        <w:trPr>
          <w:trHeight w:val="169"/>
        </w:trPr>
        <w:tc>
          <w:tcPr>
            <w:tcW w:w="7460" w:type="dxa"/>
            <w:vAlign w:val="bottom"/>
            <w:gridSpan w:val="2"/>
          </w:tcPr>
          <w:p>
            <w:pPr>
              <w:ind w:left="560"/>
              <w:spacing w:after="0"/>
              <w:rPr>
                <w:sz w:val="20"/>
                <w:szCs w:val="20"/>
                <w:color w:val="auto"/>
              </w:rPr>
            </w:pPr>
            <w:r>
              <w:rPr>
                <w:rFonts w:ascii="Arial" w:cs="Arial" w:eastAsia="Arial" w:hAnsi="Arial"/>
                <w:sz w:val="14"/>
                <w:szCs w:val="14"/>
                <w:color w:val="auto"/>
              </w:rPr>
              <w:t>Net cash provided by (used in) operating activities</w:t>
            </w: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(10,920 )</w:t>
            </w:r>
          </w:p>
        </w:tc>
        <w:tc>
          <w:tcPr>
            <w:tcW w:w="200" w:type="dxa"/>
            <w:vAlign w:val="bottom"/>
          </w:tcPr>
          <w:p>
            <w:pPr>
              <w:spacing w:after="0"/>
              <w:rPr>
                <w:sz w:val="14"/>
                <w:szCs w:val="14"/>
                <w:color w:val="auto"/>
              </w:rPr>
            </w:pPr>
          </w:p>
        </w:tc>
      </w:tr>
      <w:tr>
        <w:trPr>
          <w:trHeight w:val="169"/>
        </w:trPr>
        <w:tc>
          <w:tcPr>
            <w:tcW w:w="746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r>
      <w:tr>
        <w:trPr>
          <w:trHeight w:val="175"/>
        </w:trPr>
        <w:tc>
          <w:tcPr>
            <w:tcW w:w="7460" w:type="dxa"/>
            <w:vAlign w:val="bottom"/>
            <w:gridSpan w:val="2"/>
          </w:tcPr>
          <w:p>
            <w:pPr>
              <w:ind w:left="200"/>
              <w:spacing w:after="0"/>
              <w:rPr>
                <w:sz w:val="20"/>
                <w:szCs w:val="20"/>
                <w:color w:val="auto"/>
              </w:rPr>
            </w:pPr>
            <w:r>
              <w:rPr>
                <w:rFonts w:ascii="Arial" w:cs="Arial" w:eastAsia="Arial" w:hAnsi="Arial"/>
                <w:sz w:val="14"/>
                <w:szCs w:val="14"/>
                <w:color w:val="auto"/>
              </w:rPr>
              <w:t>Purchases of marketable securities</w:t>
            </w:r>
          </w:p>
        </w:tc>
        <w:tc>
          <w:tcPr>
            <w:tcW w:w="36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(129,081 )</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r>
      <w:tr>
        <w:trPr>
          <w:trHeight w:val="176"/>
        </w:trPr>
        <w:tc>
          <w:tcPr>
            <w:tcW w:w="74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Proceeds from maturities of marketable securities</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10,000</w:t>
            </w: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r>
      <w:tr>
        <w:trPr>
          <w:trHeight w:val="175"/>
        </w:trPr>
        <w:tc>
          <w:tcPr>
            <w:tcW w:w="7460" w:type="dxa"/>
            <w:vAlign w:val="bottom"/>
            <w:gridSpan w:val="2"/>
          </w:tcPr>
          <w:p>
            <w:pPr>
              <w:ind w:left="200"/>
              <w:spacing w:after="0"/>
              <w:rPr>
                <w:sz w:val="20"/>
                <w:szCs w:val="20"/>
                <w:color w:val="auto"/>
              </w:rPr>
            </w:pPr>
            <w:r>
              <w:rPr>
                <w:rFonts w:ascii="Arial" w:cs="Arial" w:eastAsia="Arial" w:hAnsi="Arial"/>
                <w:sz w:val="14"/>
                <w:szCs w:val="14"/>
                <w:color w:val="auto"/>
              </w:rPr>
              <w:t>Purchase of property and equipment</w:t>
            </w:r>
          </w:p>
        </w:tc>
        <w:tc>
          <w:tcPr>
            <w:tcW w:w="36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(1,818 )</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(2,108 )</w:t>
            </w:r>
          </w:p>
        </w:tc>
        <w:tc>
          <w:tcPr>
            <w:tcW w:w="200" w:type="dxa"/>
            <w:vAlign w:val="bottom"/>
          </w:tcPr>
          <w:p>
            <w:pPr>
              <w:spacing w:after="0"/>
              <w:rPr>
                <w:sz w:val="15"/>
                <w:szCs w:val="15"/>
                <w:color w:val="auto"/>
              </w:rPr>
            </w:pPr>
          </w:p>
        </w:tc>
      </w:tr>
      <w:tr>
        <w:trPr>
          <w:trHeight w:val="176"/>
        </w:trPr>
        <w:tc>
          <w:tcPr>
            <w:tcW w:w="74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Acquisition of business</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(44,895 )</w:t>
            </w: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r>
      <w:tr>
        <w:trPr>
          <w:trHeight w:val="176"/>
        </w:trPr>
        <w:tc>
          <w:tcPr>
            <w:tcW w:w="7460" w:type="dxa"/>
            <w:vAlign w:val="bottom"/>
            <w:gridSpan w:val="2"/>
          </w:tcPr>
          <w:p>
            <w:pPr>
              <w:ind w:left="200"/>
              <w:spacing w:after="0"/>
              <w:rPr>
                <w:sz w:val="20"/>
                <w:szCs w:val="20"/>
                <w:color w:val="auto"/>
              </w:rPr>
            </w:pPr>
            <w:r>
              <w:rPr>
                <w:rFonts w:ascii="Arial" w:cs="Arial" w:eastAsia="Arial" w:hAnsi="Arial"/>
                <w:sz w:val="14"/>
                <w:szCs w:val="14"/>
                <w:color w:val="auto"/>
              </w:rPr>
              <w:t>Purchase of intangible assets (patents)</w:t>
            </w:r>
          </w:p>
        </w:tc>
        <w:tc>
          <w:tcPr>
            <w:tcW w:w="36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(55 )</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r>
      <w:tr>
        <w:trPr>
          <w:trHeight w:val="175"/>
        </w:trPr>
        <w:tc>
          <w:tcPr>
            <w:tcW w:w="74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Payment of investment</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(1,587 )</w:t>
            </w:r>
          </w:p>
        </w:tc>
        <w:tc>
          <w:tcPr>
            <w:tcW w:w="200" w:type="dxa"/>
            <w:vAlign w:val="bottom"/>
            <w:shd w:val="clear" w:color="auto" w:fill="CFF0FC"/>
          </w:tcPr>
          <w:p>
            <w:pPr>
              <w:spacing w:after="0"/>
              <w:rPr>
                <w:sz w:val="15"/>
                <w:szCs w:val="15"/>
                <w:color w:val="auto"/>
              </w:rPr>
            </w:pPr>
          </w:p>
        </w:tc>
      </w:tr>
      <w:tr>
        <w:trPr>
          <w:trHeight w:val="176"/>
        </w:trPr>
        <w:tc>
          <w:tcPr>
            <w:tcW w:w="7460" w:type="dxa"/>
            <w:vAlign w:val="bottom"/>
            <w:gridSpan w:val="2"/>
          </w:tcPr>
          <w:p>
            <w:pPr>
              <w:ind w:left="200"/>
              <w:spacing w:after="0"/>
              <w:rPr>
                <w:sz w:val="20"/>
                <w:szCs w:val="20"/>
                <w:color w:val="auto"/>
              </w:rPr>
            </w:pPr>
            <w:r>
              <w:rPr>
                <w:rFonts w:ascii="Arial" w:cs="Arial" w:eastAsia="Arial" w:hAnsi="Arial"/>
                <w:sz w:val="14"/>
                <w:szCs w:val="14"/>
                <w:color w:val="auto"/>
              </w:rPr>
              <w:t>Payment for additional investment in Cytek Japan</w:t>
            </w:r>
          </w:p>
        </w:tc>
        <w:tc>
          <w:tcPr>
            <w:tcW w:w="36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(235 )</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r>
      <w:tr>
        <w:trPr>
          <w:trHeight w:val="169"/>
        </w:trPr>
        <w:tc>
          <w:tcPr>
            <w:tcW w:w="7460" w:type="dxa"/>
            <w:vAlign w:val="bottom"/>
            <w:tcBorders>
              <w:bottom w:val="single" w:sz="8" w:color="CFF0FC"/>
            </w:tcBorders>
            <w:gridSpan w:val="2"/>
            <w:shd w:val="clear" w:color="auto" w:fill="CFF0FC"/>
          </w:tcPr>
          <w:p>
            <w:pPr>
              <w:ind w:left="56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34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(166,084 )</w:t>
            </w:r>
          </w:p>
        </w:tc>
        <w:tc>
          <w:tcPr>
            <w:tcW w:w="18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top w:val="single" w:sz="8" w:color="auto"/>
              <w:bottom w:val="single" w:sz="8" w:color="auto"/>
            </w:tcBorders>
            <w:shd w:val="clear" w:color="auto" w:fill="CFF0FC"/>
          </w:tcPr>
          <w:p>
            <w:pPr>
              <w:spacing w:after="0"/>
              <w:rPr>
                <w:sz w:val="14"/>
                <w:szCs w:val="14"/>
                <w:color w:val="auto"/>
              </w:rPr>
            </w:pPr>
          </w:p>
        </w:tc>
        <w:tc>
          <w:tcPr>
            <w:tcW w:w="13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(3,695 )</w:t>
            </w:r>
          </w:p>
        </w:tc>
        <w:tc>
          <w:tcPr>
            <w:tcW w:w="200" w:type="dxa"/>
            <w:vAlign w:val="bottom"/>
            <w:tcBorders>
              <w:bottom w:val="single" w:sz="8" w:color="CFF0FC"/>
            </w:tcBorders>
            <w:shd w:val="clear" w:color="auto" w:fill="CFF0FC"/>
          </w:tcPr>
          <w:p>
            <w:pPr>
              <w:spacing w:after="0"/>
              <w:rPr>
                <w:sz w:val="14"/>
                <w:szCs w:val="14"/>
                <w:color w:val="auto"/>
              </w:rPr>
            </w:pPr>
          </w:p>
        </w:tc>
      </w:tr>
      <w:tr>
        <w:trPr>
          <w:trHeight w:val="169"/>
        </w:trPr>
        <w:tc>
          <w:tcPr>
            <w:tcW w:w="74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5"/>
        </w:trPr>
        <w:tc>
          <w:tcPr>
            <w:tcW w:w="74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Repayment of loan</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(287 )</w:t>
            </w: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r>
      <w:tr>
        <w:trPr>
          <w:trHeight w:val="175"/>
        </w:trPr>
        <w:tc>
          <w:tcPr>
            <w:tcW w:w="7460" w:type="dxa"/>
            <w:vAlign w:val="bottom"/>
            <w:gridSpan w:val="2"/>
          </w:tcPr>
          <w:p>
            <w:pPr>
              <w:ind w:left="200"/>
              <w:spacing w:after="0"/>
              <w:rPr>
                <w:sz w:val="20"/>
                <w:szCs w:val="20"/>
                <w:color w:val="auto"/>
              </w:rPr>
            </w:pPr>
            <w:r>
              <w:rPr>
                <w:rFonts w:ascii="Arial" w:cs="Arial" w:eastAsia="Arial" w:hAnsi="Arial"/>
                <w:sz w:val="14"/>
                <w:szCs w:val="14"/>
                <w:color w:val="auto"/>
              </w:rPr>
              <w:t>Proceeds from Employee Stock Purchase Plan</w:t>
            </w:r>
          </w:p>
        </w:tc>
        <w:tc>
          <w:tcPr>
            <w:tcW w:w="36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966</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765</w:t>
            </w:r>
          </w:p>
        </w:tc>
        <w:tc>
          <w:tcPr>
            <w:tcW w:w="200" w:type="dxa"/>
            <w:vAlign w:val="bottom"/>
          </w:tcPr>
          <w:p>
            <w:pPr>
              <w:spacing w:after="0"/>
              <w:rPr>
                <w:sz w:val="15"/>
                <w:szCs w:val="15"/>
                <w:color w:val="auto"/>
              </w:rPr>
            </w:pPr>
          </w:p>
        </w:tc>
      </w:tr>
      <w:tr>
        <w:trPr>
          <w:trHeight w:val="175"/>
        </w:trPr>
        <w:tc>
          <w:tcPr>
            <w:tcW w:w="74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Payments for taxes related to net share settlement of equity awards</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(168 )</w:t>
            </w: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(67 )</w:t>
            </w:r>
          </w:p>
        </w:tc>
        <w:tc>
          <w:tcPr>
            <w:tcW w:w="200" w:type="dxa"/>
            <w:vAlign w:val="bottom"/>
            <w:shd w:val="clear" w:color="auto" w:fill="CFF0FC"/>
          </w:tcPr>
          <w:p>
            <w:pPr>
              <w:spacing w:after="0"/>
              <w:rPr>
                <w:sz w:val="15"/>
                <w:szCs w:val="15"/>
                <w:color w:val="auto"/>
              </w:rPr>
            </w:pPr>
          </w:p>
        </w:tc>
      </w:tr>
      <w:tr>
        <w:trPr>
          <w:trHeight w:val="176"/>
        </w:trPr>
        <w:tc>
          <w:tcPr>
            <w:tcW w:w="7460" w:type="dxa"/>
            <w:vAlign w:val="bottom"/>
            <w:gridSpan w:val="2"/>
          </w:tcPr>
          <w:p>
            <w:pPr>
              <w:ind w:left="200"/>
              <w:spacing w:after="0"/>
              <w:rPr>
                <w:sz w:val="20"/>
                <w:szCs w:val="20"/>
                <w:color w:val="auto"/>
              </w:rPr>
            </w:pPr>
            <w:r>
              <w:rPr>
                <w:rFonts w:ascii="Arial" w:cs="Arial" w:eastAsia="Arial" w:hAnsi="Arial"/>
                <w:sz w:val="14"/>
                <w:szCs w:val="14"/>
                <w:color w:val="auto"/>
              </w:rPr>
              <w:t>Proceeds from issuance of common stock under employee stock plans</w:t>
            </w:r>
          </w:p>
        </w:tc>
        <w:tc>
          <w:tcPr>
            <w:tcW w:w="36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686</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810</w:t>
            </w:r>
          </w:p>
        </w:tc>
        <w:tc>
          <w:tcPr>
            <w:tcW w:w="200" w:type="dxa"/>
            <w:vAlign w:val="bottom"/>
          </w:tcPr>
          <w:p>
            <w:pPr>
              <w:spacing w:after="0"/>
              <w:rPr>
                <w:sz w:val="15"/>
                <w:szCs w:val="15"/>
                <w:color w:val="auto"/>
              </w:rPr>
            </w:pPr>
          </w:p>
        </w:tc>
      </w:tr>
      <w:tr>
        <w:trPr>
          <w:trHeight w:val="175"/>
        </w:trPr>
        <w:tc>
          <w:tcPr>
            <w:tcW w:w="74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Payments for repurchase of shares</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(981 )</w:t>
            </w: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r>
      <w:tr>
        <w:trPr>
          <w:trHeight w:val="169"/>
        </w:trPr>
        <w:tc>
          <w:tcPr>
            <w:tcW w:w="7460" w:type="dxa"/>
            <w:vAlign w:val="bottom"/>
            <w:tcBorders>
              <w:top w:val="single" w:sz="8" w:color="CFF0FC"/>
            </w:tcBorders>
            <w:gridSpan w:val="2"/>
          </w:tcPr>
          <w:p>
            <w:pPr>
              <w:ind w:left="560"/>
              <w:spacing w:after="0"/>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216</w:t>
            </w:r>
          </w:p>
        </w:tc>
        <w:tc>
          <w:tcPr>
            <w:tcW w:w="180" w:type="dxa"/>
            <w:vAlign w:val="bottom"/>
            <w:tcBorders>
              <w:top w:val="single" w:sz="8" w:color="CFF0FC"/>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1,508</w:t>
            </w:r>
          </w:p>
        </w:tc>
        <w:tc>
          <w:tcPr>
            <w:tcW w:w="200" w:type="dxa"/>
            <w:vAlign w:val="bottom"/>
            <w:tcBorders>
              <w:top w:val="single" w:sz="8" w:color="CFF0FC"/>
            </w:tcBorders>
          </w:tcPr>
          <w:p>
            <w:pPr>
              <w:spacing w:after="0"/>
              <w:rPr>
                <w:sz w:val="14"/>
                <w:szCs w:val="14"/>
                <w:color w:val="auto"/>
              </w:rPr>
            </w:pPr>
          </w:p>
        </w:tc>
      </w:tr>
      <w:tr>
        <w:trPr>
          <w:trHeight w:val="169"/>
        </w:trPr>
        <w:tc>
          <w:tcPr>
            <w:tcW w:w="746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Effect of exchange rate changes on cash, cash equivalents and restricted cash</w:t>
            </w:r>
          </w:p>
        </w:tc>
        <w:tc>
          <w:tcPr>
            <w:tcW w:w="36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(2,096 )</w:t>
            </w: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(1,617 )</w:t>
            </w:r>
          </w:p>
        </w:tc>
        <w:tc>
          <w:tcPr>
            <w:tcW w:w="200" w:type="dxa"/>
            <w:vAlign w:val="bottom"/>
            <w:shd w:val="clear" w:color="auto" w:fill="CFF0FC"/>
          </w:tcPr>
          <w:p>
            <w:pPr>
              <w:spacing w:after="0"/>
              <w:rPr>
                <w:sz w:val="14"/>
                <w:szCs w:val="14"/>
                <w:color w:val="auto"/>
              </w:rPr>
            </w:pPr>
          </w:p>
        </w:tc>
      </w:tr>
      <w:tr>
        <w:trPr>
          <w:trHeight w:val="175"/>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Cash, cash equivalents and restricted cash:</w:t>
            </w: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5"/>
        </w:trPr>
        <w:tc>
          <w:tcPr>
            <w:tcW w:w="74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3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(167,956 )</w:t>
            </w:r>
          </w:p>
        </w:tc>
        <w:tc>
          <w:tcPr>
            <w:tcW w:w="18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(14,724 )</w:t>
            </w:r>
          </w:p>
        </w:tc>
        <w:tc>
          <w:tcPr>
            <w:tcW w:w="200" w:type="dxa"/>
            <w:vAlign w:val="bottom"/>
            <w:tcBorders>
              <w:bottom w:val="single" w:sz="8" w:color="CFF0FC"/>
            </w:tcBorders>
            <w:shd w:val="clear" w:color="auto" w:fill="CFF0FC"/>
          </w:tcPr>
          <w:p>
            <w:pPr>
              <w:spacing w:after="0"/>
              <w:rPr>
                <w:sz w:val="15"/>
                <w:szCs w:val="15"/>
                <w:color w:val="auto"/>
              </w:rPr>
            </w:pPr>
          </w:p>
        </w:tc>
      </w:tr>
      <w:tr>
        <w:trPr>
          <w:trHeight w:val="169"/>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299,500</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364,618</w:t>
            </w:r>
          </w:p>
        </w:tc>
        <w:tc>
          <w:tcPr>
            <w:tcW w:w="200" w:type="dxa"/>
            <w:vAlign w:val="bottom"/>
          </w:tcPr>
          <w:p>
            <w:pPr>
              <w:spacing w:after="0"/>
              <w:rPr>
                <w:sz w:val="14"/>
                <w:szCs w:val="14"/>
                <w:color w:val="auto"/>
              </w:rPr>
            </w:pPr>
          </w:p>
        </w:tc>
      </w:tr>
      <w:tr>
        <w:trPr>
          <w:trHeight w:val="209"/>
        </w:trPr>
        <w:tc>
          <w:tcPr>
            <w:tcW w:w="74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131,544</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349,894</w:t>
            </w:r>
          </w:p>
        </w:tc>
        <w:tc>
          <w:tcPr>
            <w:tcW w:w="200" w:type="dxa"/>
            <w:vAlign w:val="bottom"/>
            <w:tcBorders>
              <w:bottom w:val="single" w:sz="8" w:color="CFF0FC"/>
            </w:tcBorders>
            <w:shd w:val="clear" w:color="auto" w:fill="CFF0FC"/>
          </w:tcPr>
          <w:p>
            <w:pPr>
              <w:spacing w:after="0"/>
              <w:rPr>
                <w:sz w:val="18"/>
                <w:szCs w:val="18"/>
                <w:color w:val="auto"/>
              </w:rPr>
            </w:pPr>
          </w:p>
        </w:tc>
      </w:tr>
      <w:tr>
        <w:trPr>
          <w:trHeight w:val="156"/>
        </w:trPr>
        <w:tc>
          <w:tcPr>
            <w:tcW w:w="746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15"/>
        </w:trPr>
        <w:tc>
          <w:tcPr>
            <w:tcW w:w="74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Cash paid for taxes</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683</w:t>
            </w:r>
          </w:p>
        </w:tc>
        <w:tc>
          <w:tcPr>
            <w:tcW w:w="56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7,657</w:t>
            </w:r>
          </w:p>
        </w:tc>
        <w:tc>
          <w:tcPr>
            <w:tcW w:w="200" w:type="dxa"/>
            <w:vAlign w:val="bottom"/>
            <w:shd w:val="clear" w:color="auto" w:fill="CFF0FC"/>
          </w:tcPr>
          <w:p>
            <w:pPr>
              <w:spacing w:after="0"/>
              <w:rPr>
                <w:sz w:val="18"/>
                <w:szCs w:val="18"/>
                <w:color w:val="auto"/>
              </w:rPr>
            </w:pPr>
          </w:p>
        </w:tc>
      </w:tr>
      <w:tr>
        <w:trPr>
          <w:trHeight w:val="156"/>
        </w:trPr>
        <w:tc>
          <w:tcPr>
            <w:tcW w:w="7460" w:type="dxa"/>
            <w:vAlign w:val="bottom"/>
            <w:tcBorders>
              <w:top w:val="single" w:sz="8" w:color="CFF0FC"/>
            </w:tcBorders>
            <w:gridSpan w:val="2"/>
          </w:tcPr>
          <w:p>
            <w:pPr>
              <w:ind w:left="20"/>
              <w:spacing w:after="0" w:line="156" w:lineRule="exact"/>
              <w:rPr>
                <w:sz w:val="20"/>
                <w:szCs w:val="20"/>
                <w:color w:val="auto"/>
              </w:rPr>
            </w:pPr>
            <w:r>
              <w:rPr>
                <w:rFonts w:ascii="Arial" w:cs="Arial" w:eastAsia="Arial" w:hAnsi="Arial"/>
                <w:sz w:val="14"/>
                <w:szCs w:val="14"/>
                <w:b w:val="1"/>
                <w:bCs w:val="1"/>
                <w:color w:val="auto"/>
              </w:rPr>
              <w:t>Non-cash investing and financing activities:</w:t>
            </w:r>
          </w:p>
        </w:tc>
        <w:tc>
          <w:tcPr>
            <w:tcW w:w="3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r>
      <w:tr>
        <w:trPr>
          <w:trHeight w:val="209"/>
        </w:trPr>
        <w:tc>
          <w:tcPr>
            <w:tcW w:w="74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4"/>
                <w:szCs w:val="14"/>
                <w:color w:val="auto"/>
              </w:rPr>
              <w:t>Fixed asset purchases in accounts payable at period end</w:t>
            </w: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30</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251</w:t>
            </w:r>
          </w:p>
        </w:tc>
        <w:tc>
          <w:tcPr>
            <w:tcW w:w="200" w:type="dxa"/>
            <w:vAlign w:val="bottom"/>
            <w:tcBorders>
              <w:bottom w:val="single" w:sz="8" w:color="CFF0FC"/>
            </w:tcBorders>
            <w:shd w:val="clear" w:color="auto" w:fill="CFF0FC"/>
          </w:tcPr>
          <w:p>
            <w:pPr>
              <w:spacing w:after="0"/>
              <w:rPr>
                <w:sz w:val="18"/>
                <w:szCs w:val="18"/>
                <w:color w:val="auto"/>
              </w:rPr>
            </w:pPr>
          </w:p>
        </w:tc>
      </w:tr>
      <w:tr>
        <w:trPr>
          <w:trHeight w:val="156"/>
        </w:trPr>
        <w:tc>
          <w:tcPr>
            <w:tcW w:w="7460" w:type="dxa"/>
            <w:vAlign w:val="bottom"/>
            <w:gridSpan w:val="2"/>
          </w:tcPr>
          <w:p>
            <w:pPr>
              <w:ind w:left="200"/>
              <w:spacing w:after="0" w:line="156" w:lineRule="exact"/>
              <w:rPr>
                <w:sz w:val="20"/>
                <w:szCs w:val="20"/>
                <w:color w:val="auto"/>
              </w:rPr>
            </w:pPr>
            <w:r>
              <w:rPr>
                <w:rFonts w:ascii="Arial" w:cs="Arial" w:eastAsia="Arial" w:hAnsi="Arial"/>
                <w:sz w:val="14"/>
                <w:szCs w:val="14"/>
                <w:color w:val="auto"/>
              </w:rPr>
              <w:t>Intangible asset in accrued expenses at period end</w:t>
            </w:r>
          </w:p>
        </w:tc>
        <w:tc>
          <w:tcPr>
            <w:tcW w:w="360" w:type="dxa"/>
            <w:vAlign w:val="bottom"/>
          </w:tcPr>
          <w:p>
            <w:pPr>
              <w:jc w:val="right"/>
              <w:ind w:right="208"/>
              <w:spacing w:after="0" w:line="156" w:lineRule="exact"/>
              <w:rPr>
                <w:sz w:val="20"/>
                <w:szCs w:val="20"/>
                <w:color w:val="auto"/>
              </w:rPr>
            </w:pPr>
            <w:r>
              <w:rPr>
                <w:rFonts w:ascii="Arial" w:cs="Arial" w:eastAsia="Arial" w:hAnsi="Arial"/>
                <w:sz w:val="14"/>
                <w:szCs w:val="14"/>
                <w:color w:val="auto"/>
                <w:w w:val="76"/>
              </w:rPr>
              <w:t>$</w:t>
            </w:r>
          </w:p>
        </w:tc>
        <w:tc>
          <w:tcPr>
            <w:tcW w:w="1340" w:type="dxa"/>
            <w:vAlign w:val="bottom"/>
          </w:tcPr>
          <w:p>
            <w:pPr>
              <w:jc w:val="right"/>
              <w:ind w:right="68"/>
              <w:spacing w:after="0" w:line="156" w:lineRule="exact"/>
              <w:rPr>
                <w:sz w:val="20"/>
                <w:szCs w:val="20"/>
                <w:color w:val="auto"/>
              </w:rPr>
            </w:pPr>
            <w:r>
              <w:rPr>
                <w:rFonts w:ascii="Arial" w:cs="Arial" w:eastAsia="Arial" w:hAnsi="Arial"/>
                <w:sz w:val="14"/>
                <w:szCs w:val="14"/>
                <w:color w:val="auto"/>
              </w:rPr>
              <w:t>8</w:t>
            </w:r>
          </w:p>
        </w:tc>
        <w:tc>
          <w:tcPr>
            <w:tcW w:w="560" w:type="dxa"/>
            <w:vAlign w:val="bottom"/>
            <w:gridSpan w:val="2"/>
          </w:tcPr>
          <w:p>
            <w:pPr>
              <w:jc w:val="right"/>
              <w:ind w:right="228"/>
              <w:spacing w:after="0" w:line="156"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68"/>
              <w:spacing w:after="0" w:line="156" w:lineRule="exact"/>
              <w:rPr>
                <w:sz w:val="20"/>
                <w:szCs w:val="20"/>
                <w:color w:val="auto"/>
              </w:rPr>
            </w:pPr>
            <w:r>
              <w:rPr>
                <w:rFonts w:ascii="Arial" w:cs="Arial" w:eastAsia="Arial" w:hAnsi="Arial"/>
                <w:sz w:val="14"/>
                <w:szCs w:val="14"/>
                <w:color w:val="auto"/>
              </w:rPr>
              <w:t>40</w:t>
            </w:r>
          </w:p>
        </w:tc>
        <w:tc>
          <w:tcPr>
            <w:tcW w:w="200" w:type="dxa"/>
            <w:vAlign w:val="bottom"/>
          </w:tcPr>
          <w:p>
            <w:pPr>
              <w:spacing w:after="0"/>
              <w:rPr>
                <w:sz w:val="13"/>
                <w:szCs w:val="13"/>
                <w:color w:val="auto"/>
              </w:rPr>
            </w:pPr>
          </w:p>
        </w:tc>
      </w:tr>
      <w:tr>
        <w:trPr>
          <w:trHeight w:val="20"/>
        </w:trPr>
        <w:tc>
          <w:tcPr>
            <w:tcW w:w="7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-3188335</wp:posOffset>
            </wp:positionV>
            <wp:extent cx="11112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128905"/>
                    </a:xfrm>
                    <a:prstGeom prst="rect">
                      <a:avLst/>
                    </a:prstGeom>
                    <a:noFill/>
                  </pic:spPr>
                </pic:pic>
              </a:graphicData>
            </a:graphic>
          </wp:anchor>
        </w:drawing>
        <w:drawing>
          <wp:anchor simplePos="0" relativeHeight="251657728" behindDoc="1" locked="0" layoutInCell="0" allowOverlap="1">
            <wp:simplePos x="0" y="0"/>
            <wp:positionH relativeFrom="column">
              <wp:posOffset>7009130</wp:posOffset>
            </wp:positionH>
            <wp:positionV relativeFrom="paragraph">
              <wp:posOffset>-3188335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-2047875</wp:posOffset>
            </wp:positionV>
            <wp:extent cx="111125"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120015"/>
                    </a:xfrm>
                    <a:prstGeom prst="rect">
                      <a:avLst/>
                    </a:prstGeom>
                    <a:noFill/>
                  </pic:spPr>
                </pic:pic>
              </a:graphicData>
            </a:graphic>
          </wp:anchor>
        </w:drawing>
        <w:drawing>
          <wp:anchor simplePos="0" relativeHeight="251657728" behindDoc="1" locked="0" layoutInCell="0" allowOverlap="1">
            <wp:simplePos x="0" y="0"/>
            <wp:positionH relativeFrom="column">
              <wp:posOffset>7009130</wp:posOffset>
            </wp:positionH>
            <wp:positionV relativeFrom="paragraph">
              <wp:posOffset>-2047875</wp:posOffset>
            </wp:positionV>
            <wp:extent cx="128905"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-1370965</wp:posOffset>
            </wp:positionV>
            <wp:extent cx="11112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125" cy="128905"/>
                    </a:xfrm>
                    <a:prstGeom prst="rect">
                      <a:avLst/>
                    </a:prstGeom>
                    <a:noFill/>
                  </pic:spPr>
                </pic:pic>
              </a:graphicData>
            </a:graphic>
          </wp:anchor>
        </w:drawing>
        <w:drawing>
          <wp:anchor simplePos="0" relativeHeight="251657728" behindDoc="1" locked="0" layoutInCell="0" allowOverlap="1">
            <wp:simplePos x="0" y="0"/>
            <wp:positionH relativeFrom="column">
              <wp:posOffset>7009130</wp:posOffset>
            </wp:positionH>
            <wp:positionV relativeFrom="paragraph">
              <wp:posOffset>-1370965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-908050</wp:posOffset>
            </wp:positionV>
            <wp:extent cx="11112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128905"/>
                    </a:xfrm>
                    <a:prstGeom prst="rect">
                      <a:avLst/>
                    </a:prstGeom>
                    <a:noFill/>
                  </pic:spPr>
                </pic:pic>
              </a:graphicData>
            </a:graphic>
          </wp:anchor>
        </w:drawing>
        <w:drawing>
          <wp:anchor simplePos="0" relativeHeight="251657728" behindDoc="1" locked="0" layoutInCell="0" allowOverlap="1">
            <wp:simplePos x="0" y="0"/>
            <wp:positionH relativeFrom="column">
              <wp:posOffset>7009130</wp:posOffset>
            </wp:positionH>
            <wp:positionV relativeFrom="paragraph">
              <wp:posOffset>-908050</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-668020</wp:posOffset>
            </wp:positionV>
            <wp:extent cx="132016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20165" cy="13716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-419735</wp:posOffset>
            </wp:positionV>
            <wp:extent cx="132016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20165" cy="14605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-162560</wp:posOffset>
            </wp:positionV>
            <wp:extent cx="1320165"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20165" cy="16319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interim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Cytek Biosciences,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Cytek Biosciences, Inc. (“Cytek” or the “Company”) is a leading cell analysis solutions company advancing the next generation of cell analysis tools by leveraging novel technical approaches. The Company has focused on becoming the premier cell analysis company through continued innovation that facilitates scientific advances in biomedical research and clinical applications.</w:t>
      </w:r>
    </w:p>
    <w:p>
      <w:pPr>
        <w:spacing w:after="0" w:line="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 has successfully developed and manufactured its full spectrum flow cytometry platform (“instrument(s)” or “product(s)”). The Company believes its core instruments, the Aurora and Northern Lights</w:t>
      </w:r>
      <w:r>
        <w:rPr>
          <w:rFonts w:ascii="Arial" w:cs="Arial" w:eastAsia="Arial" w:hAnsi="Arial"/>
          <w:sz w:val="20"/>
          <w:szCs w:val="20"/>
          <w:color w:val="auto"/>
          <w:vertAlign w:val="superscript"/>
        </w:rPr>
        <w:t>TM</w:t>
      </w:r>
      <w:r>
        <w:rPr>
          <w:rFonts w:ascii="Arial" w:cs="Arial" w:eastAsia="Arial" w:hAnsi="Arial"/>
          <w:sz w:val="18"/>
          <w:szCs w:val="18"/>
          <w:color w:val="auto"/>
        </w:rPr>
        <w:t xml:space="preserve"> systems, are the first full spectrum flow cytometers able to deliver high-resolution, high-content and high-sensitivity cell analysis by utilizing the full spectrum of fluorescence signatures from multiple lasers to distinguish fluorescent tags on single cells (“Full Spectrum Profiling</w:t>
      </w:r>
      <w:r>
        <w:rPr>
          <w:rFonts w:ascii="Arial" w:cs="Arial" w:eastAsia="Arial" w:hAnsi="Arial"/>
          <w:sz w:val="20"/>
          <w:szCs w:val="20"/>
          <w:color w:val="auto"/>
          <w:vertAlign w:val="superscript"/>
        </w:rPr>
        <w:t>TM</w:t>
      </w:r>
      <w:r>
        <w:rPr>
          <w:rFonts w:ascii="Arial" w:cs="Arial" w:eastAsia="Arial" w:hAnsi="Arial"/>
          <w:sz w:val="18"/>
          <w:szCs w:val="18"/>
          <w:color w:val="auto"/>
        </w:rPr>
        <w:t>” or “FSP</w:t>
      </w:r>
      <w:r>
        <w:rPr>
          <w:rFonts w:ascii="Arial" w:cs="Arial" w:eastAsia="Arial" w:hAnsi="Arial"/>
          <w:sz w:val="20"/>
          <w:szCs w:val="20"/>
          <w:color w:val="auto"/>
          <w:vertAlign w:val="superscript"/>
        </w:rPr>
        <w:t>TM</w:t>
      </w:r>
      <w:r>
        <w:rPr>
          <w:rFonts w:ascii="Arial" w:cs="Arial" w:eastAsia="Arial" w:hAnsi="Arial"/>
          <w:sz w:val="18"/>
          <w:szCs w:val="18"/>
          <w:color w:val="auto"/>
        </w:rPr>
        <w:t>”). The Company’s FSP platform includes instruments, accessories, reagents, software, and services to provide a comprehensive and integrated suite of solutions for its customers.</w:t>
      </w:r>
    </w:p>
    <w:p>
      <w:pPr>
        <w:spacing w:after="0" w:line="8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On February 28, 2023, the Company completed the acquisition of the flow cytometry and imaging (“FCI”) business unit of Luminex Corporation ("Luminex"), including relating to the business of manufacturing, marketing, selling, servicing and maintaining Amnis-, CellStream-, Guava- and Muse-branded instruments, and flow cytometry reagent products and services.</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was incorporated in the state of Delaware in December 2014 and is headquartered in Fremont, California with offices, manufacturing facilities and distribution channels across the globe.</w:t>
      </w:r>
    </w:p>
    <w:p>
      <w:pPr>
        <w:spacing w:after="0" w:line="58"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has prepared the accompanying unaudited interim consolidated financial statements in accordance with accounting principles generally accepted in the United States of America (“GAAP”). Any reference in these notes to applicable guidance is meant to refer to the authoritative GAAP as found in the Accounting Standards Codification (“ASC”) and Accounting Standards Updates (“ASUs”) of the Financial Accounting Standards Board (“FASB”).</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unaudited interim consolidated financial statements include the accounts of Cytek Biosciences, Inc., its wholly-owned subsidiaries, Cytek Limited (HK), Cytek Biosciences B.V. (Europe), Cytek (Shanghai) Biosciences Co., Ltd., Cytek Biosciences (Wuxi) Co., Ltd., Cytoville Biosciences Shanghai Co., Ltd., Cytek (Shanghai) Software Development Technology Co., Ltd., Cytek Japan Kabushiki Kaisha (“Cytek Japan”), Cytek Biosciences Ltd (UK), and Cytek Biosciences GmbH (Germany). All intercompany accounts and transactions have been eliminated in consolidation.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preparation of the unaudited interim consolidated financial statements in conformity with GAAP requires management to make estimates and assumptions that affect the reported amounts of assets, liabilities, revenue and expenses and the disclosure of contingent assets and liabilities in the Company’s unaudited interim consolidated financial statements and accompanying notes as of the date of the unaudited interim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reportable and operating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1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unaudited interim consolidated statements of operations and comprehensive income have been translated at the average exchange rate for the year or the reporting period. Translation gains and losses are recorded in accumulated other comprehensive income as a component of stockholders’ equity. Gains or losses arising from currency exchange rate fluctuations on transactions denominated in a currency other than the local functional currency are included in the unaudited interim consolidated statements of operations and comprehensive income.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both"/>
        <w:ind w:firstLine="509"/>
        <w:spacing w:after="0" w:line="277" w:lineRule="auto"/>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 Cash equivalents are carried at cost, which approximates fair value.</w:t>
      </w:r>
    </w:p>
    <w:p>
      <w:pPr>
        <w:spacing w:after="0" w:line="62"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 Company’s cash and cash equivalents consist of money held in demand depositary accounts and money market funds. The carrying amount of cash and cash equivalents was $131.5 million and $296.6 million as of June 30, 2023 and December 31, 2022, respectively, which approximates fair value and was determined based upon Level 1 inputs. The money market account is valued using quoted market prices with no valuation adjustments applied and is categorized as Level 1. The Company limits its credit risk associated with cash and cash equivalents by maintaining its bank accounts at major and reputable financial institutions. The Company’s cash and cash equivalents balance exceeded the federally insured limit of $250,000 as of June 30, 2023.</w:t>
      </w:r>
    </w:p>
    <w:p>
      <w:pPr>
        <w:spacing w:after="0" w:line="5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classifies restricted cash as current on the accompanying unaudited interim consolidated balance sheets based upon the term of the remaining restrictions.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cash, cash equivalents and restricted cash on the consolidated balance sheets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57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020" w:type="dxa"/>
            <w:vAlign w:val="bottom"/>
          </w:tcPr>
          <w:p>
            <w:pPr>
              <w:spacing w:after="0"/>
              <w:rPr>
                <w:sz w:val="16"/>
                <w:szCs w:val="16"/>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1240" w:type="dxa"/>
            <w:vAlign w:val="bottom"/>
            <w:shd w:val="clear" w:color="auto" w:fill="CFF0FC"/>
          </w:tcPr>
          <w:p>
            <w:pPr>
              <w:jc w:val="right"/>
              <w:ind w:right="1039"/>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69,751</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123,371</w:t>
            </w:r>
          </w:p>
        </w:tc>
        <w:tc>
          <w:tcPr>
            <w:tcW w:w="0" w:type="dxa"/>
            <w:vAlign w:val="bottom"/>
          </w:tcPr>
          <w:p>
            <w:pPr>
              <w:spacing w:after="0"/>
              <w:rPr>
                <w:sz w:val="1"/>
                <w:szCs w:val="1"/>
                <w:color w:val="auto"/>
              </w:rPr>
            </w:pPr>
          </w:p>
        </w:tc>
      </w:tr>
      <w:tr>
        <w:trPr>
          <w:trHeight w:val="237"/>
        </w:trPr>
        <w:tc>
          <w:tcPr>
            <w:tcW w:w="7020" w:type="dxa"/>
            <w:vAlign w:val="bottom"/>
          </w:tcPr>
          <w:p>
            <w:pPr>
              <w:ind w:left="20"/>
              <w:spacing w:after="0"/>
              <w:rPr>
                <w:sz w:val="20"/>
                <w:szCs w:val="20"/>
                <w:color w:val="auto"/>
              </w:rPr>
            </w:pPr>
            <w:r>
              <w:rPr>
                <w:rFonts w:ascii="Arial" w:cs="Arial" w:eastAsia="Arial" w:hAnsi="Arial"/>
                <w:sz w:val="18"/>
                <w:szCs w:val="18"/>
                <w:color w:val="auto"/>
              </w:rPr>
              <w:t>U.S. Treasury</w:t>
            </w:r>
          </w:p>
        </w:tc>
        <w:tc>
          <w:tcPr>
            <w:tcW w:w="124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jc w:val="right"/>
              <w:ind w:right="74"/>
              <w:spacing w:after="0"/>
              <w:rPr>
                <w:sz w:val="20"/>
                <w:szCs w:val="20"/>
                <w:color w:val="auto"/>
              </w:rPr>
            </w:pPr>
            <w:r>
              <w:rPr>
                <w:rFonts w:ascii="Arial" w:cs="Arial" w:eastAsia="Arial" w:hAnsi="Arial"/>
                <w:sz w:val="18"/>
                <w:szCs w:val="18"/>
                <w:color w:val="auto"/>
              </w:rPr>
              <w:t>29,930</w:t>
            </w:r>
          </w:p>
        </w:tc>
        <w:tc>
          <w:tcPr>
            <w:tcW w:w="0" w:type="dxa"/>
            <w:vAlign w:val="bottom"/>
          </w:tcPr>
          <w:p>
            <w:pPr>
              <w:spacing w:after="0"/>
              <w:rPr>
                <w:sz w:val="1"/>
                <w:szCs w:val="1"/>
                <w:color w:val="auto"/>
              </w:rPr>
            </w:pPr>
          </w:p>
        </w:tc>
      </w:tr>
      <w:tr>
        <w:trPr>
          <w:trHeight w:val="249"/>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agency securities</w:t>
            </w:r>
          </w:p>
        </w:tc>
        <w:tc>
          <w:tcPr>
            <w:tcW w:w="12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19,908</w:t>
            </w:r>
          </w:p>
        </w:tc>
        <w:tc>
          <w:tcPr>
            <w:tcW w:w="0" w:type="dxa"/>
            <w:vAlign w:val="bottom"/>
          </w:tcPr>
          <w:p>
            <w:pPr>
              <w:spacing w:after="0"/>
              <w:rPr>
                <w:sz w:val="1"/>
                <w:szCs w:val="1"/>
                <w:color w:val="auto"/>
              </w:rPr>
            </w:pPr>
          </w:p>
        </w:tc>
      </w:tr>
      <w:tr>
        <w:trPr>
          <w:trHeight w:val="237"/>
        </w:trPr>
        <w:tc>
          <w:tcPr>
            <w:tcW w:w="70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24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jc w:val="right"/>
              <w:ind w:right="74"/>
              <w:spacing w:after="0"/>
              <w:rPr>
                <w:sz w:val="20"/>
                <w:szCs w:val="20"/>
                <w:color w:val="auto"/>
              </w:rPr>
            </w:pPr>
            <w:r>
              <w:rPr>
                <w:rFonts w:ascii="Arial" w:cs="Arial" w:eastAsia="Arial" w:hAnsi="Arial"/>
                <w:sz w:val="18"/>
                <w:szCs w:val="18"/>
                <w:color w:val="auto"/>
              </w:rPr>
              <w:t>5,955</w:t>
            </w:r>
          </w:p>
        </w:tc>
        <w:tc>
          <w:tcPr>
            <w:tcW w:w="0" w:type="dxa"/>
            <w:vAlign w:val="bottom"/>
          </w:tcPr>
          <w:p>
            <w:pPr>
              <w:spacing w:after="0"/>
              <w:rPr>
                <w:sz w:val="1"/>
                <w:szCs w:val="1"/>
                <w:color w:val="auto"/>
              </w:rPr>
            </w:pPr>
          </w:p>
        </w:tc>
      </w:tr>
      <w:tr>
        <w:trPr>
          <w:trHeight w:val="249"/>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12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61,793</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117,437</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09"/>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cash, cash equivalents and restricted cash as presented on the</w:t>
            </w:r>
          </w:p>
        </w:tc>
        <w:tc>
          <w:tcPr>
            <w:tcW w:w="1240" w:type="dxa"/>
            <w:vAlign w:val="bottom"/>
            <w:vMerge w:val="restart"/>
            <w:shd w:val="clear" w:color="auto" w:fill="CFF0FC"/>
          </w:tcPr>
          <w:p>
            <w:pPr>
              <w:jc w:val="right"/>
              <w:ind w:right="1039"/>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92"/>
              </w:rPr>
              <w:t>131,544</w:t>
            </w:r>
          </w:p>
        </w:tc>
        <w:tc>
          <w:tcPr>
            <w:tcW w:w="180" w:type="dxa"/>
            <w:vAlign w:val="bottom"/>
            <w:vMerge w:val="restart"/>
            <w:shd w:val="clear" w:color="auto" w:fill="CFF0FC"/>
          </w:tcPr>
          <w:p>
            <w:pPr>
              <w:spacing w:after="0"/>
              <w:rPr>
                <w:sz w:val="18"/>
                <w:szCs w:val="18"/>
                <w:color w:val="auto"/>
              </w:rPr>
            </w:pP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vMerge w:val="restart"/>
            <w:shd w:val="clear" w:color="auto" w:fill="CFF0FC"/>
          </w:tcPr>
          <w:p>
            <w:pPr>
              <w:jc w:val="right"/>
              <w:ind w:right="74"/>
              <w:spacing w:after="0"/>
              <w:rPr>
                <w:sz w:val="20"/>
                <w:szCs w:val="20"/>
                <w:color w:val="auto"/>
              </w:rPr>
            </w:pPr>
            <w:r>
              <w:rPr>
                <w:rFonts w:ascii="Arial" w:cs="Arial" w:eastAsia="Arial" w:hAnsi="Arial"/>
                <w:sz w:val="18"/>
                <w:szCs w:val="18"/>
                <w:color w:val="auto"/>
              </w:rPr>
              <w:t>299,500</w:t>
            </w:r>
          </w:p>
        </w:tc>
        <w:tc>
          <w:tcPr>
            <w:tcW w:w="0" w:type="dxa"/>
            <w:vAlign w:val="bottom"/>
          </w:tcPr>
          <w:p>
            <w:pPr>
              <w:spacing w:after="0"/>
              <w:rPr>
                <w:sz w:val="1"/>
                <w:szCs w:val="1"/>
                <w:color w:val="auto"/>
              </w:rPr>
            </w:pPr>
          </w:p>
        </w:tc>
      </w:tr>
      <w:tr>
        <w:trPr>
          <w:trHeight w:val="243"/>
        </w:trPr>
        <w:tc>
          <w:tcPr>
            <w:tcW w:w="702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consolidated statements of cash flows</w:t>
            </w:r>
          </w:p>
        </w:tc>
        <w:tc>
          <w:tcPr>
            <w:tcW w:w="1240" w:type="dxa"/>
            <w:vAlign w:val="bottom"/>
            <w:tcBorders>
              <w:bottom w:val="single" w:sz="8" w:color="auto"/>
            </w:tcBorders>
            <w:vMerge w:val="continue"/>
            <w:shd w:val="clear" w:color="auto" w:fill="CFF0FC"/>
          </w:tcPr>
          <w:p>
            <w:pPr>
              <w:spacing w:after="0"/>
              <w:rPr>
                <w:sz w:val="21"/>
                <w:szCs w:val="21"/>
                <w:color w:val="auto"/>
              </w:rPr>
            </w:pPr>
          </w:p>
        </w:tc>
        <w:tc>
          <w:tcPr>
            <w:tcW w:w="780" w:type="dxa"/>
            <w:vAlign w:val="bottom"/>
            <w:tcBorders>
              <w:bottom w:val="single" w:sz="8" w:color="auto"/>
            </w:tcBorders>
            <w:vMerge w:val="continue"/>
            <w:shd w:val="clear" w:color="auto" w:fill="CFF0FC"/>
          </w:tcPr>
          <w:p>
            <w:pPr>
              <w:spacing w:after="0"/>
              <w:rPr>
                <w:sz w:val="21"/>
                <w:szCs w:val="21"/>
                <w:color w:val="auto"/>
              </w:rPr>
            </w:pPr>
          </w:p>
        </w:tc>
        <w:tc>
          <w:tcPr>
            <w:tcW w:w="180" w:type="dxa"/>
            <w:vAlign w:val="bottom"/>
            <w:tcBorders>
              <w:bottom w:val="single" w:sz="8" w:color="CFF0FC"/>
            </w:tcBorders>
            <w:vMerge w:val="continue"/>
            <w:shd w:val="clear" w:color="auto" w:fill="CFF0FC"/>
          </w:tcPr>
          <w:p>
            <w:pPr>
              <w:spacing w:after="0"/>
              <w:rPr>
                <w:sz w:val="21"/>
                <w:szCs w:val="21"/>
                <w:color w:val="auto"/>
              </w:rPr>
            </w:pPr>
          </w:p>
        </w:tc>
        <w:tc>
          <w:tcPr>
            <w:tcW w:w="320" w:type="dxa"/>
            <w:vAlign w:val="bottom"/>
            <w:tcBorders>
              <w:bottom w:val="single" w:sz="8" w:color="auto"/>
            </w:tcBorders>
            <w:vMerge w:val="continue"/>
            <w:shd w:val="clear" w:color="auto" w:fill="CFF0FC"/>
          </w:tcPr>
          <w:p>
            <w:pPr>
              <w:spacing w:after="0"/>
              <w:rPr>
                <w:sz w:val="21"/>
                <w:szCs w:val="21"/>
                <w:color w:val="auto"/>
              </w:rPr>
            </w:pPr>
          </w:p>
        </w:tc>
        <w:tc>
          <w:tcPr>
            <w:tcW w:w="170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-24765</wp:posOffset>
            </wp:positionV>
            <wp:extent cx="120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120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i w:val="1"/>
          <w:iCs w:val="1"/>
          <w:color w:val="auto"/>
        </w:rPr>
        <w:t xml:space="preserve">Available-for-sale investments. </w:t>
      </w:r>
      <w:r>
        <w:rPr>
          <w:rFonts w:ascii="Arial" w:cs="Arial" w:eastAsia="Arial" w:hAnsi="Arial"/>
          <w:sz w:val="16"/>
          <w:szCs w:val="16"/>
          <w:color w:val="auto"/>
        </w:rPr>
        <w:t>The Company's investments may consist of U.S. treasury and U.S. government agency securities, corporate notes</w:t>
      </w:r>
      <w:r>
        <w:rPr>
          <w:rFonts w:ascii="Arial" w:cs="Arial" w:eastAsia="Arial" w:hAnsi="Arial"/>
          <w:sz w:val="16"/>
          <w:szCs w:val="16"/>
          <w:i w:val="1"/>
          <w:iCs w:val="1"/>
          <w:color w:val="auto"/>
        </w:rPr>
        <w:t xml:space="preserve"> </w:t>
      </w:r>
      <w:r>
        <w:rPr>
          <w:rFonts w:ascii="Arial" w:cs="Arial" w:eastAsia="Arial" w:hAnsi="Arial"/>
          <w:sz w:val="16"/>
          <w:szCs w:val="16"/>
          <w:color w:val="auto"/>
        </w:rPr>
        <w:t>and bonds, commercial paper, and money market funds. The Company has designated all investments as available-for-sale and, therefore, such investments are reported at fair value, with unrealized gains and losses recorded in accumulated other comprehensive loss. The Company generally holds securities until maturity; however, they may be sold under certain circumstances including, but not limited to, when necessary for the funding of acquisitions and other strategic investments. Realized gains and losses on the sale of investments are recorded in interest and other income, net in the consolidated statements of operations. Investments with remaining maturities at date of purchase greater than 90 days and remaining maturities as of the reporting period less than one year are classified as short-term investments. Investments with remaining maturities greater than one year are classified as long-term investments.</w:t>
      </w:r>
    </w:p>
    <w:p>
      <w:pPr>
        <w:spacing w:after="0" w:line="58"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i w:val="1"/>
          <w:iCs w:val="1"/>
          <w:color w:val="auto"/>
        </w:rPr>
        <w:t xml:space="preserve">Equity Investment. </w:t>
      </w:r>
      <w:r>
        <w:rPr>
          <w:rFonts w:ascii="Arial" w:cs="Arial" w:eastAsia="Arial" w:hAnsi="Arial"/>
          <w:sz w:val="17"/>
          <w:szCs w:val="17"/>
          <w:color w:val="auto"/>
        </w:rPr>
        <w:t>The Company's investment consists of non-marketable equity investments in a privately held company. The Company’s non-marketable equity investments do not have readily determinable fair values. Therefore, the Company elects to apply the measurement alternative and record these investments at cost, less any impairment, plus or minus observable price changes in orderly transactions for identical or similar investments of the same issuer. Investment is included within other noncurrent assets on our consolidated balance sheets and adjustments to their carrying amounts are recorded in other income (expense), net in the consolidated statements of operations. There were no material events or circumstances impacting the carrying amount of our strategic investments during the three months ended June 30, 2023.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net</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Company’s accounts receivable consists principally of amounts due related to product sales of instrument systems and accessories, as well as installation and repair services. These receivables are generally due within 30 to 90 days of the period in which the corresponding sales occur and do not bear interest are classified as trade accounts receivable, net on the consolidated balance sheets. Trade accounts receivable are reported at their estimated net realizable value.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uncollectible receivables</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 xml:space="preserve">The Company adopted ASU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xml:space="preserve"> (“ASU 2016-13, Financial Instruments - Credit Losses “), on December 31, 2022, which was retroactively applied as of the first day of fiscal year 2022, as further described within the section below titled Recently Adopted Accounting Pronouncements. This accounting standard requires companies to measure expected credit losses on financial instruments based on the total estimated amount to be collected over the lifetime of the instrument. Prior to the adoption of this accounting standard, the Company recorded incurred loss reserves against receivable balances based on current and historical information.</w:t>
      </w:r>
    </w:p>
    <w:p>
      <w:pPr>
        <w:spacing w:after="0" w:line="5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Expected credit losses for uncollectible receivable balances consider both current conditions and reasonable and supportable forecasts of future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jc w:val="both"/>
        <w:ind w:firstLine="509"/>
        <w:spacing w:after="0" w:line="277" w:lineRule="auto"/>
        <w:rPr>
          <w:sz w:val="20"/>
          <w:szCs w:val="20"/>
          <w:color w:val="auto"/>
        </w:rPr>
      </w:pPr>
      <w:r>
        <w:rPr>
          <w:rFonts w:ascii="Arial" w:cs="Arial" w:eastAsia="Arial" w:hAnsi="Arial"/>
          <w:sz w:val="18"/>
          <w:szCs w:val="18"/>
          <w:color w:val="auto"/>
        </w:rPr>
        <w:t>The Company is not party to any off-balance sheet arrangements that would require an allowance for credit losses in accordance with this accounting standard.</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changes in the allowance for uncollectible receivables for the six months ended June 30, 2023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60" w:type="dxa"/>
            <w:vAlign w:val="bottom"/>
          </w:tcPr>
          <w:p>
            <w:pPr>
              <w:ind w:left="20"/>
              <w:spacing w:after="0"/>
              <w:rPr>
                <w:sz w:val="20"/>
                <w:szCs w:val="20"/>
                <w:color w:val="auto"/>
              </w:rPr>
            </w:pPr>
            <w:r>
              <w:rPr>
                <w:rFonts w:ascii="Arial" w:cs="Arial" w:eastAsia="Arial" w:hAnsi="Arial"/>
                <w:sz w:val="14"/>
                <w:szCs w:val="14"/>
                <w:b w:val="1"/>
                <w:bCs w:val="1"/>
                <w:color w:val="auto"/>
              </w:rPr>
              <w:t>Allowance for doubtful accounts</w:t>
            </w: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37"/>
        </w:trPr>
        <w:tc>
          <w:tcPr>
            <w:tcW w:w="876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102</w:t>
            </w:r>
          </w:p>
        </w:tc>
      </w:tr>
      <w:tr>
        <w:trPr>
          <w:trHeight w:val="250"/>
        </w:trPr>
        <w:tc>
          <w:tcPr>
            <w:tcW w:w="8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Utilization of allowance for doubtful accounts</w:t>
            </w:r>
          </w:p>
        </w:tc>
        <w:tc>
          <w:tcPr>
            <w:tcW w:w="108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760" w:type="dxa"/>
            <w:vAlign w:val="bottom"/>
          </w:tcPr>
          <w:p>
            <w:pPr>
              <w:ind w:left="200"/>
              <w:spacing w:after="0"/>
              <w:rPr>
                <w:sz w:val="20"/>
                <w:szCs w:val="20"/>
                <w:color w:val="auto"/>
              </w:rPr>
            </w:pPr>
            <w:r>
              <w:rPr>
                <w:rFonts w:ascii="Arial" w:cs="Arial" w:eastAsia="Arial" w:hAnsi="Arial"/>
                <w:sz w:val="18"/>
                <w:szCs w:val="18"/>
                <w:color w:val="auto"/>
              </w:rPr>
              <w:t>Provision for credit losses</w:t>
            </w:r>
          </w:p>
        </w:tc>
        <w:tc>
          <w:tcPr>
            <w:tcW w:w="10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w:t>
            </w:r>
          </w:p>
        </w:tc>
      </w:tr>
      <w:tr>
        <w:trPr>
          <w:trHeight w:val="277"/>
        </w:trPr>
        <w:tc>
          <w:tcPr>
            <w:tcW w:w="8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June 30, 2023</w:t>
            </w: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116</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Inventories are stated at the lower of cost and net realizable value. Cost is computed using standard cost, which approximates actual cost on a first-in, first-out basis. The Company regularly monitors inventory quantities on hand and records write-downs for excess and obsolete inventories based on an estimate of demand for products, potential obsolescence of technology, product life cycles, and whether pricing trends or forecasts indicate that the carrying value of inventory exceeds its estimated selling price. These factors are impacted by market and economic conditions, technology changes, and new product introductions and require estimates that may include elements that are uncertain. The Company's estimates of forecasted demand are based upon analysis and assumptions including, but not limited to, expected product lifecycles, product development plans and historical usage by product. If inventory is written down, a new cost basis is established that cannot be increased in future periods.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Property and equipment are recorded at cost, net of accumulated depreciation. Depreciation is recorded using the straight-line method based on the estimated useful lives of the depreciable property or, for leasehold improvements, the remaining term of the lease, whichever is shorter. Assets not yet placed in use are not depreciated. The Company’s estimated useful lives of its property and equipment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Estimated Useful Lives</w:t>
            </w:r>
          </w:p>
        </w:tc>
        <w:tc>
          <w:tcPr>
            <w:tcW w:w="1620" w:type="dxa"/>
            <w:vAlign w:val="bottom"/>
          </w:tcPr>
          <w:p>
            <w:pPr>
              <w:spacing w:after="0"/>
              <w:rPr>
                <w:sz w:val="17"/>
                <w:szCs w:val="17"/>
                <w:color w:val="auto"/>
              </w:rPr>
            </w:pPr>
          </w:p>
        </w:tc>
      </w:tr>
      <w:tr>
        <w:trPr>
          <w:trHeight w:val="270"/>
        </w:trPr>
        <w:tc>
          <w:tcPr>
            <w:tcW w:w="4540" w:type="dxa"/>
            <w:vAlign w:val="bottom"/>
          </w:tcPr>
          <w:p>
            <w:pPr>
              <w:ind w:left="20"/>
              <w:spacing w:after="0"/>
              <w:rPr>
                <w:sz w:val="20"/>
                <w:szCs w:val="20"/>
                <w:color w:val="auto"/>
              </w:rPr>
            </w:pPr>
            <w:r>
              <w:rPr>
                <w:rFonts w:ascii="Arial" w:cs="Arial" w:eastAsia="Arial" w:hAnsi="Arial"/>
                <w:sz w:val="18"/>
                <w:szCs w:val="18"/>
                <w:color w:val="auto"/>
              </w:rPr>
              <w:t>Building</w:t>
            </w:r>
          </w:p>
        </w:tc>
        <w:tc>
          <w:tcPr>
            <w:tcW w:w="3300" w:type="dxa"/>
            <w:vAlign w:val="bottom"/>
          </w:tcPr>
          <w:p>
            <w:pPr>
              <w:spacing w:after="0"/>
              <w:rPr>
                <w:sz w:val="23"/>
                <w:szCs w:val="23"/>
                <w:color w:val="auto"/>
              </w:rPr>
            </w:pPr>
          </w:p>
        </w:tc>
        <w:tc>
          <w:tcPr>
            <w:tcW w:w="3400" w:type="dxa"/>
            <w:vAlign w:val="bottom"/>
            <w:gridSpan w:val="2"/>
          </w:tcPr>
          <w:p>
            <w:pPr>
              <w:jc w:val="center"/>
              <w:ind w:right="1640"/>
              <w:spacing w:after="0"/>
              <w:rPr>
                <w:sz w:val="20"/>
                <w:szCs w:val="20"/>
                <w:color w:val="auto"/>
              </w:rPr>
            </w:pPr>
            <w:r>
              <w:rPr>
                <w:rFonts w:ascii="Arial" w:cs="Arial" w:eastAsia="Arial" w:hAnsi="Arial"/>
                <w:sz w:val="18"/>
                <w:szCs w:val="18"/>
                <w:color w:val="auto"/>
                <w:w w:val="86"/>
              </w:rPr>
              <w:t>20 years</w:t>
            </w:r>
          </w:p>
        </w:tc>
      </w:tr>
      <w:tr>
        <w:trPr>
          <w:trHeight w:val="250"/>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3300" w:type="dxa"/>
            <w:vAlign w:val="bottom"/>
            <w:shd w:val="clear" w:color="auto" w:fill="CFF0FC"/>
          </w:tcPr>
          <w:p>
            <w:pPr>
              <w:spacing w:after="0"/>
              <w:rPr>
                <w:sz w:val="21"/>
                <w:szCs w:val="21"/>
                <w:color w:val="auto"/>
              </w:rPr>
            </w:pPr>
          </w:p>
        </w:tc>
        <w:tc>
          <w:tcPr>
            <w:tcW w:w="3400" w:type="dxa"/>
            <w:vAlign w:val="bottom"/>
            <w:gridSpan w:val="2"/>
            <w:shd w:val="clear" w:color="auto" w:fill="CFF0FC"/>
          </w:tcPr>
          <w:p>
            <w:pPr>
              <w:jc w:val="center"/>
              <w:ind w:right="1640"/>
              <w:spacing w:after="0"/>
              <w:rPr>
                <w:sz w:val="20"/>
                <w:szCs w:val="20"/>
                <w:color w:val="auto"/>
              </w:rPr>
            </w:pPr>
            <w:r>
              <w:rPr>
                <w:rFonts w:ascii="Arial" w:cs="Arial" w:eastAsia="Arial" w:hAnsi="Arial"/>
                <w:sz w:val="18"/>
                <w:szCs w:val="18"/>
                <w:color w:val="auto"/>
                <w:w w:val="88"/>
              </w:rPr>
              <w:t>7 years</w:t>
            </w: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3300" w:type="dxa"/>
            <w:vAlign w:val="bottom"/>
          </w:tcPr>
          <w:p>
            <w:pPr>
              <w:spacing w:after="0"/>
              <w:rPr>
                <w:sz w:val="20"/>
                <w:szCs w:val="20"/>
                <w:color w:val="auto"/>
              </w:rPr>
            </w:pPr>
          </w:p>
        </w:tc>
        <w:tc>
          <w:tcPr>
            <w:tcW w:w="3400" w:type="dxa"/>
            <w:vAlign w:val="bottom"/>
            <w:gridSpan w:val="2"/>
          </w:tcPr>
          <w:p>
            <w:pPr>
              <w:jc w:val="center"/>
              <w:ind w:right="1640"/>
              <w:spacing w:after="0"/>
              <w:rPr>
                <w:sz w:val="20"/>
                <w:szCs w:val="20"/>
                <w:color w:val="auto"/>
              </w:rPr>
            </w:pPr>
            <w:r>
              <w:rPr>
                <w:rFonts w:ascii="Arial" w:cs="Arial" w:eastAsia="Arial" w:hAnsi="Arial"/>
                <w:sz w:val="18"/>
                <w:szCs w:val="18"/>
                <w:color w:val="auto"/>
                <w:w w:val="88"/>
              </w:rPr>
              <w:t>5 years</w:t>
            </w:r>
          </w:p>
        </w:tc>
      </w:tr>
      <w:tr>
        <w:trPr>
          <w:trHeight w:val="249"/>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Office and computer equipment</w:t>
            </w:r>
          </w:p>
        </w:tc>
        <w:tc>
          <w:tcPr>
            <w:tcW w:w="3300" w:type="dxa"/>
            <w:vAlign w:val="bottom"/>
            <w:shd w:val="clear" w:color="auto" w:fill="CFF0FC"/>
          </w:tcPr>
          <w:p>
            <w:pPr>
              <w:spacing w:after="0"/>
              <w:rPr>
                <w:sz w:val="21"/>
                <w:szCs w:val="21"/>
                <w:color w:val="auto"/>
              </w:rPr>
            </w:pPr>
          </w:p>
        </w:tc>
        <w:tc>
          <w:tcPr>
            <w:tcW w:w="3400" w:type="dxa"/>
            <w:vAlign w:val="bottom"/>
            <w:gridSpan w:val="2"/>
            <w:shd w:val="clear" w:color="auto" w:fill="CFF0FC"/>
          </w:tcPr>
          <w:p>
            <w:pPr>
              <w:jc w:val="center"/>
              <w:ind w:right="1640"/>
              <w:spacing w:after="0"/>
              <w:rPr>
                <w:sz w:val="20"/>
                <w:szCs w:val="20"/>
                <w:color w:val="auto"/>
              </w:rPr>
            </w:pPr>
            <w:r>
              <w:rPr>
                <w:rFonts w:ascii="Arial" w:cs="Arial" w:eastAsia="Arial" w:hAnsi="Arial"/>
                <w:sz w:val="18"/>
                <w:szCs w:val="18"/>
                <w:color w:val="auto"/>
                <w:w w:val="88"/>
              </w:rPr>
              <w:t>3 years</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6700" w:type="dxa"/>
            <w:vAlign w:val="bottom"/>
            <w:gridSpan w:val="3"/>
          </w:tcPr>
          <w:p>
            <w:pPr>
              <w:jc w:val="center"/>
              <w:ind w:left="1570"/>
              <w:spacing w:after="0"/>
              <w:rPr>
                <w:sz w:val="20"/>
                <w:szCs w:val="20"/>
                <w:color w:val="auto"/>
              </w:rPr>
            </w:pPr>
            <w:r>
              <w:rPr>
                <w:rFonts w:ascii="Arial" w:cs="Arial" w:eastAsia="Arial" w:hAnsi="Arial"/>
                <w:sz w:val="18"/>
                <w:szCs w:val="18"/>
                <w:color w:val="auto"/>
                <w:w w:val="89"/>
              </w:rPr>
              <w:t>Shorter of expected lease term or estimated useful life</w:t>
            </w:r>
          </w:p>
        </w:tc>
      </w:tr>
    </w:tbl>
    <w:p>
      <w:pPr>
        <w:spacing w:after="0" w:line="106"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Upon sale or retirement of the assets, the cost and related accumulated depreciation are removed from the accounts and the resulting gain or loss is recognized in the consolidated statement of operations and comprehensive loss. Expenditures for general maintenance and repairs are expensed as incurred.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 net</w:t>
      </w:r>
    </w:p>
    <w:p>
      <w:pPr>
        <w:spacing w:after="0" w:line="11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Goodwill represents the excess of the purchase price over the fair value of the net tangible and identifiable intangible assets acquired in a business combination. Intangible assets resulting from the acquisition of entities are estimated by management based on the fair value of assets received. Intangible assets are amortized on a straight-line basis over the estimated useful lives. The Company’s estimated useful lives of its intangible assets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40" w:type="dxa"/>
            <w:vAlign w:val="bottom"/>
          </w:tcPr>
          <w:p>
            <w:pPr>
              <w:spacing w:after="0"/>
              <w:rPr>
                <w:sz w:val="18"/>
                <w:szCs w:val="18"/>
                <w:color w:val="auto"/>
              </w:rPr>
            </w:pPr>
          </w:p>
        </w:tc>
        <w:tc>
          <w:tcPr>
            <w:tcW w:w="340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90"/>
              </w:rPr>
              <w:t>Estimated Useful Lives</w:t>
            </w:r>
          </w:p>
        </w:tc>
      </w:tr>
      <w:tr>
        <w:trPr>
          <w:trHeight w:val="34"/>
        </w:trPr>
        <w:tc>
          <w:tcPr>
            <w:tcW w:w="7840" w:type="dxa"/>
            <w:vAlign w:val="bottom"/>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Patent</w:t>
            </w:r>
          </w:p>
        </w:tc>
        <w:tc>
          <w:tcPr>
            <w:tcW w:w="3400" w:type="dxa"/>
            <w:vAlign w:val="bottom"/>
            <w:gridSpan w:val="2"/>
            <w:shd w:val="clear" w:color="auto" w:fill="CFF0FC"/>
          </w:tcPr>
          <w:p>
            <w:pPr>
              <w:jc w:val="center"/>
              <w:ind w:right="1640"/>
              <w:spacing w:after="0"/>
              <w:rPr>
                <w:sz w:val="20"/>
                <w:szCs w:val="20"/>
                <w:color w:val="auto"/>
              </w:rPr>
            </w:pPr>
            <w:r>
              <w:rPr>
                <w:rFonts w:ascii="Arial" w:cs="Arial" w:eastAsia="Arial" w:hAnsi="Arial"/>
                <w:sz w:val="18"/>
                <w:szCs w:val="18"/>
                <w:color w:val="auto"/>
                <w:w w:val="86"/>
              </w:rPr>
              <w:t>20 years</w:t>
            </w: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3400" w:type="dxa"/>
            <w:vAlign w:val="bottom"/>
            <w:gridSpan w:val="2"/>
          </w:tcPr>
          <w:p>
            <w:pPr>
              <w:jc w:val="center"/>
              <w:ind w:right="1640"/>
              <w:spacing w:after="0"/>
              <w:rPr>
                <w:sz w:val="20"/>
                <w:szCs w:val="20"/>
                <w:color w:val="auto"/>
              </w:rPr>
            </w:pPr>
            <w:r>
              <w:rPr>
                <w:rFonts w:ascii="Arial" w:cs="Arial" w:eastAsia="Arial" w:hAnsi="Arial"/>
                <w:sz w:val="18"/>
                <w:szCs w:val="18"/>
                <w:color w:val="auto"/>
                <w:w w:val="86"/>
              </w:rPr>
              <w:t>10 years</w:t>
            </w:r>
          </w:p>
        </w:tc>
      </w:tr>
      <w:tr>
        <w:trPr>
          <w:trHeight w:val="249"/>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Tradename</w:t>
            </w:r>
          </w:p>
        </w:tc>
        <w:tc>
          <w:tcPr>
            <w:tcW w:w="3400" w:type="dxa"/>
            <w:vAlign w:val="bottom"/>
            <w:gridSpan w:val="2"/>
            <w:shd w:val="clear" w:color="auto" w:fill="CFF0FC"/>
          </w:tcPr>
          <w:p>
            <w:pPr>
              <w:jc w:val="center"/>
              <w:ind w:right="1640"/>
              <w:spacing w:after="0"/>
              <w:rPr>
                <w:sz w:val="20"/>
                <w:szCs w:val="20"/>
                <w:color w:val="auto"/>
              </w:rPr>
            </w:pPr>
            <w:r>
              <w:rPr>
                <w:rFonts w:ascii="Arial" w:cs="Arial" w:eastAsia="Arial" w:hAnsi="Arial"/>
                <w:sz w:val="18"/>
                <w:szCs w:val="18"/>
                <w:color w:val="auto"/>
                <w:w w:val="88"/>
              </w:rPr>
              <w:t>4 - 10 years</w:t>
            </w: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color w:val="auto"/>
              </w:rPr>
              <w:t>FCI developed technology</w:t>
            </w:r>
          </w:p>
        </w:tc>
        <w:tc>
          <w:tcPr>
            <w:tcW w:w="3400" w:type="dxa"/>
            <w:vAlign w:val="bottom"/>
            <w:gridSpan w:val="2"/>
          </w:tcPr>
          <w:p>
            <w:pPr>
              <w:jc w:val="center"/>
              <w:ind w:right="1640"/>
              <w:spacing w:after="0"/>
              <w:rPr>
                <w:sz w:val="20"/>
                <w:szCs w:val="20"/>
                <w:color w:val="auto"/>
              </w:rPr>
            </w:pPr>
            <w:r>
              <w:rPr>
                <w:rFonts w:ascii="Arial" w:cs="Arial" w:eastAsia="Arial" w:hAnsi="Arial"/>
                <w:sz w:val="18"/>
                <w:szCs w:val="18"/>
                <w:color w:val="auto"/>
                <w:w w:val="88"/>
              </w:rPr>
              <w:t>5 years</w:t>
            </w:r>
          </w:p>
        </w:tc>
      </w:tr>
      <w:tr>
        <w:trPr>
          <w:trHeight w:val="249"/>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w:t>
            </w:r>
          </w:p>
        </w:tc>
        <w:tc>
          <w:tcPr>
            <w:tcW w:w="3400" w:type="dxa"/>
            <w:vAlign w:val="bottom"/>
            <w:gridSpan w:val="2"/>
            <w:shd w:val="clear" w:color="auto" w:fill="CFF0FC"/>
          </w:tcPr>
          <w:p>
            <w:pPr>
              <w:jc w:val="center"/>
              <w:ind w:right="1640"/>
              <w:spacing w:after="0"/>
              <w:rPr>
                <w:sz w:val="20"/>
                <w:szCs w:val="20"/>
                <w:color w:val="auto"/>
              </w:rPr>
            </w:pPr>
            <w:r>
              <w:rPr>
                <w:rFonts w:ascii="Arial" w:cs="Arial" w:eastAsia="Arial" w:hAnsi="Arial"/>
                <w:sz w:val="18"/>
                <w:szCs w:val="18"/>
                <w:color w:val="auto"/>
                <w:w w:val="88"/>
              </w:rPr>
              <w:t>7 years</w:t>
            </w: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color w:val="auto"/>
              </w:rPr>
              <w:t>Reagent licenses</w:t>
            </w:r>
          </w:p>
        </w:tc>
        <w:tc>
          <w:tcPr>
            <w:tcW w:w="3400" w:type="dxa"/>
            <w:vAlign w:val="bottom"/>
            <w:gridSpan w:val="2"/>
          </w:tcPr>
          <w:p>
            <w:pPr>
              <w:jc w:val="center"/>
              <w:ind w:right="1640"/>
              <w:spacing w:after="0"/>
              <w:rPr>
                <w:sz w:val="20"/>
                <w:szCs w:val="20"/>
                <w:color w:val="auto"/>
              </w:rPr>
            </w:pPr>
            <w:r>
              <w:rPr>
                <w:rFonts w:ascii="Arial" w:cs="Arial" w:eastAsia="Arial" w:hAnsi="Arial"/>
                <w:sz w:val="18"/>
                <w:szCs w:val="18"/>
                <w:color w:val="auto"/>
                <w:w w:val="88"/>
              </w:rPr>
              <w:t>7 years</w:t>
            </w:r>
          </w:p>
        </w:tc>
      </w:tr>
      <w:tr>
        <w:trPr>
          <w:trHeight w:val="249"/>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IP license</w:t>
            </w:r>
          </w:p>
        </w:tc>
        <w:tc>
          <w:tcPr>
            <w:tcW w:w="3400" w:type="dxa"/>
            <w:vAlign w:val="bottom"/>
            <w:gridSpan w:val="2"/>
            <w:shd w:val="clear" w:color="auto" w:fill="CFF0FC"/>
          </w:tcPr>
          <w:p>
            <w:pPr>
              <w:jc w:val="center"/>
              <w:ind w:right="1640"/>
              <w:spacing w:after="0"/>
              <w:rPr>
                <w:sz w:val="20"/>
                <w:szCs w:val="20"/>
                <w:color w:val="auto"/>
              </w:rPr>
            </w:pPr>
            <w:r>
              <w:rPr>
                <w:rFonts w:ascii="Arial" w:cs="Arial" w:eastAsia="Arial" w:hAnsi="Arial"/>
                <w:sz w:val="18"/>
                <w:szCs w:val="18"/>
                <w:color w:val="auto"/>
                <w:w w:val="88"/>
              </w:rPr>
              <w:t>5 years</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Impairment of Long-Lived Assets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Long-lived assets with finite lives include property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carrying amount of an asset exceeds these estimated future cash flows, an impairment charge is recognized by the amount by which the carrying amount of the assets exceeds the fair value of the asset or asset group.</w:t>
      </w:r>
    </w:p>
    <w:p>
      <w:pPr>
        <w:spacing w:after="0" w:line="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Goodwill and indefinite-lived intangible assets are not amortized but rather tested for impairment at least annually in the fourth quarter, or more frequently if events or changes in circumstances indicate that impairment may exist. 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The Company did not recognize any impairment of goodwill for all periods presented.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categorization of a financial instrument within the valuation hierarchy is based on the lowest level of input that is significant to the fair value measurement. The Company recognizes transfers between levels of the fair value hierarchy on the date of the event or change in circumstances that caused the transfer.</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carrying amounts reflected in the unaudited interim consolidated balance sheets for cash and cash equivalents, trade accounts receivable, net, trade accounts payable and accrued expenses approximate their fair values.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Company’s product revenue consists of sales of its instrument systems and accessories. The Company recognizes product revenue at the point in time when control of the product is transferred to the customer.</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7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8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Invoicing for products occurs upon delivery and payment terms are 30 to 90 days. Service contracts are invoiced upfront and payment terms are generally 30 days. For those arrangements that have terms greater than one year, any payments received upfront are for reasons other than financing. Revenue is recognized only to the extent that it is probable that a significant reversal of the cumulative amount recognized will not occur in future periods. Variable consideration is not material.</w:t>
      </w:r>
    </w:p>
    <w:p>
      <w:pPr>
        <w:spacing w:after="0" w:line="79"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Certain of the Company’s sales contracts involve the delivery or performance of multiple products and services within contractually binding arrangements. The Company has determined these performance obligations qualify as distinct performance obligations, as the customer can benefit from the good or service on its own or together with other resources that are readily available to the customer, and the Company’s promise to transfer the good or service is separately identifiable from other promises in the contract. For these arrangements that contain multiple performance obligations, the Company allocates transaction price based on the relative standalone selling price (“SSP”) method by comparing the SSP of each distinct performance obligation to the total value of the contract. The Company uses a range of amounts to estimate SSP for products and services sold together in a contract to determine whether there is a discount to be allocated based on the relative SSP of the various products and services. In instances where SSP is not directly observable, such as when the Company does not sell the product or service separately, the Company determines the SSP using information that may include market conditions and other observable inputs.</w:t>
      </w:r>
    </w:p>
    <w:p>
      <w:pPr>
        <w:spacing w:after="0" w:line="7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jc w:val="both"/>
        <w:ind w:firstLine="509"/>
        <w:spacing w:after="0" w:line="296" w:lineRule="auto"/>
        <w:rPr>
          <w:sz w:val="20"/>
          <w:szCs w:val="20"/>
          <w:color w:val="auto"/>
        </w:rPr>
      </w:pPr>
      <w:r>
        <w:rPr>
          <w:rFonts w:ascii="Arial" w:cs="Arial" w:eastAsia="Arial" w:hAnsi="Arial"/>
          <w:sz w:val="16"/>
          <w:szCs w:val="16"/>
          <w:color w:val="auto"/>
        </w:rPr>
        <w:t>The Company recognizes revenue in certain circumstances before product delivery occurs (commonly referred to as bill-and-hold transactions). When the Company enters into bill-and-hold arrangements, the Company determines if the customer obtains control of the product by determining (a) the reason for the bill-and-hold arrangement; (b) whether the product was identified separately as belonging to the customer; (c) whether the product was ready for physical transfer to the customer; and (d) whether the Company was unable to utilize the product or direct it to another customer. For bill-and-hold arrangements, the associated product inventory is identified separately by the Company as belonging to the customer and is ready for physical transfer.</w:t>
      </w:r>
    </w:p>
    <w:p>
      <w:pPr>
        <w:spacing w:after="0" w:line="5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June 30, 2023, $1.2 million was included in revenue for products that had not shipped. As of June 30, 2022, the Company had $1.0 million of revenue included under bill-and-hold arrangements.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Company’s standard arrangement for sales to end users is a purchase order or an executed contract. Revenue is recognized upon transfer of control of the product to the customer, which occurs at a point in time depending on the shipping terms.</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Company’s arrangements with its distributors include a purchase order. The purchase order is governed by terms and conditions set forth in the applicable distribution agreement. Revenue is recognized upon transfer of control of the products to the distributor, which occurs at a point in time depending on the shipping terms.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Service contracts are typically between one and three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Contract liabilities consist of fees invoiced or paid by the Company’s customers for which the associated services have not been performed and revenue has not been recognized based on the Company’s revenue recognition criteria described above. Such amounts are reported as deferred revenue for service and customer deposits for instruments on the consolidated balance sheets. Deferred revenue that is expected to be recognized during the following 12 months is recorded as a current liability and the remaining portion is recorded as noncurrent.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Assurance-type product warranties</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Company provides a one-year assurance-type warranty that is included with the sale of its instruments. At the time revenue is recognized for the products, the Company establishes an accrual for estimated warranty expense based on historical data and trends of product reliability and costs of repairing and replacing defective products. The Company exercises judgment in estimating the expected product warranty costs, using data such as the historical repair costs. While management believes that historical experience provides a reliable basis for estimating such warranty cost, unforeseen quality issues or component failure rates could result in future costs in excess of such estimates, or alternatively, improved quality and reliability in the Company’s products could result in actual expenses that are below those currently estimated.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expenses to date consist primarily of salaries, benefits, stock-based compensation, independent contractor costs, laboratory supplies, equipment maintenance, materials expenses, and software license fees. Payments made prior to the receipt of goods or services to be used in research and development activities are recorded as prepaid expenses until the related goods or services are received.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cost of advertising, marketing and media is expensed as incurred. For the three and six months ended June 30, 2023, advertising, marketing and media expenses were $1.3 million and $2.1 million, respectively. For the three and six months ended June 30, 2022, advertising, marketing and media expenses were $0.8 million and $1.1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 Company maintains an equity incentive compensation plan under which incentive stock options and nonqualified stock options to purchase common stock, and restricted stock units for common stock, are granted to employees and non-employee consultants. Stock-based compensation cost is measured at the grant date, based on the fair value of the award, and is recognized as expense over the requisite service period. The fair value of stock options granted to employees is estimated using the Black-Scholes option pricing model. The Company records forfeitures as they occur. The weighted-average assumptions used in estimating the fair value of stock options granted during each of the periods presented are:</w:t>
      </w:r>
    </w:p>
    <w:p>
      <w:pPr>
        <w:spacing w:after="0" w:line="5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Expected Volatility—Expected volatility is estimated by studying the volatility of selected industry peers deemed to be comparable to the Company's business corresponding to the expected term of the awards.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jc w:val="both"/>
        <w:ind w:firstLine="509"/>
        <w:spacing w:after="0" w:line="277" w:lineRule="auto"/>
        <w:rPr>
          <w:sz w:val="20"/>
          <w:szCs w:val="20"/>
          <w:color w:val="auto"/>
        </w:rPr>
      </w:pPr>
      <w:r>
        <w:rPr>
          <w:rFonts w:ascii="Arial" w:cs="Arial" w:eastAsia="Arial" w:hAnsi="Arial"/>
          <w:sz w:val="18"/>
          <w:szCs w:val="18"/>
          <w:color w:val="auto"/>
        </w:rPr>
        <w:t>Expected Term—Expected term represents the period that the Company's stock-based awards are expected to be outstanding and is determined using the simplified method.</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Dividend Yield— The expected dividend yield is zero as the Company has never declared or paid cash dividends and has no current plans to do so in the foreseeable future.</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Risk-Free Interest Rate—The risk-free interest rate is based on the U.S. Treasury zero-coupon issued in effect at the time of grant for periods corresponding with the expected term of the option.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spacing w:after="0" w:line="7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statement of operations. Accrued interest and penalties, if any, are included in accrued expenses in the consolidated balance sheet.</w:t>
      </w:r>
    </w:p>
    <w:p>
      <w:pPr>
        <w:spacing w:after="0" w:line="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spacing w:after="0" w:line="7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Company intends to reinvest its undistributed earnings of its foreign operations. Following enactment of the 2017 Tax Cuts and Jobs Act (the "Tax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unaudited interim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common stockholders per share</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Basic net loss attributable to common stockholders per share and diluted net loss attributable to common stockholders per share are computed using the weighted-average number of shares of common stock outstanding for the period. Net loss per share attributable to common stockholders is calculated using the two-class method, which is an earnings allocation formula that determines net loss per share for the holders of shares of the Company’s common stock and participating securities. The Company’s redeemable convertible preferred stock contains participation rights in any dividend paid by the Company and is deemed to be a participating security. The participating securities include a contractual obligation to participate in the income of the Company and are included in the calculation of net loss per share in the periods in which net loss is recorded.</w:t>
      </w:r>
    </w:p>
    <w:p>
      <w:pPr>
        <w:spacing w:after="0" w:line="7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Diluted net loss attributable to common stockholders per share is computed using the more dilutive of (a) the two-class method or (b) the if-converted method. The Company allocates earnings first to preferred stockholders based on non-cumulative dividend rights if and when declared and then to common and preferred stockholders based on ownership interests. The weighted-average number of shares of common stock included in the computation of diluted net loss attributable to common stockholders per share gives effect to all potentially dilutive common stock equivalents, including outstanding options and redeemable convertible preferred stock.</w:t>
      </w:r>
    </w:p>
    <w:p>
      <w:pPr>
        <w:spacing w:after="0" w:line="8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Common stock equivalents are excluded from the computation of diluted net loss attributable to common stockholders per share if their effect is antidilutive.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 xml:space="preserve">The Company uses the acquisition method of accounting under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Each acquired company’s operating results are included in the Company's consolidated financial statements starting on the date of acquisition. The purchase price is equivalent to the fair value of consideration transferred. Tangible and identifiable intangible assets acquired and liabilities assumed as of the date of acquisition are recorded at the acquisition date fair value. Goodwill is recognized for the excess of purchase price over the net fair value of assets acquired and liabilities assumed.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jc w:val="both"/>
        <w:ind w:firstLine="509"/>
        <w:spacing w:after="0" w:line="257" w:lineRule="auto"/>
        <w:rPr>
          <w:sz w:val="20"/>
          <w:szCs w:val="20"/>
          <w:color w:val="auto"/>
        </w:rPr>
      </w:pPr>
      <w:r>
        <w:rPr>
          <w:rFonts w:ascii="Arial" w:cs="Arial" w:eastAsia="Arial" w:hAnsi="Arial"/>
          <w:sz w:val="18"/>
          <w:szCs w:val="18"/>
          <w:color w:val="auto"/>
        </w:rPr>
        <w:t>Amounts allocated to assets and liabilities are based upon fair values. Such valuations require management to make significant estimates and assumptions, especially with respect to the identifiable intangible assets. Management makes estimates of fair value based upon assumptions believed to be reasonable and that of a market participant. These estimates are based on historical experience and information obtained from the management of the acquired companies and the estimates are inherently uncertain. The separately identifiable intangible assets generally include developed technology, customer relationships, trade names, and reagent licenses.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There are no relevant recently issued accounting pronouncements that would materially impact the Company’s consolidated financial statements and related disclosures. There were no new accounting pronouncements adopted during the six months ended June 30, 2023 that materially impacted the Company’s condensed consolidated financial statements and related disclosures.</w:t>
      </w:r>
    </w:p>
    <w:p>
      <w:pPr>
        <w:spacing w:after="0" w:line="72"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credit risk and other risks and uncertainties</w:t>
      </w:r>
    </w:p>
    <w:p>
      <w:pPr>
        <w:spacing w:after="0" w:line="12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cash equivalents and marketable securities.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 The Company holds marketable securities with high credit ratings.</w:t>
      </w:r>
    </w:p>
    <w:p>
      <w:pPr>
        <w:spacing w:after="0" w:line="59"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following table depicts the disaggregation of revenue by sales channel mix and customer mix as defined by the nature of workflows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w w:val="97"/>
              </w:rPr>
              <w:t>Three months ended June 30,</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6"/>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Sales channel mix</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200"/>
              <w:spacing w:after="0"/>
              <w:rPr>
                <w:sz w:val="20"/>
                <w:szCs w:val="20"/>
                <w:color w:val="auto"/>
              </w:rPr>
            </w:pPr>
            <w:r>
              <w:rPr>
                <w:rFonts w:ascii="Arial" w:cs="Arial" w:eastAsia="Arial" w:hAnsi="Arial"/>
                <w:sz w:val="18"/>
                <w:szCs w:val="18"/>
                <w:color w:val="auto"/>
              </w:rPr>
              <w:t>Direct sales channel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37,854</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33,602</w:t>
            </w: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63,307</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64,521</w:t>
            </w:r>
          </w:p>
        </w:tc>
        <w:tc>
          <w:tcPr>
            <w:tcW w:w="0" w:type="dxa"/>
            <w:vAlign w:val="bottom"/>
          </w:tcPr>
          <w:p>
            <w:pPr>
              <w:spacing w:after="0"/>
              <w:rPr>
                <w:sz w:val="1"/>
                <w:szCs w:val="1"/>
                <w:color w:val="auto"/>
              </w:rPr>
            </w:pPr>
          </w:p>
        </w:tc>
      </w:tr>
      <w:tr>
        <w:trPr>
          <w:trHeight w:val="249"/>
        </w:trPr>
        <w:tc>
          <w:tcPr>
            <w:tcW w:w="5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Distributor channel</w:t>
            </w: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11,839</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6,557</w:t>
            </w:r>
          </w:p>
        </w:tc>
        <w:tc>
          <w:tcPr>
            <w:tcW w:w="160" w:type="dxa"/>
            <w:vAlign w:val="bottom"/>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23,474</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10,702</w:t>
            </w:r>
          </w:p>
        </w:tc>
        <w:tc>
          <w:tcPr>
            <w:tcW w:w="0" w:type="dxa"/>
            <w:vAlign w:val="bottom"/>
          </w:tcPr>
          <w:p>
            <w:pPr>
              <w:spacing w:after="0"/>
              <w:rPr>
                <w:sz w:val="1"/>
                <w:szCs w:val="1"/>
                <w:color w:val="auto"/>
              </w:rPr>
            </w:pPr>
          </w:p>
        </w:tc>
      </w:tr>
      <w:tr>
        <w:trPr>
          <w:trHeight w:val="236"/>
        </w:trPr>
        <w:tc>
          <w:tcPr>
            <w:tcW w:w="5660" w:type="dxa"/>
            <w:vAlign w:val="bottom"/>
          </w:tcPr>
          <w:p>
            <w:pPr>
              <w:ind w:left="20"/>
              <w:spacing w:after="0"/>
              <w:rPr>
                <w:sz w:val="20"/>
                <w:szCs w:val="20"/>
                <w:color w:val="auto"/>
              </w:rPr>
            </w:pPr>
            <w:r>
              <w:rPr>
                <w:rFonts w:ascii="Arial" w:cs="Arial" w:eastAsia="Arial" w:hAnsi="Arial"/>
                <w:sz w:val="18"/>
                <w:szCs w:val="18"/>
                <w:color w:val="auto"/>
              </w:rPr>
              <w:t>Total revenue,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49,693</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40,159</w:t>
            </w: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86,781</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75,223</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Customer mix</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Academia and government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20,405</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15,406</w:t>
            </w:r>
          </w:p>
        </w:tc>
        <w:tc>
          <w:tcPr>
            <w:tcW w:w="160" w:type="dxa"/>
            <w:vAlign w:val="bottom"/>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35,602</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29,813</w:t>
            </w:r>
          </w:p>
        </w:tc>
        <w:tc>
          <w:tcPr>
            <w:tcW w:w="0" w:type="dxa"/>
            <w:vAlign w:val="bottom"/>
          </w:tcPr>
          <w:p>
            <w:pPr>
              <w:spacing w:after="0"/>
              <w:rPr>
                <w:sz w:val="1"/>
                <w:szCs w:val="1"/>
                <w:color w:val="auto"/>
              </w:rPr>
            </w:pPr>
          </w:p>
        </w:tc>
      </w:tr>
      <w:tr>
        <w:trPr>
          <w:trHeight w:val="215"/>
        </w:trPr>
        <w:tc>
          <w:tcPr>
            <w:tcW w:w="5660" w:type="dxa"/>
            <w:vAlign w:val="bottom"/>
          </w:tcPr>
          <w:p>
            <w:pPr>
              <w:ind w:left="200"/>
              <w:spacing w:after="0"/>
              <w:rPr>
                <w:sz w:val="20"/>
                <w:szCs w:val="20"/>
                <w:color w:val="auto"/>
              </w:rPr>
            </w:pPr>
            <w:r>
              <w:rPr>
                <w:rFonts w:ascii="Arial" w:cs="Arial" w:eastAsia="Arial" w:hAnsi="Arial"/>
                <w:sz w:val="18"/>
                <w:szCs w:val="18"/>
                <w:color w:val="auto"/>
              </w:rPr>
              <w:t>Biotechnology, pharmaceutical, distributor and contract research</w:t>
            </w:r>
          </w:p>
        </w:tc>
        <w:tc>
          <w:tcPr>
            <w:tcW w:w="240" w:type="dxa"/>
            <w:vAlign w:val="bottom"/>
          </w:tcPr>
          <w:p>
            <w:pPr>
              <w:spacing w:after="0"/>
              <w:rPr>
                <w:sz w:val="18"/>
                <w:szCs w:val="18"/>
                <w:color w:val="auto"/>
              </w:rPr>
            </w:pPr>
          </w:p>
        </w:tc>
        <w:tc>
          <w:tcPr>
            <w:tcW w:w="1040" w:type="dxa"/>
            <w:vAlign w:val="bottom"/>
            <w:vMerge w:val="restart"/>
          </w:tcPr>
          <w:p>
            <w:pPr>
              <w:jc w:val="right"/>
              <w:ind w:right="75"/>
              <w:spacing w:after="0"/>
              <w:rPr>
                <w:sz w:val="20"/>
                <w:szCs w:val="20"/>
                <w:color w:val="auto"/>
              </w:rPr>
            </w:pPr>
            <w:r>
              <w:rPr>
                <w:rFonts w:ascii="Arial" w:cs="Arial" w:eastAsia="Arial" w:hAnsi="Arial"/>
                <w:sz w:val="18"/>
                <w:szCs w:val="18"/>
                <w:color w:val="auto"/>
              </w:rPr>
              <w:t>29,288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restart"/>
          </w:tcPr>
          <w:p>
            <w:pPr>
              <w:jc w:val="right"/>
              <w:ind w:right="53"/>
              <w:spacing w:after="0"/>
              <w:rPr>
                <w:sz w:val="20"/>
                <w:szCs w:val="20"/>
                <w:color w:val="auto"/>
              </w:rPr>
            </w:pPr>
            <w:r>
              <w:rPr>
                <w:rFonts w:ascii="Arial" w:cs="Arial" w:eastAsia="Arial" w:hAnsi="Arial"/>
                <w:sz w:val="18"/>
                <w:szCs w:val="18"/>
                <w:color w:val="auto"/>
              </w:rPr>
              <w:t>24,753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vMerge w:val="restart"/>
          </w:tcPr>
          <w:p>
            <w:pPr>
              <w:jc w:val="right"/>
              <w:ind w:right="55"/>
              <w:spacing w:after="0"/>
              <w:rPr>
                <w:sz w:val="20"/>
                <w:szCs w:val="20"/>
                <w:color w:val="auto"/>
              </w:rPr>
            </w:pPr>
            <w:r>
              <w:rPr>
                <w:rFonts w:ascii="Arial" w:cs="Arial" w:eastAsia="Arial" w:hAnsi="Arial"/>
                <w:sz w:val="18"/>
                <w:szCs w:val="18"/>
                <w:color w:val="auto"/>
              </w:rPr>
              <w:t>51,179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vMerge w:val="restart"/>
          </w:tcPr>
          <w:p>
            <w:pPr>
              <w:jc w:val="right"/>
              <w:ind w:right="53"/>
              <w:spacing w:after="0"/>
              <w:rPr>
                <w:sz w:val="20"/>
                <w:szCs w:val="20"/>
                <w:color w:val="auto"/>
              </w:rPr>
            </w:pPr>
            <w:r>
              <w:rPr>
                <w:rFonts w:ascii="Arial" w:cs="Arial" w:eastAsia="Arial" w:hAnsi="Arial"/>
                <w:sz w:val="18"/>
                <w:szCs w:val="18"/>
                <w:color w:val="auto"/>
              </w:rPr>
              <w:t>45,410</w:t>
            </w:r>
          </w:p>
        </w:tc>
        <w:tc>
          <w:tcPr>
            <w:tcW w:w="0" w:type="dxa"/>
            <w:vAlign w:val="bottom"/>
          </w:tcPr>
          <w:p>
            <w:pPr>
              <w:spacing w:after="0"/>
              <w:rPr>
                <w:sz w:val="1"/>
                <w:szCs w:val="1"/>
                <w:color w:val="auto"/>
              </w:rPr>
            </w:pPr>
          </w:p>
        </w:tc>
      </w:tr>
      <w:tr>
        <w:trPr>
          <w:trHeight w:val="230"/>
        </w:trPr>
        <w:tc>
          <w:tcPr>
            <w:tcW w:w="5660" w:type="dxa"/>
            <w:vAlign w:val="bottom"/>
          </w:tcPr>
          <w:p>
            <w:pPr>
              <w:ind w:left="340"/>
              <w:spacing w:after="0"/>
              <w:rPr>
                <w:sz w:val="20"/>
                <w:szCs w:val="20"/>
                <w:color w:val="auto"/>
              </w:rPr>
            </w:pPr>
            <w:r>
              <w:rPr>
                <w:rFonts w:ascii="Arial" w:cs="Arial" w:eastAsia="Arial" w:hAnsi="Arial"/>
                <w:sz w:val="18"/>
                <w:szCs w:val="18"/>
                <w:color w:val="auto"/>
              </w:rPr>
              <w:t>organizations</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 net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49,693</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40,159</w:t>
            </w:r>
          </w:p>
        </w:tc>
        <w:tc>
          <w:tcPr>
            <w:tcW w:w="160" w:type="dxa"/>
            <w:vAlign w:val="bottom"/>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86,781</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75,223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-1122045</wp:posOffset>
            </wp:positionV>
            <wp:extent cx="9398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-1122045</wp:posOffset>
            </wp:positionV>
            <wp:extent cx="94615"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-25400</wp:posOffset>
            </wp:positionV>
            <wp:extent cx="93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93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946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946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Revenue by geographical markets is presented in Note 22, </w:t>
      </w:r>
      <w:r>
        <w:rPr>
          <w:rFonts w:ascii="Arial" w:cs="Arial" w:eastAsia="Arial" w:hAnsi="Arial"/>
          <w:sz w:val="18"/>
          <w:szCs w:val="18"/>
          <w:i w:val="1"/>
          <w:iCs w:val="1"/>
          <w:color w:val="auto"/>
        </w:rPr>
        <w:t>Geographic areas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following table includes estimated revenues expected to be recognized in the future related to performance obligations that are unsatisfied (or partially satisfied) as of June 30, 2023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2"/>
              </w:rPr>
              <w:t>Less than 1 year</w:t>
            </w:r>
          </w:p>
        </w:tc>
        <w:tc>
          <w:tcPr>
            <w:tcW w:w="180" w:type="dxa"/>
            <w:vAlign w:val="bottom"/>
          </w:tcPr>
          <w:p>
            <w:pPr>
              <w:spacing w:after="0"/>
              <w:rPr>
                <w:sz w:val="16"/>
                <w:szCs w:val="16"/>
                <w:color w:val="auto"/>
              </w:rPr>
            </w:pPr>
          </w:p>
        </w:tc>
        <w:tc>
          <w:tcPr>
            <w:tcW w:w="14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w w:val="98"/>
              </w:rPr>
              <w:t>Greater than 1 year</w:t>
            </w: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Total</w:t>
            </w:r>
          </w:p>
        </w:tc>
      </w:tr>
      <w:tr>
        <w:trPr>
          <w:trHeight w:val="237"/>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956</w:t>
            </w: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956</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Service revenue</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19,656</w:t>
            </w:r>
          </w:p>
        </w:tc>
        <w:tc>
          <w:tcPr>
            <w:tcW w:w="1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16,054</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35,710</w:t>
            </w:r>
          </w:p>
        </w:tc>
      </w:tr>
      <w:tr>
        <w:trPr>
          <w:trHeight w:val="277"/>
        </w:trPr>
        <w:tc>
          <w:tcPr>
            <w:tcW w:w="6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20,612</w:t>
            </w:r>
          </w:p>
        </w:tc>
        <w:tc>
          <w:tcPr>
            <w:tcW w:w="1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16,054</w:t>
            </w: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36,666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-24765</wp:posOffset>
            </wp:positionV>
            <wp:extent cx="120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1200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120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1200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information about receivables, deferred revenue from contracts with customers, and customer deposits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41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5260" w:type="dxa"/>
            <w:vAlign w:val="bottom"/>
          </w:tcPr>
          <w:p>
            <w:pPr>
              <w:spacing w:after="0"/>
              <w:rPr>
                <w:sz w:val="16"/>
                <w:szCs w:val="16"/>
                <w:color w:val="auto"/>
              </w:rPr>
            </w:pPr>
          </w:p>
        </w:tc>
        <w:tc>
          <w:tcPr>
            <w:tcW w:w="340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2023</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696"/>
              <w:spacing w:after="0"/>
              <w:rPr>
                <w:sz w:val="20"/>
                <w:szCs w:val="20"/>
                <w:color w:val="auto"/>
              </w:rPr>
            </w:pPr>
            <w:r>
              <w:rPr>
                <w:rFonts w:ascii="Arial" w:cs="Arial" w:eastAsia="Arial" w:hAnsi="Arial"/>
                <w:sz w:val="14"/>
                <w:szCs w:val="14"/>
                <w:b w:val="1"/>
                <w:bCs w:val="1"/>
                <w:color w:val="auto"/>
              </w:rPr>
              <w:t>2022</w:t>
            </w:r>
          </w:p>
        </w:tc>
      </w:tr>
      <w:tr>
        <w:trPr>
          <w:trHeight w:val="236"/>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accounts receivable</w:t>
            </w:r>
          </w:p>
        </w:tc>
        <w:tc>
          <w:tcPr>
            <w:tcW w:w="234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49,624</w:t>
            </w: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48,864</w:t>
            </w: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9"/>
        </w:trPr>
        <w:tc>
          <w:tcPr>
            <w:tcW w:w="5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3400" w:type="dxa"/>
            <w:vAlign w:val="bottom"/>
            <w:gridSpan w:val="2"/>
            <w:shd w:val="clear" w:color="auto" w:fill="CFF0FC"/>
          </w:tcPr>
          <w:p>
            <w:pPr>
              <w:jc w:val="right"/>
              <w:ind w:right="876"/>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7"/>
              </w:rPr>
              <w:t>36,666</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26,110</w:t>
            </w: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w w:val="97"/>
              </w:rPr>
              <w:t>Customer deposits, which are included in 'Other current liabilities'</w:t>
            </w:r>
          </w:p>
        </w:tc>
        <w:tc>
          <w:tcPr>
            <w:tcW w:w="234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1,538</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1,555</w:t>
            </w:r>
          </w:p>
        </w:tc>
      </w:tr>
      <w:tr>
        <w:trPr>
          <w:trHeight w:val="277"/>
        </w:trPr>
        <w:tc>
          <w:tcPr>
            <w:tcW w:w="52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contract liabilities</w:t>
            </w:r>
          </w:p>
        </w:tc>
        <w:tc>
          <w:tcPr>
            <w:tcW w:w="23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38,204</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27,665</w:t>
            </w:r>
          </w:p>
        </w:tc>
      </w:tr>
      <w:tr>
        <w:trPr>
          <w:trHeight w:val="561"/>
        </w:trPr>
        <w:tc>
          <w:tcPr>
            <w:tcW w:w="5260" w:type="dxa"/>
            <w:vAlign w:val="bottom"/>
          </w:tcPr>
          <w:p>
            <w:pPr>
              <w:spacing w:after="0"/>
              <w:rPr>
                <w:sz w:val="24"/>
                <w:szCs w:val="24"/>
                <w:color w:val="auto"/>
              </w:rPr>
            </w:pPr>
          </w:p>
        </w:tc>
        <w:tc>
          <w:tcPr>
            <w:tcW w:w="2340" w:type="dxa"/>
            <w:vAlign w:val="bottom"/>
          </w:tcPr>
          <w:p>
            <w:pPr>
              <w:jc w:val="right"/>
              <w:ind w:right="1796"/>
              <w:spacing w:after="0"/>
              <w:rPr>
                <w:sz w:val="20"/>
                <w:szCs w:val="20"/>
                <w:color w:val="auto"/>
              </w:rPr>
            </w:pPr>
            <w:r>
              <w:rPr>
                <w:rFonts w:ascii="Arial" w:cs="Arial" w:eastAsia="Arial" w:hAnsi="Arial"/>
                <w:sz w:val="18"/>
                <w:szCs w:val="18"/>
                <w:color w:val="auto"/>
              </w:rPr>
              <w:t>12</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8"/>
        </w:trPr>
        <w:tc>
          <w:tcPr>
            <w:tcW w:w="5260" w:type="dxa"/>
            <w:vAlign w:val="bottom"/>
            <w:tcBorders>
              <w:bottom w:val="single" w:sz="8" w:color="9A9A9A"/>
            </w:tcBorders>
          </w:tcPr>
          <w:p>
            <w:pPr>
              <w:spacing w:after="0"/>
              <w:rPr>
                <w:sz w:val="7"/>
                <w:szCs w:val="7"/>
                <w:color w:val="auto"/>
              </w:rPr>
            </w:pPr>
          </w:p>
        </w:tc>
        <w:tc>
          <w:tcPr>
            <w:tcW w:w="23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-462280</wp:posOffset>
            </wp:positionV>
            <wp:extent cx="137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-445135</wp:posOffset>
            </wp:positionV>
            <wp:extent cx="137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The following provides a roll-forward of the contract liabilities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Contract liabilities</w:t>
            </w: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43"/>
        </w:trPr>
        <w:tc>
          <w:tcPr>
            <w:tcW w:w="7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10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17,889</w:t>
            </w:r>
          </w:p>
        </w:tc>
      </w:tr>
      <w:tr>
        <w:trPr>
          <w:trHeight w:val="237"/>
        </w:trPr>
        <w:tc>
          <w:tcPr>
            <w:tcW w:w="180" w:type="dxa"/>
            <w:vAlign w:val="bottom"/>
          </w:tcPr>
          <w:p>
            <w:pPr>
              <w:spacing w:after="0"/>
              <w:rPr>
                <w:sz w:val="20"/>
                <w:szCs w:val="20"/>
                <w:color w:val="auto"/>
              </w:rPr>
            </w:pPr>
          </w:p>
        </w:tc>
        <w:tc>
          <w:tcPr>
            <w:tcW w:w="7440" w:type="dxa"/>
            <w:vAlign w:val="bottom"/>
          </w:tcPr>
          <w:p>
            <w:pPr>
              <w:ind w:left="20"/>
              <w:spacing w:after="0"/>
              <w:rPr>
                <w:sz w:val="20"/>
                <w:szCs w:val="20"/>
                <w:color w:val="auto"/>
              </w:rPr>
            </w:pPr>
            <w:r>
              <w:rPr>
                <w:rFonts w:ascii="Arial" w:cs="Arial" w:eastAsia="Arial" w:hAnsi="Arial"/>
                <w:sz w:val="18"/>
                <w:szCs w:val="18"/>
                <w:color w:val="auto"/>
              </w:rPr>
              <w:t>Revenue recognized</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(24,686 )</w:t>
            </w:r>
          </w:p>
        </w:tc>
      </w:tr>
      <w:tr>
        <w:trPr>
          <w:trHeight w:val="249"/>
        </w:trPr>
        <w:tc>
          <w:tcPr>
            <w:tcW w:w="180" w:type="dxa"/>
            <w:vAlign w:val="bottom"/>
            <w:tcBorders>
              <w:bottom w:val="single" w:sz="8" w:color="CFF0FC"/>
            </w:tcBorders>
            <w:shd w:val="clear" w:color="auto" w:fill="CFF0FC"/>
          </w:tcPr>
          <w:p>
            <w:pPr>
              <w:spacing w:after="0"/>
              <w:rPr>
                <w:sz w:val="21"/>
                <w:szCs w:val="21"/>
                <w:color w:val="auto"/>
              </w:rPr>
            </w:pPr>
          </w:p>
        </w:tc>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deferred</w:t>
            </w:r>
          </w:p>
        </w:tc>
        <w:tc>
          <w:tcPr>
            <w:tcW w:w="10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34,462</w:t>
            </w:r>
          </w:p>
        </w:tc>
      </w:tr>
      <w:tr>
        <w:trPr>
          <w:trHeight w:val="230"/>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2022</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27,665</w:t>
            </w:r>
          </w:p>
        </w:tc>
      </w:tr>
      <w:tr>
        <w:trPr>
          <w:trHeight w:val="249"/>
        </w:trPr>
        <w:tc>
          <w:tcPr>
            <w:tcW w:w="180" w:type="dxa"/>
            <w:vAlign w:val="bottom"/>
            <w:shd w:val="clear" w:color="auto" w:fill="CFF0FC"/>
          </w:tcPr>
          <w:p>
            <w:pPr>
              <w:spacing w:after="0"/>
              <w:rPr>
                <w:sz w:val="21"/>
                <w:szCs w:val="21"/>
                <w:color w:val="auto"/>
              </w:rPr>
            </w:pPr>
          </w:p>
        </w:tc>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recognized</w:t>
            </w:r>
          </w:p>
        </w:tc>
        <w:tc>
          <w:tcPr>
            <w:tcW w:w="10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(19,097 )</w:t>
            </w:r>
          </w:p>
        </w:tc>
      </w:tr>
      <w:tr>
        <w:trPr>
          <w:trHeight w:val="243"/>
        </w:trPr>
        <w:tc>
          <w:tcPr>
            <w:tcW w:w="180" w:type="dxa"/>
            <w:vAlign w:val="bottom"/>
          </w:tcPr>
          <w:p>
            <w:pPr>
              <w:spacing w:after="0"/>
              <w:rPr>
                <w:sz w:val="21"/>
                <w:szCs w:val="21"/>
                <w:color w:val="auto"/>
              </w:rPr>
            </w:pPr>
          </w:p>
        </w:tc>
        <w:tc>
          <w:tcPr>
            <w:tcW w:w="7440" w:type="dxa"/>
            <w:vAlign w:val="bottom"/>
          </w:tcPr>
          <w:p>
            <w:pPr>
              <w:ind w:left="20"/>
              <w:spacing w:after="0"/>
              <w:rPr>
                <w:sz w:val="20"/>
                <w:szCs w:val="20"/>
                <w:color w:val="auto"/>
              </w:rPr>
            </w:pPr>
            <w:r>
              <w:rPr>
                <w:rFonts w:ascii="Arial" w:cs="Arial" w:eastAsia="Arial" w:hAnsi="Arial"/>
                <w:sz w:val="18"/>
                <w:szCs w:val="18"/>
                <w:color w:val="auto"/>
              </w:rPr>
              <w:t>Revenue deferred</w:t>
            </w: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29,636</w:t>
            </w:r>
          </w:p>
        </w:tc>
      </w:tr>
      <w:tr>
        <w:trPr>
          <w:trHeight w:val="236"/>
        </w:trPr>
        <w:tc>
          <w:tcPr>
            <w:tcW w:w="7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Balance at June 30, 2023</w:t>
            </w:r>
          </w:p>
        </w:tc>
        <w:tc>
          <w:tcPr>
            <w:tcW w:w="10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38,204</w:t>
            </w:r>
          </w:p>
        </w:tc>
      </w:tr>
      <w:tr>
        <w:trPr>
          <w:trHeight w:val="473"/>
        </w:trPr>
        <w:tc>
          <w:tcPr>
            <w:tcW w:w="180" w:type="dxa"/>
            <w:vAlign w:val="bottom"/>
          </w:tcPr>
          <w:p>
            <w:pPr>
              <w:spacing w:after="0"/>
              <w:rPr>
                <w:sz w:val="20"/>
                <w:szCs w:val="20"/>
                <w:color w:val="auto"/>
              </w:rPr>
            </w:pPr>
            <w:r>
              <w:rPr>
                <w:rFonts w:ascii="Arial" w:cs="Arial" w:eastAsia="Arial" w:hAnsi="Arial"/>
                <w:sz w:val="18"/>
                <w:szCs w:val="18"/>
                <w:b w:val="1"/>
                <w:bCs w:val="1"/>
                <w:color w:val="auto"/>
              </w:rPr>
              <w:t>5.</w:t>
            </w:r>
          </w:p>
        </w:tc>
        <w:tc>
          <w:tcPr>
            <w:tcW w:w="7440" w:type="dxa"/>
            <w:vAlign w:val="bottom"/>
          </w:tcPr>
          <w:p>
            <w:pPr>
              <w:ind w:left="340"/>
              <w:spacing w:after="0"/>
              <w:rPr>
                <w:sz w:val="20"/>
                <w:szCs w:val="20"/>
                <w:color w:val="auto"/>
              </w:rPr>
            </w:pPr>
            <w:r>
              <w:rPr>
                <w:rFonts w:ascii="Arial" w:cs="Arial" w:eastAsia="Arial" w:hAnsi="Arial"/>
                <w:sz w:val="18"/>
                <w:szCs w:val="18"/>
                <w:b w:val="1"/>
                <w:bCs w:val="1"/>
                <w:color w:val="auto"/>
              </w:rPr>
              <w:t>Balance sheet details</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4"/>
        </w:trPr>
        <w:tc>
          <w:tcPr>
            <w:tcW w:w="7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4"/>
        </w:trPr>
        <w:tc>
          <w:tcPr>
            <w:tcW w:w="180" w:type="dxa"/>
            <w:vAlign w:val="bottom"/>
          </w:tcPr>
          <w:p>
            <w:pPr>
              <w:spacing w:after="0"/>
              <w:rPr>
                <w:sz w:val="24"/>
                <w:szCs w:val="24"/>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The following table shows the components of inventory (in thousands):</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01"/>
        </w:trPr>
        <w:tc>
          <w:tcPr>
            <w:tcW w:w="1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right"/>
              <w:ind w:right="41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1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2022</w:t>
            </w:r>
          </w:p>
        </w:tc>
      </w:tr>
      <w:tr>
        <w:trPr>
          <w:trHeight w:val="237"/>
        </w:trPr>
        <w:tc>
          <w:tcPr>
            <w:tcW w:w="7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39,816</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26,925</w:t>
            </w:r>
          </w:p>
        </w:tc>
      </w:tr>
      <w:tr>
        <w:trPr>
          <w:trHeight w:val="237"/>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Work in progress</w:t>
            </w:r>
          </w:p>
        </w:tc>
        <w:tc>
          <w:tcPr>
            <w:tcW w:w="10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5,609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4,897</w:t>
            </w:r>
          </w:p>
        </w:tc>
      </w:tr>
      <w:tr>
        <w:trPr>
          <w:trHeight w:val="243"/>
        </w:trPr>
        <w:tc>
          <w:tcPr>
            <w:tcW w:w="76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106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20,306</w:t>
            </w:r>
          </w:p>
        </w:tc>
        <w:tc>
          <w:tcPr>
            <w:tcW w:w="1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16,332</w:t>
            </w:r>
          </w:p>
        </w:tc>
      </w:tr>
      <w:tr>
        <w:trPr>
          <w:trHeight w:val="237"/>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Total inventories</w:t>
            </w: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65,731</w:t>
            </w:r>
          </w:p>
        </w:tc>
        <w:tc>
          <w:tcPr>
            <w:tcW w:w="5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48,154</w:t>
            </w:r>
          </w:p>
        </w:tc>
      </w:tr>
      <w:tr>
        <w:trPr>
          <w:trHeight w:val="20"/>
        </w:trPr>
        <w:tc>
          <w:tcPr>
            <w:tcW w:w="18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-187960</wp:posOffset>
            </wp:positionV>
            <wp:extent cx="128905"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components of prepaid expenses and other current assets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41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40" w:type="dxa"/>
            <w:vAlign w:val="bottom"/>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2022</w:t>
            </w:r>
          </w:p>
        </w:tc>
      </w:tr>
      <w:tr>
        <w:trPr>
          <w:trHeight w:val="23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w:t>
            </w:r>
          </w:p>
        </w:tc>
        <w:tc>
          <w:tcPr>
            <w:tcW w:w="10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Prepaid inventory</w:t>
            </w: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501</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621</w:t>
            </w: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rent</w:t>
            </w:r>
          </w:p>
        </w:tc>
        <w:tc>
          <w:tcPr>
            <w:tcW w:w="10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422</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293</w:t>
            </w: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Prepaid insurance</w:t>
            </w:r>
          </w:p>
        </w:tc>
        <w:tc>
          <w:tcPr>
            <w:tcW w:w="10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1,466</w:t>
            </w: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income tax</w:t>
            </w:r>
          </w:p>
        </w:tc>
        <w:tc>
          <w:tcPr>
            <w:tcW w:w="10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2,080</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2,080</w:t>
            </w: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Prepaid VAT tax</w:t>
            </w:r>
          </w:p>
        </w:tc>
        <w:tc>
          <w:tcPr>
            <w:tcW w:w="10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tradeshow</w:t>
            </w:r>
          </w:p>
        </w:tc>
        <w:tc>
          <w:tcPr>
            <w:tcW w:w="10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2,439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2,687</w:t>
            </w:r>
          </w:p>
        </w:tc>
      </w:tr>
      <w:tr>
        <w:trPr>
          <w:trHeight w:val="24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current assets:</w:t>
            </w:r>
          </w:p>
        </w:tc>
        <w:tc>
          <w:tcPr>
            <w:tcW w:w="10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Tax refund receivable</w:t>
            </w:r>
          </w:p>
        </w:tc>
        <w:tc>
          <w:tcPr>
            <w:tcW w:w="10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2,475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2,011</w:t>
            </w:r>
          </w:p>
        </w:tc>
      </w:tr>
      <w:tr>
        <w:trPr>
          <w:trHeight w:val="249"/>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2,107</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3,796</w:t>
            </w:r>
          </w:p>
        </w:tc>
      </w:tr>
      <w:tr>
        <w:trPr>
          <w:trHeight w:val="236"/>
        </w:trPr>
        <w:tc>
          <w:tcPr>
            <w:tcW w:w="764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w w:val="90"/>
              </w:rPr>
              <w:t>10,628</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12,954</w:t>
            </w:r>
          </w:p>
        </w:tc>
      </w:tr>
      <w:tr>
        <w:trPr>
          <w:trHeight w:val="20"/>
        </w:trPr>
        <w:tc>
          <w:tcPr>
            <w:tcW w:w="76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-187960</wp:posOffset>
            </wp:positionV>
            <wp:extent cx="10287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18859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components of accrued expenses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415"/>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00" w:type="dxa"/>
            <w:vAlign w:val="bottom"/>
          </w:tcPr>
          <w:p>
            <w:pPr>
              <w:spacing w:after="0"/>
              <w:rPr>
                <w:sz w:val="16"/>
                <w:szCs w:val="16"/>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2022</w:t>
            </w: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w:t>
            </w:r>
          </w:p>
        </w:tc>
        <w:tc>
          <w:tcPr>
            <w:tcW w:w="10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Accrued compensation and related benefits</w:t>
            </w: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12,231</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13,911</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Professional service fees</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1,323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1,276</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Purchases</w:t>
            </w:r>
          </w:p>
        </w:tc>
        <w:tc>
          <w:tcPr>
            <w:tcW w:w="106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1,243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2,457</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Product warranty</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2,773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2,126</w:t>
            </w:r>
          </w:p>
        </w:tc>
      </w:tr>
      <w:tr>
        <w:trPr>
          <w:trHeight w:val="243"/>
        </w:trPr>
        <w:tc>
          <w:tcPr>
            <w:tcW w:w="7600" w:type="dxa"/>
            <w:vAlign w:val="bottom"/>
          </w:tcPr>
          <w:p>
            <w:pPr>
              <w:ind w:left="20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1,356</w:t>
            </w:r>
          </w:p>
        </w:tc>
      </w:tr>
      <w:tr>
        <w:trPr>
          <w:trHeight w:val="27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w:t>
            </w: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19,591</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21,126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137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137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product warranty analysis refer to Note 20.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components of other current liabilities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41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20" w:type="dxa"/>
            <w:vAlign w:val="bottom"/>
          </w:tcPr>
          <w:p>
            <w:pPr>
              <w:spacing w:after="0"/>
              <w:rPr>
                <w:sz w:val="16"/>
                <w:szCs w:val="16"/>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2022</w:t>
            </w:r>
          </w:p>
        </w:tc>
      </w:tr>
      <w:tr>
        <w:trPr>
          <w:trHeight w:val="237"/>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current liabilities:</w:t>
            </w:r>
          </w:p>
        </w:tc>
        <w:tc>
          <w:tcPr>
            <w:tcW w:w="1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Customer deposits</w:t>
            </w:r>
          </w:p>
        </w:tc>
        <w:tc>
          <w:tcPr>
            <w:tcW w:w="1100" w:type="dxa"/>
            <w:vAlign w:val="bottom"/>
          </w:tcPr>
          <w:p>
            <w:pPr>
              <w:jc w:val="right"/>
              <w:ind w:right="91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1,538</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1,555</w:t>
            </w: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payable</w:t>
            </w:r>
          </w:p>
        </w:tc>
        <w:tc>
          <w:tcPr>
            <w:tcW w:w="11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246</w:t>
            </w: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Sales and use tax payable</w:t>
            </w:r>
          </w:p>
        </w:tc>
        <w:tc>
          <w:tcPr>
            <w:tcW w:w="11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1,920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1,421</w:t>
            </w: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liability, current</w:t>
            </w:r>
          </w:p>
        </w:tc>
        <w:tc>
          <w:tcPr>
            <w:tcW w:w="11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7"/>
              </w:rPr>
              <w:t>2,941</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2,931</w:t>
            </w: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Current portion of loan</w:t>
            </w:r>
          </w:p>
        </w:tc>
        <w:tc>
          <w:tcPr>
            <w:tcW w:w="11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580</w:t>
            </w:r>
          </w:p>
        </w:tc>
      </w:tr>
      <w:tr>
        <w:trPr>
          <w:trHeight w:val="249"/>
        </w:trPr>
        <w:tc>
          <w:tcPr>
            <w:tcW w:w="7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7"/>
              </w:rPr>
              <w:t>1,192</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1,227</w:t>
            </w: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Total other current liabilities</w:t>
            </w:r>
          </w:p>
        </w:tc>
        <w:tc>
          <w:tcPr>
            <w:tcW w:w="1100" w:type="dxa"/>
            <w:vAlign w:val="bottom"/>
          </w:tcPr>
          <w:p>
            <w:pPr>
              <w:jc w:val="right"/>
              <w:ind w:right="91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8,388</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7,960</w:t>
            </w:r>
          </w:p>
        </w:tc>
      </w:tr>
      <w:tr>
        <w:trPr>
          <w:trHeight w:val="20"/>
        </w:trPr>
        <w:tc>
          <w:tcPr>
            <w:tcW w:w="7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-187960</wp:posOffset>
            </wp:positionV>
            <wp:extent cx="128905"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286"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an orderly transaction between market participants at the reporting date. The categorization of a financial instrument within the valuation hierarchy is based on the lowest level of input that is significant to the fair value measurement. The following table sets forth the fair value of the Company’s financial assets and liabilities by level within the fair value hierarchy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218"/>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257"/>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218"/>
              <w:spacing w:after="0"/>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257"/>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6"/>
        </w:trPr>
        <w:tc>
          <w:tcPr>
            <w:tcW w:w="5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159"/>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218"/>
              <w:spacing w:after="0"/>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257"/>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242"/>
        </w:trPr>
        <w:tc>
          <w:tcPr>
            <w:tcW w:w="5360" w:type="dxa"/>
            <w:vAlign w:val="bottom"/>
            <w:tcBorders>
              <w:bottom w:val="single" w:sz="8" w:color="auto"/>
            </w:tcBorders>
            <w:vMerge w:val="continue"/>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36"/>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6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61,793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9"/>
              <w:spacing w:after="0"/>
              <w:rPr>
                <w:sz w:val="20"/>
                <w:szCs w:val="20"/>
                <w:color w:val="auto"/>
              </w:rPr>
            </w:pPr>
            <w:r>
              <w:rPr>
                <w:rFonts w:ascii="Arial" w:cs="Arial" w:eastAsia="Arial" w:hAnsi="Arial"/>
                <w:sz w:val="18"/>
                <w:szCs w:val="18"/>
                <w:color w:val="auto"/>
              </w:rPr>
              <w:t>61,793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60" w:type="dxa"/>
            <w:vAlign w:val="bottom"/>
          </w:tcPr>
          <w:p>
            <w:pPr>
              <w:ind w:left="200"/>
              <w:spacing w:after="0"/>
              <w:rPr>
                <w:sz w:val="20"/>
                <w:szCs w:val="20"/>
                <w:color w:val="auto"/>
              </w:rPr>
            </w:pPr>
            <w:r>
              <w:rPr>
                <w:rFonts w:ascii="Arial" w:cs="Arial" w:eastAsia="Arial" w:hAnsi="Arial"/>
                <w:sz w:val="18"/>
                <w:szCs w:val="18"/>
                <w:color w:val="auto"/>
              </w:rPr>
              <w:t>U.S. Treasury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37,625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8"/>
                <w:szCs w:val="18"/>
                <w:color w:val="auto"/>
              </w:rPr>
              <w:t>37,625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Federal agency securities</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58,648</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58,648</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71,021</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71,021</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53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229,087</w:t>
            </w: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99,418</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129,669</w:t>
            </w: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6"/>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218"/>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257"/>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218"/>
              <w:spacing w:after="0"/>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257"/>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6"/>
        </w:trPr>
        <w:tc>
          <w:tcPr>
            <w:tcW w:w="5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174"/>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159"/>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218"/>
              <w:spacing w:after="0"/>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257"/>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241"/>
        </w:trPr>
        <w:tc>
          <w:tcPr>
            <w:tcW w:w="5360" w:type="dxa"/>
            <w:vAlign w:val="bottom"/>
            <w:tcBorders>
              <w:bottom w:val="single" w:sz="8" w:color="auto"/>
            </w:tcBorders>
            <w:vMerge w:val="continue"/>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37"/>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60" w:type="dxa"/>
            <w:vAlign w:val="bottom"/>
          </w:tcPr>
          <w:p>
            <w:pPr>
              <w:ind w:left="200"/>
              <w:spacing w:after="0"/>
              <w:rPr>
                <w:sz w:val="20"/>
                <w:szCs w:val="20"/>
                <w:color w:val="auto"/>
              </w:rPr>
            </w:pPr>
            <w:r>
              <w:rPr>
                <w:rFonts w:ascii="Arial" w:cs="Arial" w:eastAsia="Arial" w:hAnsi="Arial"/>
                <w:sz w:val="18"/>
                <w:szCs w:val="18"/>
                <w:color w:val="auto"/>
              </w:rPr>
              <w:t>U.S. Treasury</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29,930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9"/>
              <w:spacing w:after="0"/>
              <w:rPr>
                <w:sz w:val="20"/>
                <w:szCs w:val="20"/>
                <w:color w:val="auto"/>
              </w:rPr>
            </w:pPr>
            <w:r>
              <w:rPr>
                <w:rFonts w:ascii="Arial" w:cs="Arial" w:eastAsia="Arial" w:hAnsi="Arial"/>
                <w:sz w:val="18"/>
                <w:szCs w:val="18"/>
                <w:color w:val="auto"/>
              </w:rPr>
              <w:t>29,930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Federal agency securities</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19,908</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19,908</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6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5,955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5,955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117,437</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117,437</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Treasury</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9,786</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9,786</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60" w:type="dxa"/>
            <w:vAlign w:val="bottom"/>
          </w:tcPr>
          <w:p>
            <w:pPr>
              <w:ind w:left="200"/>
              <w:spacing w:after="0"/>
              <w:rPr>
                <w:sz w:val="20"/>
                <w:szCs w:val="20"/>
                <w:color w:val="auto"/>
              </w:rPr>
            </w:pPr>
            <w:r>
              <w:rPr>
                <w:rFonts w:ascii="Arial" w:cs="Arial" w:eastAsia="Arial" w:hAnsi="Arial"/>
                <w:sz w:val="18"/>
                <w:szCs w:val="18"/>
                <w:color w:val="auto"/>
              </w:rPr>
              <w:t>Federal agency securities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11,626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11,626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23,136</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23,136</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360" w:type="dxa"/>
            <w:vAlign w:val="bottom"/>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217,778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9"/>
              <w:spacing w:after="0"/>
              <w:rPr>
                <w:sz w:val="20"/>
                <w:szCs w:val="20"/>
                <w:color w:val="auto"/>
              </w:rPr>
            </w:pPr>
            <w:r>
              <w:rPr>
                <w:rFonts w:ascii="Arial" w:cs="Arial" w:eastAsia="Arial" w:hAnsi="Arial"/>
                <w:sz w:val="18"/>
                <w:szCs w:val="18"/>
                <w:color w:val="auto"/>
              </w:rPr>
              <w:t>157,153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60,625</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-2614295</wp:posOffset>
            </wp:positionV>
            <wp:extent cx="1028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-2596515</wp:posOffset>
            </wp:positionV>
            <wp:extent cx="1028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-2614295</wp:posOffset>
            </wp:positionV>
            <wp:extent cx="1028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-2596515</wp:posOffset>
            </wp:positionV>
            <wp:extent cx="1028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-2614295</wp:posOffset>
            </wp:positionV>
            <wp:extent cx="1028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-2596515</wp:posOffset>
            </wp:positionV>
            <wp:extent cx="1028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-187960</wp:posOffset>
            </wp:positionV>
            <wp:extent cx="10287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10287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10287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188595"/>
                    </a:xfrm>
                    <a:prstGeom prst="rect">
                      <a:avLst/>
                    </a:prstGeom>
                    <a:noFill/>
                  </pic:spPr>
                </pic:pic>
              </a:graphicData>
            </a:graphic>
          </wp:anchor>
        </w:drawing>
      </w:r>
    </w:p>
    <w:p>
      <w:pPr>
        <w:spacing w:after="0" w:line="7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did not have any transfers of financial assets measured at fair value on a recurring basis to or from Level 1, Level 2 or Level 3 for any of the periods presented.</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table above does not include the Company's investments in privately held equity securities. Non-marketable equity investments of $1.6 million are included within Other noncurrent assets on the consolidated balance sheet as of June 30, 2023.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7" w:lineRule="exact"/>
        <w:rPr>
          <w:sz w:val="20"/>
          <w:szCs w:val="20"/>
          <w:color w:val="auto"/>
        </w:rPr>
      </w:pPr>
    </w:p>
    <w:p>
      <w:pPr>
        <w:ind w:right="20" w:firstLine="509"/>
        <w:spacing w:after="0" w:line="260" w:lineRule="auto"/>
        <w:rPr>
          <w:sz w:val="20"/>
          <w:szCs w:val="20"/>
          <w:color w:val="auto"/>
        </w:rPr>
      </w:pPr>
      <w:r>
        <w:rPr>
          <w:rFonts w:ascii="Arial" w:cs="Arial" w:eastAsia="Arial" w:hAnsi="Arial"/>
          <w:sz w:val="18"/>
          <w:szCs w:val="18"/>
          <w:color w:val="auto"/>
        </w:rPr>
        <w:t>The following tables summarize the Company's investments in available-for-sale securities by significant investment category reported as short-term as of June 30, 2023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June 30, 2023</w:t>
            </w:r>
          </w:p>
        </w:tc>
        <w:tc>
          <w:tcPr>
            <w:tcW w:w="9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w w:val="98"/>
              </w:rPr>
              <w:t>Amortized Cost</w:t>
            </w:r>
          </w:p>
        </w:tc>
        <w:tc>
          <w:tcPr>
            <w:tcW w:w="280" w:type="dxa"/>
            <w:vAlign w:val="bottom"/>
          </w:tcPr>
          <w:p>
            <w:pPr>
              <w:spacing w:after="0"/>
              <w:rPr>
                <w:sz w:val="11"/>
                <w:szCs w:val="11"/>
                <w:color w:val="auto"/>
              </w:rPr>
            </w:pPr>
          </w:p>
        </w:tc>
        <w:tc>
          <w:tcPr>
            <w:tcW w:w="1760" w:type="dxa"/>
            <w:vAlign w:val="bottom"/>
            <w:gridSpan w:val="2"/>
            <w:vMerge w:val="restart"/>
          </w:tcPr>
          <w:p>
            <w:pPr>
              <w:jc w:val="right"/>
              <w:ind w:right="134"/>
              <w:spacing w:after="0"/>
              <w:rPr>
                <w:sz w:val="20"/>
                <w:szCs w:val="20"/>
                <w:color w:val="auto"/>
              </w:rPr>
            </w:pPr>
            <w:r>
              <w:rPr>
                <w:rFonts w:ascii="Arial" w:cs="Arial" w:eastAsia="Arial" w:hAnsi="Arial"/>
                <w:sz w:val="14"/>
                <w:szCs w:val="14"/>
                <w:b w:val="1"/>
                <w:bCs w:val="1"/>
                <w:color w:val="auto"/>
                <w:w w:val="96"/>
              </w:rPr>
              <w:t>Gross Unrealized Gains</w:t>
            </w:r>
          </w:p>
        </w:tc>
        <w:tc>
          <w:tcPr>
            <w:tcW w:w="240" w:type="dxa"/>
            <w:vAlign w:val="bottom"/>
          </w:tcPr>
          <w:p>
            <w:pPr>
              <w:spacing w:after="0"/>
              <w:rPr>
                <w:sz w:val="11"/>
                <w:szCs w:val="11"/>
                <w:color w:val="auto"/>
              </w:rPr>
            </w:pPr>
          </w:p>
        </w:tc>
        <w:tc>
          <w:tcPr>
            <w:tcW w:w="168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w w:val="94"/>
              </w:rPr>
              <w:t>Gross Unrealized Loss</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right"/>
              <w:ind w:right="276"/>
              <w:spacing w:after="0" w:line="133" w:lineRule="exact"/>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66"/>
        </w:trPr>
        <w:tc>
          <w:tcPr>
            <w:tcW w:w="39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37,633</w:t>
            </w:r>
          </w:p>
        </w:tc>
        <w:tc>
          <w:tcPr>
            <w:tcW w:w="980" w:type="dxa"/>
            <w:vAlign w:val="bottom"/>
            <w:gridSpan w:val="2"/>
            <w:shd w:val="clear" w:color="auto" w:fill="CFF0FC"/>
          </w:tcPr>
          <w:p>
            <w:pPr>
              <w:jc w:val="right"/>
              <w:ind w:right="52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37,625</w:t>
            </w:r>
          </w:p>
        </w:tc>
        <w:tc>
          <w:tcPr>
            <w:tcW w:w="0" w:type="dxa"/>
            <w:vAlign w:val="bottom"/>
          </w:tcPr>
          <w:p>
            <w:pPr>
              <w:spacing w:after="0"/>
              <w:rPr>
                <w:sz w:val="1"/>
                <w:szCs w:val="1"/>
                <w:color w:val="auto"/>
              </w:rPr>
            </w:pPr>
          </w:p>
        </w:tc>
      </w:tr>
      <w:tr>
        <w:trPr>
          <w:trHeight w:val="237"/>
        </w:trPr>
        <w:tc>
          <w:tcPr>
            <w:tcW w:w="3920" w:type="dxa"/>
            <w:vAlign w:val="bottom"/>
          </w:tcPr>
          <w:p>
            <w:pPr>
              <w:ind w:left="20"/>
              <w:spacing w:after="0"/>
              <w:rPr>
                <w:sz w:val="20"/>
                <w:szCs w:val="20"/>
                <w:color w:val="auto"/>
              </w:rPr>
            </w:pPr>
            <w:r>
              <w:rPr>
                <w:rFonts w:ascii="Arial" w:cs="Arial" w:eastAsia="Arial" w:hAnsi="Arial"/>
                <w:sz w:val="18"/>
                <w:szCs w:val="18"/>
                <w:color w:val="auto"/>
              </w:rPr>
              <w:t>Federal agency securities</w:t>
            </w:r>
          </w:p>
        </w:tc>
        <w:tc>
          <w:tcPr>
            <w:tcW w:w="180" w:type="dxa"/>
            <w:vAlign w:val="bottom"/>
          </w:tcPr>
          <w:p>
            <w:pPr>
              <w:spacing w:after="0"/>
              <w:rPr>
                <w:sz w:val="20"/>
                <w:szCs w:val="20"/>
                <w:color w:val="auto"/>
              </w:rPr>
            </w:pPr>
          </w:p>
        </w:tc>
        <w:tc>
          <w:tcPr>
            <w:tcW w:w="1420" w:type="dxa"/>
            <w:vAlign w:val="bottom"/>
          </w:tcPr>
          <w:p>
            <w:pPr>
              <w:jc w:val="right"/>
              <w:ind w:right="54"/>
              <w:spacing w:after="0"/>
              <w:rPr>
                <w:sz w:val="20"/>
                <w:szCs w:val="20"/>
                <w:color w:val="auto"/>
              </w:rPr>
            </w:pPr>
            <w:r>
              <w:rPr>
                <w:rFonts w:ascii="Arial" w:cs="Arial" w:eastAsia="Arial" w:hAnsi="Arial"/>
                <w:sz w:val="18"/>
                <w:szCs w:val="18"/>
                <w:color w:val="auto"/>
              </w:rPr>
              <w:t>58,664</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(40 )</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58,648</w:t>
            </w:r>
          </w:p>
        </w:tc>
        <w:tc>
          <w:tcPr>
            <w:tcW w:w="0" w:type="dxa"/>
            <w:vAlign w:val="bottom"/>
          </w:tcPr>
          <w:p>
            <w:pPr>
              <w:spacing w:after="0"/>
              <w:rPr>
                <w:sz w:val="1"/>
                <w:szCs w:val="1"/>
                <w:color w:val="auto"/>
              </w:rPr>
            </w:pPr>
          </w:p>
        </w:tc>
      </w:tr>
      <w:tr>
        <w:trPr>
          <w:trHeight w:val="249"/>
        </w:trPr>
        <w:tc>
          <w:tcPr>
            <w:tcW w:w="3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71,021</w:t>
            </w:r>
          </w:p>
        </w:tc>
        <w:tc>
          <w:tcPr>
            <w:tcW w:w="28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71,021</w:t>
            </w:r>
          </w:p>
        </w:tc>
        <w:tc>
          <w:tcPr>
            <w:tcW w:w="0" w:type="dxa"/>
            <w:vAlign w:val="bottom"/>
          </w:tcPr>
          <w:p>
            <w:pPr>
              <w:spacing w:after="0"/>
              <w:rPr>
                <w:sz w:val="1"/>
                <w:szCs w:val="1"/>
                <w:color w:val="auto"/>
              </w:rPr>
            </w:pPr>
          </w:p>
        </w:tc>
      </w:tr>
      <w:tr>
        <w:trPr>
          <w:trHeight w:val="237"/>
        </w:trPr>
        <w:tc>
          <w:tcPr>
            <w:tcW w:w="3920" w:type="dxa"/>
            <w:vAlign w:val="bottom"/>
          </w:tcPr>
          <w:p>
            <w:pPr>
              <w:ind w:left="20"/>
              <w:spacing w:after="0"/>
              <w:rPr>
                <w:sz w:val="20"/>
                <w:szCs w:val="20"/>
                <w:color w:val="auto"/>
              </w:rPr>
            </w:pPr>
            <w:r>
              <w:rPr>
                <w:rFonts w:ascii="Arial" w:cs="Arial" w:eastAsia="Arial" w:hAnsi="Arial"/>
                <w:sz w:val="18"/>
                <w:szCs w:val="18"/>
                <w:color w:val="auto"/>
              </w:rPr>
              <w:t>Total available-for-sale investments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54"/>
              <w:spacing w:after="0"/>
              <w:rPr>
                <w:sz w:val="20"/>
                <w:szCs w:val="20"/>
                <w:color w:val="auto"/>
              </w:rPr>
            </w:pPr>
            <w:r>
              <w:rPr>
                <w:rFonts w:ascii="Arial" w:cs="Arial" w:eastAsia="Arial" w:hAnsi="Arial"/>
                <w:sz w:val="18"/>
                <w:szCs w:val="18"/>
                <w:color w:val="auto"/>
              </w:rPr>
              <w:t>167,318</w:t>
            </w:r>
          </w:p>
        </w:tc>
        <w:tc>
          <w:tcPr>
            <w:tcW w:w="98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24</w:t>
            </w:r>
          </w:p>
        </w:tc>
        <w:tc>
          <w:tcPr>
            <w:tcW w:w="96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(48 )</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167,294</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-187960</wp:posOffset>
            </wp:positionV>
            <wp:extent cx="17145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0" cy="18859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-187960</wp:posOffset>
            </wp:positionV>
            <wp:extent cx="145415"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5415" cy="18859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-187960</wp:posOffset>
            </wp:positionV>
            <wp:extent cx="19685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6850" cy="18859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contractual maturities of the Company's available-for-sale securities at June 30, 2023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 2023</w:t>
            </w:r>
          </w:p>
        </w:tc>
        <w:tc>
          <w:tcPr>
            <w:tcW w:w="2160" w:type="dxa"/>
            <w:vAlign w:val="bottom"/>
            <w:tcBorders>
              <w:bottom w:val="single" w:sz="8" w:color="auto"/>
            </w:tcBorders>
          </w:tcPr>
          <w:p>
            <w:pPr>
              <w:spacing w:after="0"/>
              <w:rPr>
                <w:sz w:val="16"/>
                <w:szCs w:val="16"/>
                <w:color w:val="auto"/>
              </w:rPr>
            </w:pPr>
          </w:p>
        </w:tc>
      </w:tr>
      <w:tr>
        <w:trPr>
          <w:trHeight w:val="182"/>
        </w:trPr>
        <w:tc>
          <w:tcPr>
            <w:tcW w:w="5400" w:type="dxa"/>
            <w:vAlign w:val="bottom"/>
          </w:tcPr>
          <w:p>
            <w:pPr>
              <w:spacing w:after="0"/>
              <w:rPr>
                <w:sz w:val="15"/>
                <w:szCs w:val="15"/>
                <w:color w:val="auto"/>
              </w:rPr>
            </w:pPr>
          </w:p>
        </w:tc>
        <w:tc>
          <w:tcPr>
            <w:tcW w:w="2000" w:type="dxa"/>
            <w:vAlign w:val="bottom"/>
          </w:tcPr>
          <w:p>
            <w:pPr>
              <w:jc w:val="right"/>
              <w:ind w:right="56"/>
              <w:spacing w:after="0"/>
              <w:rPr>
                <w:sz w:val="20"/>
                <w:szCs w:val="20"/>
                <w:color w:val="auto"/>
              </w:rPr>
            </w:pPr>
            <w:r>
              <w:rPr>
                <w:rFonts w:ascii="Arial" w:cs="Arial" w:eastAsia="Arial" w:hAnsi="Arial"/>
                <w:sz w:val="14"/>
                <w:szCs w:val="14"/>
                <w:b w:val="1"/>
                <w:bCs w:val="1"/>
                <w:color w:val="auto"/>
              </w:rPr>
              <w:t>Amortized Cost</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60" w:type="dxa"/>
            <w:vAlign w:val="bottom"/>
          </w:tcPr>
          <w:p>
            <w:pPr>
              <w:jc w:val="right"/>
              <w:ind w:right="1016"/>
              <w:spacing w:after="0"/>
              <w:rPr>
                <w:sz w:val="20"/>
                <w:szCs w:val="20"/>
                <w:color w:val="auto"/>
              </w:rPr>
            </w:pPr>
            <w:r>
              <w:rPr>
                <w:rFonts w:ascii="Arial" w:cs="Arial" w:eastAsia="Arial" w:hAnsi="Arial"/>
                <w:sz w:val="14"/>
                <w:szCs w:val="14"/>
                <w:b w:val="1"/>
                <w:bCs w:val="1"/>
                <w:color w:val="auto"/>
              </w:rPr>
              <w:t>Fair Value</w:t>
            </w:r>
          </w:p>
        </w:tc>
      </w:tr>
      <w:tr>
        <w:trPr>
          <w:trHeight w:val="244"/>
        </w:trPr>
        <w:tc>
          <w:tcPr>
            <w:tcW w:w="5400" w:type="dxa"/>
            <w:vAlign w:val="bottom"/>
          </w:tcPr>
          <w:p>
            <w:pPr>
              <w:ind w:left="20"/>
              <w:spacing w:after="0"/>
              <w:rPr>
                <w:sz w:val="20"/>
                <w:szCs w:val="20"/>
                <w:color w:val="auto"/>
              </w:rPr>
            </w:pPr>
            <w:r>
              <w:rPr>
                <w:rFonts w:ascii="Arial" w:cs="Arial" w:eastAsia="Arial" w:hAnsi="Arial"/>
                <w:sz w:val="18"/>
                <w:szCs w:val="18"/>
                <w:color w:val="auto"/>
              </w:rPr>
              <w:t>Mature in less than one year</w:t>
            </w:r>
          </w:p>
        </w:tc>
        <w:tc>
          <w:tcPr>
            <w:tcW w:w="2000" w:type="dxa"/>
            <w:vAlign w:val="bottom"/>
          </w:tcPr>
          <w:p>
            <w:pPr>
              <w:jc w:val="right"/>
              <w:ind w:right="181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167,318</w:t>
            </w:r>
          </w:p>
        </w:tc>
        <w:tc>
          <w:tcPr>
            <w:tcW w:w="80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76"/>
              <w:spacing w:after="0"/>
              <w:rPr>
                <w:sz w:val="20"/>
                <w:szCs w:val="20"/>
                <w:color w:val="auto"/>
              </w:rPr>
            </w:pPr>
            <w:r>
              <w:rPr>
                <w:rFonts w:ascii="Arial" w:cs="Arial" w:eastAsia="Arial" w:hAnsi="Arial"/>
                <w:sz w:val="18"/>
                <w:szCs w:val="18"/>
                <w:color w:val="auto"/>
              </w:rPr>
              <w:t>167,294</w:t>
            </w:r>
          </w:p>
        </w:tc>
      </w:tr>
      <w:tr>
        <w:trPr>
          <w:trHeight w:val="276"/>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000" w:type="dxa"/>
            <w:vAlign w:val="bottom"/>
            <w:tcBorders>
              <w:top w:val="single" w:sz="8" w:color="auto"/>
              <w:bottom w:val="single" w:sz="8" w:color="auto"/>
            </w:tcBorders>
            <w:shd w:val="clear" w:color="auto" w:fill="CFF0FC"/>
          </w:tcPr>
          <w:p>
            <w:pPr>
              <w:jc w:val="right"/>
              <w:ind w:right="181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167,318</w:t>
            </w:r>
          </w:p>
        </w:tc>
        <w:tc>
          <w:tcPr>
            <w:tcW w:w="26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167,294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-25400</wp:posOffset>
            </wp:positionV>
            <wp:extent cx="1625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1625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286"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components of property and equipment, net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ind w:right="553"/>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9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2022</w:t>
            </w:r>
          </w:p>
        </w:tc>
      </w:tr>
      <w:tr>
        <w:trPr>
          <w:trHeight w:val="236"/>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equipment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7,511</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4,777</w:t>
            </w: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20"/>
                <w:szCs w:val="20"/>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3,558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3,481</w:t>
            </w: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 and land</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5,435</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5,553</w:t>
            </w: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20"/>
                <w:szCs w:val="20"/>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178</w:t>
            </w: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Office and computer equipment</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1,018</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890</w:t>
            </w: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20"/>
                <w:szCs w:val="20"/>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1,975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1,962</w:t>
            </w:r>
          </w:p>
        </w:tc>
      </w:tr>
      <w:tr>
        <w:trPr>
          <w:trHeight w:val="249"/>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property and equipment</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19,805</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16,841</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(4,217 )</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(3,159 )</w:t>
            </w:r>
          </w:p>
        </w:tc>
      </w:tr>
      <w:tr>
        <w:trPr>
          <w:trHeight w:val="276"/>
        </w:trPr>
        <w:tc>
          <w:tcPr>
            <w:tcW w:w="7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15,588</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13,682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-25400</wp:posOffset>
            </wp:positionV>
            <wp:extent cx="1200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1200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82"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Total depreciation expense for the three and six months ended June 30, 2023 was $0.6 million and $1.1 million, respectively. Total depreciation expense for three and six months ended June 30, 2022 was $0.4 million and $0.7 million, respectively.</w:t>
      </w:r>
    </w:p>
    <w:p>
      <w:pPr>
        <w:spacing w:after="0" w:line="58"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On February 28, 2023, the Company completed the acquisition of Luminex FCI business unit, including relating to the business of manufacturing, marketing, selling, servicing and maintaining Amnis-, CellStream-, Guava- and Muse-branded instruments, and flow cytometry reagent products and services, for an aggregate cash consideration of $44.9 million.</w:t>
      </w:r>
    </w:p>
    <w:p>
      <w:pPr>
        <w:spacing w:after="0" w:line="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acquisition was accounted for as a business combination in accordance with ASC 805. The tangible and intangible assets acquired were recorded at estimated fair value on the acquisition date. The purchase price allocation is based upon preliminary valuations and estimates and assumptions which are subject to change within the purchase price allocation period, generally one year from the acquisition date. The Company identified the following areas as subject to change within the purchase price allocation period: intangible asset fair values recognized and measured in accordance with ASC 820, Fair Value Measurement, deferred income tax assets acquired and liabilities assumed are recognized and measured in accordance with ASC 740, Income Taxes and certain lease related assets and liabilities which are measured and recognized in accordance with ASC 842, Leases. The following table represents the preliminary allocation of the purchase price to the assets acquired by the Company as part of the acquisition included in the Company’s consolidated balance sheets and is reconciled to the purchase price.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9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jc w:val="right"/>
              <w:ind w:right="71"/>
              <w:spacing w:after="0"/>
              <w:rPr>
                <w:sz w:val="20"/>
                <w:szCs w:val="20"/>
                <w:color w:val="auto"/>
              </w:rPr>
            </w:pPr>
            <w:r>
              <w:rPr>
                <w:rFonts w:ascii="Arial" w:cs="Arial" w:eastAsia="Arial" w:hAnsi="Arial"/>
                <w:sz w:val="16"/>
                <w:szCs w:val="16"/>
                <w:color w:val="auto"/>
              </w:rPr>
              <w:t>(in thousands)</w:t>
            </w:r>
          </w:p>
        </w:tc>
      </w:tr>
      <w:tr>
        <w:trPr>
          <w:trHeight w:val="25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assets acquired and liabilities assumed:</w:t>
            </w:r>
          </w:p>
        </w:tc>
        <w:tc>
          <w:tcPr>
            <w:tcW w:w="5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18,687</w:t>
            </w:r>
          </w:p>
        </w:tc>
      </w:tr>
      <w:tr>
        <w:trPr>
          <w:trHeight w:val="24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5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1,608</w:t>
            </w: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540" w:type="dxa"/>
            <w:vAlign w:val="bottom"/>
          </w:tcPr>
          <w:p>
            <w:pPr>
              <w:spacing w:after="0"/>
              <w:rPr>
                <w:sz w:val="20"/>
                <w:szCs w:val="20"/>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70</w:t>
            </w:r>
          </w:p>
        </w:tc>
      </w:tr>
      <w:tr>
        <w:trPr>
          <w:trHeight w:val="24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5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r>
      <w:tr>
        <w:trPr>
          <w:trHeight w:val="237"/>
        </w:trPr>
        <w:tc>
          <w:tcPr>
            <w:tcW w:w="9180" w:type="dxa"/>
            <w:vAlign w:val="bottom"/>
          </w:tcPr>
          <w:p>
            <w:pPr>
              <w:ind w:left="200"/>
              <w:spacing w:after="0"/>
              <w:rPr>
                <w:sz w:val="20"/>
                <w:szCs w:val="20"/>
                <w:color w:val="auto"/>
              </w:rPr>
            </w:pPr>
            <w:r>
              <w:rPr>
                <w:rFonts w:ascii="Arial" w:cs="Arial" w:eastAsia="Arial" w:hAnsi="Arial"/>
                <w:sz w:val="18"/>
                <w:szCs w:val="18"/>
                <w:color w:val="auto"/>
              </w:rPr>
              <w:t>FCI Developed Technology</w:t>
            </w:r>
          </w:p>
        </w:tc>
        <w:tc>
          <w:tcPr>
            <w:tcW w:w="540" w:type="dxa"/>
            <w:vAlign w:val="bottom"/>
          </w:tcPr>
          <w:p>
            <w:pPr>
              <w:spacing w:after="0"/>
              <w:rPr>
                <w:sz w:val="20"/>
                <w:szCs w:val="20"/>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9,500</w:t>
            </w:r>
          </w:p>
        </w:tc>
      </w:tr>
      <w:tr>
        <w:trPr>
          <w:trHeight w:val="249"/>
        </w:trPr>
        <w:tc>
          <w:tcPr>
            <w:tcW w:w="9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Customer relationships</w:t>
            </w:r>
          </w:p>
        </w:tc>
        <w:tc>
          <w:tcPr>
            <w:tcW w:w="5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8,500</w:t>
            </w:r>
          </w:p>
        </w:tc>
      </w:tr>
      <w:tr>
        <w:trPr>
          <w:trHeight w:val="237"/>
        </w:trPr>
        <w:tc>
          <w:tcPr>
            <w:tcW w:w="9180" w:type="dxa"/>
            <w:vAlign w:val="bottom"/>
          </w:tcPr>
          <w:p>
            <w:pPr>
              <w:ind w:left="200"/>
              <w:spacing w:after="0"/>
              <w:rPr>
                <w:sz w:val="20"/>
                <w:szCs w:val="20"/>
                <w:color w:val="auto"/>
              </w:rPr>
            </w:pPr>
            <w:r>
              <w:rPr>
                <w:rFonts w:ascii="Arial" w:cs="Arial" w:eastAsia="Arial" w:hAnsi="Arial"/>
                <w:sz w:val="18"/>
                <w:szCs w:val="18"/>
                <w:color w:val="auto"/>
              </w:rPr>
              <w:t>Amnis tradename</w:t>
            </w:r>
          </w:p>
        </w:tc>
        <w:tc>
          <w:tcPr>
            <w:tcW w:w="540" w:type="dxa"/>
            <w:vAlign w:val="bottom"/>
          </w:tcPr>
          <w:p>
            <w:pPr>
              <w:spacing w:after="0"/>
              <w:rPr>
                <w:sz w:val="20"/>
                <w:szCs w:val="20"/>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2,800</w:t>
            </w:r>
          </w:p>
        </w:tc>
      </w:tr>
      <w:tr>
        <w:trPr>
          <w:trHeight w:val="24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8,999</w:t>
            </w: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Deferred revenue, current</w:t>
            </w:r>
          </w:p>
        </w:tc>
        <w:tc>
          <w:tcPr>
            <w:tcW w:w="5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(4,130 )</w:t>
            </w:r>
          </w:p>
        </w:tc>
      </w:tr>
      <w:tr>
        <w:trPr>
          <w:trHeight w:val="24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current liabilities</w:t>
            </w:r>
          </w:p>
        </w:tc>
        <w:tc>
          <w:tcPr>
            <w:tcW w:w="5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(316 )</w:t>
            </w: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Deferred revenue, noncurrent</w:t>
            </w:r>
          </w:p>
        </w:tc>
        <w:tc>
          <w:tcPr>
            <w:tcW w:w="5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(822 )</w:t>
            </w:r>
          </w:p>
        </w:tc>
      </w:tr>
      <w:tr>
        <w:trPr>
          <w:trHeight w:val="277"/>
        </w:trPr>
        <w:tc>
          <w:tcPr>
            <w:tcW w:w="9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Fair value of net assets acquired</w:t>
            </w: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44,896</w:t>
            </w:r>
          </w:p>
        </w:tc>
      </w:tr>
    </w:tbl>
    <w:p>
      <w:pPr>
        <w:spacing w:after="0" w:line="9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$8.9 million of goodwill arising from the acquisition is primarily attributed to significant time-to-market advantages, as the Company gained immediate access to Luminex’s FCI products, existing relationships and business infrastructure and Luminex’s knowledgeable and experienced FCI workforce. The goodwill is expected to be deductible for tax purposes. The Company is currently evaluating the amount of goodwill which is expected to be deductible and will finalize this amount in future periods.</w:t>
      </w:r>
    </w:p>
    <w:p>
      <w:pPr>
        <w:spacing w:after="0" w:line="79"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Intangible assets eligible for recognition separate from goodwill were those that satisfied either the contractual or legal criterion or the separability criterion in the accounting guidance. The identifiable intangible assets acquired and their estimated useful lives for amortization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20" w:type="dxa"/>
            <w:vAlign w:val="bottom"/>
            <w:tcBorders>
              <w:bottom w:val="single" w:sz="8" w:color="CFF0FC"/>
            </w:tcBorders>
            <w:shd w:val="clear" w:color="auto" w:fill="CFF0FC"/>
          </w:tcPr>
          <w:p>
            <w:pPr>
              <w:spacing w:after="0"/>
              <w:rPr>
                <w:sz w:val="21"/>
                <w:szCs w:val="21"/>
                <w:color w:val="auto"/>
              </w:rPr>
            </w:pPr>
          </w:p>
        </w:tc>
        <w:tc>
          <w:tcPr>
            <w:tcW w:w="202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rPr>
              <w:t>Fair Value</w:t>
            </w:r>
          </w:p>
        </w:tc>
        <w:tc>
          <w:tcPr>
            <w:tcW w:w="880" w:type="dxa"/>
            <w:vAlign w:val="bottom"/>
            <w:tcBorders>
              <w:top w:val="single" w:sz="8" w:color="auto"/>
              <w:bottom w:val="single" w:sz="8" w:color="auto"/>
            </w:tcBorders>
            <w:shd w:val="clear" w:color="auto" w:fill="CFF0FC"/>
          </w:tcPr>
          <w:p>
            <w:pPr>
              <w:spacing w:after="0"/>
              <w:rPr>
                <w:sz w:val="21"/>
                <w:szCs w:val="21"/>
                <w:color w:val="auto"/>
              </w:rPr>
            </w:pPr>
          </w:p>
        </w:tc>
        <w:tc>
          <w:tcPr>
            <w:tcW w:w="480" w:type="dxa"/>
            <w:vAlign w:val="bottom"/>
            <w:tcBorders>
              <w:top w:val="single" w:sz="8" w:color="auto"/>
              <w:bottom w:val="single" w:sz="8" w:color="CFF0FC"/>
            </w:tcBorders>
            <w:shd w:val="clear" w:color="auto" w:fill="CFF0FC"/>
          </w:tcPr>
          <w:p>
            <w:pPr>
              <w:spacing w:after="0"/>
              <w:rPr>
                <w:sz w:val="21"/>
                <w:szCs w:val="21"/>
                <w:color w:val="auto"/>
              </w:rPr>
            </w:pPr>
          </w:p>
        </w:tc>
        <w:tc>
          <w:tcPr>
            <w:tcW w:w="3240" w:type="dxa"/>
            <w:vAlign w:val="bottom"/>
            <w:tcBorders>
              <w:top w:val="single" w:sz="8" w:color="auto"/>
              <w:bottom w:val="single" w:sz="8" w:color="auto"/>
            </w:tcBorders>
            <w:shd w:val="clear" w:color="auto" w:fill="CFF0FC"/>
          </w:tcPr>
          <w:p>
            <w:pPr>
              <w:ind w:left="940"/>
              <w:spacing w:after="0"/>
              <w:rPr>
                <w:sz w:val="20"/>
                <w:szCs w:val="20"/>
                <w:color w:val="auto"/>
              </w:rPr>
            </w:pPr>
            <w:r>
              <w:rPr>
                <w:rFonts w:ascii="Arial" w:cs="Arial" w:eastAsia="Arial" w:hAnsi="Arial"/>
                <w:sz w:val="18"/>
                <w:szCs w:val="18"/>
                <w:b w:val="1"/>
                <w:bCs w:val="1"/>
                <w:color w:val="auto"/>
              </w:rPr>
              <w:t>Useful life (years)</w:t>
            </w:r>
          </w:p>
        </w:tc>
      </w:tr>
      <w:tr>
        <w:trPr>
          <w:trHeight w:val="218"/>
        </w:trPr>
        <w:tc>
          <w:tcPr>
            <w:tcW w:w="4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00" w:type="dxa"/>
            <w:vAlign w:val="bottom"/>
            <w:gridSpan w:val="3"/>
          </w:tcPr>
          <w:p>
            <w:pPr>
              <w:ind w:left="260"/>
              <w:spacing w:after="0"/>
              <w:rPr>
                <w:sz w:val="20"/>
                <w:szCs w:val="20"/>
                <w:color w:val="auto"/>
              </w:rPr>
            </w:pPr>
            <w:r>
              <w:rPr>
                <w:rFonts w:ascii="Arial" w:cs="Arial" w:eastAsia="Arial" w:hAnsi="Arial"/>
                <w:sz w:val="16"/>
                <w:szCs w:val="16"/>
                <w:color w:val="auto"/>
              </w:rPr>
              <w:t>(In thousands, except for years)</w:t>
            </w:r>
          </w:p>
        </w:tc>
      </w:tr>
      <w:tr>
        <w:trPr>
          <w:trHeight w:val="25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FCI developed technology</w:t>
            </w:r>
          </w:p>
        </w:tc>
        <w:tc>
          <w:tcPr>
            <w:tcW w:w="2020" w:type="dxa"/>
            <w:vAlign w:val="bottom"/>
            <w:shd w:val="clear" w:color="auto" w:fill="CFF0FC"/>
          </w:tcPr>
          <w:p>
            <w:pPr>
              <w:jc w:val="right"/>
              <w:ind w:right="18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9,500</w:t>
            </w:r>
          </w:p>
        </w:tc>
        <w:tc>
          <w:tcPr>
            <w:tcW w:w="3720" w:type="dxa"/>
            <w:vAlign w:val="bottom"/>
            <w:gridSpan w:val="2"/>
            <w:shd w:val="clear" w:color="auto" w:fill="CFF0FC"/>
          </w:tcPr>
          <w:p>
            <w:pPr>
              <w:jc w:val="center"/>
              <w:ind w:left="390"/>
              <w:spacing w:after="0"/>
              <w:rPr>
                <w:sz w:val="20"/>
                <w:szCs w:val="20"/>
                <w:color w:val="auto"/>
              </w:rPr>
            </w:pPr>
            <w:r>
              <w:rPr>
                <w:rFonts w:ascii="Arial" w:cs="Arial" w:eastAsia="Arial" w:hAnsi="Arial"/>
                <w:sz w:val="18"/>
                <w:szCs w:val="18"/>
                <w:color w:val="auto"/>
                <w:w w:val="79"/>
              </w:rPr>
              <w:t>5</w:t>
            </w: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02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8,500</w:t>
            </w:r>
          </w:p>
        </w:tc>
        <w:tc>
          <w:tcPr>
            <w:tcW w:w="3720" w:type="dxa"/>
            <w:vAlign w:val="bottom"/>
            <w:gridSpan w:val="2"/>
          </w:tcPr>
          <w:p>
            <w:pPr>
              <w:jc w:val="center"/>
              <w:ind w:left="390"/>
              <w:spacing w:after="0"/>
              <w:rPr>
                <w:sz w:val="20"/>
                <w:szCs w:val="20"/>
                <w:color w:val="auto"/>
              </w:rPr>
            </w:pPr>
            <w:r>
              <w:rPr>
                <w:rFonts w:ascii="Arial" w:cs="Arial" w:eastAsia="Arial" w:hAnsi="Arial"/>
                <w:sz w:val="18"/>
                <w:szCs w:val="18"/>
                <w:color w:val="auto"/>
                <w:w w:val="79"/>
              </w:rPr>
              <w:t>7</w:t>
            </w:r>
          </w:p>
        </w:tc>
      </w:tr>
      <w:tr>
        <w:trPr>
          <w:trHeight w:val="249"/>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Amnis tradename</w:t>
            </w:r>
          </w:p>
        </w:tc>
        <w:tc>
          <w:tcPr>
            <w:tcW w:w="20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2,800</w:t>
            </w:r>
          </w:p>
        </w:tc>
        <w:tc>
          <w:tcPr>
            <w:tcW w:w="3720" w:type="dxa"/>
            <w:vAlign w:val="bottom"/>
            <w:tcBorders>
              <w:bottom w:val="single" w:sz="8" w:color="CFF0FC"/>
            </w:tcBorders>
            <w:gridSpan w:val="2"/>
            <w:shd w:val="clear" w:color="auto" w:fill="CFF0FC"/>
          </w:tcPr>
          <w:p>
            <w:pPr>
              <w:jc w:val="center"/>
              <w:ind w:left="410"/>
              <w:spacing w:after="0"/>
              <w:rPr>
                <w:sz w:val="20"/>
                <w:szCs w:val="20"/>
                <w:color w:val="auto"/>
              </w:rPr>
            </w:pPr>
            <w:r>
              <w:rPr>
                <w:rFonts w:ascii="Arial" w:cs="Arial" w:eastAsia="Arial" w:hAnsi="Arial"/>
                <w:sz w:val="18"/>
                <w:szCs w:val="18"/>
                <w:color w:val="auto"/>
                <w:w w:val="89"/>
              </w:rPr>
              <w:t>10</w:t>
            </w:r>
          </w:p>
        </w:tc>
      </w:tr>
      <w:tr>
        <w:trPr>
          <w:trHeight w:val="237"/>
        </w:trPr>
        <w:tc>
          <w:tcPr>
            <w:tcW w:w="4620" w:type="dxa"/>
            <w:vAlign w:val="bottom"/>
          </w:tcPr>
          <w:p>
            <w:pPr>
              <w:ind w:left="20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auto"/>
            </w:tcBorders>
          </w:tcPr>
          <w:p>
            <w:pPr>
              <w:jc w:val="right"/>
              <w:ind w:right="18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20,800</w:t>
            </w: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-805180</wp:posOffset>
            </wp:positionV>
            <wp:extent cx="3003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-187960</wp:posOffset>
            </wp:positionV>
            <wp:extent cx="300355"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0355" cy="188595"/>
                    </a:xfrm>
                    <a:prstGeom prst="rect">
                      <a:avLst/>
                    </a:prstGeom>
                    <a:noFill/>
                  </pic:spPr>
                </pic:pic>
              </a:graphicData>
            </a:graphic>
          </wp:anchor>
        </w:drawing>
      </w:r>
    </w:p>
    <w:p>
      <w:pPr>
        <w:spacing w:after="0" w:line="74"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customer relationships intangible asset represents the fair value of the underlying relationships with Luminex’s FCI customers. The tradename intangible asset represents the fair value of brand and name recognition associated with the marketing of the acquired Luminex FCI product lines. The FCI developed technology intangible asset represents the fair value of access to certain imaging and microcapillary technologies.</w:t>
      </w:r>
    </w:p>
    <w:p>
      <w:pPr>
        <w:spacing w:after="0" w:line="5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fair value of the customer relationships intangible asset was determined based on the excess earnings method; the fair values of the tradename and FCI developed technology intangible assets were determined based on the relief-from-royalty method. The key assumptions used in estimating the fair values of intangible assets included forecasted financial information; customer retention rates; royalty rate of 2.0% for the tradename intangible assets; royalty rate of 9.0% for the developed technology intangible assets; discount rate of 40.0% for all intangible assets; and certain other assumptions.</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acquired intangibles are being amortized over their estimated useful lives using the straight-line method of amortization.</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fair value assigned to the assets acquired are based on reasonable assumptions and estimates that market participants would use. Actual results may differ from these estimates and assumptions.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results of operations for the acquisition are included in the consolidated financial statements of the Company from the date of the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six months ended June 30, 2023 $8.2 million and $11.7 million of the Company's revenue were attributable to the acquired business unit.</w:t>
      </w:r>
    </w:p>
    <w:p>
      <w:pPr>
        <w:spacing w:after="0" w:line="12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following unaudited pro forma consolidated financial information reflects the results of operations of the Company for the three and six months ended June 30, 2023 and 2022 as if the acquisition had occurred as of January 1, 2022, after giving effect to certain purchase accounting and financing adjustments. These amounts are based on financial information of the acquired business unit and are not necessarily indicative of what the Company’s operating results would have been had the acquisition taken place on January 1, 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700" w:type="dxa"/>
            <w:vAlign w:val="bottom"/>
            <w:gridSpan w:val="3"/>
          </w:tcPr>
          <w:p>
            <w:pPr>
              <w:jc w:val="right"/>
              <w:ind w:right="910"/>
              <w:spacing w:after="0"/>
              <w:rPr>
                <w:sz w:val="20"/>
                <w:szCs w:val="20"/>
                <w:color w:val="auto"/>
              </w:rPr>
            </w:pPr>
            <w:r>
              <w:rPr>
                <w:rFonts w:ascii="Arial" w:cs="Arial" w:eastAsia="Arial" w:hAnsi="Arial"/>
                <w:sz w:val="18"/>
                <w:szCs w:val="18"/>
                <w:b w:val="1"/>
                <w:bCs w:val="1"/>
                <w:color w:val="auto"/>
              </w:rPr>
              <w:t>Three months ended June 30,</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80" w:type="dxa"/>
            <w:vAlign w:val="bottom"/>
            <w:gridSpan w:val="3"/>
          </w:tcPr>
          <w:p>
            <w:pPr>
              <w:jc w:val="right"/>
              <w:ind w:right="1030"/>
              <w:spacing w:after="0"/>
              <w:rPr>
                <w:sz w:val="20"/>
                <w:szCs w:val="20"/>
                <w:color w:val="auto"/>
              </w:rPr>
            </w:pPr>
            <w:r>
              <w:rPr>
                <w:rFonts w:ascii="Arial" w:cs="Arial" w:eastAsia="Arial" w:hAnsi="Arial"/>
                <w:sz w:val="18"/>
                <w:szCs w:val="18"/>
                <w:b w:val="1"/>
                <w:bCs w:val="1"/>
                <w:color w:val="auto"/>
              </w:rPr>
              <w:t>Six months ended June 30,</w:t>
            </w:r>
          </w:p>
        </w:tc>
      </w:tr>
      <w:tr>
        <w:trPr>
          <w:trHeight w:val="250"/>
        </w:trPr>
        <w:tc>
          <w:tcPr>
            <w:tcW w:w="27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440" w:type="dxa"/>
            <w:vAlign w:val="bottom"/>
          </w:tcPr>
          <w:p>
            <w:pPr>
              <w:spacing w:after="0"/>
              <w:rPr>
                <w:sz w:val="21"/>
                <w:szCs w:val="21"/>
                <w:color w:val="auto"/>
              </w:rPr>
            </w:pPr>
          </w:p>
        </w:tc>
        <w:tc>
          <w:tcPr>
            <w:tcW w:w="1600" w:type="dxa"/>
            <w:vAlign w:val="bottom"/>
          </w:tcPr>
          <w:p>
            <w:pPr>
              <w:jc w:val="right"/>
              <w:ind w:right="810"/>
              <w:spacing w:after="0"/>
              <w:rPr>
                <w:sz w:val="20"/>
                <w:szCs w:val="20"/>
                <w:color w:val="auto"/>
              </w:rPr>
            </w:pPr>
            <w:r>
              <w:rPr>
                <w:rFonts w:ascii="Arial" w:cs="Arial" w:eastAsia="Arial" w:hAnsi="Arial"/>
                <w:sz w:val="18"/>
                <w:szCs w:val="18"/>
                <w:b w:val="1"/>
                <w:bCs w:val="1"/>
                <w:color w:val="auto"/>
              </w:rPr>
              <w:t>2023</w:t>
            </w:r>
          </w:p>
        </w:tc>
        <w:tc>
          <w:tcPr>
            <w:tcW w:w="440" w:type="dxa"/>
            <w:vAlign w:val="bottom"/>
          </w:tcPr>
          <w:p>
            <w:pPr>
              <w:spacing w:after="0"/>
              <w:rPr>
                <w:sz w:val="21"/>
                <w:szCs w:val="21"/>
                <w:color w:val="auto"/>
              </w:rPr>
            </w:pPr>
          </w:p>
        </w:tc>
        <w:tc>
          <w:tcPr>
            <w:tcW w:w="1660" w:type="dxa"/>
            <w:vAlign w:val="bottom"/>
          </w:tcPr>
          <w:p>
            <w:pPr>
              <w:jc w:val="right"/>
              <w:ind w:right="8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810"/>
              <w:spacing w:after="0"/>
              <w:rPr>
                <w:sz w:val="20"/>
                <w:szCs w:val="20"/>
                <w:color w:val="auto"/>
              </w:rPr>
            </w:pPr>
            <w:r>
              <w:rPr>
                <w:rFonts w:ascii="Arial" w:cs="Arial" w:eastAsia="Arial" w:hAnsi="Arial"/>
                <w:sz w:val="18"/>
                <w:szCs w:val="18"/>
                <w:b w:val="1"/>
                <w:bCs w:val="1"/>
                <w:color w:val="auto"/>
              </w:rPr>
              <w:t>2023</w:t>
            </w:r>
          </w:p>
        </w:tc>
        <w:tc>
          <w:tcPr>
            <w:tcW w:w="460" w:type="dxa"/>
            <w:vAlign w:val="bottom"/>
          </w:tcPr>
          <w:p>
            <w:pPr>
              <w:spacing w:after="0"/>
              <w:rPr>
                <w:sz w:val="21"/>
                <w:szCs w:val="21"/>
                <w:color w:val="auto"/>
              </w:rPr>
            </w:pPr>
          </w:p>
        </w:tc>
        <w:tc>
          <w:tcPr>
            <w:tcW w:w="1620" w:type="dxa"/>
            <w:vAlign w:val="bottom"/>
          </w:tcPr>
          <w:p>
            <w:pPr>
              <w:jc w:val="right"/>
              <w:ind w:right="830"/>
              <w:spacing w:after="0"/>
              <w:rPr>
                <w:sz w:val="20"/>
                <w:szCs w:val="20"/>
                <w:color w:val="auto"/>
              </w:rPr>
            </w:pPr>
            <w:r>
              <w:rPr>
                <w:rFonts w:ascii="Arial" w:cs="Arial" w:eastAsia="Arial" w:hAnsi="Arial"/>
                <w:sz w:val="18"/>
                <w:szCs w:val="18"/>
                <w:b w:val="1"/>
                <w:bCs w:val="1"/>
                <w:color w:val="auto"/>
              </w:rPr>
              <w:t>2022</w:t>
            </w:r>
          </w:p>
        </w:tc>
      </w:tr>
      <w:tr>
        <w:trPr>
          <w:trHeight w:val="250"/>
        </w:trPr>
        <w:tc>
          <w:tcPr>
            <w:tcW w:w="2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49,693</w:t>
            </w:r>
          </w:p>
        </w:tc>
        <w:tc>
          <w:tcPr>
            <w:tcW w:w="4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50,489</w:t>
            </w:r>
          </w:p>
        </w:tc>
        <w:tc>
          <w:tcPr>
            <w:tcW w:w="6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91,358</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95,783</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4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(6,686 )</w:t>
            </w:r>
          </w:p>
        </w:tc>
        <w:tc>
          <w:tcPr>
            <w:tcW w:w="4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(2,270 )</w:t>
            </w:r>
          </w:p>
        </w:tc>
        <w:tc>
          <w:tcPr>
            <w:tcW w:w="2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(14,934 )</w:t>
            </w:r>
          </w:p>
        </w:tc>
        <w:tc>
          <w:tcPr>
            <w:tcW w:w="4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(7,443 )</w:t>
            </w:r>
          </w:p>
        </w:tc>
      </w:tr>
      <w:tr>
        <w:trPr>
          <w:trHeight w:val="277"/>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(4,456 ) $</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(1,364 )</w:t>
            </w:r>
          </w:p>
        </w:tc>
        <w:tc>
          <w:tcPr>
            <w:tcW w:w="22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(10,668 ) $</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(4,946 )</w:t>
            </w:r>
          </w:p>
        </w:tc>
      </w:tr>
      <w:tr>
        <w:trPr>
          <w:trHeight w:val="561"/>
        </w:trPr>
        <w:tc>
          <w:tcPr>
            <w:tcW w:w="2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jc w:val="right"/>
              <w:ind w:right="107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88"/>
        </w:trPr>
        <w:tc>
          <w:tcPr>
            <w:tcW w:w="27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-462280</wp:posOffset>
            </wp:positionV>
            <wp:extent cx="1460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-445135</wp:posOffset>
            </wp:positionV>
            <wp:extent cx="1460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17" w:name="page18"/>
    <w:bookmarkEnd w:id="17"/>
    <w:p>
      <w:pPr>
        <w:jc w:val="both"/>
        <w:ind w:firstLine="509"/>
        <w:spacing w:after="0" w:line="255" w:lineRule="auto"/>
        <w:rPr>
          <w:sz w:val="20"/>
          <w:szCs w:val="20"/>
          <w:color w:val="auto"/>
        </w:rPr>
      </w:pPr>
      <w:r>
        <w:rPr>
          <w:rFonts w:ascii="Arial" w:cs="Arial" w:eastAsia="Arial" w:hAnsi="Arial"/>
          <w:sz w:val="18"/>
          <w:szCs w:val="18"/>
          <w:color w:val="auto"/>
        </w:rPr>
        <w:t>Pro forma financial information is presented as if the operations of the acquired business unit had been included in the consolidated results of the Company since January 1, 2022 and gives effect to transactions that are directly attributable to the acquisition. Adjustments include additional depreciation and amortization expense related to the fair value of acquired property and equipment and intangible assets as if such assets were acquired on January 1, 2022. Transaction costs incurred by the Company related to the acquisition totaled approximately $0.0 million and $1.5 million for the three and six months ended June 30, 2023, respectively, which were expensed and recorded as a component of general and administrative expenses in the consolidated statement of operations.</w:t>
      </w:r>
    </w:p>
    <w:p>
      <w:pPr>
        <w:spacing w:after="0" w:line="80"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w:t>
      </w:r>
    </w:p>
    <w:p>
      <w:pPr>
        <w:spacing w:after="0" w:line="121" w:lineRule="exact"/>
        <w:rPr>
          <w:rFonts w:ascii="Arial" w:cs="Arial" w:eastAsia="Arial" w:hAnsi="Arial"/>
          <w:sz w:val="18"/>
          <w:szCs w:val="18"/>
          <w:b w:val="1"/>
          <w:bCs w:val="1"/>
          <w:color w:val="auto"/>
        </w:rPr>
      </w:pPr>
    </w:p>
    <w:p>
      <w:pPr>
        <w:ind w:left="520" w:right="4400"/>
        <w:spacing w:after="0" w:line="443" w:lineRule="auto"/>
        <w:rPr>
          <w:rFonts w:ascii="Arial" w:cs="Arial" w:eastAsia="Arial" w:hAnsi="Arial"/>
          <w:sz w:val="18"/>
          <w:szCs w:val="18"/>
          <w:b w:val="1"/>
          <w:bCs w:val="1"/>
          <w:color w:val="auto"/>
        </w:rPr>
      </w:pPr>
      <w:r>
        <w:rPr>
          <w:rFonts w:ascii="Arial" w:cs="Arial" w:eastAsia="Arial" w:hAnsi="Arial"/>
          <w:sz w:val="16"/>
          <w:szCs w:val="16"/>
          <w:color w:val="auto"/>
        </w:rPr>
        <w:t>The addition of goodwill for the six months ended June 30, 2023 is discussed in Note 9. The following table shows the components of intangible assets, net (in thousands):</w:t>
      </w:r>
    </w:p>
    <w:tbl>
      <w:tblPr>
        <w:tblLayout w:type="fixed"/>
        <w:tblInd w:w="0" w:type="dxa"/>
        <w:tblCellMar>
          <w:top w:w="0" w:type="dxa"/>
          <w:left w:w="0" w:type="dxa"/>
          <w:bottom w:w="0" w:type="dxa"/>
          <w:right w:w="0" w:type="dxa"/>
        </w:tblCellMar>
      </w:tblPr>
      <w:tr>
        <w:trPr>
          <w:trHeight w:val="149"/>
        </w:trPr>
        <w:tc>
          <w:tcPr>
            <w:tcW w:w="76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right"/>
              <w:ind w:right="413"/>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7620" w:type="dxa"/>
            <w:vAlign w:val="bottom"/>
          </w:tcPr>
          <w:p>
            <w:pPr>
              <w:spacing w:after="0"/>
              <w:rPr>
                <w:sz w:val="16"/>
                <w:szCs w:val="16"/>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2022</w:t>
            </w:r>
          </w:p>
        </w:tc>
      </w:tr>
      <w:tr>
        <w:trPr>
          <w:trHeight w:val="237"/>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Patents and trademarks</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594</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534</w:t>
            </w: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Tradename</w:t>
            </w:r>
          </w:p>
        </w:tc>
        <w:tc>
          <w:tcPr>
            <w:tcW w:w="106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3,500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700</w:t>
            </w: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FCI developed technology</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9,500</w:t>
            </w:r>
          </w:p>
        </w:tc>
        <w:tc>
          <w:tcPr>
            <w:tcW w:w="200" w:type="dxa"/>
            <w:vAlign w:val="bottom"/>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IP license</w:t>
            </w:r>
          </w:p>
        </w:tc>
        <w:tc>
          <w:tcPr>
            <w:tcW w:w="106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476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476</w:t>
            </w: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7"/>
              </w:rPr>
              <w:t>10,700</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2,200</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Reagent license</w:t>
            </w:r>
          </w:p>
        </w:tc>
        <w:tc>
          <w:tcPr>
            <w:tcW w:w="10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1,800</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1,800</w:t>
            </w:r>
          </w:p>
        </w:tc>
      </w:tr>
      <w:tr>
        <w:trPr>
          <w:trHeight w:val="237"/>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intangible assets</w:t>
            </w:r>
          </w:p>
        </w:tc>
        <w:tc>
          <w:tcPr>
            <w:tcW w:w="106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7"/>
              </w:rPr>
              <w:t>26,570</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5,710</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10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(2,887 )</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(1,379 )</w:t>
            </w:r>
          </w:p>
        </w:tc>
      </w:tr>
      <w:tr>
        <w:trPr>
          <w:trHeight w:val="276"/>
        </w:trPr>
        <w:tc>
          <w:tcPr>
            <w:tcW w:w="7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Intangible assets, net</w:t>
            </w: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23,683</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4,331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-25400</wp:posOffset>
            </wp:positionV>
            <wp:extent cx="1289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289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74"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Total amortization expense for the three and six months ended June 30, 2023 was approximately $1.0 million and $1.5 million, respectively. Total amortization expense for the three and six months ended June 30, 2022 was approximately $0.5 million and $0.9 million, respectively.</w:t>
      </w:r>
    </w:p>
    <w:p>
      <w:pPr>
        <w:spacing w:after="0" w:line="34"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Legal settlement liability</w:t>
      </w:r>
    </w:p>
    <w:p>
      <w:pPr>
        <w:spacing w:after="0" w:line="12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On February 13, 2018, Becton, Dickinson, and Company (“BD”) filed a lawsuit against the Company alleging trade secret misappropriation and copyright infringement. On October 6, 2020, the Company entered into a Settlement, License and Equity Issuance Agreement with BD pursuant to which the Company and BD agreed to a mutual release of all claims against each other as of the date thereof (the “BD Agreement”). Additionally, BD granted Cytek a non-exclusive, irrevocable, perpetual, worldwide and non-transferrable license to certain BD patents and covenanted that it would not enforce or permit or encourage the enforcement of BD patents against Cytek or its affiliates in connection with the development, manufacture, use, importation, offer for sale or sale of its then-current instruments. In exchange, the Company agreed that Cytek and its affiliates would not dispute or challenge in a legal proceeding the validity, enforceability or scope of the applicable BD patent claims and agreed to make certain payments to BD, including (i) a one-time upfront payment of $2.0 million, (ii) a low single digit royalty payment for ten years, based on net sales of certain of its products, (iii) $6.0 million milestone payment upon the occurrence of a certain sales threshold, and (iv) a specified payment upon the closing of a change of control transaction, if any. The Company also issued 2,087,545 shares of the Company’s common stock to BD during the year ended December 31, 2020 in connection with the BD settlement. The Company achieved the sales milestone and made the milestone payment in the quarter ended December 31, 2021.</w:t>
      </w:r>
    </w:p>
    <w:p>
      <w:pPr>
        <w:spacing w:after="0" w:line="6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Company separated the settlement agreement into two elements, the litigation settlement and future licensing rights. The Company could not readily determine the fair value of the litigation settlement of prior infringement claims between the Company and BD. Therefore, the Company applied the residual method and allocated the difference between the total present value consideration payable under the BD Agreement and the estimated fair value of the future licensing rights to the litigation settlement element. The Company determined the estimated fair value of the future licensing rights based on the relief from royalty method. The significant assumptions used were the market royalty rate estimated as a royalty rate that a market participant would pay to license the BD intellectual property, forecasted sales subject to the market royalty rate and the discount rate.</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patents in question were determined to have an average useful life of 18 months. Accordingly, beginning the second quarter</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of 2022, the remaining contractual payments will be classified as operating expenses as they are considered to be represented of deferred litigation settlement. The Company did not record any product cost of sales related to the royalty expense for the three and six months ended June 30, 2023, and recorded $0.0 million and $0.8 million of product cost of sales related to royalty expense for the three and six months ended June 30, 2022, respectively. The Company recorded $0.5 million and $0.8 million of interest expense for the three and six months ended June 30, 2023, respectively, and $0.5 million and $1.0 million of interest expense for the three and six months ended June 30, 2022, respectively, to accrete the present value discount of the payment streams over the payment period of ten years from the settlement date using the effective interest rate method. The Company made a one-time upfront payment and issued 2,087,545 shares of the Company’s common stock to BD during the year ended December 31, 2020. The Company recorded legal settlement liability on the consolidated balance sheets of $18.4 million and $17.8 million as of June 30, 2023 and December 31, 2022, respectively, and will record licensing expense in future periods.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The following table shows the components of the legal settlement liability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17"/>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280" w:type="dxa"/>
            <w:vAlign w:val="bottom"/>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2022</w:t>
            </w:r>
          </w:p>
        </w:tc>
      </w:tr>
      <w:tr>
        <w:trPr>
          <w:trHeight w:val="237"/>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w:t>
            </w:r>
          </w:p>
        </w:tc>
        <w:tc>
          <w:tcPr>
            <w:tcW w:w="10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r>
      <w:tr>
        <w:trPr>
          <w:trHeight w:val="237"/>
        </w:trPr>
        <w:tc>
          <w:tcPr>
            <w:tcW w:w="7280" w:type="dxa"/>
            <w:vAlign w:val="bottom"/>
          </w:tcPr>
          <w:p>
            <w:pPr>
              <w:ind w:left="200"/>
              <w:spacing w:after="0"/>
              <w:rPr>
                <w:sz w:val="20"/>
                <w:szCs w:val="20"/>
                <w:color w:val="auto"/>
              </w:rPr>
            </w:pPr>
            <w:r>
              <w:rPr>
                <w:rFonts w:ascii="Arial" w:cs="Arial" w:eastAsia="Arial" w:hAnsi="Arial"/>
                <w:sz w:val="18"/>
                <w:szCs w:val="18"/>
                <w:color w:val="auto"/>
              </w:rPr>
              <w:t>Legal settlement liability</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1,918</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7"/>
              <w:spacing w:after="0"/>
              <w:rPr>
                <w:sz w:val="20"/>
                <w:szCs w:val="20"/>
                <w:color w:val="auto"/>
              </w:rPr>
            </w:pPr>
            <w:r>
              <w:rPr>
                <w:rFonts w:ascii="Arial" w:cs="Arial" w:eastAsia="Arial" w:hAnsi="Arial"/>
                <w:sz w:val="18"/>
                <w:szCs w:val="18"/>
                <w:color w:val="auto"/>
              </w:rPr>
              <w:t>2,163</w:t>
            </w:r>
          </w:p>
        </w:tc>
      </w:tr>
      <w:tr>
        <w:trPr>
          <w:trHeight w:val="249"/>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w:t>
            </w:r>
          </w:p>
        </w:tc>
        <w:tc>
          <w:tcPr>
            <w:tcW w:w="10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r>
      <w:tr>
        <w:trPr>
          <w:trHeight w:val="243"/>
        </w:trPr>
        <w:tc>
          <w:tcPr>
            <w:tcW w:w="7280" w:type="dxa"/>
            <w:vAlign w:val="bottom"/>
          </w:tcPr>
          <w:p>
            <w:pPr>
              <w:ind w:left="200"/>
              <w:spacing w:after="0"/>
              <w:rPr>
                <w:sz w:val="20"/>
                <w:szCs w:val="20"/>
                <w:color w:val="auto"/>
              </w:rPr>
            </w:pPr>
            <w:r>
              <w:rPr>
                <w:rFonts w:ascii="Arial" w:cs="Arial" w:eastAsia="Arial" w:hAnsi="Arial"/>
                <w:sz w:val="18"/>
                <w:szCs w:val="18"/>
                <w:color w:val="auto"/>
              </w:rPr>
              <w:t>Legal settlement liability</w:t>
            </w:r>
          </w:p>
        </w:tc>
        <w:tc>
          <w:tcPr>
            <w:tcW w:w="10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16,462</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15,596</w:t>
            </w:r>
          </w:p>
        </w:tc>
      </w:tr>
      <w:tr>
        <w:trPr>
          <w:trHeight w:val="276"/>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legal settlement liability</w:t>
            </w: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18,380</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8"/>
                <w:szCs w:val="18"/>
                <w:color w:val="auto"/>
              </w:rPr>
              <w:t>17,759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1117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1117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313"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7"/>
          <w:szCs w:val="17"/>
          <w:color w:val="auto"/>
        </w:rPr>
        <w:t>On November 7, 2022, Cytek (Wuxi) Biosciences Co., Ltd, the Company’s China subsidiary (“Cytek Wuxi”), entered a fixed asset loan agreement with Bank of Communications, China. The loan is denominated in Chinese renminbi and collateralized by Cytek Wuxi's cash deposit to the bank. The deposit was in a separate account with Cytek Wuxi's name, but the use of such account is restricted. The Company presented the deposit as restricted cash on the audited consolidated balance sheets as of December 31, 2022 and unaudited interim consolidated balance sheets as of March 31, 2023. In April 2023, the restricted cash account was released. The total loan amount is $2.9 million and the loan term is five years. The current portion of the loan of $551,000 is included in other current liabilities. The fixed interest rate on the loan was 4.5% as of June 30, 2023.</w:t>
      </w:r>
    </w:p>
    <w:p>
      <w:pPr>
        <w:spacing w:after="0" w:line="66"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ind w:left="20" w:right="20" w:firstLine="509"/>
        <w:spacing w:after="0" w:line="301" w:lineRule="auto"/>
        <w:rPr>
          <w:sz w:val="20"/>
          <w:szCs w:val="20"/>
          <w:color w:val="auto"/>
        </w:rPr>
      </w:pPr>
      <w:r>
        <w:rPr>
          <w:rFonts w:ascii="Arial" w:cs="Arial" w:eastAsia="Arial" w:hAnsi="Arial"/>
          <w:sz w:val="16"/>
          <w:szCs w:val="16"/>
          <w:color w:val="auto"/>
        </w:rPr>
        <w:t>As of June 30, 2023, the Company has authorized 1,000,000,000 shares of common stock at $0.001 par value. Holders of common stock are entitled to one vote per share, and to receive dividends, only and if declared by the Board of Directors and, upon liquidation or dissolution, are entitled to receive all assets available for distribution to stockholders, subordinate to the rights, preferences and privileges of any outstanding Preferred Stock with respect to dividends and in connection with a liquidation, winding up and dissolution of the Company. The holders have no preemptive or other subscription rights.</w:t>
      </w:r>
    </w:p>
    <w:p>
      <w:pPr>
        <w:spacing w:after="0" w:line="49" w:lineRule="exact"/>
        <w:rPr>
          <w:sz w:val="20"/>
          <w:szCs w:val="20"/>
          <w:color w:val="auto"/>
        </w:rPr>
      </w:pPr>
    </w:p>
    <w:p>
      <w:pPr>
        <w:jc w:val="both"/>
        <w:ind w:left="20" w:right="20" w:firstLine="509"/>
        <w:spacing w:after="0" w:line="308" w:lineRule="auto"/>
        <w:rPr>
          <w:sz w:val="20"/>
          <w:szCs w:val="20"/>
          <w:color w:val="auto"/>
        </w:rPr>
      </w:pPr>
      <w:r>
        <w:rPr>
          <w:rFonts w:ascii="Arial" w:cs="Arial" w:eastAsia="Arial" w:hAnsi="Arial"/>
          <w:sz w:val="17"/>
          <w:szCs w:val="17"/>
          <w:color w:val="auto"/>
        </w:rPr>
        <w:t>On July 16, 2021, the Board and the Company’s stockholders approved an amendment and restatement of the Company’s certificate of incorporation to effect the Stock Split, which became effective upon filing with the Secretary of State of the State of Delaware on July 16, 2021.</w:t>
      </w:r>
    </w:p>
    <w:p>
      <w:pPr>
        <w:spacing w:after="0" w:line="38" w:lineRule="exact"/>
        <w:rPr>
          <w:sz w:val="20"/>
          <w:szCs w:val="20"/>
          <w:color w:val="auto"/>
        </w:rPr>
      </w:pPr>
    </w:p>
    <w:p>
      <w:pPr>
        <w:jc w:val="both"/>
        <w:ind w:left="20" w:right="20" w:firstLine="509"/>
        <w:spacing w:after="0" w:line="263" w:lineRule="auto"/>
        <w:rPr>
          <w:sz w:val="20"/>
          <w:szCs w:val="20"/>
          <w:color w:val="auto"/>
        </w:rPr>
      </w:pPr>
      <w:r>
        <w:rPr>
          <w:rFonts w:ascii="Arial" w:cs="Arial" w:eastAsia="Arial" w:hAnsi="Arial"/>
          <w:sz w:val="18"/>
          <w:szCs w:val="18"/>
          <w:color w:val="auto"/>
        </w:rPr>
        <w:t>On July 16, 2021, the Board and the Company’s stockholders approved an amendment and restatement of the Company’s certificate of incorporation, which became effective immediately following the closing of the IPO on July 27, 2021 and filing with the Secretary of State of the State of Delaware.</w:t>
      </w:r>
    </w:p>
    <w:p>
      <w:pPr>
        <w:spacing w:after="0" w:line="7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On August 26, 2022, the Company filed with the SEC an automatic shelf registration statement on Form S-3ASR (File No. 333-267118) (the “Registration Statement”). In connection with the filing of the Registration Statement, the Company also entered into a sales agreement (the “2022 Sales Agreement”) with Piper Sandler &amp; Co. (“Piper”) as sales agent to sell from time to time up to $150 million of the Company’s common stock through an “at-the-market” offering program as defined in Rule 415 promulgated under the Securities Act of 1933, as amended (the “Securities Act”).</w:t>
      </w:r>
    </w:p>
    <w:p>
      <w:pPr>
        <w:spacing w:after="0" w:line="6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June 30, 2023, the Company has not made any sales of common stock pursuant to the 2022 Sales Agreement.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May 17, 2023, the Board approved a program for the repurchase by the Company of up to an aggregate of $50 million of its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outstanding common stock. During the three months ended June 30, 2023, the Company repurchased 125,782 shares of its outstanding common stock for a total cost of approximately $1.0 million at an average price per share of $7.78. The repurchase program was used to return capital to shareholders and to minimize the dilutive impact of stock options and other share-based awards. The repurchased shares of common stock were retired.</w:t>
      </w:r>
    </w:p>
    <w:p>
      <w:pPr>
        <w:spacing w:after="0" w:line="43"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June 30, 2023, the Company had three stock-based compensation plans (the “Plans”) which are described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Equity Incentive Plan</w:t>
      </w:r>
    </w:p>
    <w:p>
      <w:pPr>
        <w:spacing w:after="0" w:line="117" w:lineRule="exact"/>
        <w:rPr>
          <w:sz w:val="20"/>
          <w:szCs w:val="20"/>
          <w:color w:val="auto"/>
        </w:rPr>
      </w:pPr>
    </w:p>
    <w:p>
      <w:pPr>
        <w:jc w:val="both"/>
        <w:ind w:left="20" w:right="20" w:firstLine="509"/>
        <w:spacing w:after="0" w:line="259" w:lineRule="auto"/>
        <w:rPr>
          <w:sz w:val="20"/>
          <w:szCs w:val="20"/>
          <w:color w:val="auto"/>
        </w:rPr>
      </w:pPr>
      <w:r>
        <w:rPr>
          <w:rFonts w:ascii="Arial" w:cs="Arial" w:eastAsia="Arial" w:hAnsi="Arial"/>
          <w:sz w:val="18"/>
          <w:szCs w:val="18"/>
          <w:color w:val="auto"/>
        </w:rPr>
        <w:t>In March 2015, the Board approved the 2015 Equity Incentive Plan (“2015 Plan”), which provided for the granting of stock options to employees, directors and consultants of the Company. As of the effective date of the 2021 Plan described below, the 2015 Plan was terminated and no further equity awards may be granted pursuant to the 2015 Plan. Outstanding stock options granted under the 2015 Plan will continue to be governed by the provisions of the 2015 Plan until expiration or exercise, whichever is earlier.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2021 Equity Incentive Plan</w:t>
      </w:r>
    </w:p>
    <w:p>
      <w:pPr>
        <w:spacing w:after="0" w:line="117" w:lineRule="exact"/>
        <w:rPr>
          <w:sz w:val="20"/>
          <w:szCs w:val="20"/>
          <w:color w:val="auto"/>
        </w:rPr>
      </w:pPr>
    </w:p>
    <w:p>
      <w:pPr>
        <w:jc w:val="both"/>
        <w:ind w:left="20" w:right="20" w:firstLine="509"/>
        <w:spacing w:after="0" w:line="290" w:lineRule="auto"/>
        <w:rPr>
          <w:sz w:val="20"/>
          <w:szCs w:val="20"/>
          <w:color w:val="auto"/>
        </w:rPr>
      </w:pPr>
      <w:r>
        <w:rPr>
          <w:rFonts w:ascii="Arial" w:cs="Arial" w:eastAsia="Arial" w:hAnsi="Arial"/>
          <w:sz w:val="16"/>
          <w:szCs w:val="16"/>
          <w:color w:val="auto"/>
        </w:rPr>
        <w:t>In July 2021, the Board approved the 2021 Equity Incentive Plan (the “2021 Plan”), which provides for the granting of stock options, stock appreciation rights, restricted stock awards, restricted stock unit ("RSU") awards, performance awards, and other awards to employees, directors and consultants of the Company. The 2021 Plan became effective on July 22, 2021 in connection with the IPO. Upon the 2021 Plan’s effective date, there were 18,000,000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2021 Plan will increase automatically by an amount equal to 4% of the number of shares of the Company’s common stock outstanding on the preceding December 31, unless the Company’s Board of Directors elects to authorize a lesser number of shares prior to the applicable January 1. As of June 30, 2023, the total number of shares of common stock available for issuance under the 2021 Plan was 20,952,155 shares.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Employee Stock Purchase Plan</w:t>
      </w:r>
    </w:p>
    <w:p>
      <w:pPr>
        <w:spacing w:after="0" w:line="117" w:lineRule="exact"/>
        <w:rPr>
          <w:sz w:val="20"/>
          <w:szCs w:val="20"/>
          <w:color w:val="auto"/>
        </w:rPr>
      </w:pPr>
    </w:p>
    <w:p>
      <w:pPr>
        <w:jc w:val="both"/>
        <w:ind w:left="20" w:right="20" w:firstLine="509"/>
        <w:spacing w:after="0" w:line="272" w:lineRule="auto"/>
        <w:rPr>
          <w:sz w:val="20"/>
          <w:szCs w:val="20"/>
          <w:color w:val="auto"/>
        </w:rPr>
      </w:pPr>
      <w:r>
        <w:rPr>
          <w:rFonts w:ascii="Arial" w:cs="Arial" w:eastAsia="Arial" w:hAnsi="Arial"/>
          <w:sz w:val="17"/>
          <w:szCs w:val="17"/>
          <w:color w:val="auto"/>
        </w:rPr>
        <w:t>In July 2021, the Board approved the 2021 Employee Stock Purchase Plan (the “ESPP”). The ESPP became effective on July 22, 2021 in connection with the IPO. Upon the ESPP’s effective date, there were 2,000,000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ESPP will increase automatically by an amount equal to the lesser of (1) 1% of the number of shares of the Company’s common stock outstanding on the preceding December 31, (2) 5,000,000 shares and (3) a number of shares determined by the Board. During the six months ended June 30, 2023, 145,569 shares were issued pursuant to purchases under the ESPP. As of June 30, 2023, the total number of shares of common stock available for issuance under the ESPP was 4,352,888 shares.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valuation assumptions</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Company estimates the fair value of each stock option grant on the date of grant using the Black-Scholes option pricing model. The model assumptions include expected volatility, expected term, dividend yield, and the risk-free interest rate. The expected volatility was based on the volatility of a group of similar entities. The Company derived expected term by using the “simplified” method (the expected term is determined as the average of the time-to-vesting and contractual life of the option), as the Company has limited historical information to develop expectations about future exercise patterns and post vesting employment termination behavior. The Company based the risk-free rate on U.S. Treasury zero-coupon issues with remaining terms similar to the expected term of the option. The Company has never paid any dividends and does not anticipate paying dividends in the foreseeable future, and therefore used an expected dividend yield of zero in the valuation model.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stock option activity during the periods indicated (in thousands except share and per share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195"/>
              <w:spacing w:after="0"/>
              <w:rPr>
                <w:sz w:val="20"/>
                <w:szCs w:val="20"/>
                <w:color w:val="auto"/>
              </w:rPr>
            </w:pPr>
            <w:r>
              <w:rPr>
                <w:rFonts w:ascii="Arial" w:cs="Arial" w:eastAsia="Arial" w:hAnsi="Arial"/>
                <w:sz w:val="14"/>
                <w:szCs w:val="14"/>
                <w:b w:val="1"/>
                <w:bCs w:val="1"/>
                <w:color w:val="auto"/>
                <w:w w:val="92"/>
              </w:rPr>
              <w:t>Weighted-average</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5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7"/>
              </w:rPr>
              <w:t>Number of options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89"/>
              </w:rPr>
              <w:t>Weighted-average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5"/>
              </w:rPr>
              <w:t>remaining</w:t>
            </w:r>
          </w:p>
        </w:tc>
        <w:tc>
          <w:tcPr>
            <w:tcW w:w="120" w:type="dxa"/>
            <w:vAlign w:val="bottom"/>
          </w:tcPr>
          <w:p>
            <w:pPr>
              <w:spacing w:after="0"/>
              <w:rPr>
                <w:sz w:val="12"/>
                <w:szCs w:val="12"/>
                <w:color w:val="auto"/>
              </w:rPr>
            </w:pPr>
          </w:p>
        </w:tc>
        <w:tc>
          <w:tcPr>
            <w:tcW w:w="152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w w:val="97"/>
              </w:rPr>
              <w:t>Aggregate intrinsic</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95"/>
              <w:spacing w:after="0" w:line="149" w:lineRule="exact"/>
              <w:rPr>
                <w:sz w:val="20"/>
                <w:szCs w:val="20"/>
                <w:color w:val="auto"/>
              </w:rPr>
            </w:pPr>
            <w:r>
              <w:rPr>
                <w:rFonts w:ascii="Arial" w:cs="Arial" w:eastAsia="Arial" w:hAnsi="Arial"/>
                <w:sz w:val="14"/>
                <w:szCs w:val="14"/>
                <w:b w:val="1"/>
                <w:bCs w:val="1"/>
                <w:color w:val="auto"/>
                <w:w w:val="94"/>
              </w:rPr>
              <w:t>contractual term (in</w:t>
            </w:r>
          </w:p>
        </w:tc>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40" w:type="dxa"/>
            <w:vAlign w:val="bottom"/>
          </w:tcPr>
          <w:p>
            <w:pPr>
              <w:spacing w:after="0"/>
              <w:rPr>
                <w:sz w:val="16"/>
                <w:szCs w:val="16"/>
                <w:color w:val="auto"/>
              </w:rPr>
            </w:pPr>
          </w:p>
        </w:tc>
        <w:tc>
          <w:tcPr>
            <w:tcW w:w="15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7"/>
              </w:rPr>
              <w:t>years)</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7"/>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2022</w:t>
            </w:r>
          </w:p>
        </w:tc>
        <w:tc>
          <w:tcPr>
            <w:tcW w:w="15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7,578,635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37,200</w:t>
            </w:r>
          </w:p>
        </w:tc>
        <w:tc>
          <w:tcPr>
            <w:tcW w:w="0" w:type="dxa"/>
            <w:vAlign w:val="bottom"/>
          </w:tcPr>
          <w:p>
            <w:pPr>
              <w:spacing w:after="0"/>
              <w:rPr>
                <w:sz w:val="1"/>
                <w:szCs w:val="1"/>
                <w:color w:val="auto"/>
              </w:rPr>
            </w:pPr>
          </w:p>
        </w:tc>
      </w:tr>
      <w:tr>
        <w:trPr>
          <w:trHeight w:val="237"/>
        </w:trPr>
        <w:tc>
          <w:tcPr>
            <w:tcW w:w="484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ind w:right="54"/>
              <w:spacing w:after="0"/>
              <w:rPr>
                <w:sz w:val="20"/>
                <w:szCs w:val="20"/>
                <w:color w:val="auto"/>
              </w:rPr>
            </w:pPr>
            <w:r>
              <w:rPr>
                <w:rFonts w:ascii="Arial" w:cs="Arial" w:eastAsia="Arial" w:hAnsi="Arial"/>
                <w:sz w:val="18"/>
                <w:szCs w:val="18"/>
                <w:color w:val="auto"/>
              </w:rPr>
              <w:t>1,234,949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exercised</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(721,229 )</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0.95</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4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(165,347 )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Options expired</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(38,369 )</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14.17</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Balance as of June 30, 2023</w:t>
            </w:r>
          </w:p>
        </w:tc>
        <w:tc>
          <w:tcPr>
            <w:tcW w:w="15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7,888,639</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24,104</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exercisable as of June 30, 2023</w:t>
            </w:r>
          </w:p>
        </w:tc>
        <w:tc>
          <w:tcPr>
            <w:tcW w:w="150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4,383,090</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20,361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-367665</wp:posOffset>
            </wp:positionV>
            <wp:extent cx="85725"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-367665</wp:posOffset>
            </wp:positionV>
            <wp:extent cx="76835"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-367665</wp:posOffset>
            </wp:positionV>
            <wp:extent cx="85725"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-25400</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-8255</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85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857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weighted-average grant date fair value of options granted during the three months ended June 30, 2023 and 2022 was $5.28 and $6.51 per share, respectively. The weighted-average grant date fair value of options granted during the six months ended June 30, 2023 and 2022 was $6.72 and $8.74 per share, respectively.</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There was $28.5 million and $33.9 million of unrecognized stock-based compensation expense related to unvested stock options as of June 30, 2023 and 2022, respectively. The unrecognized stock-based compensation expense is estimated to be recognized over a period of 2.29 years and 2.66 years as of June 30, 2023 and 2022, respectively.</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currently uses authorized and unissued shares to satisfy option exercises.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aggregate intrinsic value is calculated as the difference between the exercise price and the estimated fair value of the Company’s common stock as of June 30,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 Awards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RSU awards activity during the periods indicated: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jc w:val="right"/>
              <w:ind w:right="153"/>
              <w:spacing w:after="0"/>
              <w:rPr>
                <w:sz w:val="20"/>
                <w:szCs w:val="20"/>
                <w:color w:val="auto"/>
              </w:rPr>
            </w:pPr>
            <w:r>
              <w:rPr>
                <w:rFonts w:ascii="Arial" w:cs="Arial" w:eastAsia="Arial" w:hAnsi="Arial"/>
                <w:sz w:val="14"/>
                <w:szCs w:val="14"/>
                <w:b w:val="1"/>
                <w:bCs w:val="1"/>
                <w:color w:val="auto"/>
                <w:w w:val="99"/>
              </w:rPr>
              <w:t>Weighted-average</w:t>
            </w:r>
          </w:p>
        </w:tc>
        <w:tc>
          <w:tcPr>
            <w:tcW w:w="180" w:type="dxa"/>
            <w:vAlign w:val="bottom"/>
          </w:tcPr>
          <w:p>
            <w:pPr>
              <w:spacing w:after="0"/>
              <w:rPr>
                <w:sz w:val="14"/>
                <w:szCs w:val="14"/>
                <w:color w:val="auto"/>
              </w:rPr>
            </w:pPr>
          </w:p>
        </w:tc>
        <w:tc>
          <w:tcPr>
            <w:tcW w:w="144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2"/>
              </w:rPr>
              <w:t>Weighted-average</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299"/>
              <w:spacing w:after="0" w:line="149" w:lineRule="exact"/>
              <w:rPr>
                <w:sz w:val="20"/>
                <w:szCs w:val="20"/>
                <w:color w:val="auto"/>
              </w:rPr>
            </w:pPr>
            <w:r>
              <w:rPr>
                <w:rFonts w:ascii="Arial" w:cs="Arial" w:eastAsia="Arial" w:hAnsi="Arial"/>
                <w:sz w:val="14"/>
                <w:szCs w:val="14"/>
                <w:b w:val="1"/>
                <w:bCs w:val="1"/>
                <w:color w:val="auto"/>
                <w:w w:val="95"/>
              </w:rPr>
              <w:t>remaining</w:t>
            </w:r>
          </w:p>
        </w:tc>
        <w:tc>
          <w:tcPr>
            <w:tcW w:w="180" w:type="dxa"/>
            <w:vAlign w:val="bottom"/>
          </w:tcPr>
          <w:p>
            <w:pPr>
              <w:spacing w:after="0"/>
              <w:rPr>
                <w:sz w:val="12"/>
                <w:szCs w:val="12"/>
                <w:color w:val="auto"/>
              </w:rPr>
            </w:pPr>
          </w:p>
        </w:tc>
        <w:tc>
          <w:tcPr>
            <w:tcW w:w="146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5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4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grant date fair value</w:t>
            </w:r>
          </w:p>
        </w:tc>
        <w:tc>
          <w:tcPr>
            <w:tcW w:w="180" w:type="dxa"/>
            <w:vAlign w:val="bottom"/>
          </w:tcPr>
          <w:p>
            <w:pPr>
              <w:spacing w:after="0"/>
              <w:rPr>
                <w:sz w:val="12"/>
                <w:szCs w:val="12"/>
                <w:color w:val="auto"/>
              </w:rPr>
            </w:pPr>
          </w:p>
        </w:tc>
        <w:tc>
          <w:tcPr>
            <w:tcW w:w="1440" w:type="dxa"/>
            <w:vAlign w:val="bottom"/>
            <w:gridSpan w:val="2"/>
          </w:tcPr>
          <w:p>
            <w:pPr>
              <w:jc w:val="center"/>
              <w:ind w:right="79"/>
              <w:spacing w:after="0" w:line="149" w:lineRule="exact"/>
              <w:rPr>
                <w:sz w:val="20"/>
                <w:szCs w:val="20"/>
                <w:color w:val="auto"/>
              </w:rPr>
            </w:pPr>
            <w:r>
              <w:rPr>
                <w:rFonts w:ascii="Arial" w:cs="Arial" w:eastAsia="Arial" w:hAnsi="Arial"/>
                <w:sz w:val="14"/>
                <w:szCs w:val="14"/>
                <w:b w:val="1"/>
                <w:bCs w:val="1"/>
                <w:color w:val="auto"/>
                <w:w w:val="94"/>
              </w:rPr>
              <w:t>contractual term (in</w:t>
            </w: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87"/>
              </w:rPr>
              <w:t>years)</w:t>
            </w:r>
          </w:p>
        </w:tc>
        <w:tc>
          <w:tcPr>
            <w:tcW w:w="180" w:type="dxa"/>
            <w:vAlign w:val="bottom"/>
          </w:tcPr>
          <w:p>
            <w:pPr>
              <w:spacing w:after="0"/>
              <w:rPr>
                <w:sz w:val="16"/>
                <w:szCs w:val="16"/>
                <w:color w:val="auto"/>
              </w:rPr>
            </w:pPr>
          </w:p>
        </w:tc>
        <w:tc>
          <w:tcPr>
            <w:tcW w:w="14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w w:val="92"/>
              </w:rPr>
              <w:t>value (in thousands)</w:t>
            </w:r>
          </w:p>
        </w:tc>
        <w:tc>
          <w:tcPr>
            <w:tcW w:w="0" w:type="dxa"/>
            <w:vAlign w:val="bottom"/>
          </w:tcPr>
          <w:p>
            <w:pPr>
              <w:spacing w:after="0"/>
              <w:rPr>
                <w:sz w:val="1"/>
                <w:szCs w:val="1"/>
                <w:color w:val="auto"/>
              </w:rPr>
            </w:pPr>
          </w:p>
        </w:tc>
      </w:tr>
      <w:tr>
        <w:trPr>
          <w:trHeight w:val="237"/>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balance at December 31, 2022</w:t>
            </w:r>
          </w:p>
        </w:tc>
        <w:tc>
          <w:tcPr>
            <w:tcW w:w="15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1,169,508</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13.36</w:t>
            </w:r>
          </w:p>
        </w:tc>
        <w:tc>
          <w:tcPr>
            <w:tcW w:w="180" w:type="dxa"/>
            <w:vAlign w:val="bottom"/>
            <w:shd w:val="clear" w:color="auto" w:fill="CCECFF"/>
          </w:tcPr>
          <w:p>
            <w:pPr>
              <w:spacing w:after="0"/>
              <w:rPr>
                <w:sz w:val="20"/>
                <w:szCs w:val="20"/>
                <w:color w:val="auto"/>
              </w:rPr>
            </w:pPr>
          </w:p>
        </w:tc>
        <w:tc>
          <w:tcPr>
            <w:tcW w:w="220" w:type="dxa"/>
            <w:vAlign w:val="bottom"/>
            <w:shd w:val="clear" w:color="auto" w:fill="CCECFF"/>
          </w:tcPr>
          <w:p>
            <w:pPr>
              <w:jc w:val="right"/>
              <w:ind w:right="39"/>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CFF"/>
          </w:tcPr>
          <w:p>
            <w:pPr>
              <w:jc w:val="right"/>
              <w:ind w:right="59"/>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CFF"/>
          </w:tcPr>
          <w:p>
            <w:pPr>
              <w:spacing w:after="0"/>
              <w:rPr>
                <w:sz w:val="20"/>
                <w:szCs w:val="20"/>
                <w:color w:val="auto"/>
              </w:rPr>
            </w:pPr>
          </w:p>
        </w:tc>
        <w:tc>
          <w:tcPr>
            <w:tcW w:w="460" w:type="dxa"/>
            <w:vAlign w:val="bottom"/>
            <w:shd w:val="clear" w:color="auto" w:fill="CCECFF"/>
          </w:tcPr>
          <w:p>
            <w:pPr>
              <w:jc w:val="right"/>
              <w:ind w:right="279"/>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11,941</w:t>
            </w:r>
          </w:p>
        </w:tc>
        <w:tc>
          <w:tcPr>
            <w:tcW w:w="0" w:type="dxa"/>
            <w:vAlign w:val="bottom"/>
          </w:tcPr>
          <w:p>
            <w:pPr>
              <w:spacing w:after="0"/>
              <w:rPr>
                <w:sz w:val="1"/>
                <w:szCs w:val="1"/>
                <w:color w:val="auto"/>
              </w:rPr>
            </w:pPr>
          </w:p>
        </w:tc>
      </w:tr>
      <w:tr>
        <w:trPr>
          <w:trHeight w:val="237"/>
        </w:trPr>
        <w:tc>
          <w:tcPr>
            <w:tcW w:w="48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3"/>
              <w:spacing w:after="0"/>
              <w:rPr>
                <w:sz w:val="20"/>
                <w:szCs w:val="20"/>
                <w:color w:val="auto"/>
              </w:rPr>
            </w:pPr>
            <w:r>
              <w:rPr>
                <w:rFonts w:ascii="Arial" w:cs="Arial" w:eastAsia="Arial" w:hAnsi="Arial"/>
                <w:sz w:val="18"/>
                <w:szCs w:val="18"/>
                <w:color w:val="auto"/>
              </w:rPr>
              <w:t>2,306,958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10.21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(260,297 )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12.42</w:t>
            </w:r>
          </w:p>
        </w:tc>
        <w:tc>
          <w:tcPr>
            <w:tcW w:w="18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2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460" w:type="dxa"/>
            <w:vAlign w:val="bottom"/>
            <w:shd w:val="clear" w:color="auto" w:fill="CCECFF"/>
          </w:tcPr>
          <w:p>
            <w:pPr>
              <w:spacing w:after="0"/>
              <w:rPr>
                <w:sz w:val="21"/>
                <w:szCs w:val="21"/>
                <w:color w:val="auto"/>
              </w:rPr>
            </w:pPr>
          </w:p>
        </w:tc>
        <w:tc>
          <w:tcPr>
            <w:tcW w:w="10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(124,609 )</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11.29</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balance at June 30, 2023</w:t>
            </w:r>
          </w:p>
        </w:tc>
        <w:tc>
          <w:tcPr>
            <w:tcW w:w="15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3,091,560</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11.18</w:t>
            </w:r>
          </w:p>
        </w:tc>
        <w:tc>
          <w:tcPr>
            <w:tcW w:w="18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auto"/>
            </w:tcBorders>
            <w:shd w:val="clear" w:color="auto" w:fill="CCECFF"/>
          </w:tcPr>
          <w:p>
            <w:pPr>
              <w:jc w:val="right"/>
              <w:ind w:right="39"/>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CFF"/>
          </w:tcPr>
          <w:p>
            <w:pPr>
              <w:jc w:val="right"/>
              <w:ind w:right="59"/>
              <w:spacing w:after="0"/>
              <w:rPr>
                <w:sz w:val="20"/>
                <w:szCs w:val="20"/>
                <w:color w:val="auto"/>
              </w:rPr>
            </w:pPr>
            <w:r>
              <w:rPr>
                <w:rFonts w:ascii="Arial" w:cs="Arial" w:eastAsia="Arial" w:hAnsi="Arial"/>
                <w:sz w:val="18"/>
                <w:szCs w:val="18"/>
                <w:color w:val="auto"/>
              </w:rPr>
              <w:t>1.77</w:t>
            </w:r>
          </w:p>
        </w:tc>
        <w:tc>
          <w:tcPr>
            <w:tcW w:w="180" w:type="dxa"/>
            <w:vAlign w:val="bottom"/>
            <w:tcBorders>
              <w:bottom w:val="single" w:sz="8" w:color="CCECFF"/>
            </w:tcBorders>
            <w:shd w:val="clear" w:color="auto" w:fill="CCECFF"/>
          </w:tcPr>
          <w:p>
            <w:pPr>
              <w:spacing w:after="0"/>
              <w:rPr>
                <w:sz w:val="24"/>
                <w:szCs w:val="24"/>
                <w:color w:val="auto"/>
              </w:rPr>
            </w:pPr>
          </w:p>
        </w:tc>
        <w:tc>
          <w:tcPr>
            <w:tcW w:w="460" w:type="dxa"/>
            <w:vAlign w:val="bottom"/>
            <w:tcBorders>
              <w:bottom w:val="single" w:sz="8" w:color="auto"/>
            </w:tcBorders>
            <w:shd w:val="clear" w:color="auto" w:fill="CCECFF"/>
          </w:tcPr>
          <w:p>
            <w:pPr>
              <w:jc w:val="right"/>
              <w:ind w:right="279"/>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26,402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-24765</wp:posOffset>
            </wp:positionV>
            <wp:extent cx="1028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1028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1111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1111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1111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1111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4"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There was $32.7 million and $15.7 million of unrecognized stock-based compensation expense related to unvested RSU awards as of June 30, 2023 and 2022, respectively. The unrecognized stock-based compensation expense is estimated to be recognized over a period of 3.42 and 3.67 years as of June 30, 2023 and 2022,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shows the allocation of stock-based compensation expense related to the Company’s stock-based awards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2700" w:type="dxa"/>
            <w:vAlign w:val="bottom"/>
            <w:tcBorders>
              <w:bottom w:val="single" w:sz="8" w:color="auto"/>
            </w:tcBorders>
            <w:gridSpan w:val="5"/>
          </w:tcPr>
          <w:p>
            <w:pPr>
              <w:jc w:val="right"/>
              <w:ind w:right="433"/>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6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236"/>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868</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749</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1,560</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1,455</w:t>
            </w: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7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1,805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1,087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3,239</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2,352</w:t>
            </w:r>
          </w:p>
        </w:tc>
      </w:tr>
      <w:tr>
        <w:trPr>
          <w:trHeight w:val="24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4"/>
              </w:rPr>
              <w:t>1,171</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856</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2,107</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1,634</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4"/>
              </w:rPr>
              <w:t>2,078</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1,242</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3,715</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2,330</w:t>
            </w:r>
          </w:p>
        </w:tc>
      </w:tr>
      <w:tr>
        <w:trPr>
          <w:trHeight w:val="277"/>
        </w:trPr>
        <w:tc>
          <w:tcPr>
            <w:tcW w:w="5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stock-based compensation</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4"/>
              </w:rPr>
              <w:t>5,922</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3,934</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10,621</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7,771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-25400</wp:posOffset>
            </wp:positionV>
            <wp:extent cx="102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-8255</wp:posOffset>
            </wp:positionV>
            <wp:extent cx="1028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1028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1028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939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93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weighted-average valuation assumptions used in determining the fair value of employee stock options: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2240" w:type="dxa"/>
            <w:vAlign w:val="bottom"/>
            <w:gridSpan w:val="4"/>
          </w:tcPr>
          <w:p>
            <w:pPr>
              <w:ind w:left="400"/>
              <w:spacing w:after="0"/>
              <w:rPr>
                <w:sz w:val="20"/>
                <w:szCs w:val="20"/>
                <w:color w:val="auto"/>
              </w:rPr>
            </w:pPr>
            <w:r>
              <w:rPr>
                <w:rFonts w:ascii="Arial" w:cs="Arial" w:eastAsia="Arial" w:hAnsi="Arial"/>
                <w:sz w:val="14"/>
                <w:szCs w:val="14"/>
                <w:b w:val="1"/>
                <w:bCs w:val="1"/>
                <w:color w:val="auto"/>
                <w:w w:val="92"/>
              </w:rPr>
              <w:t>Three months ended June 30,</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4"/>
          </w:tcPr>
          <w:p>
            <w:pPr>
              <w:ind w:left="48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600" w:type="dxa"/>
            <w:vAlign w:val="bottom"/>
          </w:tcPr>
          <w:p>
            <w:pPr>
              <w:spacing w:after="0"/>
              <w:rPr>
                <w:sz w:val="14"/>
                <w:szCs w:val="14"/>
                <w:color w:val="auto"/>
              </w:rPr>
            </w:pPr>
          </w:p>
        </w:tc>
        <w:tc>
          <w:tcPr>
            <w:tcW w:w="740" w:type="dxa"/>
            <w:vAlign w:val="bottom"/>
            <w:tcBorders>
              <w:top w:val="single" w:sz="8" w:color="auto"/>
            </w:tcBorders>
          </w:tcPr>
          <w:p>
            <w:pPr>
              <w:ind w:left="400"/>
              <w:spacing w:after="0"/>
              <w:rPr>
                <w:sz w:val="20"/>
                <w:szCs w:val="20"/>
                <w:color w:val="auto"/>
              </w:rPr>
            </w:pPr>
            <w:r>
              <w:rPr>
                <w:rFonts w:ascii="Arial" w:cs="Arial" w:eastAsia="Arial" w:hAnsi="Arial"/>
                <w:sz w:val="14"/>
                <w:szCs w:val="14"/>
                <w:b w:val="1"/>
                <w:bCs w:val="1"/>
                <w:color w:val="auto"/>
              </w:rPr>
              <w:t>2023</w:t>
            </w:r>
          </w:p>
        </w:tc>
        <w:tc>
          <w:tcPr>
            <w:tcW w:w="15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r>
      <w:tr>
        <w:trPr>
          <w:trHeight w:val="236"/>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74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w w:val="96"/>
              </w:rPr>
              <w:t>5.50</w:t>
            </w:r>
          </w:p>
        </w:tc>
        <w:tc>
          <w:tcPr>
            <w:tcW w:w="14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1"/>
              </w:rPr>
              <w:t>5.80</w:t>
            </w:r>
          </w:p>
        </w:tc>
        <w:tc>
          <w:tcPr>
            <w:tcW w:w="14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5.99</w:t>
            </w:r>
          </w:p>
        </w:tc>
        <w:tc>
          <w:tcPr>
            <w:tcW w:w="20" w:type="dxa"/>
            <w:vAlign w:val="bottom"/>
          </w:tcPr>
          <w:p>
            <w:pPr>
              <w:spacing w:after="0"/>
              <w:rPr>
                <w:sz w:val="20"/>
                <w:szCs w:val="20"/>
                <w:color w:val="auto"/>
              </w:rPr>
            </w:pPr>
          </w:p>
        </w:tc>
      </w:tr>
      <w:tr>
        <w:trPr>
          <w:trHeight w:val="230"/>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70 %</w:t>
            </w:r>
          </w:p>
        </w:tc>
        <w:tc>
          <w:tcPr>
            <w:tcW w:w="86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75 %</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71 %</w:t>
            </w:r>
          </w:p>
        </w:tc>
        <w:tc>
          <w:tcPr>
            <w:tcW w:w="1400" w:type="dxa"/>
            <w:vAlign w:val="bottom"/>
          </w:tcPr>
          <w:p>
            <w:pPr>
              <w:jc w:val="right"/>
              <w:spacing w:after="0"/>
              <w:rPr>
                <w:sz w:val="20"/>
                <w:szCs w:val="20"/>
                <w:color w:val="auto"/>
              </w:rPr>
            </w:pPr>
            <w:r>
              <w:rPr>
                <w:rFonts w:ascii="Arial" w:cs="Arial" w:eastAsia="Arial" w:hAnsi="Arial"/>
                <w:sz w:val="18"/>
                <w:szCs w:val="18"/>
                <w:color w:val="auto"/>
              </w:rPr>
              <w:t>75 %</w:t>
            </w:r>
          </w:p>
        </w:tc>
        <w:tc>
          <w:tcPr>
            <w:tcW w:w="20" w:type="dxa"/>
            <w:vAlign w:val="bottom"/>
          </w:tcPr>
          <w:p>
            <w:pPr>
              <w:spacing w:after="0"/>
              <w:rPr>
                <w:sz w:val="20"/>
                <w:szCs w:val="20"/>
                <w:color w:val="auto"/>
              </w:rPr>
            </w:pPr>
          </w:p>
        </w:tc>
      </w:tr>
      <w:tr>
        <w:trPr>
          <w:trHeight w:val="256"/>
        </w:trPr>
        <w:tc>
          <w:tcPr>
            <w:tcW w:w="63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4 %</w:t>
            </w:r>
          </w:p>
        </w:tc>
        <w:tc>
          <w:tcPr>
            <w:tcW w:w="860" w:type="dxa"/>
            <w:vAlign w:val="bottom"/>
            <w:shd w:val="clear" w:color="auto" w:fill="CFF0FC"/>
          </w:tcPr>
          <w:p>
            <w:pPr>
              <w:spacing w:after="0"/>
              <w:rPr>
                <w:sz w:val="22"/>
                <w:szCs w:val="2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3 %</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4 %</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22"/>
                <w:szCs w:val="22"/>
                <w:color w:val="auto"/>
              </w:rPr>
            </w:pPr>
          </w:p>
        </w:tc>
      </w:tr>
      <w:tr>
        <w:trPr>
          <w:trHeight w:val="230"/>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1500" w:type="dxa"/>
            <w:vAlign w:val="bottom"/>
            <w:gridSpan w:val="3"/>
          </w:tcPr>
          <w:p>
            <w:pPr>
              <w:jc w:val="right"/>
              <w:ind w:right="1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bl>
    <w:p>
      <w:pPr>
        <w:spacing w:after="0" w:line="174"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following table summarizes the weighted-average assumptions used in estimating the fair value of the ESPP for the current offering period using the Black-Scholes option-pricing model:</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00" w:type="dxa"/>
            <w:vAlign w:val="bottom"/>
          </w:tcPr>
          <w:p>
            <w:pPr>
              <w:spacing w:after="0"/>
              <w:rPr>
                <w:sz w:val="17"/>
                <w:szCs w:val="17"/>
                <w:color w:val="auto"/>
              </w:rPr>
            </w:pPr>
          </w:p>
        </w:tc>
        <w:tc>
          <w:tcPr>
            <w:tcW w:w="2280" w:type="dxa"/>
            <w:vAlign w:val="bottom"/>
            <w:gridSpan w:val="4"/>
          </w:tcPr>
          <w:p>
            <w:pPr>
              <w:ind w:left="400"/>
              <w:spacing w:after="0"/>
              <w:rPr>
                <w:sz w:val="20"/>
                <w:szCs w:val="20"/>
                <w:color w:val="auto"/>
              </w:rPr>
            </w:pPr>
            <w:r>
              <w:rPr>
                <w:rFonts w:ascii="Arial" w:cs="Arial" w:eastAsia="Arial" w:hAnsi="Arial"/>
                <w:sz w:val="14"/>
                <w:szCs w:val="14"/>
                <w:b w:val="1"/>
                <w:bCs w:val="1"/>
                <w:color w:val="auto"/>
                <w:w w:val="94"/>
              </w:rPr>
              <w:t>Three months ended June 30,</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gridSpan w:val="4"/>
          </w:tcPr>
          <w:p>
            <w:pPr>
              <w:ind w:left="480"/>
              <w:spacing w:after="0"/>
              <w:rPr>
                <w:sz w:val="20"/>
                <w:szCs w:val="20"/>
                <w:color w:val="auto"/>
              </w:rPr>
            </w:pPr>
            <w:r>
              <w:rPr>
                <w:rFonts w:ascii="Arial" w:cs="Arial" w:eastAsia="Arial" w:hAnsi="Arial"/>
                <w:sz w:val="14"/>
                <w:szCs w:val="14"/>
                <w:b w:val="1"/>
                <w:bCs w:val="1"/>
                <w:color w:val="auto"/>
              </w:rPr>
              <w:t>Six months ended June 30,</w:t>
            </w:r>
          </w:p>
        </w:tc>
      </w:tr>
      <w:tr>
        <w:trPr>
          <w:trHeight w:val="163"/>
        </w:trPr>
        <w:tc>
          <w:tcPr>
            <w:tcW w:w="5600" w:type="dxa"/>
            <w:vAlign w:val="bottom"/>
          </w:tcPr>
          <w:p>
            <w:pPr>
              <w:spacing w:after="0"/>
              <w:rPr>
                <w:sz w:val="14"/>
                <w:szCs w:val="14"/>
                <w:color w:val="auto"/>
              </w:rPr>
            </w:pPr>
          </w:p>
        </w:tc>
        <w:tc>
          <w:tcPr>
            <w:tcW w:w="7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r>
      <w:tr>
        <w:trPr>
          <w:trHeight w:val="224"/>
        </w:trPr>
        <w:tc>
          <w:tcPr>
            <w:tcW w:w="56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780" w:type="dxa"/>
            <w:vAlign w:val="bottom"/>
          </w:tcPr>
          <w:p>
            <w:pPr>
              <w:spacing w:after="0"/>
              <w:rPr>
                <w:sz w:val="19"/>
                <w:szCs w:val="19"/>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1240" w:type="dxa"/>
            <w:vAlign w:val="bottom"/>
          </w:tcPr>
          <w:p>
            <w:pPr>
              <w:jc w:val="right"/>
              <w:ind w:right="76"/>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r>
      <w:tr>
        <w:trPr>
          <w:trHeight w:val="256"/>
        </w:trPr>
        <w:tc>
          <w:tcPr>
            <w:tcW w:w="63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70 %</w:t>
            </w:r>
          </w:p>
        </w:tc>
        <w:tc>
          <w:tcPr>
            <w:tcW w:w="900" w:type="dxa"/>
            <w:vAlign w:val="bottom"/>
            <w:shd w:val="clear" w:color="auto" w:fill="CFF0FC"/>
          </w:tcPr>
          <w:p>
            <w:pPr>
              <w:spacing w:after="0"/>
              <w:rPr>
                <w:sz w:val="22"/>
                <w:szCs w:val="2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74 %</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76 %</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74 %</w:t>
            </w:r>
          </w:p>
        </w:tc>
        <w:tc>
          <w:tcPr>
            <w:tcW w:w="20" w:type="dxa"/>
            <w:vAlign w:val="bottom"/>
          </w:tcPr>
          <w:p>
            <w:pPr>
              <w:spacing w:after="0"/>
              <w:rPr>
                <w:sz w:val="22"/>
                <w:szCs w:val="22"/>
                <w:color w:val="auto"/>
              </w:rPr>
            </w:pP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90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1 %</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1400" w:type="dxa"/>
            <w:vAlign w:val="bottom"/>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0"/>
                <w:szCs w:val="20"/>
                <w:color w:val="auto"/>
              </w:rPr>
            </w:pPr>
          </w:p>
        </w:tc>
      </w:tr>
      <w:tr>
        <w:trPr>
          <w:trHeight w:val="256"/>
        </w:trPr>
        <w:tc>
          <w:tcPr>
            <w:tcW w:w="63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Dividend yield</w:t>
            </w:r>
          </w:p>
        </w:tc>
        <w:tc>
          <w:tcPr>
            <w:tcW w:w="1500" w:type="dxa"/>
            <w:vAlign w:val="bottom"/>
            <w:gridSpan w:val="3"/>
            <w:shd w:val="clear" w:color="auto" w:fill="CFF0FC"/>
          </w:tcPr>
          <w:p>
            <w:pPr>
              <w:jc w:val="right"/>
              <w:ind w:right="110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-758190</wp:posOffset>
            </wp:positionV>
            <wp:extent cx="3583305" cy="295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83305" cy="295275"/>
                    </a:xfrm>
                    <a:prstGeom prst="rect">
                      <a:avLst/>
                    </a:prstGeom>
                    <a:noFill/>
                  </pic:spPr>
                </pic:pic>
              </a:graphicData>
            </a:graphic>
          </wp:anchor>
        </w:drawing>
      </w:r>
    </w:p>
    <w:p>
      <w:pPr>
        <w:spacing w:after="0" w:line="218"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retirement savings plan</w:t>
      </w:r>
    </w:p>
    <w:p>
      <w:pPr>
        <w:spacing w:after="0" w:line="117" w:lineRule="exact"/>
        <w:rPr>
          <w:sz w:val="20"/>
          <w:szCs w:val="20"/>
          <w:color w:val="auto"/>
        </w:rPr>
      </w:pPr>
    </w:p>
    <w:p>
      <w:pPr>
        <w:jc w:val="both"/>
        <w:ind w:right="20" w:firstLine="509"/>
        <w:spacing w:after="0" w:line="259" w:lineRule="auto"/>
        <w:rPr>
          <w:sz w:val="20"/>
          <w:szCs w:val="20"/>
          <w:color w:val="auto"/>
        </w:rPr>
      </w:pPr>
      <w:r>
        <w:rPr>
          <w:rFonts w:ascii="Arial" w:cs="Arial" w:eastAsia="Arial" w:hAnsi="Arial"/>
          <w:sz w:val="18"/>
          <w:szCs w:val="18"/>
          <w:color w:val="auto"/>
        </w:rPr>
        <w:t>The Company currently maintains a 401(k) retirement savings plan the covers substantially all of its employees (“401(k) Plan”). The 401(k) Plan permits voluntary contributions by employees, a portion of which are matched by the Company. The Company’s contributions to the 401(k) Plan were approximately $432,000 and $770,000 for the three and six months ended June 30, 2023, respectively. The Company’s contributions to the 401(k) Plan were approximately $268,000, and $517,000 for the three and six months ended June 30, 2022, respectively.</w:t>
      </w:r>
    </w:p>
    <w:p>
      <w:pPr>
        <w:spacing w:after="0" w:line="75"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ind w:right="20" w:firstLine="509"/>
        <w:spacing w:after="0" w:line="257" w:lineRule="auto"/>
        <w:rPr>
          <w:sz w:val="20"/>
          <w:szCs w:val="20"/>
          <w:color w:val="auto"/>
        </w:rPr>
      </w:pPr>
      <w:r>
        <w:rPr>
          <w:rFonts w:ascii="Arial" w:cs="Arial" w:eastAsia="Arial" w:hAnsi="Arial"/>
          <w:sz w:val="18"/>
          <w:szCs w:val="18"/>
          <w:color w:val="auto"/>
        </w:rPr>
        <w:t>The Company's effective income tax rate from continuing operations was 28.4% and 39.2% for the six months ended June 30, 2023 and 2022, respectively. The Company’s effective income tax rate for the six months ended June 30, 2023 is higher than the US federal statutory tax rate due to state income taxes, non-deductible stock-based compensation, the Company's mix of earnings between various taxing jurisdictions, partially offset by a deduction for foreign-sourced revenue, stock compensation, and federal and state research credits. The effective income tax rate for the six months ended June 30, 2022 was higher than the US federal statutory tax rate</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primarily due to non-deductible stock-based compensation, the Company's mix of earnings between various taxing jurisdictions, partially offset by a deduction for foreign-sourced revenue, and federal and state research credits.</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spacing w:after="0" w:line="75"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Lease</w:t>
      </w:r>
    </w:p>
    <w:p>
      <w:pPr>
        <w:spacing w:after="0" w:line="202" w:lineRule="exact"/>
        <w:rPr>
          <w:sz w:val="20"/>
          <w:szCs w:val="20"/>
          <w:color w:val="auto"/>
        </w:rPr>
      </w:pPr>
    </w:p>
    <w:p>
      <w:pPr>
        <w:jc w:val="both"/>
        <w:ind w:firstLine="564"/>
        <w:spacing w:after="0" w:line="257" w:lineRule="auto"/>
        <w:rPr>
          <w:sz w:val="20"/>
          <w:szCs w:val="20"/>
          <w:color w:val="auto"/>
        </w:rPr>
      </w:pPr>
      <w:r>
        <w:rPr>
          <w:rFonts w:ascii="Arial" w:cs="Arial" w:eastAsia="Arial" w:hAnsi="Arial"/>
          <w:sz w:val="18"/>
          <w:szCs w:val="18"/>
          <w:color w:val="auto"/>
        </w:rPr>
        <w:t>The Company determines if an arrangement is or contains a lease at inception, which is the date on which the terms of the contract are agreed to, and the agreement creates enforceable rights and obligations. Under Topic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spacing w:after="0" w:line="8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Company leases office facilities and equipment from unrelated parties under operating lease agreements that have initial terms ranging from one to 7.25 years. Some leases include one or more options to renew, generally at the Company's sole discretion, with renewal terms that can extend the lease term up to five years. In addition, certain leases contain termination options, where the rights to terminate are held by either the Company, the lessor, or both parties. These options to extend or terminate a lease are included in the lease terms when it is reasonably certain that the Company will exercise that option. The Company’s leases generally do not contain any material restrictive covenants. The Company is a sub-lessor in an agreement with a term of three years.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Operating lease cost is recognized on a straight-line basis over the lease term. The components of lease expense are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Six months ended June 30,</w:t>
            </w:r>
          </w:p>
        </w:tc>
        <w:tc>
          <w:tcPr>
            <w:tcW w:w="1080" w:type="dxa"/>
            <w:vAlign w:val="bottom"/>
            <w:vMerge w:val="restart"/>
          </w:tcPr>
          <w:p>
            <w:pPr>
              <w:jc w:val="right"/>
              <w:ind w:right="715"/>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174"/>
        </w:trPr>
        <w:tc>
          <w:tcPr>
            <w:tcW w:w="756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1,596</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Short-term lease cost</w:t>
            </w:r>
          </w:p>
        </w:tc>
        <w:tc>
          <w:tcPr>
            <w:tcW w:w="9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368</w:t>
            </w:r>
          </w:p>
        </w:tc>
        <w:tc>
          <w:tcPr>
            <w:tcW w:w="200" w:type="dxa"/>
            <w:vAlign w:val="bottom"/>
            <w:tcBorders>
              <w:bottom w:val="single" w:sz="8" w:color="CFF0FC"/>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6"/>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Total lease cost</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1,964</w:t>
            </w:r>
          </w:p>
        </w:tc>
        <w:tc>
          <w:tcPr>
            <w:tcW w:w="2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1289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1289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1289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three and six months ended June 30, 2023, sublease income were $70,000 and $136,000, respectively, recorded as other income.</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related to leases is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60" w:type="dxa"/>
            <w:vAlign w:val="bottom"/>
            <w:gridSpan w:val="4"/>
          </w:tcPr>
          <w:p>
            <w:pPr>
              <w:jc w:val="right"/>
              <w:ind w:right="995"/>
              <w:spacing w:after="0"/>
              <w:rPr>
                <w:sz w:val="20"/>
                <w:szCs w:val="20"/>
                <w:color w:val="auto"/>
              </w:rPr>
            </w:pPr>
            <w:r>
              <w:rPr>
                <w:rFonts w:ascii="Arial" w:cs="Arial" w:eastAsia="Arial" w:hAnsi="Arial"/>
                <w:sz w:val="14"/>
                <w:szCs w:val="14"/>
                <w:b w:val="1"/>
                <w:bCs w:val="1"/>
                <w:color w:val="auto"/>
              </w:rPr>
              <w:t>Six months ended June 30,</w:t>
            </w:r>
          </w:p>
        </w:tc>
      </w:tr>
      <w:tr>
        <w:trPr>
          <w:trHeight w:val="185"/>
        </w:trPr>
        <w:tc>
          <w:tcPr>
            <w:tcW w:w="7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2022</w:t>
            </w:r>
          </w:p>
        </w:tc>
      </w:tr>
      <w:tr>
        <w:trPr>
          <w:trHeight w:val="23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3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r>
      <w:tr>
        <w:trPr>
          <w:trHeight w:val="230"/>
        </w:trPr>
        <w:tc>
          <w:tcPr>
            <w:tcW w:w="7560" w:type="dxa"/>
            <w:vAlign w:val="bottom"/>
          </w:tcPr>
          <w:p>
            <w:pPr>
              <w:ind w:left="200"/>
              <w:spacing w:after="0"/>
              <w:rPr>
                <w:sz w:val="20"/>
                <w:szCs w:val="20"/>
                <w:color w:val="auto"/>
              </w:rPr>
            </w:pPr>
            <w:r>
              <w:rPr>
                <w:rFonts w:ascii="Arial" w:cs="Arial" w:eastAsia="Arial" w:hAnsi="Arial"/>
                <w:sz w:val="18"/>
                <w:szCs w:val="18"/>
                <w:color w:val="auto"/>
              </w:rPr>
              <w:t>Operating cash outflows - payments on operating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76"/>
              <w:spacing w:after="0"/>
              <w:rPr>
                <w:sz w:val="20"/>
                <w:szCs w:val="20"/>
                <w:color w:val="auto"/>
              </w:rPr>
            </w:pPr>
            <w:r>
              <w:rPr>
                <w:rFonts w:ascii="Arial" w:cs="Arial" w:eastAsia="Arial" w:hAnsi="Arial"/>
                <w:sz w:val="18"/>
                <w:szCs w:val="18"/>
                <w:color w:val="auto"/>
              </w:rPr>
              <w:t>1,595</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5"/>
              <w:spacing w:after="0"/>
              <w:rPr>
                <w:sz w:val="20"/>
                <w:szCs w:val="20"/>
                <w:color w:val="auto"/>
              </w:rPr>
            </w:pPr>
            <w:r>
              <w:rPr>
                <w:rFonts w:ascii="Arial" w:cs="Arial" w:eastAsia="Arial" w:hAnsi="Arial"/>
                <w:sz w:val="18"/>
                <w:szCs w:val="18"/>
                <w:color w:val="auto"/>
              </w:rPr>
              <w:t>954</w:t>
            </w:r>
          </w:p>
        </w:tc>
      </w:tr>
      <w:tr>
        <w:trPr>
          <w:trHeight w:val="256"/>
        </w:trPr>
        <w:tc>
          <w:tcPr>
            <w:tcW w:w="7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obtained in exchange for new lease obligations:</w:t>
            </w:r>
          </w:p>
        </w:tc>
        <w:tc>
          <w:tcPr>
            <w:tcW w:w="3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r>
      <w:tr>
        <w:trPr>
          <w:trHeight w:val="230"/>
        </w:trPr>
        <w:tc>
          <w:tcPr>
            <w:tcW w:w="756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5"/>
              <w:spacing w:after="0"/>
              <w:rPr>
                <w:sz w:val="20"/>
                <w:szCs w:val="20"/>
                <w:color w:val="auto"/>
              </w:rPr>
            </w:pPr>
            <w:r>
              <w:rPr>
                <w:rFonts w:ascii="Arial" w:cs="Arial" w:eastAsia="Arial" w:hAnsi="Arial"/>
                <w:sz w:val="18"/>
                <w:szCs w:val="18"/>
                <w:color w:val="auto"/>
              </w:rPr>
              <w:t>15,142</w:t>
            </w:r>
          </w:p>
        </w:tc>
      </w:tr>
      <w:tr>
        <w:trPr>
          <w:trHeight w:val="337"/>
        </w:trPr>
        <w:tc>
          <w:tcPr>
            <w:tcW w:w="7560" w:type="dxa"/>
            <w:vAlign w:val="bottom"/>
          </w:tcPr>
          <w:p>
            <w:pPr>
              <w:ind w:left="520"/>
              <w:spacing w:after="0"/>
              <w:rPr>
                <w:sz w:val="20"/>
                <w:szCs w:val="20"/>
                <w:color w:val="auto"/>
              </w:rPr>
            </w:pPr>
            <w:r>
              <w:rPr>
                <w:rFonts w:ascii="Arial" w:cs="Arial" w:eastAsia="Arial" w:hAnsi="Arial"/>
                <w:sz w:val="18"/>
                <w:szCs w:val="18"/>
                <w:color w:val="auto"/>
              </w:rPr>
              <w:t>Supplemental balance sheet information related to leases is as follows (in thousands):</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69"/>
        </w:trPr>
        <w:tc>
          <w:tcPr>
            <w:tcW w:w="7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ind w:right="596"/>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ind w:right="435"/>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2022</w:t>
            </w:r>
          </w:p>
        </w:tc>
      </w:tr>
      <w:tr>
        <w:trPr>
          <w:trHeight w:val="23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12,423</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13,883</w:t>
            </w: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Included in other current liabilities:</w:t>
            </w: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49"/>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liabilities, current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2,941</w:t>
            </w:r>
          </w:p>
        </w:tc>
        <w:tc>
          <w:tcPr>
            <w:tcW w:w="4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2,931</w:t>
            </w: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10,833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12,312</w:t>
            </w:r>
          </w:p>
        </w:tc>
      </w:tr>
      <w:tr>
        <w:trPr>
          <w:trHeight w:val="277"/>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operating lease liabilities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13,774</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15,243</w:t>
            </w:r>
          </w:p>
        </w:tc>
      </w:tr>
      <w:tr>
        <w:trPr>
          <w:trHeight w:val="230"/>
        </w:trPr>
        <w:tc>
          <w:tcPr>
            <w:tcW w:w="7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3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rPr>
              <w:t>5.01</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615"/>
              <w:spacing w:after="0"/>
              <w:rPr>
                <w:sz w:val="20"/>
                <w:szCs w:val="20"/>
                <w:color w:val="auto"/>
              </w:rPr>
            </w:pPr>
            <w:r>
              <w:rPr>
                <w:rFonts w:ascii="Arial" w:cs="Arial" w:eastAsia="Arial" w:hAnsi="Arial"/>
                <w:sz w:val="18"/>
                <w:szCs w:val="18"/>
                <w:color w:val="auto"/>
              </w:rPr>
              <w:t>5.47</w:t>
            </w:r>
          </w:p>
        </w:tc>
      </w:tr>
      <w:tr>
        <w:trPr>
          <w:trHeight w:val="473"/>
        </w:trPr>
        <w:tc>
          <w:tcPr>
            <w:tcW w:w="756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320" w:type="dxa"/>
            <w:vAlign w:val="bottom"/>
          </w:tcPr>
          <w:p>
            <w:pPr>
              <w:spacing w:after="0"/>
              <w:rPr>
                <w:sz w:val="24"/>
                <w:szCs w:val="24"/>
                <w:color w:val="auto"/>
              </w:rPr>
            </w:pPr>
          </w:p>
        </w:tc>
        <w:tc>
          <w:tcPr>
            <w:tcW w:w="1420" w:type="dxa"/>
            <w:vAlign w:val="bottom"/>
          </w:tcPr>
          <w:p>
            <w:pPr>
              <w:jc w:val="right"/>
              <w:ind w:right="556"/>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ind w:right="575"/>
              <w:spacing w:after="0"/>
              <w:rPr>
                <w:sz w:val="20"/>
                <w:szCs w:val="20"/>
                <w:color w:val="auto"/>
              </w:rPr>
            </w:pPr>
            <w:r>
              <w:rPr>
                <w:rFonts w:ascii="Arial" w:cs="Arial" w:eastAsia="Arial" w:hAnsi="Arial"/>
                <w:sz w:val="18"/>
                <w:szCs w:val="18"/>
                <w:color w:val="auto"/>
              </w:rPr>
              <w:t>2.6%</w:t>
            </w:r>
          </w:p>
        </w:tc>
      </w:tr>
      <w:tr>
        <w:trPr>
          <w:trHeight w:val="581"/>
        </w:trPr>
        <w:tc>
          <w:tcPr>
            <w:tcW w:w="7560" w:type="dxa"/>
            <w:vAlign w:val="bottom"/>
          </w:tcPr>
          <w:p>
            <w:pPr>
              <w:ind w:left="554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01"/>
        </w:trPr>
        <w:tc>
          <w:tcPr>
            <w:tcW w:w="75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-1079500</wp:posOffset>
            </wp:positionV>
            <wp:extent cx="1289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-1062355</wp:posOffset>
            </wp:positionV>
            <wp:extent cx="1289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firstLine="509"/>
        <w:spacing w:after="0" w:line="277" w:lineRule="auto"/>
        <w:rPr>
          <w:sz w:val="20"/>
          <w:szCs w:val="20"/>
          <w:color w:val="auto"/>
        </w:rPr>
      </w:pPr>
      <w:r>
        <w:rPr>
          <w:rFonts w:ascii="Arial" w:cs="Arial" w:eastAsia="Arial" w:hAnsi="Arial"/>
          <w:sz w:val="18"/>
          <w:szCs w:val="18"/>
          <w:color w:val="auto"/>
        </w:rPr>
        <w:t>Future undiscounted cash flows for each of the next five years and thereafter and reconciliation to the lease liabilities recognized on the balance sheet as of June 30, 2023 is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(excluding the six months ended June 30, 2023)</w:t>
            </w:r>
          </w:p>
        </w:tc>
        <w:tc>
          <w:tcPr>
            <w:tcW w:w="78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1,670</w:t>
            </w:r>
          </w:p>
        </w:tc>
      </w:tr>
      <w:tr>
        <w:trPr>
          <w:trHeight w:val="237"/>
        </w:trPr>
        <w:tc>
          <w:tcPr>
            <w:tcW w:w="9140" w:type="dxa"/>
            <w:vAlign w:val="bottom"/>
          </w:tcPr>
          <w:p>
            <w:pPr>
              <w:ind w:left="20"/>
              <w:spacing w:after="0"/>
              <w:rPr>
                <w:sz w:val="20"/>
                <w:szCs w:val="20"/>
                <w:color w:val="auto"/>
              </w:rPr>
            </w:pPr>
            <w:r>
              <w:rPr>
                <w:rFonts w:ascii="Arial" w:cs="Arial" w:eastAsia="Arial" w:hAnsi="Arial"/>
                <w:sz w:val="18"/>
                <w:szCs w:val="18"/>
                <w:color w:val="auto"/>
              </w:rPr>
              <w:t>2024</w:t>
            </w:r>
          </w:p>
        </w:tc>
        <w:tc>
          <w:tcPr>
            <w:tcW w:w="78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3,070</w:t>
            </w:r>
          </w:p>
        </w:tc>
      </w:tr>
      <w:tr>
        <w:trPr>
          <w:trHeight w:val="249"/>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7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2,671</w:t>
            </w:r>
          </w:p>
        </w:tc>
      </w:tr>
      <w:tr>
        <w:trPr>
          <w:trHeight w:val="237"/>
        </w:trPr>
        <w:tc>
          <w:tcPr>
            <w:tcW w:w="9140" w:type="dxa"/>
            <w:vAlign w:val="bottom"/>
          </w:tcPr>
          <w:p>
            <w:pPr>
              <w:ind w:left="20"/>
              <w:spacing w:after="0"/>
              <w:rPr>
                <w:sz w:val="20"/>
                <w:szCs w:val="20"/>
                <w:color w:val="auto"/>
              </w:rPr>
            </w:pPr>
            <w:r>
              <w:rPr>
                <w:rFonts w:ascii="Arial" w:cs="Arial" w:eastAsia="Arial" w:hAnsi="Arial"/>
                <w:sz w:val="18"/>
                <w:szCs w:val="18"/>
                <w:color w:val="auto"/>
              </w:rPr>
              <w:t>2026</w:t>
            </w:r>
          </w:p>
        </w:tc>
        <w:tc>
          <w:tcPr>
            <w:tcW w:w="78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2,576</w:t>
            </w:r>
          </w:p>
        </w:tc>
      </w:tr>
      <w:tr>
        <w:trPr>
          <w:trHeight w:val="249"/>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7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2,315</w:t>
            </w:r>
          </w:p>
        </w:tc>
      </w:tr>
      <w:tr>
        <w:trPr>
          <w:trHeight w:val="237"/>
        </w:trPr>
        <w:tc>
          <w:tcPr>
            <w:tcW w:w="91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7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2,395</w:t>
            </w:r>
          </w:p>
        </w:tc>
      </w:tr>
      <w:tr>
        <w:trPr>
          <w:trHeight w:val="276"/>
        </w:trPr>
        <w:tc>
          <w:tcPr>
            <w:tcW w:w="91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lease payments</w:t>
            </w:r>
          </w:p>
        </w:tc>
        <w:tc>
          <w:tcPr>
            <w:tcW w:w="78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14,697</w:t>
            </w:r>
          </w:p>
        </w:tc>
      </w:tr>
      <w:tr>
        <w:trPr>
          <w:trHeight w:val="224"/>
        </w:trPr>
        <w:tc>
          <w:tcPr>
            <w:tcW w:w="91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7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(923 )</w:t>
            </w:r>
          </w:p>
        </w:tc>
      </w:tr>
      <w:tr>
        <w:trPr>
          <w:trHeight w:val="276"/>
        </w:trPr>
        <w:tc>
          <w:tcPr>
            <w:tcW w:w="91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present value of lease liabilities</w:t>
            </w:r>
          </w:p>
        </w:tc>
        <w:tc>
          <w:tcPr>
            <w:tcW w:w="78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13,774</w:t>
            </w:r>
          </w:p>
        </w:tc>
      </w:tr>
    </w:tbl>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8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Company evaluates the status of each legal matter, if any, and assesses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accruals recorded are based on the information available at the time.</w:t>
      </w:r>
    </w:p>
    <w:p>
      <w:pPr>
        <w:spacing w:after="0" w:line="8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is not currently involved in legal actions, nor is management aware of any potential claims or legal actions, for which the ultimate disposition could have a material effect on the Company’s financial position, results of operations or liquidity.</w:t>
      </w:r>
    </w:p>
    <w:p>
      <w:pPr>
        <w:spacing w:after="0" w:line="58"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Cytek Japan</w:t>
      </w:r>
    </w:p>
    <w:p>
      <w:pPr>
        <w:spacing w:after="0" w:line="20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May 2019, the Company jointly formed Cytek Japan with TOMY Digital Biology (“TOMY”). Cytek Japan was created for the purpose of expanding the Company’s presence in Japan. The Company and TOMY each purchased $46,000 of common stock of Cytek Japan. The Company previously accounted for its 50% interest in Cytek Japan as an equity method investment. The Company recorded $40,000 for its proportionate share of Cytek Japan’s earnings prior to its additional investment, which is included in other income (expense), net in the consolidated statements of operations and comprehensive income for the year ended December 31, 2022.</w:t>
      </w:r>
    </w:p>
    <w:p>
      <w:pPr>
        <w:spacing w:after="0" w:line="8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March 2021, the Company purchased an additional $688,000 of common stock of Cytek Japan and TOMY purchased an additional $229,000 of common stock of Cytek Japan. The Company’s interest in Cytek Japan increased from 50% to 73% giving the Company controlling interest. The Company consolidated Cytek Japan as of March 31, 2021 under the VOE model as Cytek Japan does not meet the definition of a VIE and as TOMY does not have substantive voting, participating or liquidation rights.</w:t>
      </w:r>
    </w:p>
    <w:p>
      <w:pPr>
        <w:spacing w:after="0" w:line="79"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Company recognized net assets of $1.1 million, consisting primarily of $1.0 million cash. The Company recorded noncontrolling interest of $315,000 on the unaudited interim consolidated financial statements as of March 31, 2021.</w:t>
      </w:r>
    </w:p>
    <w:p>
      <w:pPr>
        <w:spacing w:after="0" w:line="6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 January 2023, the Company purchased an additional $235,000 of common stock of Cytek Japan. Cytek Japan became a wholly-owned subsidiary of the Company.</w:t>
      </w:r>
    </w:p>
    <w:p>
      <w:pPr>
        <w:spacing w:after="0" w:line="274"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warranty</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following table shows the activity in the product warranty accrual included in accrued expenses on the consolidated balance sheets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41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454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69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6"/>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beginning of the period</w:t>
            </w:r>
          </w:p>
        </w:tc>
        <w:tc>
          <w:tcPr>
            <w:tcW w:w="346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2,126</w:t>
            </w: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37"/>
        </w:trPr>
        <w:tc>
          <w:tcPr>
            <w:tcW w:w="4140" w:type="dxa"/>
            <w:vAlign w:val="bottom"/>
          </w:tcPr>
          <w:p>
            <w:pPr>
              <w:ind w:left="200"/>
              <w:spacing w:after="0"/>
              <w:rPr>
                <w:sz w:val="20"/>
                <w:szCs w:val="20"/>
                <w:color w:val="auto"/>
              </w:rPr>
            </w:pPr>
            <w:r>
              <w:rPr>
                <w:rFonts w:ascii="Arial" w:cs="Arial" w:eastAsia="Arial" w:hAnsi="Arial"/>
                <w:sz w:val="18"/>
                <w:szCs w:val="18"/>
                <w:color w:val="auto"/>
              </w:rPr>
              <w:t>Accrual for current year warranties</w:t>
            </w:r>
          </w:p>
        </w:tc>
        <w:tc>
          <w:tcPr>
            <w:tcW w:w="3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2,283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6"/>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49"/>
        </w:trPr>
        <w:tc>
          <w:tcPr>
            <w:tcW w:w="41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Warranty cost incurred</w:t>
            </w:r>
          </w:p>
        </w:tc>
        <w:tc>
          <w:tcPr>
            <w:tcW w:w="34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(1,636 )</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(2,475 )</w:t>
            </w:r>
          </w:p>
        </w:tc>
        <w:tc>
          <w:tcPr>
            <w:tcW w:w="0" w:type="dxa"/>
            <w:vAlign w:val="bottom"/>
          </w:tcPr>
          <w:p>
            <w:pPr>
              <w:spacing w:after="0"/>
              <w:rPr>
                <w:sz w:val="1"/>
                <w:szCs w:val="1"/>
                <w:color w:val="auto"/>
              </w:rPr>
            </w:pP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4540" w:type="dxa"/>
            <w:vAlign w:val="bottom"/>
            <w:gridSpan w:val="2"/>
          </w:tcPr>
          <w:p>
            <w:pPr>
              <w:jc w:val="right"/>
              <w:ind w:right="899"/>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2,773</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6"/>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460" w:type="dxa"/>
            <w:vAlign w:val="bottom"/>
            <w:vMerge w:val="restart"/>
          </w:tcPr>
          <w:p>
            <w:pPr>
              <w:jc w:val="right"/>
              <w:ind w:right="1796"/>
              <w:spacing w:after="0"/>
              <w:rPr>
                <w:sz w:val="20"/>
                <w:szCs w:val="20"/>
                <w:color w:val="auto"/>
              </w:rPr>
            </w:pPr>
            <w:r>
              <w:rPr>
                <w:rFonts w:ascii="Arial" w:cs="Arial" w:eastAsia="Arial" w:hAnsi="Arial"/>
                <w:sz w:val="18"/>
                <w:szCs w:val="18"/>
                <w:color w:val="auto"/>
              </w:rPr>
              <w:t>22</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414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-779780</wp:posOffset>
            </wp:positionV>
            <wp:extent cx="128905"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ind w:left="520" w:hanging="512"/>
        <w:spacing w:after="0"/>
        <w:tabs>
          <w:tab w:leader="none" w:pos="5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attributable to common stockholders per share</w:t>
      </w:r>
    </w:p>
    <w:p>
      <w:pPr>
        <w:spacing w:after="0" w:line="20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loss attributable to common stockholders per share for the three and six months ended June 30, 2023 and 2022 (in thousands except share and per share data):</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w w:val="96"/>
              </w:rPr>
              <w:t>Three months ended June 30,</w:t>
            </w: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r>
      <w:tr>
        <w:trPr>
          <w:trHeight w:val="236"/>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Numerator</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r>
      <w:tr>
        <w:trPr>
          <w:trHeight w:val="237"/>
        </w:trPr>
        <w:tc>
          <w:tcPr>
            <w:tcW w:w="54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(4,388 )   $</w:t>
            </w:r>
          </w:p>
        </w:tc>
        <w:tc>
          <w:tcPr>
            <w:tcW w:w="980" w:type="dxa"/>
            <w:vAlign w:val="bottom"/>
          </w:tcPr>
          <w:p>
            <w:pPr>
              <w:jc w:val="right"/>
              <w:spacing w:after="0"/>
              <w:rPr>
                <w:sz w:val="20"/>
                <w:szCs w:val="20"/>
                <w:color w:val="auto"/>
              </w:rPr>
            </w:pPr>
            <w:r>
              <w:rPr>
                <w:rFonts w:ascii="Arial" w:cs="Arial" w:eastAsia="Arial" w:hAnsi="Arial"/>
                <w:sz w:val="18"/>
                <w:szCs w:val="18"/>
                <w:color w:val="auto"/>
              </w:rPr>
              <w:t>(702 )</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(11,195 )   $</w:t>
            </w:r>
          </w:p>
        </w:tc>
        <w:tc>
          <w:tcPr>
            <w:tcW w:w="1000" w:type="dxa"/>
            <w:vAlign w:val="bottom"/>
          </w:tcPr>
          <w:p>
            <w:pPr>
              <w:jc w:val="right"/>
              <w:spacing w:after="0"/>
              <w:rPr>
                <w:sz w:val="20"/>
                <w:szCs w:val="20"/>
                <w:color w:val="auto"/>
              </w:rPr>
            </w:pPr>
            <w:r>
              <w:rPr>
                <w:rFonts w:ascii="Arial" w:cs="Arial" w:eastAsia="Arial" w:hAnsi="Arial"/>
                <w:sz w:val="18"/>
                <w:szCs w:val="18"/>
                <w:color w:val="auto"/>
              </w:rPr>
              <w:t>(2,860 )</w:t>
            </w:r>
          </w:p>
        </w:tc>
      </w:tr>
      <w:tr>
        <w:trPr>
          <w:trHeight w:val="249"/>
        </w:trPr>
        <w:tc>
          <w:tcPr>
            <w:tcW w:w="5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noncontrolling interests</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241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154305</wp:posOffset>
            </wp:positionV>
            <wp:extent cx="35401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9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loss attributable to common stockholders, basic and diluted</w:t>
      </w:r>
    </w:p>
    <w:p>
      <w:pPr>
        <w:spacing w:after="0" w:line="302"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Denominator</w:t>
      </w:r>
    </w:p>
    <w:p>
      <w:pPr>
        <w:spacing w:after="0" w:line="36" w:lineRule="exact"/>
        <w:rPr>
          <w:sz w:val="20"/>
          <w:szCs w:val="20"/>
          <w:color w:val="auto"/>
        </w:rPr>
      </w:pPr>
    </w:p>
    <w:p>
      <w:pPr>
        <w:ind w:left="260" w:right="280"/>
        <w:spacing w:after="0" w:line="270" w:lineRule="auto"/>
        <w:rPr>
          <w:sz w:val="20"/>
          <w:szCs w:val="20"/>
          <w:color w:val="auto"/>
        </w:rPr>
      </w:pPr>
      <w:r>
        <w:rPr>
          <w:rFonts w:ascii="Arial" w:cs="Arial" w:eastAsia="Arial" w:hAnsi="Arial"/>
          <w:sz w:val="18"/>
          <w:szCs w:val="18"/>
          <w:color w:val="auto"/>
        </w:rPr>
        <w:t>Weighted-average common shares outstanding, attributable to common stockholders, basic</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tabs>
          <w:tab w:leader="none" w:pos="580" w:val="left"/>
          <w:tab w:leader="none" w:pos="1340" w:val="left"/>
          <w:tab w:leader="none" w:pos="2080" w:val="left"/>
          <w:tab w:leader="none" w:pos="2780" w:val="left"/>
          <w:tab w:leader="none" w:pos="3460" w:val="left"/>
          <w:tab w:leader="none" w:pos="4300" w:val="left"/>
          <w:tab w:leader="none" w:pos="4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(4,388 )</w:t>
        <w:tab/>
        <w:t>$</w:t>
      </w:r>
      <w:r>
        <w:rPr>
          <w:sz w:val="20"/>
          <w:szCs w:val="20"/>
          <w:color w:val="auto"/>
        </w:rPr>
        <w:tab/>
      </w:r>
      <w:r>
        <w:rPr>
          <w:rFonts w:ascii="Arial" w:cs="Arial" w:eastAsia="Arial" w:hAnsi="Arial"/>
          <w:sz w:val="18"/>
          <w:szCs w:val="18"/>
          <w:color w:val="auto"/>
        </w:rPr>
        <w:t>(598 )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(11,195 )</w:t>
        <w:tab/>
        <w:t>$</w:t>
      </w:r>
      <w:r>
        <w:rPr>
          <w:sz w:val="20"/>
          <w:szCs w:val="20"/>
          <w:color w:val="auto"/>
        </w:rPr>
        <w:tab/>
      </w:r>
      <w:r>
        <w:rPr>
          <w:rFonts w:ascii="Arial" w:cs="Arial" w:eastAsia="Arial" w:hAnsi="Arial"/>
          <w:sz w:val="15"/>
          <w:szCs w:val="15"/>
          <w:color w:val="auto"/>
        </w:rPr>
        <w:t>(2,619 )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-130175</wp:posOffset>
            </wp:positionV>
            <wp:extent cx="6978015" cy="4889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7801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80"/>
        <w:spacing w:after="0"/>
        <w:tabs>
          <w:tab w:leader="none" w:pos="1520" w:val="left"/>
          <w:tab w:leader="none" w:pos="3120" w:val="left"/>
          <w:tab w:leader="none" w:pos="4480" w:val="left"/>
        </w:tabs>
        <w:rPr>
          <w:sz w:val="20"/>
          <w:szCs w:val="20"/>
          <w:color w:val="auto"/>
        </w:rPr>
      </w:pPr>
      <w:r>
        <w:rPr>
          <w:rFonts w:ascii="Arial" w:cs="Arial" w:eastAsia="Arial" w:hAnsi="Arial"/>
          <w:sz w:val="18"/>
          <w:szCs w:val="18"/>
          <w:color w:val="auto"/>
        </w:rPr>
        <w:t>135,918,707</w:t>
      </w:r>
      <w:r>
        <w:rPr>
          <w:sz w:val="20"/>
          <w:szCs w:val="20"/>
          <w:color w:val="auto"/>
        </w:rPr>
        <w:tab/>
      </w:r>
      <w:r>
        <w:rPr>
          <w:rFonts w:ascii="Arial" w:cs="Arial" w:eastAsia="Arial" w:hAnsi="Arial"/>
          <w:sz w:val="18"/>
          <w:szCs w:val="18"/>
          <w:color w:val="auto"/>
        </w:rPr>
        <w:t>134,403,059</w:t>
      </w:r>
      <w:r>
        <w:rPr>
          <w:sz w:val="20"/>
          <w:szCs w:val="20"/>
          <w:color w:val="auto"/>
        </w:rPr>
        <w:tab/>
      </w:r>
      <w:r>
        <w:rPr>
          <w:rFonts w:ascii="Arial" w:cs="Arial" w:eastAsia="Arial" w:hAnsi="Arial"/>
          <w:sz w:val="18"/>
          <w:szCs w:val="18"/>
          <w:color w:val="auto"/>
        </w:rPr>
        <w:t>135,705,139</w:t>
      </w:r>
      <w:r>
        <w:rPr>
          <w:sz w:val="20"/>
          <w:szCs w:val="20"/>
          <w:color w:val="auto"/>
        </w:rPr>
        <w:tab/>
      </w:r>
      <w:r>
        <w:rPr>
          <w:rFonts w:ascii="Arial" w:cs="Arial" w:eastAsia="Arial" w:hAnsi="Arial"/>
          <w:sz w:val="16"/>
          <w:szCs w:val="16"/>
          <w:color w:val="auto"/>
        </w:rPr>
        <w:t>134,154,171</w:t>
      </w:r>
    </w:p>
    <w:p>
      <w:pPr>
        <w:spacing w:after="0" w:line="43" w:lineRule="exact"/>
        <w:rPr>
          <w:sz w:val="20"/>
          <w:szCs w:val="20"/>
          <w:color w:val="auto"/>
        </w:rPr>
      </w:pPr>
    </w:p>
    <w:p>
      <w:pPr>
        <w:sectPr>
          <w:pgSz w:w="11900" w:h="16838" w:orient="portrait"/>
          <w:cols w:equalWidth="0" w:num="2">
            <w:col w:w="5000" w:space="500"/>
            <w:col w:w="5740"/>
          </w:cols>
          <w:pgMar w:left="320" w:top="337" w:right="339" w:bottom="1440" w:gutter="0" w:footer="0" w:header="0"/>
          <w:type w:val="continuous"/>
        </w:sectPr>
      </w:pPr>
    </w:p>
    <w:tbl>
      <w:tblPr>
        <w:tblLayout w:type="fixed"/>
        <w:tblInd w:w="60" w:type="dxa"/>
        <w:tblCellMar>
          <w:top w:w="0" w:type="dxa"/>
          <w:left w:w="0" w:type="dxa"/>
          <w:bottom w:w="0" w:type="dxa"/>
          <w:right w:w="0" w:type="dxa"/>
        </w:tblCellMar>
      </w:tblPr>
      <w:tr>
        <w:trPr>
          <w:trHeight w:val="236"/>
        </w:trPr>
        <w:tc>
          <w:tcPr>
            <w:tcW w:w="54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Effect of employee stock plans</w:t>
            </w:r>
          </w:p>
        </w:tc>
        <w:tc>
          <w:tcPr>
            <w:tcW w:w="1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420" w:type="dxa"/>
            <w:vAlign w:val="bottom"/>
          </w:tcPr>
          <w:p>
            <w:pPr>
              <w:ind w:left="200"/>
              <w:spacing w:after="0"/>
              <w:rPr>
                <w:sz w:val="20"/>
                <w:szCs w:val="20"/>
                <w:color w:val="auto"/>
              </w:rPr>
            </w:pPr>
            <w:r>
              <w:rPr>
                <w:rFonts w:ascii="Arial" w:cs="Arial" w:eastAsia="Arial" w:hAnsi="Arial"/>
                <w:sz w:val="18"/>
                <w:szCs w:val="18"/>
                <w:color w:val="auto"/>
              </w:rPr>
              <w:t>Weighted-average common shares outstanding, attributable to</w:t>
            </w:r>
          </w:p>
        </w:tc>
        <w:tc>
          <w:tcPr>
            <w:tcW w:w="140" w:type="dxa"/>
            <w:vAlign w:val="bottom"/>
          </w:tcPr>
          <w:p>
            <w:pPr>
              <w:spacing w:after="0"/>
              <w:rPr>
                <w:sz w:val="18"/>
                <w:szCs w:val="18"/>
                <w:color w:val="auto"/>
              </w:rPr>
            </w:pP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color w:val="auto"/>
                <w:w w:val="91"/>
              </w:rPr>
              <w:t>135,918,707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50"/>
              <w:spacing w:after="0"/>
              <w:rPr>
                <w:sz w:val="20"/>
                <w:szCs w:val="20"/>
                <w:color w:val="auto"/>
              </w:rPr>
            </w:pPr>
            <w:r>
              <w:rPr>
                <w:rFonts w:ascii="Arial" w:cs="Arial" w:eastAsia="Arial" w:hAnsi="Arial"/>
                <w:sz w:val="18"/>
                <w:szCs w:val="18"/>
                <w:color w:val="auto"/>
                <w:w w:val="91"/>
              </w:rPr>
              <w:t>134,403,059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135,705,139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color w:val="auto"/>
                <w:w w:val="91"/>
              </w:rPr>
              <w:t>134,154,171</w:t>
            </w:r>
          </w:p>
        </w:tc>
        <w:tc>
          <w:tcPr>
            <w:tcW w:w="0" w:type="dxa"/>
            <w:vAlign w:val="bottom"/>
          </w:tcPr>
          <w:p>
            <w:pPr>
              <w:spacing w:after="0"/>
              <w:rPr>
                <w:sz w:val="1"/>
                <w:szCs w:val="1"/>
                <w:color w:val="auto"/>
              </w:rPr>
            </w:pPr>
          </w:p>
        </w:tc>
      </w:tr>
      <w:tr>
        <w:trPr>
          <w:trHeight w:val="230"/>
        </w:trPr>
        <w:tc>
          <w:tcPr>
            <w:tcW w:w="5420" w:type="dxa"/>
            <w:vAlign w:val="bottom"/>
          </w:tcPr>
          <w:p>
            <w:pPr>
              <w:ind w:left="200"/>
              <w:spacing w:after="0"/>
              <w:rPr>
                <w:sz w:val="20"/>
                <w:szCs w:val="20"/>
                <w:color w:val="auto"/>
              </w:rPr>
            </w:pPr>
            <w:r>
              <w:rPr>
                <w:rFonts w:ascii="Arial" w:cs="Arial" w:eastAsia="Arial" w:hAnsi="Arial"/>
                <w:sz w:val="18"/>
                <w:szCs w:val="18"/>
                <w:color w:val="auto"/>
              </w:rPr>
              <w:t>common stockholders, diluted</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 per share, basic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(0.03 )   $</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(0.00 )</w:t>
            </w: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(0.08 )   $</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(0.02 )</w:t>
            </w:r>
          </w:p>
        </w:tc>
        <w:tc>
          <w:tcPr>
            <w:tcW w:w="0" w:type="dxa"/>
            <w:vAlign w:val="bottom"/>
          </w:tcPr>
          <w:p>
            <w:pPr>
              <w:spacing w:after="0"/>
              <w:rPr>
                <w:sz w:val="1"/>
                <w:szCs w:val="1"/>
                <w:color w:val="auto"/>
              </w:rPr>
            </w:pPr>
          </w:p>
        </w:tc>
      </w:tr>
      <w:tr>
        <w:trPr>
          <w:trHeight w:val="203"/>
        </w:trPr>
        <w:tc>
          <w:tcPr>
            <w:tcW w:w="5420" w:type="dxa"/>
            <w:vAlign w:val="bottom"/>
          </w:tcPr>
          <w:p>
            <w:pPr>
              <w:ind w:left="20"/>
              <w:spacing w:after="0" w:line="203" w:lineRule="exact"/>
              <w:rPr>
                <w:sz w:val="20"/>
                <w:szCs w:val="20"/>
                <w:color w:val="auto"/>
              </w:rPr>
            </w:pPr>
            <w:r>
              <w:rPr>
                <w:rFonts w:ascii="Arial" w:cs="Arial" w:eastAsia="Arial" w:hAnsi="Arial"/>
                <w:sz w:val="18"/>
                <w:szCs w:val="18"/>
                <w:color w:val="auto"/>
              </w:rPr>
              <w:t>diluted</w:t>
            </w:r>
          </w:p>
        </w:tc>
        <w:tc>
          <w:tcPr>
            <w:tcW w:w="140" w:type="dxa"/>
            <w:vAlign w:val="bottom"/>
            <w:vMerge w:val="continue"/>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-745490</wp:posOffset>
            </wp:positionV>
            <wp:extent cx="85725" cy="3003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-745490</wp:posOffset>
            </wp:positionV>
            <wp:extent cx="137160" cy="3003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3003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-745490</wp:posOffset>
            </wp:positionV>
            <wp:extent cx="85725" cy="3003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300355"/>
                    </a:xfrm>
                    <a:prstGeom prst="rect">
                      <a:avLst/>
                    </a:prstGeom>
                    <a:noFill/>
                  </pic:spPr>
                </pic:pic>
              </a:graphicData>
            </a:graphic>
          </wp:anchor>
        </w:drawing>
      </w:r>
    </w:p>
    <w:p>
      <w:pPr>
        <w:spacing w:after="0" w:line="7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Share-based compensation awards of approximately 6.9 million and 6.0 million shares for the three and six months ended June 30, 2023, respectively, and 4.4 million and 3.9 million shares for the three and six months ended June 30, 2022 respectively, were outstanding but were not included in the computation of diluted net loss per share attributable to common stockholders because the effect of including such shares would have been anti-dilutive in the periods presented.</w:t>
      </w:r>
    </w:p>
    <w:p>
      <w:pPr>
        <w:spacing w:after="0" w:line="291"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areas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Company sells its products worldwide and attributes revenue to the geography where the product is delivered. The geographical distribution of revenue for the three and six months ended June 30, 2023 and 2022 was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w w:val="98"/>
              </w:rPr>
              <w:t>Three months ended June 30,</w:t>
            </w: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69"/>
        </w:trPr>
        <w:tc>
          <w:tcPr>
            <w:tcW w:w="5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r>
      <w:tr>
        <w:trPr>
          <w:trHeight w:val="23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31,440</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24,761</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51,280</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45,085</w:t>
            </w: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EMEA</w:t>
            </w:r>
          </w:p>
        </w:tc>
        <w:tc>
          <w:tcPr>
            <w:tcW w:w="240" w:type="dxa"/>
            <w:vAlign w:val="bottom"/>
          </w:tcPr>
          <w:p>
            <w:pPr>
              <w:spacing w:after="0"/>
              <w:rPr>
                <w:sz w:val="20"/>
                <w:szCs w:val="20"/>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9,084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8,838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19,115</w:t>
            </w:r>
          </w:p>
        </w:tc>
        <w:tc>
          <w:tcPr>
            <w:tcW w:w="340" w:type="dxa"/>
            <w:vAlign w:val="bottom"/>
          </w:tcPr>
          <w:p>
            <w:pPr>
              <w:spacing w:after="0"/>
              <w:rPr>
                <w:sz w:val="20"/>
                <w:szCs w:val="20"/>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17,522</w:t>
            </w:r>
          </w:p>
        </w:tc>
      </w:tr>
      <w:tr>
        <w:trPr>
          <w:trHeight w:val="249"/>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APAC</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7,053</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6,142</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13,274</w:t>
            </w: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11,153</w:t>
            </w: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2,116</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1,463</w:t>
            </w:r>
          </w:p>
        </w:tc>
      </w:tr>
      <w:tr>
        <w:trPr>
          <w:trHeight w:val="283"/>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 net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49,693</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40,159</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86,781</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75,223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946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946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946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946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EMEA includes Europe, the Middle East and Africa; APAC includes Asia and the Pacific countries; Other includes Canada and Latin America.</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and six months ended June 30, 2023 and 2022, the Company had no major customers.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2023 and December 31, 2022, the Company’s long-lived assets by geographic area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417"/>
              <w:spacing w:after="0"/>
              <w:rPr>
                <w:sz w:val="20"/>
                <w:szCs w:val="20"/>
                <w:color w:val="auto"/>
              </w:rPr>
            </w:pPr>
            <w:r>
              <w:rPr>
                <w:rFonts w:ascii="Arial" w:cs="Arial" w:eastAsia="Arial" w:hAnsi="Arial"/>
                <w:sz w:val="14"/>
                <w:szCs w:val="14"/>
                <w:b w:val="1"/>
                <w:bCs w:val="1"/>
                <w:color w:val="auto"/>
              </w:rPr>
              <w:t>December 31,</w:t>
            </w:r>
          </w:p>
        </w:tc>
      </w:tr>
      <w:tr>
        <w:trPr>
          <w:trHeight w:val="228"/>
        </w:trPr>
        <w:tc>
          <w:tcPr>
            <w:tcW w:w="7600" w:type="dxa"/>
            <w:vAlign w:val="bottom"/>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2022</w:t>
            </w:r>
          </w:p>
        </w:tc>
      </w:tr>
      <w:tr>
        <w:trPr>
          <w:trHeight w:val="236"/>
        </w:trPr>
        <w:tc>
          <w:tcPr>
            <w:tcW w:w="7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1480" w:type="dxa"/>
            <w:vAlign w:val="bottom"/>
          </w:tcPr>
          <w:p>
            <w:pPr>
              <w:spacing w:after="0"/>
              <w:rPr>
                <w:sz w:val="20"/>
                <w:szCs w:val="20"/>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8,360</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6,426</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APAC</w:t>
            </w:r>
          </w:p>
        </w:tc>
        <w:tc>
          <w:tcPr>
            <w:tcW w:w="10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7,228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7,256</w:t>
            </w:r>
          </w:p>
        </w:tc>
      </w:tr>
      <w:tr>
        <w:trPr>
          <w:trHeight w:val="28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15,588</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8"/>
                <w:szCs w:val="18"/>
                <w:color w:val="auto"/>
              </w:rPr>
              <w:t>13,682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137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137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June 30, 2023 and December 31, 2022, substantially all of the Company’s long-lived assets were located in the United States and in Wuxi,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4" w:name="page25"/>
    <w:bookmarkEnd w:id="24"/>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On May 7, 2022, the Company’s wholly-owned Hong Kong subsidiary (“Cytek HK”) completed an investment of $1.6 million in Tianjin Deep Analysis Intelligent Technology Development Co., Ltd, a company incorporated under the laws of the People’s Republic of China (“DeepCyto”) in consideration for the issuance of Series A preferred shares of DeepCyto, representing an ownership interest of approximately 3.3%. An entity affiliated with Northern Light Venture Capital (“NLVC”) has a significant ownership interest in DeepCyto and has a representative serving on the DeepCyto board of directors. The founding managing partner of NLVC served as a member of the Company’s board of directors until June 1, 2022.</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jc w:val="both"/>
        <w:ind w:left="20" w:firstLine="509"/>
        <w:spacing w:after="0" w:line="296"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interim consolidated financial statements and related notes included in this Quarterly Report on Form 10-Q and the audited consolidated financial statements and notes thereto as of and for the year ended December 31, 2022 and the related Management’s Discussion and Analysis of Financial Condition and Results of Operations, both of which are contained in our Annual Report on Form 10-K filed with the Securities and Exchange Commission (the “SEC”) on March 1, 2023. Unless the context requires otherwise, references in this Quarterly Report on Form 10-Q to “we,” “us” and “our” refer to Cytek Biosciences, Inc.</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333" w:lineRule="exact"/>
        <w:rPr>
          <w:sz w:val="20"/>
          <w:szCs w:val="20"/>
          <w:color w:val="auto"/>
        </w:rPr>
      </w:pPr>
    </w:p>
    <w:p>
      <w:pPr>
        <w:jc w:val="both"/>
        <w:ind w:left="20" w:firstLine="509"/>
        <w:spacing w:after="0" w:line="269" w:lineRule="auto"/>
        <w:rPr>
          <w:sz w:val="20"/>
          <w:szCs w:val="20"/>
          <w:color w:val="auto"/>
        </w:rPr>
      </w:pPr>
      <w:r>
        <w:rPr>
          <w:rFonts w:ascii="Arial" w:cs="Arial" w:eastAsia="Arial" w:hAnsi="Arial"/>
          <w:sz w:val="17"/>
          <w:szCs w:val="17"/>
          <w:i w:val="1"/>
          <w:iCs w:val="1"/>
          <w:color w:val="auto"/>
        </w:rPr>
        <w:t>The information in this discussion contains forward-looking statements and information within the meaning of Section 27A of the Securities Act of 1933, as amended, (the Securities Act) and Section 21E of the Securities Exchange Act of 1934, as amended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this Quarterly Report on Form 10-Q and in our other filings with the SEC. The forward-looking statements are applicable only as of the date on which they are made, and we do not assume any obligation to update any forward-looking statements.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are a leading cell analysis solutions company advancing the next generation of cell analysis tools by leveraging novel technical approaches. Our goal is to become the premier cell analysis company through continued innovation that facilitates scientific advances in biomedical research and clinical applications. We believe our core instruments, the Aurora and Northern Lights systems, are the first full spectrum flow cytometers able to deliver high-resolution, high-content and high-sensitivity cell analysis by utilizing the full spectrum of fluorescence signatures from multiple lasers to distinguish fluorescent tags on single cells (“Full Spectrum Profiling” or “FSP”). Our novel approach harnesses the power of information within the entire spectrum of a fluorescent signal to achieve a higher level of multiplexing with exquisite sensitivity. Our patented FSP technology optimizes sensitivity and accuracy through its novel optical and electronic designs that utilize an innovative method of light detection and distribution. Our FSP platform includes instruments, reagents, software and services to provide a comprehensive and integrated suite of solutions for our customers. Since our first U.S. commercial launch in mid-2017, we have sold and deployed over 1,878 organic Cytek instruments—primarily comprised of our Aurora and Northern Lights systems—to customers around the world, including the largest pharmaceutical companies, over 200 biopharma companies, leading academic research centers, and clinical research organizations (“CROs”). In June 2021, we began shipping the Aurora cell sorter (“Aurora CS”), which uses our FSP technology to further broaden our potential applications across cell analysis.</w:t>
      </w:r>
    </w:p>
    <w:p>
      <w:pPr>
        <w:spacing w:after="0" w:line="7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On February 28, 2023, we completed the acquisition of the flow cytometry and imaging (“FCI”) business unit of Luminex Corporation (“Luminex”), including relating to the business of manufacturing, marketing, selling, servicing and maintaining Amnis-, CellStream-, Guava- and Muse-branded instruments, and flow cytometry reagent products and services.</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manufacture our instruments in our facilities in Fremont, California, Seattle, Washington and in Wuxi, China. We have designed our operating model to be capital efficient and to scale efficiently as our product volumes grow.</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revenue for the three and six months ended June 30, 2023 was $49.7 million and $86.8 million, respectively, representing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24% and 15% increase compared to revenue for the three and six months ended June 30, 2022 of $40.2 million and $75.2 million respectively. Total revenue for the three months ended June 30, 2023 included $8.2 million of revenue from the FCI business unit. Excluding revenue from the FCI business unit for the three months ended June 30, 2023, organic revenue was $41.5 million, a 3.3% increase compared to the same period of the prior year. The increase in organic revenue was primarily related to sales to pharmaceutical and biotech customers in the United States, and stronger revenue growth across the EMEA and APAC regions.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date, we have adopted a direct sales model in North America, Europe, China, and several other countries in the Asia-Pacific</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region, and also sell our products through third-party distributors in certain countries in China, Europe, Latin America, the Middle East, Africa and the Asia-Pacific region. Revenue from direct sales represented 77% and 73% of total revenue for the three and six months ended June 30, 2023 and 84% and 86% total revenue for the three and six months ended was June 30, 2022, respectively, and revenue from distributors represented 23% and 27% of total revenue for the three and six months ended June 30, 2023 and revenue from distributors represented 16% and 14% of total revenue for the three and six months ended June 30, 2022. If our sales in region outside United States increase, we expect revenue from our distribution channel to increase.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color w:val="auto"/>
        </w:rPr>
        <w:t>We focus a substantial portion of our resources on developing new products and solutions to meet our customers’ needs. Our</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efforts focus on developing new and complementary instruments, reagents and reagent kits, and continued operating software development. We incurred research and development expenses of $12.1 million and $22.1 million for the three and six months ended June 30, 2023, respectively, and $8.4 million and $16.5 million for the three and six months ended June 30, 2022, respectively. We intend to continue to make significant investments in research and development in the future.</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continue to invest in our commercial infrastructure through hiring additional employees with strong scientific and</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technical backgrounds to support growth in sales of our instruments as well as our planned expansion of reagents offerings and panel design capabilities. We also plan to continue to invest in sales, marketing and business development across the globe to drive commercialization of our products. We incurred sales and marketing expenses of $14.4 million and $25.5 million for the three and six months ended June 30, 2023, respectively, and $8.4 million and $15.4 million for the three and six months ended June 30, 2022, respectively.</w:t>
      </w:r>
    </w:p>
    <w:p>
      <w:pPr>
        <w:spacing w:after="0" w:line="193" w:lineRule="exact"/>
        <w:rPr>
          <w:sz w:val="20"/>
          <w:szCs w:val="20"/>
          <w:color w:val="auto"/>
        </w:rPr>
      </w:pPr>
    </w:p>
    <w:p>
      <w:pPr>
        <w:ind w:right="1480" w:firstLine="509"/>
        <w:spacing w:after="0" w:line="277" w:lineRule="auto"/>
        <w:rPr>
          <w:sz w:val="20"/>
          <w:szCs w:val="20"/>
          <w:color w:val="auto"/>
        </w:rPr>
      </w:pPr>
      <w:r>
        <w:rPr>
          <w:rFonts w:ascii="Arial" w:cs="Arial" w:eastAsia="Arial" w:hAnsi="Arial"/>
          <w:sz w:val="18"/>
          <w:szCs w:val="18"/>
          <w:color w:val="auto"/>
        </w:rPr>
        <w:t>Since our inception in 2014, we have financed our operations primarily through sales of our securities and revenue from the sale of our products and services.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net loss was $4.4 million and $11.2 million for the three and six months ended June 30, 2023, respectively, and net loss was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$0.7 million and $2.9 million for the three and six months ended June 30, 2022, respectively. The change for the three and six months ended June 30, 2023 compared to the three and six months ended June 30, 2022 resulted primarily from expenses driven by an increase in headcount and salaries and efforts in research and development and marketing initiatives.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expenses will increase substantially in connection with our ongoing activities, as we:</w:t>
      </w:r>
    </w:p>
    <w:p>
      <w:pPr>
        <w:spacing w:after="0" w:line="117"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invest in processes, commercial infrastructure and supporting functions to scale our business and introduce new products and services;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support our research and development efforts;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expand geographically; 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protect and defend our intellectual property;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strategic investments in complementary businesses, services, products or technologies. 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 of operations and future performance</w:t>
      </w:r>
    </w:p>
    <w:p>
      <w:pPr>
        <w:spacing w:after="0" w:line="12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believe that our financial performance has been, and in the foreseeable future will continue to be, primarily driven by multiple factors as described below, each of which presents growth opportunities for our business. These factors also pose important challenges that we must successfully address to sustain our growth and improve our results of operations. Our ability to successfully address these challenges is subject to various risk and uncertainties, including those described under the heading “Risk Factors” included elsewhere in this Quarterly Report on Form 10-Q.</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Global customer adoption</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Our financial performance has largely been driven by our ability to increase the adoption of our FSP platform, a key factor on which our future success depends. We plan to drive global customer adoption through business development efforts, direct sales and marketing and third-party distributions. We are investing in our direct sales organization and commercial support functions and developing third-party distributor relationships to support global expansion and drive revenue growth. As part of this effort, headcount in our direct sales organization and commercial support functions as of the six months ended June 30, 2023 increased by approximately 63% as compared to the six months ended June 30, 2022. We intend to continue increasing our workforce in line with our growth.</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Recurring revenues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believe our expanding installed base of instruments to new and existing customers will provide us with greater leverage to drive pull-through for reagent and service revenue, which are recurring by nature. Furthermore, as we develop and identify new applications and products, we expect to further increase pull-through across our installed base. We expect recurring revenue on an absolute basis to increase and become an increasingly important contributor to our revenue as our installed base expands.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mix and gross margin</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revenue is primarily derived from sales of our instruments and services with our instruments recognizing higher gross margins than our services. Although we expect sales of our instruments to continue to represent the largest percentage of our revenue in the future, we expect reagent sales to increase as a percentage of our total revenue and our gross margins to experience a corresponding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jc w:val="both"/>
        <w:spacing w:after="0" w:line="293" w:lineRule="auto"/>
        <w:rPr>
          <w:sz w:val="20"/>
          <w:szCs w:val="20"/>
          <w:color w:val="auto"/>
        </w:rPr>
      </w:pPr>
      <w:r>
        <w:rPr>
          <w:rFonts w:ascii="Arial" w:cs="Arial" w:eastAsia="Arial" w:hAnsi="Arial"/>
          <w:sz w:val="16"/>
          <w:szCs w:val="16"/>
          <w:color w:val="auto"/>
        </w:rPr>
        <w:t>improvement as we grow our installed base and increase our focus on commercializing reagents. We also expect a higher gross margin on our instruments as we increase manufacturing efficiency, instrument reliability and training for personnel using our instruments, which we expect to lead to a reduction in warranty claims. Our sales in certain regions, particularly outside of the United States, are realized through third-party distribution partners that typically receive discounted prices, thus resulting in lower gross margins than those recognized by our direct sales organization. Furthermore, our gross margins and instrument selling prices may fluctuate in the future as we continue to grow our volume of third-party distribution partners in geographies outside of the United States, introduce new products and reduce our production costs as a result of variability in the timing of new product introductions.</w:t>
      </w:r>
    </w:p>
    <w:p>
      <w:pPr>
        <w:spacing w:after="0" w:line="5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the near term, we expect the continued optimization of our manufacturing processes related to our instruments and the expansion of product manufacturing distribution facilities to have the greatest impact on our gross margin. In addition to the impact of competing products entering the market, the future gross margin profiles of our instruments, services and reagents will depend on the outcome of any royalties we are required to pay and the royalty rates and products to which such royalties apply.</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Expansion into new markets</w:t>
      </w:r>
    </w:p>
    <w:p>
      <w:pPr>
        <w:spacing w:after="0" w:line="1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focus our research and development efforts on the greatest value-additive products to meet the growing and unmet needs of the research and clinical markets. We work closely with researchers, clinicians and scientists to optimize and implement new panels and applications to meet their specific needs. We also gain valuable insight on potential new products, new applications and enhancements to existing products, as well as biomarker combinations that would be beneficial in different fields, through collaborations with our customers, academic laboratories, KOLs and industry partners. We plan to continue to invest in new product development and enhancements to support our expansion into new markets.</w:t>
      </w:r>
    </w:p>
    <w:p>
      <w:pPr>
        <w:spacing w:after="0" w:line="6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Northern Lights CLC system was certified under the European Union In Vitro Diagnostic Medical Devices Directive in September 2020 and is registered as an in vitro diagnostic medical device under Northern Lights Clinical Flow Cytometer. The certification enables the Northern Lights CLC system to be sold into in vitro diagnostic laboratories in the European Union and in other countries around the world that accept this specific certification. The Northern Lights CLC system is also certified for in vitro diagnostic use as a Class II device in China.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regularly review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will change or may be substituted for additional or different metrics as our business grows.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w w:val="90"/>
              </w:rPr>
              <w:t>Three months ended June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Dollar</w:t>
            </w:r>
          </w:p>
        </w:tc>
        <w:tc>
          <w:tcPr>
            <w:tcW w:w="140" w:type="dxa"/>
            <w:vAlign w:val="bottom"/>
          </w:tcPr>
          <w:p>
            <w:pPr>
              <w:spacing w:after="0"/>
              <w:rPr>
                <w:sz w:val="16"/>
                <w:szCs w:val="16"/>
                <w:color w:val="auto"/>
              </w:rPr>
            </w:pPr>
          </w:p>
        </w:tc>
        <w:tc>
          <w:tcPr>
            <w:tcW w:w="2020" w:type="dxa"/>
            <w:vAlign w:val="bottom"/>
            <w:gridSpan w:val="4"/>
          </w:tcPr>
          <w:p>
            <w:pPr>
              <w:jc w:val="right"/>
              <w:ind w:right="233"/>
              <w:spacing w:after="0"/>
              <w:rPr>
                <w:sz w:val="20"/>
                <w:szCs w:val="20"/>
                <w:color w:val="auto"/>
              </w:rPr>
            </w:pPr>
            <w:r>
              <w:rPr>
                <w:rFonts w:ascii="Arial" w:cs="Arial" w:eastAsia="Arial" w:hAnsi="Arial"/>
                <w:sz w:val="14"/>
                <w:szCs w:val="14"/>
                <w:b w:val="1"/>
                <w:bCs w:val="1"/>
                <w:color w:val="auto"/>
                <w:w w:val="93"/>
              </w:rPr>
              <w:t>Six months ended June 30,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Dollar</w:t>
            </w:r>
          </w:p>
        </w:tc>
        <w:tc>
          <w:tcPr>
            <w:tcW w:w="0" w:type="dxa"/>
            <w:vAlign w:val="bottom"/>
          </w:tcPr>
          <w:p>
            <w:pPr>
              <w:spacing w:after="0"/>
              <w:rPr>
                <w:sz w:val="1"/>
                <w:szCs w:val="1"/>
                <w:color w:val="auto"/>
              </w:rPr>
            </w:pPr>
          </w:p>
        </w:tc>
      </w:tr>
      <w:tr>
        <w:trPr>
          <w:trHeight w:val="138"/>
        </w:trPr>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395"/>
              <w:spacing w:after="0"/>
              <w:rPr>
                <w:sz w:val="20"/>
                <w:szCs w:val="20"/>
                <w:color w:val="auto"/>
              </w:rPr>
            </w:pPr>
            <w:r>
              <w:rPr>
                <w:rFonts w:ascii="Arial" w:cs="Arial" w:eastAsia="Arial" w:hAnsi="Arial"/>
                <w:sz w:val="14"/>
                <w:szCs w:val="14"/>
                <w:b w:val="1"/>
                <w:bCs w:val="1"/>
                <w:color w:val="auto"/>
                <w:w w:val="97"/>
              </w:rPr>
              <w:t>Change</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55"/>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69"/>
        </w:trPr>
        <w:tc>
          <w:tcPr>
            <w:tcW w:w="4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3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Sales channel mix</w:t>
            </w:r>
          </w:p>
        </w:tc>
        <w:tc>
          <w:tcPr>
            <w:tcW w:w="1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ind w:left="160"/>
              <w:spacing w:after="0"/>
              <w:rPr>
                <w:sz w:val="20"/>
                <w:szCs w:val="20"/>
                <w:color w:val="auto"/>
              </w:rPr>
            </w:pPr>
            <w:r>
              <w:rPr>
                <w:rFonts w:ascii="Arial" w:cs="Arial" w:eastAsia="Arial" w:hAnsi="Arial"/>
                <w:sz w:val="18"/>
                <w:szCs w:val="18"/>
                <w:color w:val="auto"/>
              </w:rPr>
              <w:t>Direct sales channel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37,854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33,602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4,252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63,307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64,521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(1,214 )</w:t>
            </w:r>
          </w:p>
        </w:tc>
        <w:tc>
          <w:tcPr>
            <w:tcW w:w="0" w:type="dxa"/>
            <w:vAlign w:val="bottom"/>
          </w:tcPr>
          <w:p>
            <w:pPr>
              <w:spacing w:after="0"/>
              <w:rPr>
                <w:sz w:val="1"/>
                <w:szCs w:val="1"/>
                <w:color w:val="auto"/>
              </w:rPr>
            </w:pPr>
          </w:p>
        </w:tc>
      </w:tr>
      <w:tr>
        <w:trPr>
          <w:trHeight w:val="249"/>
        </w:trPr>
        <w:tc>
          <w:tcPr>
            <w:tcW w:w="446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Distributor channel</w:t>
            </w:r>
          </w:p>
        </w:tc>
        <w:tc>
          <w:tcPr>
            <w:tcW w:w="1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11,839</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6,557</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195"/>
              <w:spacing w:after="0"/>
              <w:rPr>
                <w:sz w:val="20"/>
                <w:szCs w:val="20"/>
                <w:color w:val="auto"/>
              </w:rPr>
            </w:pPr>
            <w:r>
              <w:rPr>
                <w:rFonts w:ascii="Arial" w:cs="Arial" w:eastAsia="Arial" w:hAnsi="Arial"/>
                <w:sz w:val="18"/>
                <w:szCs w:val="18"/>
                <w:color w:val="auto"/>
              </w:rPr>
              <w:t>5,282</w:t>
            </w: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23,474</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10,702</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12,772</w:t>
            </w:r>
          </w:p>
        </w:tc>
        <w:tc>
          <w:tcPr>
            <w:tcW w:w="0" w:type="dxa"/>
            <w:vAlign w:val="bottom"/>
          </w:tcPr>
          <w:p>
            <w:pPr>
              <w:spacing w:after="0"/>
              <w:rPr>
                <w:sz w:val="1"/>
                <w:szCs w:val="1"/>
                <w:color w:val="auto"/>
              </w:rPr>
            </w:pPr>
          </w:p>
        </w:tc>
      </w:tr>
      <w:tr>
        <w:trPr>
          <w:trHeight w:val="237"/>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Total revenue,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49,693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40,159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9,534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86,781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75,223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11,558</w:t>
            </w: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Customer mix</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ind w:left="160"/>
              <w:spacing w:after="0"/>
              <w:rPr>
                <w:sz w:val="20"/>
                <w:szCs w:val="20"/>
                <w:color w:val="auto"/>
              </w:rPr>
            </w:pPr>
            <w:r>
              <w:rPr>
                <w:rFonts w:ascii="Arial" w:cs="Arial" w:eastAsia="Arial" w:hAnsi="Arial"/>
                <w:sz w:val="18"/>
                <w:szCs w:val="18"/>
                <w:color w:val="auto"/>
              </w:rPr>
              <w:t>Academia and government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20,405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15,406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4,999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35,602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29,813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21"/>
        </w:trPr>
        <w:tc>
          <w:tcPr>
            <w:tcW w:w="44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Biotechnology, pharmaceutical, distributor and</w:t>
            </w:r>
          </w:p>
        </w:tc>
        <w:tc>
          <w:tcPr>
            <w:tcW w:w="120" w:type="dxa"/>
            <w:vAlign w:val="bottom"/>
            <w:shd w:val="clear" w:color="auto" w:fill="CFF0FC"/>
          </w:tcPr>
          <w:p>
            <w:pPr>
              <w:spacing w:after="0"/>
              <w:rPr>
                <w:sz w:val="19"/>
                <w:szCs w:val="19"/>
                <w:color w:val="auto"/>
              </w:rPr>
            </w:pPr>
          </w:p>
        </w:tc>
        <w:tc>
          <w:tcPr>
            <w:tcW w:w="900" w:type="dxa"/>
            <w:vAlign w:val="bottom"/>
            <w:vMerge w:val="restart"/>
            <w:shd w:val="clear" w:color="auto" w:fill="CFF0FC"/>
          </w:tcPr>
          <w:p>
            <w:pPr>
              <w:jc w:val="right"/>
              <w:ind w:right="55"/>
              <w:spacing w:after="0"/>
              <w:rPr>
                <w:sz w:val="20"/>
                <w:szCs w:val="20"/>
                <w:color w:val="auto"/>
              </w:rPr>
            </w:pPr>
            <w:r>
              <w:rPr>
                <w:rFonts w:ascii="Arial" w:cs="Arial" w:eastAsia="Arial" w:hAnsi="Arial"/>
                <w:sz w:val="18"/>
                <w:szCs w:val="18"/>
                <w:color w:val="auto"/>
              </w:rPr>
              <w:t>29,288</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vMerge w:val="restart"/>
            <w:shd w:val="clear" w:color="auto" w:fill="CFF0FC"/>
          </w:tcPr>
          <w:p>
            <w:pPr>
              <w:jc w:val="right"/>
              <w:ind w:right="73"/>
              <w:spacing w:after="0"/>
              <w:rPr>
                <w:sz w:val="20"/>
                <w:szCs w:val="20"/>
                <w:color w:val="auto"/>
              </w:rPr>
            </w:pPr>
            <w:r>
              <w:rPr>
                <w:rFonts w:ascii="Arial" w:cs="Arial" w:eastAsia="Arial" w:hAnsi="Arial"/>
                <w:sz w:val="18"/>
                <w:szCs w:val="18"/>
                <w:color w:val="auto"/>
              </w:rPr>
              <w:t>24,753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vMerge w:val="restart"/>
            <w:shd w:val="clear" w:color="auto" w:fill="CFF0FC"/>
          </w:tcPr>
          <w:p>
            <w:pPr>
              <w:jc w:val="right"/>
              <w:ind w:right="195"/>
              <w:spacing w:after="0"/>
              <w:rPr>
                <w:sz w:val="20"/>
                <w:szCs w:val="20"/>
                <w:color w:val="auto"/>
              </w:rPr>
            </w:pPr>
            <w:r>
              <w:rPr>
                <w:rFonts w:ascii="Arial" w:cs="Arial" w:eastAsia="Arial" w:hAnsi="Arial"/>
                <w:sz w:val="18"/>
                <w:szCs w:val="18"/>
                <w:color w:val="auto"/>
              </w:rPr>
              <w:t>4,535</w:t>
            </w:r>
          </w:p>
        </w:tc>
        <w:tc>
          <w:tcPr>
            <w:tcW w:w="140" w:type="dxa"/>
            <w:vAlign w:val="bottom"/>
            <w:shd w:val="clear" w:color="auto" w:fill="CFF0FC"/>
          </w:tcPr>
          <w:p>
            <w:pPr>
              <w:spacing w:after="0"/>
              <w:rPr>
                <w:sz w:val="19"/>
                <w:szCs w:val="19"/>
                <w:color w:val="auto"/>
              </w:rPr>
            </w:pPr>
          </w:p>
        </w:tc>
        <w:tc>
          <w:tcPr>
            <w:tcW w:w="880" w:type="dxa"/>
            <w:vAlign w:val="bottom"/>
            <w:vMerge w:val="restart"/>
            <w:shd w:val="clear" w:color="auto" w:fill="CFF0FC"/>
          </w:tcPr>
          <w:p>
            <w:pPr>
              <w:jc w:val="right"/>
              <w:ind w:right="75"/>
              <w:spacing w:after="0"/>
              <w:rPr>
                <w:sz w:val="20"/>
                <w:szCs w:val="20"/>
                <w:color w:val="auto"/>
              </w:rPr>
            </w:pPr>
            <w:r>
              <w:rPr>
                <w:rFonts w:ascii="Arial" w:cs="Arial" w:eastAsia="Arial" w:hAnsi="Arial"/>
                <w:sz w:val="18"/>
                <w:szCs w:val="18"/>
                <w:color w:val="auto"/>
              </w:rPr>
              <w:t>51,179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vMerge w:val="restart"/>
            <w:shd w:val="clear" w:color="auto" w:fill="CFF0FC"/>
          </w:tcPr>
          <w:p>
            <w:pPr>
              <w:jc w:val="right"/>
              <w:ind w:right="53"/>
              <w:spacing w:after="0"/>
              <w:rPr>
                <w:sz w:val="20"/>
                <w:szCs w:val="20"/>
                <w:color w:val="auto"/>
              </w:rPr>
            </w:pPr>
            <w:r>
              <w:rPr>
                <w:rFonts w:ascii="Arial" w:cs="Arial" w:eastAsia="Arial" w:hAnsi="Arial"/>
                <w:sz w:val="18"/>
                <w:szCs w:val="18"/>
                <w:color w:val="auto"/>
              </w:rPr>
              <w:t>45,410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vMerge w:val="restart"/>
            <w:shd w:val="clear" w:color="auto" w:fill="CFF0FC"/>
          </w:tcPr>
          <w:p>
            <w:pPr>
              <w:jc w:val="right"/>
              <w:ind w:right="55"/>
              <w:spacing w:after="0"/>
              <w:rPr>
                <w:sz w:val="20"/>
                <w:szCs w:val="20"/>
                <w:color w:val="auto"/>
              </w:rPr>
            </w:pPr>
            <w:r>
              <w:rPr>
                <w:rFonts w:ascii="Arial" w:cs="Arial" w:eastAsia="Arial" w:hAnsi="Arial"/>
                <w:sz w:val="18"/>
                <w:szCs w:val="18"/>
                <w:color w:val="auto"/>
              </w:rPr>
              <w:t>5,769</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gridSpan w:val="2"/>
            <w:shd w:val="clear" w:color="auto" w:fill="CFF0FC"/>
          </w:tcPr>
          <w:p>
            <w:pPr>
              <w:ind w:left="340"/>
              <w:spacing w:after="0"/>
              <w:rPr>
                <w:sz w:val="20"/>
                <w:szCs w:val="20"/>
                <w:color w:val="auto"/>
              </w:rPr>
            </w:pPr>
            <w:r>
              <w:rPr>
                <w:rFonts w:ascii="Arial" w:cs="Arial" w:eastAsia="Arial" w:hAnsi="Arial"/>
                <w:sz w:val="18"/>
                <w:szCs w:val="18"/>
                <w:color w:val="auto"/>
              </w:rPr>
              <w:t>CRO</w:t>
            </w:r>
          </w:p>
        </w:tc>
        <w:tc>
          <w:tcPr>
            <w:tcW w:w="1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Total revenue,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49,693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40,159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9,534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86,781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75,223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11,558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-967740</wp:posOffset>
            </wp:positionV>
            <wp:extent cx="7747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-967740</wp:posOffset>
            </wp:positionV>
            <wp:extent cx="7747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-967740</wp:posOffset>
            </wp:positionV>
            <wp:extent cx="85725"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-967740</wp:posOffset>
            </wp:positionV>
            <wp:extent cx="85725"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-187960</wp:posOffset>
            </wp:positionV>
            <wp:extent cx="7747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-187960</wp:posOffset>
            </wp:positionV>
            <wp:extent cx="7747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-187960</wp:posOffset>
            </wp:positionV>
            <wp:extent cx="85725"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-187960</wp:posOffset>
            </wp:positionV>
            <wp:extent cx="85725"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Distributors typically sell to end customers identified in other customer categories.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Events and Uncertainties</w:t>
      </w:r>
    </w:p>
    <w:p>
      <w:pPr>
        <w:spacing w:after="0" w:line="12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recent trends towards rising inflation may adversely affect our business and corresponding financial position and cash flows. Inflationary factors, such as increases in the cost of materials and supplies, interest rates and overhead costs may adversely affect our operating results. The general consensus among economists suggests that we should expect a higher recession risk to continue over the next year, which could result in further economic uncertainty and volatility in the capital markets in the near term, and could negatively affect our operations. Although we do not believe that inflation has had a material impact on our financial position or results of operations to date, we may experience increases in the near future (especially if inflation rates continue to rise) on our operating costs, including our labor costs and research and development costs, due to supply chain constraints, consequences associated with COVID-19 or future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public health crises, the ongoing conflict between Russia and Ukraine, or liquidity concerns at, and failure of, banks and other financial institutions.</w:t>
      </w:r>
    </w:p>
    <w:p>
      <w:pPr>
        <w:spacing w:after="0" w:line="12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Many of our pharmaceutical and biotech customers based in the United States have been impacted by macro-economic uncertainties related to the weakening economy, liquidity concerns in the broader financial services industry, such as those caused by recent banking failures, disruptions to and volatility in the credit and equity markets, and rising interest rates. We believe these factors contributed to longer sales cycles, which adversely impacted our operating results for the three months ended June 30, 2023, and may adversely affect our operating results in the future.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Total revenue,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currently generate our total revenue, net from product revenue and service revenue.</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i w:val="1"/>
          <w:iCs w:val="1"/>
          <w:color w:val="auto"/>
        </w:rPr>
        <w:t>Product</w:t>
      </w:r>
      <w:r>
        <w:rPr>
          <w:rFonts w:ascii="Arial" w:cs="Arial" w:eastAsia="Arial" w:hAnsi="Arial"/>
          <w:sz w:val="17"/>
          <w:szCs w:val="17"/>
          <w:color w:val="auto"/>
        </w:rPr>
        <w:t>. Our product revenue primarily consists of sales of our instruments, including the Aurora, Northern Lights and Aurora CS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 accessories, such as loaders, and consumables, such as reagents. We offer multiple versions of our Aurora and Northern Lights systems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w:t>
      </w:r>
    </w:p>
    <w:p>
      <w:pPr>
        <w:spacing w:after="0" w:line="6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i w:val="1"/>
          <w:iCs w:val="1"/>
          <w:color w:val="auto"/>
        </w:rPr>
        <w:t>Service</w:t>
      </w:r>
      <w:r>
        <w:rPr>
          <w:rFonts w:ascii="Arial" w:cs="Arial" w:eastAsia="Arial" w:hAnsi="Arial"/>
          <w:sz w:val="18"/>
          <w:szCs w:val="18"/>
          <w:color w:val="auto"/>
        </w:rPr>
        <w:t>. Our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15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expect our revenue to increase in absolute dollars as we expand our sales organization and sales territories, broaden our customer base, and expand awareness of our products with new and existing customers. Our revenue was $49.7 million and $86.8 million for the three and six months ended June 30, 2023, respectively, and $40.2 million and $75.2 million for the three and six months ended June 30, 2022, respectively. A portion of our revenue for the three and six months ended June 30, 2023 is attributable to the acquired FCI business unit.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Total cost of sales, gross profit and gross margin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total cost of sales is comprised of product cost of sales and service cost of sales.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i w:val="1"/>
          <w:iCs w:val="1"/>
          <w:color w:val="auto"/>
        </w:rPr>
        <w:t xml:space="preserve">Product. </w:t>
      </w:r>
      <w:r>
        <w:rPr>
          <w:rFonts w:ascii="Arial" w:cs="Arial" w:eastAsia="Arial" w:hAnsi="Arial"/>
          <w:sz w:val="18"/>
          <w:szCs w:val="18"/>
          <w:color w:val="auto"/>
        </w:rPr>
        <w:t>Cost of sales associated with our products primarily consist of manufacturing-related costs incurred in the production process, inventory</w:t>
      </w:r>
      <w:r>
        <w:rPr>
          <w:rFonts w:ascii="Arial" w:cs="Arial" w:eastAsia="Arial" w:hAnsi="Arial"/>
          <w:sz w:val="18"/>
          <w:szCs w:val="18"/>
          <w:i w:val="1"/>
          <w:iCs w:val="1"/>
          <w:color w:val="auto"/>
        </w:rPr>
        <w:t xml:space="preserve"> </w:t>
      </w:r>
      <w:r>
        <w:rPr>
          <w:rFonts w:ascii="Arial" w:cs="Arial" w:eastAsia="Arial" w:hAnsi="Arial"/>
          <w:sz w:val="18"/>
          <w:szCs w:val="18"/>
          <w:color w:val="auto"/>
        </w:rPr>
        <w:t>write-downs, warranty costs, third party royalty costs, personnel and related costs, costs of component materials, overhead, packaging and delivery and depreciation expense.</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i w:val="1"/>
          <w:iCs w:val="1"/>
          <w:color w:val="auto"/>
        </w:rPr>
        <w:t>Service</w:t>
      </w:r>
      <w:r>
        <w:rPr>
          <w:rFonts w:ascii="Arial" w:cs="Arial" w:eastAsia="Arial" w:hAnsi="Arial"/>
          <w:sz w:val="18"/>
          <w:szCs w:val="18"/>
          <w:color w:val="auto"/>
        </w:rPr>
        <w:t>. Cost of sales associated with our services primarily consists of personnel and related costs, expenses related to product replacements,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updates and qualification validation of our products and depreciation expense.</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expect our total cost of sales to increase in absolute dollars in future periods, corresponding to our anticipated growth in revenue and employee headcount to support our manufacturing, operations, field service team and support organizations.</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Gross profit is calculated as revenue less total cost of sales. Gross margin is gross profit expressed as a percentage of revenue. Our gross profit in future periods will depend on a variety of factors, including market conditions that may impact our pricing, sales mix changes among our instruments and service agreements, product mix changes between established products and new products, excess and obsolete inventories, our cost structure for manufacturing operations relative to volume and product warranty obligations.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operating expenses are primarily comprised of research and development, sales and marketing, and general and administrative expenses, depreciation and amortization, and related overhead.</w:t>
      </w:r>
    </w:p>
    <w:p>
      <w:pPr>
        <w:spacing w:after="0" w:line="62"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Our research and development expenses primarily consist of salaries, benefits, stock-based compensation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in our research and development department, independent contractor costs, laboratory supplies, equipment maintenance and materials expenses.</w:t>
      </w:r>
    </w:p>
    <w:p>
      <w:pPr>
        <w:spacing w:after="0" w:line="1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plan to continue to invest in our research and development efforts, including hiring additional employees to enhance existing products and develop new products. We expect research and development expense will increase in absolute dollars in future periods and vary from period to period as a percentage of revenue due to our continuing investment in product development.</w:t>
      </w:r>
    </w:p>
    <w:p>
      <w:pPr>
        <w:spacing w:after="0" w:line="7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Our sales and marketing expenses consist primarily of salaries, benefits, and stock-based compensation costs for employees in</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and marketing department, sales commissions, marketing material costs, travel expenses and costs related to trade shows, trainings and various workshops. We expect our sales and marketing expense to increase in absolute dollars as we expand our commercial sales, marketing, and business development teams, increase our presence globally and increase marketing activities to drive awareness and adoption of our platform. While these expenses may vary from period to period as a percentage of revenue, we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expect these expenses to increase as a percentage of sales in the short-term as we continue to grow our commercial organization to support anticipated growth of the business.</w:t>
      </w:r>
    </w:p>
    <w:p>
      <w:pPr>
        <w:spacing w:after="0" w:line="6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primarily consist of salaries, benefits, and stock-based compensation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in our executive, accounting and finance, legal and human resource functions, as well as professional services fees, such as consulting, audit, tax, legal, general corporate costs and allocated overhead expenses. We expect our operating expenses to increase as a public company. In particular, we expect our accounting, legal, personnel-related expenses and directors’ and officers’ insurance costs reported within general and administrative expense to increase as we establish more comprehensive compliance and governance functions, maintain IT costs, review internal controls over financial reporting in accordance with the Sarbanes-Oxley Act and prepare and distribute periodic reports as required by the rules and regulations of the SEC. As a result, our historical results of operations may not be indicative of our results of operations in future periods.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these expenses to vary from period to period as a percentage of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consists primarily of accretion of the present value of the litigation settlement liability. See Note 11 to our</w:t>
      </w:r>
      <w:r>
        <w:rPr>
          <w:rFonts w:ascii="Arial" w:cs="Arial" w:eastAsia="Arial" w:hAnsi="Arial"/>
          <w:sz w:val="16"/>
          <w:szCs w:val="16"/>
          <w:i w:val="1"/>
          <w:iCs w:val="1"/>
          <w:color w:val="auto"/>
        </w:rPr>
        <w:t xml:space="preserve"> </w:t>
      </w:r>
      <w:r>
        <w:rPr>
          <w:rFonts w:ascii="Arial" w:cs="Arial" w:eastAsia="Arial" w:hAnsi="Arial"/>
          <w:sz w:val="16"/>
          <w:szCs w:val="16"/>
          <w:color w:val="auto"/>
        </w:rPr>
        <w:t>unaudited interim consolidated financial statements included elsewhere in this Quarterly Report on Form 10-Q for further details regarding the settlement.</w:t>
      </w:r>
    </w:p>
    <w:p>
      <w:pPr>
        <w:spacing w:after="0" w:line="1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Our interest income consists primarily of interest earned on our cash and cash equivalents which are invested in cash deposits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 money market funds.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Our other income (expense), net consists primarily of foreign exchange gains and losses.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benefit from income taxes consists primarily of provision for federal taxes and local taxes in the United States as well as foreign taxes. As we plan to expand the scale and scope of our international business activities, any changes in the United States and foreign taxation of such activities may increase our overall provision for income taxes in the future.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2023 and 2022</w:t>
      </w:r>
    </w:p>
    <w:p>
      <w:pPr>
        <w:spacing w:after="0" w:line="117"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results of operations presented below should be reviewed in conjunction with the unaudited interim consolidated financial statements and related notes included elsewhere in this Quarterly Report on Form 10-Q.</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results of operations and comprehensive income data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10"/>
          </w:tcPr>
          <w:p>
            <w:pPr>
              <w:jc w:val="right"/>
              <w:ind w:right="292"/>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11"/>
          </w:tcPr>
          <w:p>
            <w:pPr>
              <w:ind w:left="2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3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 net:</w:t>
            </w: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tcBorders>
              <w:left w:val="single" w:sz="8" w:color="CFF0FC"/>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00" w:type="dxa"/>
            <w:vAlign w:val="bottom"/>
            <w:gridSpan w:val="2"/>
          </w:tcPr>
          <w:p>
            <w:pPr>
              <w:ind w:left="16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620" w:type="dxa"/>
            <w:vAlign w:val="bottom"/>
            <w:gridSpan w:val="3"/>
          </w:tcPr>
          <w:p>
            <w:pPr>
              <w:jc w:val="right"/>
              <w:ind w:right="30"/>
              <w:spacing w:after="0"/>
              <w:rPr>
                <w:sz w:val="20"/>
                <w:szCs w:val="20"/>
                <w:color w:val="auto"/>
              </w:rPr>
            </w:pPr>
            <w:r>
              <w:rPr>
                <w:rFonts w:ascii="Arial" w:cs="Arial" w:eastAsia="Arial" w:hAnsi="Arial"/>
                <w:sz w:val="18"/>
                <w:szCs w:val="18"/>
                <w:color w:val="auto"/>
                <w:w w:val="87"/>
              </w:rPr>
              <w:t>40,452</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37,093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48"/>
              <w:spacing w:after="0"/>
              <w:rPr>
                <w:sz w:val="20"/>
                <w:szCs w:val="20"/>
                <w:color w:val="auto"/>
              </w:rPr>
            </w:pPr>
            <w:r>
              <w:rPr>
                <w:rFonts w:ascii="Arial" w:cs="Arial" w:eastAsia="Arial" w:hAnsi="Arial"/>
                <w:sz w:val="18"/>
                <w:szCs w:val="18"/>
                <w:color w:val="auto"/>
              </w:rPr>
              <w:t>71,624</w:t>
            </w:r>
          </w:p>
        </w:tc>
        <w:tc>
          <w:tcPr>
            <w:tcW w:w="540" w:type="dxa"/>
            <w:vAlign w:val="bottom"/>
            <w:gridSpan w:val="3"/>
          </w:tcPr>
          <w:p>
            <w:pPr>
              <w:jc w:val="right"/>
              <w:ind w:right="199"/>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68,574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0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right w:val="single" w:sz="8" w:color="CFF0FC"/>
            </w:tcBorders>
            <w:shd w:val="clear" w:color="auto" w:fill="CFF0FC"/>
          </w:tcPr>
          <w:p>
            <w:pPr>
              <w:spacing w:after="0"/>
              <w:rPr>
                <w:sz w:val="21"/>
                <w:szCs w:val="21"/>
                <w:color w:val="auto"/>
              </w:rPr>
            </w:pPr>
          </w:p>
        </w:tc>
        <w:tc>
          <w:tcPr>
            <w:tcW w:w="160" w:type="dxa"/>
            <w:vAlign w:val="bottom"/>
            <w:tcBorders>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9,241</w:t>
            </w:r>
          </w:p>
        </w:tc>
        <w:tc>
          <w:tcPr>
            <w:tcW w:w="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3,066</w:t>
            </w:r>
          </w:p>
        </w:tc>
        <w:tc>
          <w:tcPr>
            <w:tcW w:w="160" w:type="dxa"/>
            <w:vAlign w:val="bottom"/>
            <w:tcBorders>
              <w:left w:val="single" w:sz="8" w:color="CFF0FC"/>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gridSpan w:val="4"/>
            <w:shd w:val="clear" w:color="auto" w:fill="CFF0FC"/>
          </w:tcPr>
          <w:p>
            <w:pPr>
              <w:jc w:val="right"/>
              <w:ind w:right="48"/>
              <w:spacing w:after="0"/>
              <w:rPr>
                <w:sz w:val="20"/>
                <w:szCs w:val="20"/>
                <w:color w:val="auto"/>
              </w:rPr>
            </w:pPr>
            <w:r>
              <w:rPr>
                <w:rFonts w:ascii="Arial" w:cs="Arial" w:eastAsia="Arial" w:hAnsi="Arial"/>
                <w:sz w:val="18"/>
                <w:szCs w:val="18"/>
                <w:color w:val="auto"/>
              </w:rPr>
              <w:t>15,157</w:t>
            </w: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6,649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0" w:type="dxa"/>
            <w:vAlign w:val="bottom"/>
            <w:gridSpan w:val="2"/>
          </w:tcPr>
          <w:p>
            <w:pPr>
              <w:ind w:left="200"/>
              <w:spacing w:after="0"/>
              <w:rPr>
                <w:sz w:val="20"/>
                <w:szCs w:val="20"/>
                <w:color w:val="auto"/>
              </w:rPr>
            </w:pPr>
            <w:r>
              <w:rPr>
                <w:rFonts w:ascii="Arial" w:cs="Arial" w:eastAsia="Arial" w:hAnsi="Arial"/>
                <w:sz w:val="18"/>
                <w:szCs w:val="18"/>
                <w:color w:val="auto"/>
              </w:rPr>
              <w:t>Total revenue, net</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87"/>
              </w:rPr>
              <w:t>49,693</w:t>
            </w: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40,159</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8"/>
                <w:szCs w:val="18"/>
                <w:color w:val="auto"/>
              </w:rPr>
              <w:t>86,781</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75,223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tcBorders>
              <w:left w:val="single" w:sz="8" w:color="CFF0FC"/>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00" w:type="dxa"/>
            <w:vAlign w:val="bottom"/>
            <w:gridSpan w:val="2"/>
          </w:tcPr>
          <w:p>
            <w:pPr>
              <w:ind w:left="16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gridSpan w:val="3"/>
          </w:tcPr>
          <w:p>
            <w:pPr>
              <w:jc w:val="right"/>
              <w:ind w:right="30"/>
              <w:spacing w:after="0"/>
              <w:rPr>
                <w:sz w:val="20"/>
                <w:szCs w:val="20"/>
                <w:color w:val="auto"/>
              </w:rPr>
            </w:pPr>
            <w:r>
              <w:rPr>
                <w:rFonts w:ascii="Arial" w:cs="Arial" w:eastAsia="Arial" w:hAnsi="Arial"/>
                <w:sz w:val="18"/>
                <w:szCs w:val="18"/>
                <w:color w:val="auto"/>
                <w:w w:val="87"/>
              </w:rPr>
              <w:t>16,675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11,780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4"/>
          </w:tcPr>
          <w:p>
            <w:pPr>
              <w:jc w:val="right"/>
              <w:ind w:right="48"/>
              <w:spacing w:after="0"/>
              <w:rPr>
                <w:sz w:val="20"/>
                <w:szCs w:val="20"/>
                <w:color w:val="auto"/>
              </w:rPr>
            </w:pPr>
            <w:r>
              <w:rPr>
                <w:rFonts w:ascii="Arial" w:cs="Arial" w:eastAsia="Arial" w:hAnsi="Arial"/>
                <w:sz w:val="18"/>
                <w:szCs w:val="18"/>
                <w:color w:val="auto"/>
              </w:rPr>
              <w:t>29,352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23,547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0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right w:val="single" w:sz="8" w:color="CFF0FC"/>
            </w:tcBorders>
            <w:shd w:val="clear" w:color="auto" w:fill="CFF0FC"/>
          </w:tcPr>
          <w:p>
            <w:pPr>
              <w:spacing w:after="0"/>
              <w:rPr>
                <w:sz w:val="21"/>
                <w:szCs w:val="21"/>
                <w:color w:val="auto"/>
              </w:rPr>
            </w:pPr>
          </w:p>
        </w:tc>
        <w:tc>
          <w:tcPr>
            <w:tcW w:w="160" w:type="dxa"/>
            <w:vAlign w:val="bottom"/>
            <w:tcBorders>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4,856</w:t>
            </w:r>
          </w:p>
        </w:tc>
        <w:tc>
          <w:tcPr>
            <w:tcW w:w="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3,818</w:t>
            </w:r>
          </w:p>
        </w:tc>
        <w:tc>
          <w:tcPr>
            <w:tcW w:w="160" w:type="dxa"/>
            <w:vAlign w:val="bottom"/>
            <w:tcBorders>
              <w:left w:val="single" w:sz="8" w:color="CFF0FC"/>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gridSpan w:val="4"/>
            <w:shd w:val="clear" w:color="auto" w:fill="CFF0FC"/>
          </w:tcPr>
          <w:p>
            <w:pPr>
              <w:jc w:val="right"/>
              <w:ind w:right="48"/>
              <w:spacing w:after="0"/>
              <w:rPr>
                <w:sz w:val="20"/>
                <w:szCs w:val="20"/>
                <w:color w:val="auto"/>
              </w:rPr>
            </w:pPr>
            <w:r>
              <w:rPr>
                <w:rFonts w:ascii="Arial" w:cs="Arial" w:eastAsia="Arial" w:hAnsi="Arial"/>
                <w:sz w:val="18"/>
                <w:szCs w:val="18"/>
                <w:color w:val="auto"/>
              </w:rPr>
              <w:t>8,229</w:t>
            </w: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6,938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0" w:type="dxa"/>
            <w:vAlign w:val="bottom"/>
            <w:gridSpan w:val="2"/>
          </w:tcPr>
          <w:p>
            <w:pPr>
              <w:ind w:left="200"/>
              <w:spacing w:after="0"/>
              <w:rPr>
                <w:sz w:val="20"/>
                <w:szCs w:val="20"/>
                <w:color w:val="auto"/>
              </w:rPr>
            </w:pPr>
            <w:r>
              <w:rPr>
                <w:rFonts w:ascii="Arial" w:cs="Arial" w:eastAsia="Arial" w:hAnsi="Arial"/>
                <w:sz w:val="18"/>
                <w:szCs w:val="18"/>
                <w:color w:val="auto"/>
              </w:rPr>
              <w:t>Total cost of sales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87"/>
              </w:rPr>
              <w:t>21,531</w:t>
            </w: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15,598</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8"/>
                <w:szCs w:val="18"/>
                <w:color w:val="auto"/>
              </w:rPr>
              <w:t>37,581</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30,485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0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6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w w:val="87"/>
              </w:rPr>
              <w:t>28,162</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24,561</w:t>
            </w:r>
          </w:p>
        </w:tc>
        <w:tc>
          <w:tcPr>
            <w:tcW w:w="160" w:type="dxa"/>
            <w:vAlign w:val="bottom"/>
            <w:tcBorders>
              <w:left w:val="single" w:sz="8" w:color="CFF0FC"/>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gridSpan w:val="4"/>
            <w:shd w:val="clear" w:color="auto" w:fill="CFF0FC"/>
          </w:tcPr>
          <w:p>
            <w:pPr>
              <w:jc w:val="right"/>
              <w:ind w:right="48"/>
              <w:spacing w:after="0"/>
              <w:rPr>
                <w:sz w:val="20"/>
                <w:szCs w:val="20"/>
                <w:color w:val="auto"/>
              </w:rPr>
            </w:pPr>
            <w:r>
              <w:rPr>
                <w:rFonts w:ascii="Arial" w:cs="Arial" w:eastAsia="Arial" w:hAnsi="Arial"/>
                <w:sz w:val="18"/>
                <w:szCs w:val="18"/>
                <w:color w:val="auto"/>
              </w:rPr>
              <w:t>49,200</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44,738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w w:val="87"/>
              </w:rPr>
              <w:t>12,136</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8,436</w:t>
            </w:r>
          </w:p>
        </w:tc>
        <w:tc>
          <w:tcPr>
            <w:tcW w:w="160" w:type="dxa"/>
            <w:vAlign w:val="bottom"/>
            <w:tcBorders>
              <w:left w:val="single" w:sz="8" w:color="CFF0FC"/>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4"/>
            <w:shd w:val="clear" w:color="auto" w:fill="CFF0FC"/>
          </w:tcPr>
          <w:p>
            <w:pPr>
              <w:jc w:val="right"/>
              <w:ind w:right="48"/>
              <w:spacing w:after="0"/>
              <w:rPr>
                <w:sz w:val="20"/>
                <w:szCs w:val="20"/>
                <w:color w:val="auto"/>
              </w:rPr>
            </w:pPr>
            <w:r>
              <w:rPr>
                <w:rFonts w:ascii="Arial" w:cs="Arial" w:eastAsia="Arial" w:hAnsi="Arial"/>
                <w:sz w:val="18"/>
                <w:szCs w:val="18"/>
                <w:color w:val="auto"/>
              </w:rPr>
              <w:t>22,110</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16,461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0" w:type="dxa"/>
            <w:vAlign w:val="bottom"/>
            <w:gridSpan w:val="2"/>
          </w:tcPr>
          <w:p>
            <w:pPr>
              <w:ind w:left="16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gridSpan w:val="3"/>
          </w:tcPr>
          <w:p>
            <w:pPr>
              <w:jc w:val="right"/>
              <w:ind w:right="30"/>
              <w:spacing w:after="0"/>
              <w:rPr>
                <w:sz w:val="20"/>
                <w:szCs w:val="20"/>
                <w:color w:val="auto"/>
              </w:rPr>
            </w:pPr>
            <w:r>
              <w:rPr>
                <w:rFonts w:ascii="Arial" w:cs="Arial" w:eastAsia="Arial" w:hAnsi="Arial"/>
                <w:sz w:val="18"/>
                <w:szCs w:val="18"/>
                <w:color w:val="auto"/>
                <w:w w:val="87"/>
              </w:rPr>
              <w:t>14,367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8,431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4"/>
          </w:tcPr>
          <w:p>
            <w:pPr>
              <w:jc w:val="right"/>
              <w:ind w:right="48"/>
              <w:spacing w:after="0"/>
              <w:rPr>
                <w:sz w:val="20"/>
                <w:szCs w:val="20"/>
                <w:color w:val="auto"/>
              </w:rPr>
            </w:pPr>
            <w:r>
              <w:rPr>
                <w:rFonts w:ascii="Arial" w:cs="Arial" w:eastAsia="Arial" w:hAnsi="Arial"/>
                <w:sz w:val="18"/>
                <w:szCs w:val="18"/>
                <w:color w:val="auto"/>
              </w:rPr>
              <w:t>25,512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15,391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0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right w:val="single" w:sz="8" w:color="CFF0FC"/>
            </w:tcBorders>
            <w:shd w:val="clear" w:color="auto" w:fill="CFF0FC"/>
          </w:tcPr>
          <w:p>
            <w:pPr>
              <w:spacing w:after="0"/>
              <w:rPr>
                <w:sz w:val="21"/>
                <w:szCs w:val="21"/>
                <w:color w:val="auto"/>
              </w:rPr>
            </w:pPr>
          </w:p>
        </w:tc>
        <w:tc>
          <w:tcPr>
            <w:tcW w:w="160" w:type="dxa"/>
            <w:vAlign w:val="bottom"/>
            <w:tcBorders>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w w:val="87"/>
              </w:rPr>
              <w:t>10,786</w:t>
            </w:r>
          </w:p>
        </w:tc>
        <w:tc>
          <w:tcPr>
            <w:tcW w:w="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8,585</w:t>
            </w:r>
          </w:p>
        </w:tc>
        <w:tc>
          <w:tcPr>
            <w:tcW w:w="160" w:type="dxa"/>
            <w:vAlign w:val="bottom"/>
            <w:tcBorders>
              <w:left w:val="single" w:sz="8" w:color="CFF0FC"/>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gridSpan w:val="4"/>
            <w:shd w:val="clear" w:color="auto" w:fill="CFF0FC"/>
          </w:tcPr>
          <w:p>
            <w:pPr>
              <w:jc w:val="right"/>
              <w:ind w:right="48"/>
              <w:spacing w:after="0"/>
              <w:rPr>
                <w:sz w:val="20"/>
                <w:szCs w:val="20"/>
                <w:color w:val="auto"/>
              </w:rPr>
            </w:pPr>
            <w:r>
              <w:rPr>
                <w:rFonts w:ascii="Arial" w:cs="Arial" w:eastAsia="Arial" w:hAnsi="Arial"/>
                <w:sz w:val="18"/>
                <w:szCs w:val="18"/>
                <w:color w:val="auto"/>
              </w:rPr>
              <w:t>22,867</w:t>
            </w: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16,134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87"/>
              </w:rPr>
              <w:t>37,289</w:t>
            </w: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25,452</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8"/>
                <w:szCs w:val="18"/>
                <w:color w:val="auto"/>
              </w:rPr>
              <w:t>70,489</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47,986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0"/>
              </w:rPr>
              <w:t>(9,127 )</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(891 )</w:t>
            </w:r>
          </w:p>
        </w:tc>
        <w:tc>
          <w:tcPr>
            <w:tcW w:w="160" w:type="dxa"/>
            <w:vAlign w:val="bottom"/>
            <w:tcBorders>
              <w:left w:val="single" w:sz="8" w:color="CFF0FC"/>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(21,289 )</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(3,248 )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(409 )</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(647 )</w:t>
            </w:r>
          </w:p>
        </w:tc>
        <w:tc>
          <w:tcPr>
            <w:tcW w:w="160" w:type="dxa"/>
            <w:vAlign w:val="bottom"/>
            <w:tcBorders>
              <w:left w:val="single" w:sz="8" w:color="CFF0FC"/>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(1,082 )</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(1,237 )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gridSpan w:val="3"/>
          </w:tcPr>
          <w:p>
            <w:pPr>
              <w:jc w:val="right"/>
              <w:ind w:right="30"/>
              <w:spacing w:after="0"/>
              <w:rPr>
                <w:sz w:val="20"/>
                <w:szCs w:val="20"/>
                <w:color w:val="auto"/>
              </w:rPr>
            </w:pPr>
            <w:r>
              <w:rPr>
                <w:rFonts w:ascii="Arial" w:cs="Arial" w:eastAsia="Arial" w:hAnsi="Arial"/>
                <w:sz w:val="18"/>
                <w:szCs w:val="18"/>
                <w:color w:val="auto"/>
              </w:rPr>
              <w:t>1,201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4"/>
          </w:tcPr>
          <w:p>
            <w:pPr>
              <w:jc w:val="right"/>
              <w:ind w:right="48"/>
              <w:spacing w:after="0"/>
              <w:rPr>
                <w:sz w:val="20"/>
                <w:szCs w:val="20"/>
                <w:color w:val="auto"/>
              </w:rPr>
            </w:pPr>
            <w:r>
              <w:rPr>
                <w:rFonts w:ascii="Arial" w:cs="Arial" w:eastAsia="Arial" w:hAnsi="Arial"/>
                <w:sz w:val="18"/>
                <w:szCs w:val="18"/>
                <w:color w:val="auto"/>
              </w:rPr>
              <w:t>3,344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right w:val="single" w:sz="8" w:color="CFF0FC"/>
            </w:tcBorders>
            <w:shd w:val="clear" w:color="auto" w:fill="CFF0FC"/>
          </w:tcPr>
          <w:p>
            <w:pPr>
              <w:spacing w:after="0"/>
              <w:rPr>
                <w:sz w:val="21"/>
                <w:szCs w:val="21"/>
                <w:color w:val="auto"/>
              </w:rPr>
            </w:pPr>
          </w:p>
        </w:tc>
        <w:tc>
          <w:tcPr>
            <w:tcW w:w="160" w:type="dxa"/>
            <w:vAlign w:val="bottom"/>
            <w:tcBorders>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1,740</w:t>
            </w:r>
          </w:p>
        </w:tc>
        <w:tc>
          <w:tcPr>
            <w:tcW w:w="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(254 )</w:t>
            </w:r>
          </w:p>
        </w:tc>
        <w:tc>
          <w:tcPr>
            <w:tcW w:w="160" w:type="dxa"/>
            <w:vAlign w:val="bottom"/>
            <w:tcBorders>
              <w:left w:val="single" w:sz="8" w:color="CFF0FC"/>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gridSpan w:val="4"/>
            <w:shd w:val="clear" w:color="auto" w:fill="CFF0FC"/>
          </w:tcPr>
          <w:p>
            <w:pPr>
              <w:jc w:val="right"/>
              <w:ind w:right="48"/>
              <w:spacing w:after="0"/>
              <w:rPr>
                <w:sz w:val="20"/>
                <w:szCs w:val="20"/>
                <w:color w:val="auto"/>
              </w:rPr>
            </w:pPr>
            <w:r>
              <w:rPr>
                <w:rFonts w:ascii="Arial" w:cs="Arial" w:eastAsia="Arial" w:hAnsi="Arial"/>
                <w:sz w:val="18"/>
                <w:szCs w:val="18"/>
                <w:color w:val="auto"/>
              </w:rPr>
              <w:t>3,392</w:t>
            </w: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(628 )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(6,595 )</w:t>
            </w: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(1,401 )</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(15,635 )</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(4,704 )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Benefit from income taxes</w:t>
            </w:r>
          </w:p>
        </w:tc>
        <w:tc>
          <w:tcPr>
            <w:tcW w:w="28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right w:val="single" w:sz="8" w:color="CFF0FC"/>
            </w:tcBorders>
            <w:shd w:val="clear" w:color="auto" w:fill="CFF0FC"/>
          </w:tcPr>
          <w:p>
            <w:pPr>
              <w:spacing w:after="0"/>
              <w:rPr>
                <w:sz w:val="20"/>
                <w:szCs w:val="20"/>
                <w:color w:val="auto"/>
              </w:rPr>
            </w:pPr>
          </w:p>
        </w:tc>
        <w:tc>
          <w:tcPr>
            <w:tcW w:w="160" w:type="dxa"/>
            <w:vAlign w:val="bottom"/>
            <w:tcBorders>
              <w:bottom w:val="single" w:sz="8" w:color="CFF0FC"/>
              <w:right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0"/>
              </w:rPr>
              <w:t>(2,207 )</w:t>
            </w:r>
          </w:p>
        </w:tc>
        <w:tc>
          <w:tcPr>
            <w:tcW w:w="4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(699 )</w:t>
            </w:r>
          </w:p>
        </w:tc>
        <w:tc>
          <w:tcPr>
            <w:tcW w:w="160" w:type="dxa"/>
            <w:vAlign w:val="bottom"/>
            <w:tcBorders>
              <w:left w:val="single" w:sz="8" w:color="CFF0FC"/>
              <w:bottom w:val="single" w:sz="8" w:color="CFF0FC"/>
              <w:right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(4,440 )</w:t>
            </w:r>
          </w:p>
        </w:tc>
        <w:tc>
          <w:tcPr>
            <w:tcW w:w="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(1,844 )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ind w:left="12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0"/>
              </w:rPr>
              <w:t>(4,388 )</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(702 )</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(11,195 )</w:t>
            </w:r>
          </w:p>
        </w:tc>
        <w:tc>
          <w:tcPr>
            <w:tcW w:w="540" w:type="dxa"/>
            <w:vAlign w:val="bottom"/>
            <w:gridSpan w:val="3"/>
          </w:tcPr>
          <w:p>
            <w:pPr>
              <w:jc w:val="right"/>
              <w:ind w:right="199"/>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(2,860 )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w w:val="90"/>
              </w:rPr>
              <w:t>Foreign currency translation adjustment, net of tax</w:t>
            </w:r>
          </w:p>
        </w:tc>
        <w:tc>
          <w:tcPr>
            <w:tcW w:w="7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(980 )</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(683 )</w:t>
            </w:r>
          </w:p>
        </w:tc>
        <w:tc>
          <w:tcPr>
            <w:tcW w:w="160" w:type="dxa"/>
            <w:vAlign w:val="bottom"/>
            <w:tcBorders>
              <w:left w:val="single" w:sz="8" w:color="CFF0FC"/>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(1,022 )</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(669 )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Unrealized loss on marketable securities</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(192 )</w:t>
            </w:r>
          </w:p>
        </w:tc>
        <w:tc>
          <w:tcPr>
            <w:tcW w:w="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(40 )</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4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Net comprehensive loss</w:t>
            </w:r>
          </w:p>
        </w:tc>
        <w:tc>
          <w:tcPr>
            <w:tcW w:w="28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right w:val="single" w:sz="8" w:color="CFF0FC"/>
            </w:tcBorders>
            <w:shd w:val="clear" w:color="auto" w:fill="CFF0FC"/>
          </w:tcPr>
          <w:p>
            <w:pPr>
              <w:spacing w:after="0"/>
              <w:rPr>
                <w:sz w:val="24"/>
                <w:szCs w:val="24"/>
                <w:color w:val="auto"/>
              </w:rPr>
            </w:pPr>
          </w:p>
        </w:tc>
        <w:tc>
          <w:tcPr>
            <w:tcW w:w="160" w:type="dxa"/>
            <w:vAlign w:val="bottom"/>
            <w:tcBorders>
              <w:bottom w:val="single" w:sz="8" w:color="CFF0FC"/>
              <w:right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spacing w:after="0"/>
              <w:rPr>
                <w:sz w:val="24"/>
                <w:szCs w:val="24"/>
                <w:color w:val="auto"/>
              </w:rPr>
            </w:pPr>
          </w:p>
        </w:tc>
        <w:tc>
          <w:tcPr>
            <w:tcW w:w="6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0"/>
              </w:rPr>
              <w:t>(5,560 )</w:t>
            </w:r>
          </w:p>
        </w:tc>
        <w:tc>
          <w:tcPr>
            <w:tcW w:w="4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(1,385 )</w:t>
            </w:r>
          </w:p>
        </w:tc>
        <w:tc>
          <w:tcPr>
            <w:tcW w:w="160" w:type="dxa"/>
            <w:vAlign w:val="bottom"/>
            <w:tcBorders>
              <w:left w:val="single" w:sz="8" w:color="CFF0FC"/>
              <w:bottom w:val="single" w:sz="8" w:color="CFF0FC"/>
              <w:right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(12,257 )</w:t>
            </w:r>
          </w:p>
        </w:tc>
        <w:tc>
          <w:tcPr>
            <w:tcW w:w="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(3,529 )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400" w:type="dxa"/>
            <w:vAlign w:val="bottom"/>
            <w:gridSpan w:val="2"/>
          </w:tcPr>
          <w:p>
            <w:pPr>
              <w:ind w:left="520"/>
              <w:spacing w:after="0"/>
              <w:rPr>
                <w:sz w:val="20"/>
                <w:szCs w:val="20"/>
                <w:color w:val="auto"/>
              </w:rPr>
            </w:pPr>
            <w:r>
              <w:rPr>
                <w:rFonts w:ascii="Arial" w:cs="Arial" w:eastAsia="Arial" w:hAnsi="Arial"/>
                <w:sz w:val="18"/>
                <w:szCs w:val="18"/>
                <w:b w:val="1"/>
                <w:bCs w:val="1"/>
                <w:i w:val="1"/>
                <w:iCs w:val="1"/>
                <w:color w:val="auto"/>
              </w:rPr>
              <w:t>Total revenue, net</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5"/>
          </w:tcPr>
          <w:p>
            <w:pPr>
              <w:jc w:val="right"/>
              <w:ind w:right="135"/>
              <w:spacing w:after="0"/>
              <w:rPr>
                <w:sz w:val="20"/>
                <w:szCs w:val="20"/>
                <w:color w:val="auto"/>
              </w:rPr>
            </w:pPr>
            <w:r>
              <w:rPr>
                <w:rFonts w:ascii="Arial" w:cs="Arial" w:eastAsia="Arial" w:hAnsi="Arial"/>
                <w:sz w:val="14"/>
                <w:szCs w:val="14"/>
                <w:b w:val="1"/>
                <w:bCs w:val="1"/>
                <w:color w:val="auto"/>
                <w:w w:val="95"/>
              </w:rPr>
              <w:t>Three months ended June 30,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4"/>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5"/>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34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6"/>
              </w:rPr>
              <w:t>2023</w:t>
            </w:r>
          </w:p>
        </w:tc>
        <w:tc>
          <w:tcPr>
            <w:tcW w:w="1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top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Amount</w:t>
            </w:r>
          </w:p>
        </w:tc>
        <w:tc>
          <w:tcPr>
            <w:tcW w:w="90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2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Revenue, net</w:t>
            </w:r>
          </w:p>
        </w:tc>
        <w:tc>
          <w:tcPr>
            <w:tcW w:w="1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60" w:type="dxa"/>
            <w:vAlign w:val="bottom"/>
            <w:tcBorders>
              <w:left w:val="single" w:sz="8" w:color="CFF0FC"/>
              <w:right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ind w:left="160"/>
              <w:spacing w:after="0"/>
              <w:rPr>
                <w:sz w:val="20"/>
                <w:szCs w:val="20"/>
                <w:color w:val="auto"/>
              </w:rPr>
            </w:pPr>
            <w:r>
              <w:rPr>
                <w:rFonts w:ascii="Arial" w:cs="Arial" w:eastAsia="Arial" w:hAnsi="Arial"/>
                <w:sz w:val="18"/>
                <w:szCs w:val="18"/>
                <w:color w:val="auto"/>
              </w:rPr>
              <w:t>Product</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55"/>
              <w:spacing w:after="0"/>
              <w:rPr>
                <w:sz w:val="20"/>
                <w:szCs w:val="20"/>
                <w:color w:val="auto"/>
              </w:rPr>
            </w:pPr>
            <w:r>
              <w:rPr>
                <w:rFonts w:ascii="Arial" w:cs="Arial" w:eastAsia="Arial" w:hAnsi="Arial"/>
                <w:sz w:val="18"/>
                <w:szCs w:val="18"/>
                <w:color w:val="auto"/>
              </w:rPr>
              <w:t>40,452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37,093</w:t>
            </w:r>
          </w:p>
        </w:tc>
        <w:tc>
          <w:tcPr>
            <w:tcW w:w="34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3,359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gridSpan w:val="4"/>
          </w:tcPr>
          <w:p>
            <w:pPr>
              <w:jc w:val="right"/>
              <w:ind w:right="120"/>
              <w:spacing w:after="0"/>
              <w:rPr>
                <w:sz w:val="20"/>
                <w:szCs w:val="20"/>
                <w:color w:val="auto"/>
              </w:rPr>
            </w:pPr>
            <w:r>
              <w:rPr>
                <w:rFonts w:ascii="Arial" w:cs="Arial" w:eastAsia="Arial" w:hAnsi="Arial"/>
                <w:sz w:val="18"/>
                <w:szCs w:val="18"/>
                <w:color w:val="auto"/>
              </w:rPr>
              <w:t>9 %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71,624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68,574</w:t>
            </w:r>
          </w:p>
        </w:tc>
        <w:tc>
          <w:tcPr>
            <w:tcW w:w="4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3,050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Service</w:t>
            </w:r>
          </w:p>
        </w:tc>
        <w:tc>
          <w:tcPr>
            <w:tcW w:w="28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9,241</w:t>
            </w: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80" w:type="dxa"/>
            <w:vAlign w:val="bottom"/>
            <w:tcBorders>
              <w:right w:val="single" w:sz="8" w:color="CFF0FC"/>
            </w:tcBorders>
            <w:shd w:val="clear" w:color="auto" w:fill="CFF0FC"/>
          </w:tcPr>
          <w:p>
            <w:pPr>
              <w:jc w:val="right"/>
              <w:ind w:right="75"/>
              <w:spacing w:after="0"/>
              <w:rPr>
                <w:sz w:val="20"/>
                <w:szCs w:val="20"/>
                <w:color w:val="auto"/>
              </w:rPr>
            </w:pPr>
            <w:r>
              <w:rPr>
                <w:rFonts w:ascii="Arial" w:cs="Arial" w:eastAsia="Arial" w:hAnsi="Arial"/>
                <w:sz w:val="18"/>
                <w:szCs w:val="18"/>
                <w:color w:val="auto"/>
              </w:rPr>
              <w:t>3,066</w:t>
            </w:r>
          </w:p>
        </w:tc>
        <w:tc>
          <w:tcPr>
            <w:tcW w:w="160" w:type="dxa"/>
            <w:vAlign w:val="bottom"/>
            <w:tcBorders>
              <w:right w:val="single" w:sz="8" w:color="CFF0FC"/>
            </w:tcBorders>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6,175</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0" w:type="dxa"/>
            <w:vAlign w:val="bottom"/>
            <w:gridSpan w:val="5"/>
            <w:shd w:val="clear" w:color="auto" w:fill="CFF0FC"/>
          </w:tcPr>
          <w:p>
            <w:pPr>
              <w:jc w:val="right"/>
              <w:ind w:right="120"/>
              <w:spacing w:after="0"/>
              <w:rPr>
                <w:sz w:val="20"/>
                <w:szCs w:val="20"/>
                <w:color w:val="auto"/>
              </w:rPr>
            </w:pPr>
            <w:r>
              <w:rPr>
                <w:rFonts w:ascii="Arial" w:cs="Arial" w:eastAsia="Arial" w:hAnsi="Arial"/>
                <w:sz w:val="18"/>
                <w:szCs w:val="18"/>
                <w:color w:val="auto"/>
              </w:rPr>
              <w:t>201 %</w:t>
            </w:r>
          </w:p>
        </w:tc>
        <w:tc>
          <w:tcPr>
            <w:tcW w:w="12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15,157</w:t>
            </w:r>
          </w:p>
        </w:tc>
        <w:tc>
          <w:tcPr>
            <w:tcW w:w="160" w:type="dxa"/>
            <w:vAlign w:val="bottom"/>
            <w:tcBorders>
              <w:left w:val="single" w:sz="8" w:color="CFF0FC"/>
              <w:right w:val="single" w:sz="8" w:color="CFF0FC"/>
            </w:tcBorders>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6,649</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8,508</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128 %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Total revenue, net</w:t>
            </w:r>
          </w:p>
        </w:tc>
        <w:tc>
          <w:tcPr>
            <w:tcW w:w="120" w:type="dxa"/>
            <w:vAlign w:val="bottom"/>
          </w:tcPr>
          <w:p>
            <w:pPr>
              <w:spacing w:after="0"/>
              <w:rPr>
                <w:sz w:val="20"/>
                <w:szCs w:val="20"/>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55"/>
              <w:spacing w:after="0"/>
              <w:rPr>
                <w:sz w:val="20"/>
                <w:szCs w:val="20"/>
                <w:color w:val="auto"/>
              </w:rPr>
            </w:pPr>
            <w:r>
              <w:rPr>
                <w:rFonts w:ascii="Arial" w:cs="Arial" w:eastAsia="Arial" w:hAnsi="Arial"/>
                <w:sz w:val="18"/>
                <w:szCs w:val="18"/>
                <w:color w:val="auto"/>
              </w:rPr>
              <w:t>49,693</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40,159</w:t>
            </w:r>
          </w:p>
        </w:tc>
        <w:tc>
          <w:tcPr>
            <w:tcW w:w="160" w:type="dxa"/>
            <w:vAlign w:val="bottom"/>
          </w:tcPr>
          <w:p>
            <w:pPr>
              <w:spacing w:after="0"/>
              <w:rPr>
                <w:sz w:val="20"/>
                <w:szCs w:val="20"/>
                <w:color w:val="auto"/>
              </w:rPr>
            </w:pPr>
          </w:p>
        </w:tc>
        <w:tc>
          <w:tcPr>
            <w:tcW w:w="18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9,534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gridSpan w:val="4"/>
          </w:tcPr>
          <w:p>
            <w:pPr>
              <w:jc w:val="right"/>
              <w:ind w:right="120"/>
              <w:spacing w:after="0"/>
              <w:rPr>
                <w:sz w:val="20"/>
                <w:szCs w:val="20"/>
                <w:color w:val="auto"/>
              </w:rPr>
            </w:pPr>
            <w:r>
              <w:rPr>
                <w:rFonts w:ascii="Arial" w:cs="Arial" w:eastAsia="Arial" w:hAnsi="Arial"/>
                <w:sz w:val="18"/>
                <w:szCs w:val="18"/>
                <w:color w:val="auto"/>
                <w:w w:val="77"/>
              </w:rPr>
              <w:t>24 %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86,781</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75,223</w:t>
            </w:r>
          </w:p>
        </w:tc>
        <w:tc>
          <w:tcPr>
            <w:tcW w:w="4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7"/>
              </w:rPr>
              <w:t>11,558</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15 %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-4679950</wp:posOffset>
            </wp:positionV>
            <wp:extent cx="9398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-4679950</wp:posOffset>
            </wp:positionV>
            <wp:extent cx="9398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-4679950</wp:posOffset>
            </wp:positionV>
            <wp:extent cx="85725"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-4045585</wp:posOffset>
            </wp:positionV>
            <wp:extent cx="9398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-4045585</wp:posOffset>
            </wp:positionV>
            <wp:extent cx="9398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-4045585</wp:posOffset>
            </wp:positionV>
            <wp:extent cx="85725"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-3102610</wp:posOffset>
            </wp:positionV>
            <wp:extent cx="9398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-3102610</wp:posOffset>
            </wp:positionV>
            <wp:extent cx="9398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-3102610</wp:posOffset>
            </wp:positionV>
            <wp:extent cx="85725"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-2159635</wp:posOffset>
            </wp:positionV>
            <wp:extent cx="9398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-2159635</wp:posOffset>
            </wp:positionV>
            <wp:extent cx="9398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-2159635</wp:posOffset>
            </wp:positionV>
            <wp:extent cx="85725"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-1833880</wp:posOffset>
            </wp:positionV>
            <wp:extent cx="93980" cy="163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-1833880</wp:posOffset>
            </wp:positionV>
            <wp:extent cx="93980" cy="163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-1833880</wp:posOffset>
            </wp:positionV>
            <wp:extent cx="85725" cy="1631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-1199515</wp:posOffset>
            </wp:positionV>
            <wp:extent cx="939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-1182370</wp:posOffset>
            </wp:positionV>
            <wp:extent cx="939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-1199515</wp:posOffset>
            </wp:positionV>
            <wp:extent cx="939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-1182370</wp:posOffset>
            </wp:positionV>
            <wp:extent cx="939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-1199515</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-1182370</wp:posOffset>
            </wp:positionV>
            <wp:extent cx="857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-170815</wp:posOffset>
            </wp:positionV>
            <wp:extent cx="85725"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-170815</wp:posOffset>
            </wp:positionV>
            <wp:extent cx="85725"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-170815</wp:posOffset>
            </wp:positionV>
            <wp:extent cx="85725"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-170815</wp:posOffset>
            </wp:positionV>
            <wp:extent cx="85725"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-170815</wp:posOffset>
            </wp:positionV>
            <wp:extent cx="85725"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85725"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-170815</wp:posOffset>
            </wp:positionV>
            <wp:extent cx="85725"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74"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Total revenue, net increased by $9.5 million to $49.7 million, or 24%, and $11.6 million to $86.8 million, or 15%, for the three and six months ended June 30, 2023 as compared to the three and six months ended June 30, 2022, respectively.</w:t>
      </w:r>
    </w:p>
    <w:p>
      <w:pPr>
        <w:spacing w:after="0" w:line="62" w:lineRule="exact"/>
        <w:rPr>
          <w:sz w:val="20"/>
          <w:szCs w:val="20"/>
          <w:color w:val="auto"/>
        </w:rPr>
      </w:pPr>
    </w:p>
    <w:p>
      <w:pPr>
        <w:ind w:right="1520" w:firstLine="509"/>
        <w:spacing w:after="0" w:line="342" w:lineRule="auto"/>
        <w:rPr>
          <w:sz w:val="20"/>
          <w:szCs w:val="20"/>
          <w:color w:val="auto"/>
        </w:rPr>
      </w:pPr>
      <w:r>
        <w:rPr>
          <w:rFonts w:ascii="Arial" w:cs="Arial" w:eastAsia="Arial" w:hAnsi="Arial"/>
          <w:sz w:val="16"/>
          <w:szCs w:val="16"/>
          <w:color w:val="auto"/>
        </w:rPr>
        <w:t>Product revenue increased by $3.4 million to $40.5 million, or 9%, and $3.1 million to $71.6 million, or 4%, for the three and six months ended June 30, 2023, as compared to the three and six months ended June 30, 2022 due to an increase of new product sales.</w:t>
      </w:r>
    </w:p>
    <w:p>
      <w:pPr>
        <w:spacing w:after="0" w:line="16" w:lineRule="exact"/>
        <w:rPr>
          <w:sz w:val="20"/>
          <w:szCs w:val="20"/>
          <w:color w:val="auto"/>
        </w:rPr>
      </w:pPr>
    </w:p>
    <w:p>
      <w:pPr>
        <w:ind w:right="20" w:firstLine="509"/>
        <w:spacing w:after="0" w:line="308" w:lineRule="auto"/>
        <w:rPr>
          <w:sz w:val="20"/>
          <w:szCs w:val="20"/>
          <w:color w:val="auto"/>
        </w:rPr>
      </w:pPr>
      <w:r>
        <w:rPr>
          <w:rFonts w:ascii="Arial" w:cs="Arial" w:eastAsia="Arial" w:hAnsi="Arial"/>
          <w:sz w:val="17"/>
          <w:szCs w:val="17"/>
          <w:color w:val="auto"/>
        </w:rPr>
        <w:t>Service revenue increased $6.2 million to $9.2 million, or 201%, and $8.5 million to $15.2 million, or 128%, for the three and six months ended June 30, 2023, as compared to the three and six months ended June 30, 2022. The increase was primarily due to instruments coming off warranty.</w:t>
      </w:r>
    </w:p>
    <w:p>
      <w:pPr>
        <w:spacing w:after="0" w:line="38" w:lineRule="exact"/>
        <w:rPr>
          <w:sz w:val="20"/>
          <w:szCs w:val="20"/>
          <w:color w:val="auto"/>
        </w:rPr>
      </w:pPr>
    </w:p>
    <w:p>
      <w:pPr>
        <w:ind w:right="20" w:firstLine="509"/>
        <w:spacing w:after="0" w:line="308" w:lineRule="auto"/>
        <w:rPr>
          <w:sz w:val="20"/>
          <w:szCs w:val="20"/>
          <w:color w:val="auto"/>
        </w:rPr>
      </w:pPr>
      <w:r>
        <w:rPr>
          <w:rFonts w:ascii="Arial" w:cs="Arial" w:eastAsia="Arial" w:hAnsi="Arial"/>
          <w:sz w:val="18"/>
          <w:szCs w:val="18"/>
          <w:color w:val="auto"/>
        </w:rPr>
        <w:t>Revenue from the acquired FCI business was $8.2 million for the three months ended June 30, 2023 and $11.7 million for the six months ended June 30, 2023, driven by product sales.</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b w:val="1"/>
          <w:bCs w:val="1"/>
          <w:i w:val="1"/>
          <w:iCs w:val="1"/>
          <w:color w:val="auto"/>
        </w:rPr>
        <w:t>Total cost of sales, gross profit and gross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 June 30,</w:t>
            </w:r>
          </w:p>
        </w:tc>
        <w:tc>
          <w:tcPr>
            <w:tcW w:w="180" w:type="dxa"/>
            <w:vAlign w:val="bottom"/>
          </w:tcPr>
          <w:p>
            <w:pPr>
              <w:spacing w:after="0"/>
              <w:rPr>
                <w:sz w:val="16"/>
                <w:szCs w:val="16"/>
                <w:color w:val="auto"/>
              </w:rPr>
            </w:pPr>
          </w:p>
        </w:tc>
        <w:tc>
          <w:tcPr>
            <w:tcW w:w="880" w:type="dxa"/>
            <w:vAlign w:val="bottom"/>
            <w:gridSpan w:val="3"/>
          </w:tcPr>
          <w:p>
            <w:pPr>
              <w:ind w:left="32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1"/>
              </w:rPr>
              <w:t>Six months ended June 30,</w:t>
            </w:r>
          </w:p>
        </w:tc>
        <w:tc>
          <w:tcPr>
            <w:tcW w:w="200" w:type="dxa"/>
            <w:vAlign w:val="bottom"/>
          </w:tcPr>
          <w:p>
            <w:pPr>
              <w:spacing w:after="0"/>
              <w:rPr>
                <w:sz w:val="16"/>
                <w:szCs w:val="16"/>
                <w:color w:val="auto"/>
              </w:rPr>
            </w:pPr>
          </w:p>
        </w:tc>
        <w:tc>
          <w:tcPr>
            <w:tcW w:w="860" w:type="dxa"/>
            <w:vAlign w:val="bottom"/>
            <w:gridSpan w:val="3"/>
          </w:tcPr>
          <w:p>
            <w:pPr>
              <w:ind w:left="30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4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060" w:type="dxa"/>
            <w:vAlign w:val="bottom"/>
            <w:tcBorders>
              <w:top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060" w:type="dxa"/>
            <w:vAlign w:val="bottom"/>
            <w:tcBorders>
              <w:top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r>
      <w:tr>
        <w:trPr>
          <w:trHeight w:val="237"/>
        </w:trPr>
        <w:tc>
          <w:tcPr>
            <w:tcW w:w="32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3400" w:type="dxa"/>
            <w:vAlign w:val="bottom"/>
            <w:gridSpan w:val="2"/>
          </w:tcPr>
          <w:p>
            <w:pPr>
              <w:ind w:left="160"/>
              <w:spacing w:after="0"/>
              <w:rPr>
                <w:sz w:val="20"/>
                <w:szCs w:val="20"/>
                <w:color w:val="auto"/>
              </w:rPr>
            </w:pPr>
            <w:r>
              <w:rPr>
                <w:rFonts w:ascii="Arial" w:cs="Arial" w:eastAsia="Arial" w:hAnsi="Arial"/>
                <w:sz w:val="18"/>
                <w:szCs w:val="18"/>
                <w:color w:val="auto"/>
              </w:rPr>
              <w:t>Product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16,675</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11,780</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4,895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29,352</w:t>
            </w:r>
          </w:p>
        </w:tc>
        <w:tc>
          <w:tcPr>
            <w:tcW w:w="14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23,547</w:t>
            </w:r>
          </w:p>
        </w:tc>
        <w:tc>
          <w:tcPr>
            <w:tcW w:w="140" w:type="dxa"/>
            <w:vAlign w:val="bottom"/>
          </w:tcPr>
          <w:p>
            <w:pPr>
              <w:spacing w:after="0"/>
              <w:rPr>
                <w:sz w:val="20"/>
                <w:szCs w:val="20"/>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5,805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25 %</w:t>
            </w:r>
          </w:p>
        </w:tc>
        <w:tc>
          <w:tcPr>
            <w:tcW w:w="20" w:type="dxa"/>
            <w:vAlign w:val="bottom"/>
          </w:tcPr>
          <w:p>
            <w:pPr>
              <w:spacing w:after="0"/>
              <w:rPr>
                <w:sz w:val="20"/>
                <w:szCs w:val="20"/>
                <w:color w:val="auto"/>
              </w:rPr>
            </w:pPr>
          </w:p>
        </w:tc>
      </w:tr>
      <w:tr>
        <w:trPr>
          <w:trHeight w:val="256"/>
        </w:trPr>
        <w:tc>
          <w:tcPr>
            <w:tcW w:w="340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4,856</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3,818</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1,038</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27 %</w:t>
            </w:r>
          </w:p>
        </w:tc>
        <w:tc>
          <w:tcPr>
            <w:tcW w:w="18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8,229</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6,938</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1,291</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20" w:type="dxa"/>
            <w:vAlign w:val="bottom"/>
          </w:tcPr>
          <w:p>
            <w:pPr>
              <w:spacing w:after="0"/>
              <w:rPr>
                <w:sz w:val="22"/>
                <w:szCs w:val="22"/>
                <w:color w:val="auto"/>
              </w:rPr>
            </w:pPr>
          </w:p>
        </w:tc>
      </w:tr>
      <w:tr>
        <w:trPr>
          <w:trHeight w:val="224"/>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Total cost of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21,531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15,598</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5,933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37,581</w:t>
            </w:r>
          </w:p>
        </w:tc>
        <w:tc>
          <w:tcPr>
            <w:tcW w:w="1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30,485</w:t>
            </w:r>
          </w:p>
        </w:tc>
        <w:tc>
          <w:tcPr>
            <w:tcW w:w="14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7,096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23 %</w:t>
            </w:r>
          </w:p>
        </w:tc>
        <w:tc>
          <w:tcPr>
            <w:tcW w:w="20" w:type="dxa"/>
            <w:vAlign w:val="bottom"/>
          </w:tcPr>
          <w:p>
            <w:pPr>
              <w:spacing w:after="0"/>
              <w:rPr>
                <w:sz w:val="19"/>
                <w:szCs w:val="19"/>
                <w:color w:val="auto"/>
              </w:rPr>
            </w:pPr>
          </w:p>
        </w:tc>
      </w:tr>
      <w:tr>
        <w:trPr>
          <w:trHeight w:val="256"/>
        </w:trPr>
        <w:tc>
          <w:tcPr>
            <w:tcW w:w="3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28,162</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24,561</w:t>
            </w: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3,601</w:t>
            </w:r>
          </w:p>
        </w:tc>
        <w:tc>
          <w:tcPr>
            <w:tcW w:w="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49,200</w:t>
            </w: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44,738</w:t>
            </w:r>
          </w:p>
        </w:tc>
        <w:tc>
          <w:tcPr>
            <w:tcW w:w="1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4,462</w:t>
            </w:r>
          </w:p>
        </w:tc>
        <w:tc>
          <w:tcPr>
            <w:tcW w:w="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22"/>
                <w:szCs w:val="2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57 %</w:t>
            </w:r>
          </w:p>
        </w:tc>
        <w:tc>
          <w:tcPr>
            <w:tcW w:w="2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61 %</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57 %</w:t>
            </w: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59 %</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3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-479425</wp:posOffset>
            </wp:positionV>
            <wp:extent cx="77470" cy="1631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-479425</wp:posOffset>
            </wp:positionV>
            <wp:extent cx="85725" cy="1631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-479425</wp:posOffset>
            </wp:positionV>
            <wp:extent cx="85725" cy="163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-479425</wp:posOffset>
            </wp:positionV>
            <wp:extent cx="85725" cy="1631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-479425</wp:posOffset>
            </wp:positionV>
            <wp:extent cx="85725" cy="163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-479425</wp:posOffset>
            </wp:positionV>
            <wp:extent cx="85725"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74" w:lineRule="exact"/>
        <w:rPr>
          <w:sz w:val="20"/>
          <w:szCs w:val="20"/>
          <w:color w:val="auto"/>
        </w:rPr>
      </w:pPr>
    </w:p>
    <w:p>
      <w:pPr>
        <w:jc w:val="both"/>
        <w:ind w:right="20" w:firstLine="509"/>
        <w:spacing w:after="0" w:line="259" w:lineRule="auto"/>
        <w:rPr>
          <w:sz w:val="20"/>
          <w:szCs w:val="20"/>
          <w:color w:val="auto"/>
        </w:rPr>
      </w:pPr>
      <w:r>
        <w:rPr>
          <w:rFonts w:ascii="Arial" w:cs="Arial" w:eastAsia="Arial" w:hAnsi="Arial"/>
          <w:sz w:val="18"/>
          <w:szCs w:val="18"/>
          <w:color w:val="auto"/>
        </w:rPr>
        <w:t>Total cost of sales increased by $5.9 million, or 38%, for the three months ended June 30, 2023 as compared to the three months ended June 30, 2022, and increased by $7.1 million, or 23%, for the six months ended June 30, 2023 as compared to the six months ended June 30, 2022. The increase in cost of sales was driven by increases in service revenue, primarily due to increased material costs for the three and six months ended June 30, 2023 as compared to the three and six months ended June 30, 2022.</w:t>
      </w:r>
    </w:p>
    <w:p>
      <w:pPr>
        <w:spacing w:after="0" w:line="79" w:lineRule="exact"/>
        <w:rPr>
          <w:sz w:val="20"/>
          <w:szCs w:val="20"/>
          <w:color w:val="auto"/>
        </w:rPr>
      </w:pPr>
    </w:p>
    <w:p>
      <w:pPr>
        <w:jc w:val="both"/>
        <w:ind w:right="20" w:firstLine="509"/>
        <w:spacing w:after="0" w:line="259" w:lineRule="auto"/>
        <w:rPr>
          <w:sz w:val="20"/>
          <w:szCs w:val="20"/>
          <w:color w:val="auto"/>
        </w:rPr>
      </w:pPr>
      <w:r>
        <w:rPr>
          <w:rFonts w:ascii="Arial" w:cs="Arial" w:eastAsia="Arial" w:hAnsi="Arial"/>
          <w:sz w:val="18"/>
          <w:szCs w:val="18"/>
          <w:color w:val="auto"/>
        </w:rPr>
        <w:t>Total gross profit margin was 57% and 61% as a percent of total revenue for the three months ended June 30, 2023 and 2022, respectively, and 57% and 59% for the six months ended June 30, 2023 and 2022, respectively. Gross profit margin depends on many factors, including market conditions that might affect our pricing; services; product mix changes between instrument configurations; excess and obsolete inventories; our cost structure for manufacturing operations relative to volume, freight costs and product support.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 June 30,</w:t>
            </w:r>
          </w:p>
        </w:tc>
        <w:tc>
          <w:tcPr>
            <w:tcW w:w="160" w:type="dxa"/>
            <w:vAlign w:val="bottom"/>
          </w:tcPr>
          <w:p>
            <w:pPr>
              <w:spacing w:after="0"/>
              <w:rPr>
                <w:sz w:val="16"/>
                <w:szCs w:val="16"/>
                <w:color w:val="auto"/>
              </w:rPr>
            </w:pPr>
          </w:p>
        </w:tc>
        <w:tc>
          <w:tcPr>
            <w:tcW w:w="900" w:type="dxa"/>
            <w:vAlign w:val="bottom"/>
            <w:gridSpan w:val="3"/>
          </w:tcPr>
          <w:p>
            <w:pPr>
              <w:ind w:left="34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1"/>
              </w:rPr>
              <w:t>Six months ended June 30,</w:t>
            </w:r>
          </w:p>
        </w:tc>
        <w:tc>
          <w:tcPr>
            <w:tcW w:w="160" w:type="dxa"/>
            <w:vAlign w:val="bottom"/>
          </w:tcPr>
          <w:p>
            <w:pPr>
              <w:spacing w:after="0"/>
              <w:rPr>
                <w:sz w:val="16"/>
                <w:szCs w:val="16"/>
                <w:color w:val="auto"/>
              </w:rPr>
            </w:pPr>
          </w:p>
        </w:tc>
        <w:tc>
          <w:tcPr>
            <w:tcW w:w="880" w:type="dxa"/>
            <w:vAlign w:val="bottom"/>
            <w:gridSpan w:val="3"/>
          </w:tcPr>
          <w:p>
            <w:pPr>
              <w:ind w:left="34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4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060" w:type="dxa"/>
            <w:vAlign w:val="bottom"/>
            <w:tcBorders>
              <w:top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040" w:type="dxa"/>
            <w:vAlign w:val="bottom"/>
            <w:tcBorders>
              <w:top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r>
      <w:tr>
        <w:trPr>
          <w:trHeight w:val="237"/>
        </w:trPr>
        <w:tc>
          <w:tcPr>
            <w:tcW w:w="32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Product:</w:t>
            </w:r>
          </w:p>
        </w:tc>
        <w:tc>
          <w:tcPr>
            <w:tcW w:w="1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3400" w:type="dxa"/>
            <w:vAlign w:val="bottom"/>
            <w:gridSpan w:val="2"/>
          </w:tcPr>
          <w:p>
            <w:pPr>
              <w:ind w:left="16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40,452</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37,093</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3,359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71,624</w:t>
            </w:r>
          </w:p>
        </w:tc>
        <w:tc>
          <w:tcPr>
            <w:tcW w:w="14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68,574</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3,050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20"/>
                <w:szCs w:val="20"/>
                <w:color w:val="auto"/>
              </w:rPr>
            </w:pPr>
          </w:p>
        </w:tc>
      </w:tr>
      <w:tr>
        <w:trPr>
          <w:trHeight w:val="256"/>
        </w:trPr>
        <w:tc>
          <w:tcPr>
            <w:tcW w:w="340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16,675</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11,780</w:t>
            </w: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4,895</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42 %</w:t>
            </w:r>
          </w:p>
        </w:tc>
        <w:tc>
          <w:tcPr>
            <w:tcW w:w="18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29,352</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23,547</w:t>
            </w: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5,805</w:t>
            </w:r>
          </w:p>
        </w:tc>
        <w:tc>
          <w:tcPr>
            <w:tcW w:w="1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25 %</w:t>
            </w:r>
          </w:p>
        </w:tc>
        <w:tc>
          <w:tcPr>
            <w:tcW w:w="20" w:type="dxa"/>
            <w:vAlign w:val="bottom"/>
          </w:tcPr>
          <w:p>
            <w:pPr>
              <w:spacing w:after="0"/>
              <w:rPr>
                <w:sz w:val="22"/>
                <w:szCs w:val="22"/>
                <w:color w:val="auto"/>
              </w:rPr>
            </w:pPr>
          </w:p>
        </w:tc>
      </w:tr>
      <w:tr>
        <w:trPr>
          <w:trHeight w:val="230"/>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Product gross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23,777</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25,313</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3"/>
              </w:rPr>
              <w:t>(1,536 )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42,272</w:t>
            </w:r>
          </w:p>
        </w:tc>
        <w:tc>
          <w:tcPr>
            <w:tcW w:w="14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45,027</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(2,755 )</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-6 %</w:t>
            </w:r>
          </w:p>
        </w:tc>
        <w:tc>
          <w:tcPr>
            <w:tcW w:w="20" w:type="dxa"/>
            <w:vAlign w:val="bottom"/>
          </w:tcPr>
          <w:p>
            <w:pPr>
              <w:spacing w:after="0"/>
              <w:rPr>
                <w:sz w:val="20"/>
                <w:szCs w:val="20"/>
                <w:color w:val="auto"/>
              </w:rPr>
            </w:pPr>
          </w:p>
        </w:tc>
      </w:tr>
      <w:tr>
        <w:trPr>
          <w:trHeight w:val="249"/>
        </w:trPr>
        <w:tc>
          <w:tcPr>
            <w:tcW w:w="3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59 %</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68 %</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59 %</w:t>
            </w: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66 %</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473"/>
        </w:trPr>
        <w:tc>
          <w:tcPr>
            <w:tcW w:w="340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3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9,241</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3,066</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6,175</w:t>
            </w:r>
          </w:p>
        </w:tc>
        <w:tc>
          <w:tcPr>
            <w:tcW w:w="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15,157</w:t>
            </w: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6,649</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8,508</w:t>
            </w: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128 %</w:t>
            </w:r>
          </w:p>
        </w:tc>
        <w:tc>
          <w:tcPr>
            <w:tcW w:w="20" w:type="dxa"/>
            <w:vAlign w:val="bottom"/>
          </w:tcPr>
          <w:p>
            <w:pPr>
              <w:spacing w:after="0"/>
              <w:rPr>
                <w:sz w:val="22"/>
                <w:szCs w:val="22"/>
                <w:color w:val="auto"/>
              </w:rPr>
            </w:pPr>
          </w:p>
        </w:tc>
      </w:tr>
      <w:tr>
        <w:trPr>
          <w:trHeight w:val="243"/>
        </w:trPr>
        <w:tc>
          <w:tcPr>
            <w:tcW w:w="3400" w:type="dxa"/>
            <w:vAlign w:val="bottom"/>
            <w:gridSpan w:val="2"/>
          </w:tcPr>
          <w:p>
            <w:pPr>
              <w:ind w:left="160"/>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4,856</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3,818</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1,038</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8,229</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6,938</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1,291</w:t>
            </w:r>
          </w:p>
        </w:tc>
        <w:tc>
          <w:tcPr>
            <w:tcW w:w="1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20" w:type="dxa"/>
            <w:vAlign w:val="bottom"/>
          </w:tcPr>
          <w:p>
            <w:pPr>
              <w:spacing w:after="0"/>
              <w:rPr>
                <w:sz w:val="21"/>
                <w:szCs w:val="21"/>
                <w:color w:val="auto"/>
              </w:rPr>
            </w:pPr>
          </w:p>
        </w:tc>
      </w:tr>
      <w:tr>
        <w:trPr>
          <w:trHeight w:val="237"/>
        </w:trPr>
        <w:tc>
          <w:tcPr>
            <w:tcW w:w="3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Service gross profit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4,385</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(752 )</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5,137</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6,928</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(289 )</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7,217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2497 %</w:t>
            </w:r>
          </w:p>
        </w:tc>
        <w:tc>
          <w:tcPr>
            <w:tcW w:w="20" w:type="dxa"/>
            <w:vAlign w:val="bottom"/>
          </w:tcPr>
          <w:p>
            <w:pPr>
              <w:spacing w:after="0"/>
              <w:rPr>
                <w:sz w:val="20"/>
                <w:szCs w:val="20"/>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47 %</w:t>
            </w:r>
          </w:p>
        </w:tc>
        <w:tc>
          <w:tcPr>
            <w:tcW w:w="2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-25 %</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46 %</w:t>
            </w: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3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-1259840</wp:posOffset>
            </wp:positionV>
            <wp:extent cx="77470"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-1259840</wp:posOffset>
            </wp:positionV>
            <wp:extent cx="85725" cy="163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-1259840</wp:posOffset>
            </wp:positionV>
            <wp:extent cx="85725" cy="1631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-1259840</wp:posOffset>
            </wp:positionV>
            <wp:extent cx="85725" cy="1631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-1259840</wp:posOffset>
            </wp:positionV>
            <wp:extent cx="85725" cy="1631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-1259840</wp:posOffset>
            </wp:positionV>
            <wp:extent cx="85725" cy="163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74" w:lineRule="exact"/>
        <w:rPr>
          <w:sz w:val="20"/>
          <w:szCs w:val="20"/>
          <w:color w:val="auto"/>
        </w:rPr>
      </w:pPr>
    </w:p>
    <w:p>
      <w:pPr>
        <w:jc w:val="both"/>
        <w:ind w:right="20" w:firstLine="509"/>
        <w:spacing w:after="0" w:line="255" w:lineRule="auto"/>
        <w:rPr>
          <w:sz w:val="20"/>
          <w:szCs w:val="20"/>
          <w:color w:val="auto"/>
        </w:rPr>
      </w:pPr>
      <w:r>
        <w:rPr>
          <w:rFonts w:ascii="Arial" w:cs="Arial" w:eastAsia="Arial" w:hAnsi="Arial"/>
          <w:sz w:val="18"/>
          <w:szCs w:val="18"/>
          <w:color w:val="auto"/>
        </w:rPr>
        <w:t>Product gross profit and product revenue for three months ended June 30, 2023 decreased 6% and increased 9%, respectively, as compared to the three months ended June 30, 2022. Product gross profit and product revenue for the six months ended June 30, 2023 decreased 6% and increased 4%, respectively, as compared to the six months ended June 30, 2022. Product cost of sales for the three and six months ended June 30, 2023 increased by 42% and 25%, respectively, as compared to the same period in 2022. The lower product gross margins in the three and six months ended June 30, 2023 compared to the three and six months ended June 30, 2022 were driven primarily by higher material costs and by less favorable instrument product mix following the FCI acquisition.</w:t>
      </w:r>
    </w:p>
    <w:p>
      <w:pPr>
        <w:spacing w:after="0" w:line="84" w:lineRule="exact"/>
        <w:rPr>
          <w:sz w:val="20"/>
          <w:szCs w:val="20"/>
          <w:color w:val="auto"/>
        </w:rPr>
      </w:pPr>
    </w:p>
    <w:p>
      <w:pPr>
        <w:jc w:val="both"/>
        <w:ind w:right="20" w:firstLine="556"/>
        <w:spacing w:after="0" w:line="255" w:lineRule="auto"/>
        <w:rPr>
          <w:sz w:val="20"/>
          <w:szCs w:val="20"/>
          <w:color w:val="auto"/>
        </w:rPr>
      </w:pPr>
      <w:r>
        <w:rPr>
          <w:rFonts w:ascii="Arial" w:cs="Arial" w:eastAsia="Arial" w:hAnsi="Arial"/>
          <w:sz w:val="18"/>
          <w:szCs w:val="18"/>
          <w:color w:val="auto"/>
        </w:rPr>
        <w:t>Service gross profit (loss) for the three and six months ended June 30, 2023 increased 683% and 2,497%, respectively, as compared to the three and six months ended June 30, 2022. Service revenue for the three and six months ended June 30, 2023 increased 201% and 128%, respectively, as compared to the three and six months ended June 30, 2022. Service cost of sales for the three and six months ended June 30, 2023 increased by 27% and 19% as compared to the same period in 2022. The higher service gross margins in the three and six months ended June 30, 2023 compared to the three and six months ended June 30, 2022 were mainly driven by continued growth in the instruments installed base with more instruments coming off warranty and the addition of the FCI acquisition.</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14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2260" w:type="dxa"/>
            <w:vAlign w:val="bottom"/>
            <w:gridSpan w:val="4"/>
          </w:tcPr>
          <w:p>
            <w:pPr>
              <w:jc w:val="center"/>
              <w:ind w:left="282"/>
              <w:spacing w:after="0"/>
              <w:rPr>
                <w:sz w:val="20"/>
                <w:szCs w:val="20"/>
                <w:color w:val="auto"/>
              </w:rPr>
            </w:pPr>
            <w:r>
              <w:rPr>
                <w:rFonts w:ascii="Arial" w:cs="Arial" w:eastAsia="Arial" w:hAnsi="Arial"/>
                <w:sz w:val="14"/>
                <w:szCs w:val="14"/>
                <w:b w:val="1"/>
                <w:bCs w:val="1"/>
                <w:color w:val="auto"/>
                <w:w w:val="90"/>
              </w:rPr>
              <w:t>Six months ended June</w:t>
            </w:r>
          </w:p>
        </w:tc>
        <w:tc>
          <w:tcPr>
            <w:tcW w:w="140" w:type="dxa"/>
            <w:vAlign w:val="bottom"/>
          </w:tcPr>
          <w:p>
            <w:pPr>
              <w:spacing w:after="0"/>
              <w:rPr>
                <w:sz w:val="14"/>
                <w:szCs w:val="14"/>
                <w:color w:val="auto"/>
              </w:rPr>
            </w:pPr>
          </w:p>
        </w:tc>
        <w:tc>
          <w:tcPr>
            <w:tcW w:w="114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2"/>
              </w:rPr>
              <w:t>30,</w:t>
            </w:r>
          </w:p>
        </w:tc>
        <w:tc>
          <w:tcPr>
            <w:tcW w:w="8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4"/>
                <w:szCs w:val="14"/>
                <w:color w:val="auto"/>
              </w:rPr>
            </w:pPr>
          </w:p>
        </w:tc>
        <w:tc>
          <w:tcPr>
            <w:tcW w:w="80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4"/>
              <w:spacing w:after="0"/>
              <w:rPr>
                <w:sz w:val="20"/>
                <w:szCs w:val="20"/>
                <w:color w:val="auto"/>
              </w:rPr>
            </w:pPr>
            <w:r>
              <w:rPr>
                <w:rFonts w:ascii="Arial" w:cs="Arial" w:eastAsia="Arial" w:hAnsi="Arial"/>
                <w:sz w:val="18"/>
                <w:szCs w:val="18"/>
                <w:color w:val="auto"/>
                <w:w w:val="91"/>
              </w:rPr>
              <w:t>$ 12,136</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8,436</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w w:val="92"/>
              </w:rPr>
              <w:t>$  3,700</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44 % $ 22,110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91"/>
              </w:rPr>
              <w:t>$ 16,461</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w w:val="92"/>
              </w:rPr>
              <w:t>$  5,649</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Research and development expenses were $12.1 million for the three months ended June 30, 2023 as compared to $8.4 million for the three months ended June 30, 2022. The increase of $3.7 million in research and development expenses was primarily due to an increase in headcount and personnel-related expenses of $2.7 million, including stock-based compensation of $0.7 million and other costs.</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color w:val="auto"/>
        </w:rPr>
        <w:t>Research and development expenses were $22.1 million for the six months ended June 30, 2023 as compared to $16.5 million</w:t>
      </w:r>
    </w:p>
    <w:p>
      <w:pPr>
        <w:spacing w:after="0" w:line="2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for the six months ended June 30, 2022. The increase of $5.7 million in research and development expenses was primarily due to an increase in headcount and personnel-related expenses of $4.6 million, including stock-based compensation of $0.9 million and other costs.</w:t>
      </w:r>
    </w:p>
    <w:p>
      <w:pPr>
        <w:spacing w:after="0" w:line="7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increase in research and development expenses for the three and six months ended June 30, 2023 was primarily driven by costs relating to the FCI business. We expect our research and development expense to increase in absolute dollars as we continue to develop new products and enhance existing instruments and technologies.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14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2260" w:type="dxa"/>
            <w:vAlign w:val="bottom"/>
            <w:gridSpan w:val="4"/>
          </w:tcPr>
          <w:p>
            <w:pPr>
              <w:jc w:val="center"/>
              <w:ind w:left="282"/>
              <w:spacing w:after="0"/>
              <w:rPr>
                <w:sz w:val="20"/>
                <w:szCs w:val="20"/>
                <w:color w:val="auto"/>
              </w:rPr>
            </w:pPr>
            <w:r>
              <w:rPr>
                <w:rFonts w:ascii="Arial" w:cs="Arial" w:eastAsia="Arial" w:hAnsi="Arial"/>
                <w:sz w:val="14"/>
                <w:szCs w:val="14"/>
                <w:b w:val="1"/>
                <w:bCs w:val="1"/>
                <w:color w:val="auto"/>
                <w:w w:val="90"/>
              </w:rPr>
              <w:t>Six months ended June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2"/>
              </w:rPr>
              <w:t>30,</w:t>
            </w:r>
          </w:p>
        </w:tc>
        <w:tc>
          <w:tcPr>
            <w:tcW w:w="8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4"/>
                <w:szCs w:val="14"/>
                <w:color w:val="auto"/>
              </w:rPr>
            </w:pPr>
          </w:p>
        </w:tc>
        <w:tc>
          <w:tcPr>
            <w:tcW w:w="80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20" w:type="dxa"/>
            <w:vAlign w:val="bottom"/>
            <w:gridSpan w:val="2"/>
            <w:vMerge w:val="restart"/>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97"/>
              </w:rPr>
              <w:t>10,12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620" w:type="dxa"/>
            <w:vAlign w:val="bottom"/>
            <w:gridSpan w:val="2"/>
            <w:vMerge w:val="continue"/>
            <w:shd w:val="clear" w:color="auto" w:fill="CFF0FC"/>
          </w:tcPr>
          <w:p>
            <w:pPr>
              <w:spacing w:after="0"/>
              <w:rPr>
                <w:sz w:val="10"/>
                <w:szCs w:val="10"/>
                <w:color w:val="auto"/>
              </w:rPr>
            </w:pPr>
          </w:p>
        </w:tc>
        <w:tc>
          <w:tcPr>
            <w:tcW w:w="800" w:type="dxa"/>
            <w:vAlign w:val="bottom"/>
            <w:vMerge w:val="restart"/>
            <w:shd w:val="clear" w:color="auto" w:fill="CFF0FC"/>
          </w:tcPr>
          <w:p>
            <w:pPr>
              <w:jc w:val="right"/>
              <w:ind w:right="64"/>
              <w:spacing w:after="0"/>
              <w:rPr>
                <w:sz w:val="20"/>
                <w:szCs w:val="20"/>
                <w:color w:val="auto"/>
              </w:rPr>
            </w:pPr>
            <w:r>
              <w:rPr>
                <w:rFonts w:ascii="Arial" w:cs="Arial" w:eastAsia="Arial" w:hAnsi="Arial"/>
                <w:sz w:val="18"/>
                <w:szCs w:val="18"/>
                <w:color w:val="auto"/>
                <w:w w:val="91"/>
              </w:rPr>
              <w:t>$ 14,367</w:t>
            </w:r>
          </w:p>
        </w:tc>
        <w:tc>
          <w:tcPr>
            <w:tcW w:w="2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FF0FC"/>
          </w:tcPr>
          <w:p>
            <w:pPr>
              <w:jc w:val="right"/>
              <w:ind w:right="79"/>
              <w:spacing w:after="0"/>
              <w:rPr>
                <w:sz w:val="20"/>
                <w:szCs w:val="20"/>
                <w:color w:val="auto"/>
              </w:rPr>
            </w:pPr>
            <w:r>
              <w:rPr>
                <w:rFonts w:ascii="Arial" w:cs="Arial" w:eastAsia="Arial" w:hAnsi="Arial"/>
                <w:sz w:val="18"/>
                <w:szCs w:val="18"/>
                <w:color w:val="auto"/>
              </w:rPr>
              <w:t>8,431</w:t>
            </w:r>
          </w:p>
        </w:tc>
        <w:tc>
          <w:tcPr>
            <w:tcW w:w="880" w:type="dxa"/>
            <w:vAlign w:val="bottom"/>
            <w:gridSpan w:val="2"/>
            <w:vMerge w:val="restart"/>
            <w:shd w:val="clear" w:color="auto" w:fill="CFF0FC"/>
          </w:tcPr>
          <w:p>
            <w:pPr>
              <w:jc w:val="right"/>
              <w:ind w:right="68"/>
              <w:spacing w:after="0"/>
              <w:rPr>
                <w:sz w:val="20"/>
                <w:szCs w:val="20"/>
                <w:color w:val="auto"/>
              </w:rPr>
            </w:pPr>
            <w:r>
              <w:rPr>
                <w:rFonts w:ascii="Arial" w:cs="Arial" w:eastAsia="Arial" w:hAnsi="Arial"/>
                <w:sz w:val="18"/>
                <w:szCs w:val="18"/>
                <w:color w:val="auto"/>
              </w:rPr>
              <w:t>$  5,936</w:t>
            </w: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70 % $ 25,512</w:t>
            </w:r>
          </w:p>
        </w:tc>
        <w:tc>
          <w:tcPr>
            <w:tcW w:w="1040" w:type="dxa"/>
            <w:vAlign w:val="bottom"/>
            <w:gridSpan w:val="3"/>
            <w:vMerge w:val="restart"/>
            <w:shd w:val="clear" w:color="auto" w:fill="CFF0FC"/>
          </w:tcPr>
          <w:p>
            <w:pPr>
              <w:jc w:val="right"/>
              <w:ind w:right="68"/>
              <w:spacing w:after="0"/>
              <w:rPr>
                <w:sz w:val="20"/>
                <w:szCs w:val="20"/>
                <w:color w:val="auto"/>
              </w:rPr>
            </w:pPr>
            <w:r>
              <w:rPr>
                <w:rFonts w:ascii="Arial" w:cs="Arial" w:eastAsia="Arial" w:hAnsi="Arial"/>
                <w:sz w:val="18"/>
                <w:szCs w:val="18"/>
                <w:color w:val="auto"/>
              </w:rPr>
              <w:t>$ 15,391</w:t>
            </w:r>
          </w:p>
        </w:tc>
        <w:tc>
          <w:tcPr>
            <w:tcW w:w="3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FF0FC"/>
          </w:tcPr>
          <w:p>
            <w:pPr>
              <w:jc w:val="right"/>
              <w:ind w:right="56"/>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121"/>
        </w:trPr>
        <w:tc>
          <w:tcPr>
            <w:tcW w:w="34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0" w:type="dxa"/>
            <w:vAlign w:val="bottom"/>
            <w:vMerge w:val="continue"/>
            <w:shd w:val="clear" w:color="auto" w:fill="CFF0FC"/>
          </w:tcPr>
          <w:p>
            <w:pPr>
              <w:spacing w:after="0"/>
              <w:rPr>
                <w:sz w:val="10"/>
                <w:szCs w:val="10"/>
                <w:color w:val="auto"/>
              </w:rPr>
            </w:pPr>
          </w:p>
        </w:tc>
        <w:tc>
          <w:tcPr>
            <w:tcW w:w="280" w:type="dxa"/>
            <w:vAlign w:val="bottom"/>
            <w:gridSpan w:val="2"/>
            <w:vMerge w:val="continue"/>
            <w:shd w:val="clear" w:color="auto" w:fill="CFF0FC"/>
          </w:tcPr>
          <w:p>
            <w:pPr>
              <w:spacing w:after="0"/>
              <w:rPr>
                <w:sz w:val="10"/>
                <w:szCs w:val="10"/>
                <w:color w:val="auto"/>
              </w:rPr>
            </w:pPr>
          </w:p>
        </w:tc>
        <w:tc>
          <w:tcPr>
            <w:tcW w:w="660" w:type="dxa"/>
            <w:vAlign w:val="bottom"/>
            <w:vMerge w:val="continue"/>
            <w:shd w:val="clear" w:color="auto" w:fill="CFF0FC"/>
          </w:tcPr>
          <w:p>
            <w:pPr>
              <w:spacing w:after="0"/>
              <w:rPr>
                <w:sz w:val="10"/>
                <w:szCs w:val="10"/>
                <w:color w:val="auto"/>
              </w:rPr>
            </w:pPr>
          </w:p>
        </w:tc>
        <w:tc>
          <w:tcPr>
            <w:tcW w:w="88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20" w:type="dxa"/>
            <w:vAlign w:val="bottom"/>
            <w:vMerge w:val="continue"/>
            <w:shd w:val="clear" w:color="auto" w:fill="CFF0FC"/>
          </w:tcPr>
          <w:p>
            <w:pPr>
              <w:spacing w:after="0"/>
              <w:rPr>
                <w:sz w:val="10"/>
                <w:szCs w:val="10"/>
                <w:color w:val="auto"/>
              </w:rPr>
            </w:pPr>
          </w:p>
        </w:tc>
        <w:tc>
          <w:tcPr>
            <w:tcW w:w="1040" w:type="dxa"/>
            <w:vAlign w:val="bottom"/>
            <w:gridSpan w:val="3"/>
            <w:vMerge w:val="continue"/>
            <w:shd w:val="clear" w:color="auto" w:fill="CFF0FC"/>
          </w:tcPr>
          <w:p>
            <w:pPr>
              <w:spacing w:after="0"/>
              <w:rPr>
                <w:sz w:val="10"/>
                <w:szCs w:val="10"/>
                <w:color w:val="auto"/>
              </w:rPr>
            </w:pPr>
          </w:p>
        </w:tc>
        <w:tc>
          <w:tcPr>
            <w:tcW w:w="300" w:type="dxa"/>
            <w:vAlign w:val="bottom"/>
            <w:gridSpan w:val="2"/>
            <w:vMerge w:val="continue"/>
            <w:shd w:val="clear" w:color="auto" w:fill="CFF0FC"/>
          </w:tcPr>
          <w:p>
            <w:pPr>
              <w:spacing w:after="0"/>
              <w:rPr>
                <w:sz w:val="10"/>
                <w:szCs w:val="10"/>
                <w:color w:val="auto"/>
              </w:rPr>
            </w:pPr>
          </w:p>
        </w:tc>
        <w:tc>
          <w:tcPr>
            <w:tcW w:w="60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Sales and marketing expenses were $14.4 million for the three months ended June 30, 2023 as compared to $8.4 million for the three months ended June 30, 2022. The increase of $5.9 million in sales and marketing expenses was primarily due to an increase in headcount and personnel-related expenses of $4.3 million, including stock-based compensation of $0.3 million, and increase in trade shows and other sales and marketing costs of $0.6 million, and an increase in travel costs of $0.3 million.</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and marketing expenses were $25.5 million for the six months ended June 30, 2023 as compared to $15.4 million for the</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six months ended June 30, 2022. The increase of $10.1 million in sales and marketing expenses was primarily due to an increase in headcount and personnel-related expenses of $7.2 million, including stock-based compensation of $0.5 million, and increase in trade shows and other sales and marketing costs of $1.0 million, and an increase of travel costs of $0.8 million.</w:t>
      </w:r>
    </w:p>
    <w:p>
      <w:pPr>
        <w:spacing w:after="0" w:line="82"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We expect our sales and marketing expenses to increase in absolute dollars as we hire additional sales and marketing personnel, expand our sales support infrastructure and invest in our brand and product awareness to further penetrate the United States and the international markets.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4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3"/>
          </w:tcPr>
          <w:p>
            <w:pPr>
              <w:jc w:val="center"/>
              <w:ind w:left="2"/>
              <w:spacing w:after="0"/>
              <w:rPr>
                <w:sz w:val="20"/>
                <w:szCs w:val="20"/>
                <w:color w:val="auto"/>
              </w:rPr>
            </w:pPr>
            <w:r>
              <w:rPr>
                <w:rFonts w:ascii="Arial" w:cs="Arial" w:eastAsia="Arial" w:hAnsi="Arial"/>
                <w:sz w:val="14"/>
                <w:szCs w:val="14"/>
                <w:b w:val="1"/>
                <w:bCs w:val="1"/>
                <w:color w:val="auto"/>
                <w:w w:val="90"/>
              </w:rPr>
              <w:t>Six months ended June</w:t>
            </w:r>
          </w:p>
        </w:tc>
        <w:tc>
          <w:tcPr>
            <w:tcW w:w="260" w:type="dxa"/>
            <w:vAlign w:val="bottom"/>
          </w:tcPr>
          <w:p>
            <w:pPr>
              <w:spacing w:after="0"/>
              <w:rPr>
                <w:sz w:val="14"/>
                <w:szCs w:val="14"/>
                <w:color w:val="auto"/>
              </w:rPr>
            </w:pPr>
          </w:p>
        </w:tc>
        <w:tc>
          <w:tcPr>
            <w:tcW w:w="114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680" w:type="dxa"/>
            <w:vAlign w:val="bottom"/>
          </w:tcPr>
          <w:p>
            <w:pPr>
              <w:jc w:val="right"/>
              <w:ind w:right="124"/>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1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02"/>
              <w:spacing w:after="0"/>
              <w:rPr>
                <w:sz w:val="20"/>
                <w:szCs w:val="20"/>
                <w:color w:val="auto"/>
              </w:rPr>
            </w:pPr>
            <w:r>
              <w:rPr>
                <w:rFonts w:ascii="Arial" w:cs="Arial" w:eastAsia="Arial" w:hAnsi="Arial"/>
                <w:sz w:val="14"/>
                <w:szCs w:val="14"/>
                <w:b w:val="1"/>
                <w:bCs w:val="1"/>
                <w:color w:val="auto"/>
              </w:rPr>
              <w:t>2023</w:t>
            </w:r>
          </w:p>
        </w:tc>
        <w:tc>
          <w:tcPr>
            <w:tcW w:w="9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1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jc w:val="right"/>
              <w:ind w:right="23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4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$ 10,786</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8,585</w:t>
            </w:r>
          </w:p>
        </w:tc>
        <w:tc>
          <w:tcPr>
            <w:tcW w:w="260" w:type="dxa"/>
            <w:vAlign w:val="bottom"/>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2,201</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$ 22,867</w:t>
            </w:r>
          </w:p>
        </w:tc>
        <w:tc>
          <w:tcPr>
            <w:tcW w:w="260" w:type="dxa"/>
            <w:vAlign w:val="bottom"/>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$ 16,134</w:t>
            </w:r>
          </w:p>
        </w:tc>
        <w:tc>
          <w:tcPr>
            <w:tcW w:w="260" w:type="dxa"/>
            <w:vAlign w:val="bottom"/>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6,733</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General and administrative expenses were $10.8 million for the three months ended June 30, 2023 as compared to $8.6 million for the three months ended June 30, 2022. The increase of $2.2 million in general and administrative expenses was primarily due to an increase in general corporate personnel-related costs of $0.9 million, including stock-based compensation of $0.8 million, and infrastructure services to support the growth of our overall operations.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General and administrative expenses were $22.9 million for the six months ended June 30, 2023 as compared to $16.1 million</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 the six months ended June 30, 2022. The increase of $6.7 million in general and administrative expenses was primarily due to an increase in legal and other professional service fees of $2.2 million, which includes $1.5 million related to the FCI acquisition in February 2023, increase in general corporate personnel-related costs of $2.4 million, including stock-based compensation of $1.4 million, and infrastructure services to support the growth of our overall operations.</w:t>
      </w:r>
    </w:p>
    <w:p>
      <w:pPr>
        <w:spacing w:after="0" w:line="85"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We expect to continue to incur additional general and administrative expenses as a result of operating as a public company, including expenses related to compliance with the rules and regulations of the SEC and the Nasdaq Stock Market, additional insurance costs, investor relations activities and other administrative and professional services. As a result, we expect general and administrative expenses to increase in absolute dollars in future periods.</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5"/>
          </w:tcPr>
          <w:p>
            <w:pPr>
              <w:jc w:val="right"/>
              <w:ind w:right="37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rPr>
              <w:t>Six months ended June</w:t>
            </w:r>
          </w:p>
        </w:tc>
        <w:tc>
          <w:tcPr>
            <w:tcW w:w="114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4"/>
          </w:tcPr>
          <w:p>
            <w:pPr>
              <w:ind w:left="1260"/>
              <w:spacing w:after="0"/>
              <w:rPr>
                <w:sz w:val="20"/>
                <w:szCs w:val="20"/>
                <w:color w:val="auto"/>
              </w:rPr>
            </w:pPr>
            <w:r>
              <w:rPr>
                <w:rFonts w:ascii="Arial" w:cs="Arial" w:eastAsia="Arial" w:hAnsi="Arial"/>
                <w:sz w:val="14"/>
                <w:szCs w:val="14"/>
                <w:b w:val="1"/>
                <w:bCs w:val="1"/>
                <w:color w:val="auto"/>
              </w:rPr>
              <w:t>30,</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680" w:type="dxa"/>
            <w:vAlign w:val="bottom"/>
            <w:tcBorders>
              <w:top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140" w:type="dxa"/>
            <w:vAlign w:val="bottom"/>
            <w:tcBorders>
              <w:top w:val="single" w:sz="8" w:color="auto"/>
            </w:tcBorders>
            <w:gridSpan w:val="3"/>
          </w:tcPr>
          <w:p>
            <w:pPr>
              <w:jc w:val="center"/>
              <w:ind w:right="500"/>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140" w:type="dxa"/>
            <w:vAlign w:val="bottom"/>
            <w:tcBorders>
              <w:top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Borders>
              <w:top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4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(409</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238</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(1,082</w:t>
            </w: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 (1,237</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155</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Interest expense was $0.4 million and $1.1 million for the three and six months ended June 30, 2023, respectively, as compared to $0.7 million and $1.2 million for the three and six months ended June 30, 2022, respectively. The decrease during the three and six months ended June 30, 2023 as compared to 2022 was mainly due to the accretion of the present value discount related to the settlement agreement with Becton, Dickinson and Company (“BD”). See Note 11 to our unaudited interim consolidated financial statements included elsewhere in this Quarterly Report on Form 10-Q for further details.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260" w:type="dxa"/>
            <w:vAlign w:val="bottom"/>
            <w:gridSpan w:val="4"/>
          </w:tcPr>
          <w:p>
            <w:pPr>
              <w:jc w:val="center"/>
              <w:ind w:left="322"/>
              <w:spacing w:after="0"/>
              <w:rPr>
                <w:sz w:val="20"/>
                <w:szCs w:val="20"/>
                <w:color w:val="auto"/>
              </w:rPr>
            </w:pPr>
            <w:r>
              <w:rPr>
                <w:rFonts w:ascii="Arial" w:cs="Arial" w:eastAsia="Arial" w:hAnsi="Arial"/>
                <w:sz w:val="14"/>
                <w:szCs w:val="14"/>
                <w:b w:val="1"/>
                <w:bCs w:val="1"/>
                <w:color w:val="auto"/>
                <w:w w:val="90"/>
              </w:rPr>
              <w:t>Six months ended June</w:t>
            </w:r>
          </w:p>
        </w:tc>
        <w:tc>
          <w:tcPr>
            <w:tcW w:w="120" w:type="dxa"/>
            <w:vAlign w:val="bottom"/>
          </w:tcPr>
          <w:p>
            <w:pPr>
              <w:spacing w:after="0"/>
              <w:rPr>
                <w:sz w:val="14"/>
                <w:szCs w:val="14"/>
                <w:color w:val="auto"/>
              </w:rPr>
            </w:pPr>
          </w:p>
        </w:tc>
        <w:tc>
          <w:tcPr>
            <w:tcW w:w="120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4"/>
              <w:spacing w:after="0"/>
              <w:rPr>
                <w:sz w:val="20"/>
                <w:szCs w:val="20"/>
                <w:color w:val="auto"/>
              </w:rPr>
            </w:pPr>
            <w:r>
              <w:rPr>
                <w:rFonts w:ascii="Arial" w:cs="Arial" w:eastAsia="Arial" w:hAnsi="Arial"/>
                <w:sz w:val="18"/>
                <w:szCs w:val="18"/>
                <w:color w:val="auto"/>
              </w:rPr>
              <w:t>$  1,201</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810</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207 % $  3,344</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   409</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  2,935</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718 %</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Interest income was $1.2 million and $3.3 million for the three and six months ended June 30, 2023, respectively, as compared to $0.4 million and $0.4 million for the three and six months ended June 30, 2022, respectively. The increase in interest income was the result of higher interest earned on our cash and cash equivalents due to an increase in interest rates as compared to 2022.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0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74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90"/>
              </w:rPr>
              <w:t>Six months ended June</w:t>
            </w:r>
          </w:p>
        </w:tc>
        <w:tc>
          <w:tcPr>
            <w:tcW w:w="120" w:type="dxa"/>
            <w:vAlign w:val="bottom"/>
          </w:tcPr>
          <w:p>
            <w:pPr>
              <w:spacing w:after="0"/>
              <w:rPr>
                <w:sz w:val="14"/>
                <w:szCs w:val="14"/>
                <w:color w:val="auto"/>
              </w:rPr>
            </w:pPr>
          </w:p>
        </w:tc>
        <w:tc>
          <w:tcPr>
            <w:tcW w:w="120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4"/>
              <w:spacing w:after="0"/>
              <w:rPr>
                <w:sz w:val="20"/>
                <w:szCs w:val="20"/>
                <w:color w:val="auto"/>
              </w:rPr>
            </w:pPr>
            <w:r>
              <w:rPr>
                <w:rFonts w:ascii="Arial" w:cs="Arial" w:eastAsia="Arial" w:hAnsi="Arial"/>
                <w:sz w:val="18"/>
                <w:szCs w:val="18"/>
                <w:color w:val="auto"/>
              </w:rPr>
              <w:t>$  1,740</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(254 )</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  1,994</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-785 %</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3,392</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(628 )</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  4,020</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-640 %</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Other income, net was $1.7 million and $3.4 million for the three and six months ended June 30, 2023, respectively, as compared to other expense, net of $0.3 million of expenses and $0.6 million of expenses for the three and six months ended June 30, 2022, respectively. The income was primarily from the short-term investment.</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0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260" w:type="dxa"/>
            <w:vAlign w:val="bottom"/>
            <w:gridSpan w:val="3"/>
          </w:tcPr>
          <w:p>
            <w:pPr>
              <w:jc w:val="center"/>
              <w:ind w:left="324"/>
              <w:spacing w:after="0"/>
              <w:rPr>
                <w:sz w:val="20"/>
                <w:szCs w:val="20"/>
                <w:color w:val="auto"/>
              </w:rPr>
            </w:pPr>
            <w:r>
              <w:rPr>
                <w:rFonts w:ascii="Arial" w:cs="Arial" w:eastAsia="Arial" w:hAnsi="Arial"/>
                <w:sz w:val="14"/>
                <w:szCs w:val="14"/>
                <w:b w:val="1"/>
                <w:bCs w:val="1"/>
                <w:color w:val="auto"/>
                <w:w w:val="90"/>
              </w:rPr>
              <w:t>Six months ended June</w:t>
            </w:r>
          </w:p>
        </w:tc>
        <w:tc>
          <w:tcPr>
            <w:tcW w:w="120" w:type="dxa"/>
            <w:vAlign w:val="bottom"/>
          </w:tcPr>
          <w:p>
            <w:pPr>
              <w:spacing w:after="0"/>
              <w:rPr>
                <w:sz w:val="14"/>
                <w:szCs w:val="14"/>
                <w:color w:val="auto"/>
              </w:rPr>
            </w:pPr>
          </w:p>
        </w:tc>
        <w:tc>
          <w:tcPr>
            <w:tcW w:w="120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Benefit from income taxes</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 (2,207 )</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(699 )</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 (1,508 )</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216 % $ (4,440 )</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 (1,844 )</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 (2,596 )</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509"/>
        <w:spacing w:after="0" w:line="286" w:lineRule="auto"/>
        <w:rPr>
          <w:sz w:val="20"/>
          <w:szCs w:val="20"/>
          <w:color w:val="auto"/>
        </w:rPr>
      </w:pPr>
      <w:r>
        <w:rPr>
          <w:rFonts w:ascii="Arial" w:cs="Arial" w:eastAsia="Arial" w:hAnsi="Arial"/>
          <w:sz w:val="17"/>
          <w:szCs w:val="17"/>
          <w:color w:val="auto"/>
        </w:rPr>
        <w:t>Benefit from income taxes was $2.2 million and $4.4 million for the three and six months ended June 30, 2023, respectively, as compared to the benefit from income taxes of $0.7 million and $1.8 million for the three and six months ended June 30, 2022, respectively. The net change of $1.5 million and $2.6 million for the three and six months ended June 30, 2023, respectively, was primarily a result of a larger loss in the current year.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6"/>
          <w:szCs w:val="16"/>
          <w:color w:val="auto"/>
        </w:rPr>
        <w:t>To supplement our unaudited interim consolidated financial statements presented in accordance with generally accepted accounting principles, we use constant currency revenue, which is a non-GAAP financial measure. We believe the presentation of revenue on a constant currency basis, in addition to results reported in accordance with U.S. GAAP, provides useful information about our operating performance because the constant currency presentation excludes the effects of foreign currency volatility and highlights our core operating results. The presentation of revenue on a constant currency basis should be considered in addition to, but not as a substitute for, measures of financial performance reported in accordance with U.S. GAAP. Revenue on a constant currency basis, as we present it, may not be comparable to similarly titled measures used by other companies.</w:t>
      </w:r>
    </w:p>
    <w:p>
      <w:pPr>
        <w:spacing w:after="0" w:line="56" w:lineRule="exact"/>
        <w:rPr>
          <w:sz w:val="20"/>
          <w:szCs w:val="20"/>
          <w:color w:val="auto"/>
        </w:rPr>
      </w:pPr>
    </w:p>
    <w:p>
      <w:pPr>
        <w:jc w:val="both"/>
        <w:ind w:right="20" w:firstLine="509"/>
        <w:spacing w:after="0" w:line="308" w:lineRule="auto"/>
        <w:rPr>
          <w:sz w:val="20"/>
          <w:szCs w:val="20"/>
          <w:color w:val="auto"/>
        </w:rPr>
      </w:pPr>
      <w:r>
        <w:rPr>
          <w:rFonts w:ascii="Arial" w:cs="Arial" w:eastAsia="Arial" w:hAnsi="Arial"/>
          <w:sz w:val="17"/>
          <w:szCs w:val="17"/>
          <w:color w:val="auto"/>
        </w:rPr>
        <w:t>The FX Impact is calculated as the difference between the current year amounts and the current year amounts translated at prior period average exchange rates. The FX Impact % represents the percentage change on a period-over-period basis adjusted for foreign currency impacts.</w:t>
      </w:r>
    </w:p>
    <w:p>
      <w:pPr>
        <w:spacing w:after="0" w:line="38"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following table presents a reconciliation of constant currency revenue to our reported net revenue for the periods indicated (in thousands, except percentages):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4"/>
                <w:szCs w:val="14"/>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Six months ended</w:t>
            </w:r>
          </w:p>
        </w:tc>
        <w:tc>
          <w:tcPr>
            <w:tcW w:w="2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85"/>
        </w:trPr>
        <w:tc>
          <w:tcPr>
            <w:tcW w:w="4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473"/>
        </w:trPr>
        <w:tc>
          <w:tcPr>
            <w:tcW w:w="4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 reported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49,693</w:t>
            </w: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40,159</w:t>
            </w: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86,781</w:t>
            </w:r>
          </w:p>
        </w:tc>
        <w:tc>
          <w:tcPr>
            <w:tcW w:w="120" w:type="dxa"/>
            <w:vAlign w:val="bottom"/>
          </w:tcPr>
          <w:p>
            <w:pPr>
              <w:spacing w:after="0"/>
              <w:rPr>
                <w:sz w:val="24"/>
                <w:szCs w:val="24"/>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75,223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Non-GAAP constant currency</w:t>
            </w:r>
          </w:p>
        </w:tc>
        <w:tc>
          <w:tcPr>
            <w:tcW w:w="1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49,970</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41,058</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88,199</w:t>
            </w:r>
          </w:p>
        </w:tc>
        <w:tc>
          <w:tcPr>
            <w:tcW w:w="120" w:type="dxa"/>
            <w:vAlign w:val="bottom"/>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77,146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40" w:type="dxa"/>
            <w:vAlign w:val="bottom"/>
          </w:tcPr>
          <w:p>
            <w:pPr>
              <w:ind w:left="20"/>
              <w:spacing w:after="0"/>
              <w:rPr>
                <w:sz w:val="20"/>
                <w:szCs w:val="20"/>
                <w:color w:val="auto"/>
              </w:rPr>
            </w:pPr>
            <w:r>
              <w:rPr>
                <w:rFonts w:ascii="Arial" w:cs="Arial" w:eastAsia="Arial" w:hAnsi="Arial"/>
                <w:sz w:val="18"/>
                <w:szCs w:val="18"/>
                <w:color w:val="auto"/>
              </w:rPr>
              <w:t>FX Impact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56"/>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56"/>
              <w:spacing w:after="0"/>
              <w:rPr>
                <w:sz w:val="20"/>
                <w:szCs w:val="20"/>
                <w:color w:val="auto"/>
              </w:rPr>
            </w:pPr>
            <w:r>
              <w:rPr>
                <w:rFonts w:ascii="Arial" w:cs="Arial" w:eastAsia="Arial" w:hAnsi="Arial"/>
                <w:sz w:val="18"/>
                <w:szCs w:val="18"/>
                <w:color w:val="auto"/>
              </w:rPr>
              <w:t>899</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6"/>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1,923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FX Impact [%]</w:t>
            </w:r>
          </w:p>
        </w:tc>
        <w:tc>
          <w:tcPr>
            <w:tcW w:w="12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0.6 %</w:t>
            </w:r>
          </w:p>
        </w:tc>
        <w:tc>
          <w:tcPr>
            <w:tcW w:w="12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2.2 %</w:t>
            </w:r>
          </w:p>
        </w:tc>
        <w:tc>
          <w:tcPr>
            <w:tcW w:w="20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-316865</wp:posOffset>
            </wp:positionV>
            <wp:extent cx="85725" cy="162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-316865</wp:posOffset>
            </wp:positionV>
            <wp:extent cx="85725" cy="162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16256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To date, our primary sources of capital have been through sales of our securities and revenue from the sale of our products and services. As of June 30, 2023 and December 31, 2022, we had approximately $131.5 million and $296.6 million, respectively, in cash and cash equivalents, which were primarily held in U.S. short-term bank deposit accounts and money market funds.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and material cash requirements</w:t>
      </w:r>
    </w:p>
    <w:p>
      <w:pPr>
        <w:spacing w:after="0" w:line="117" w:lineRule="exact"/>
        <w:rPr>
          <w:sz w:val="20"/>
          <w:szCs w:val="20"/>
          <w:color w:val="auto"/>
        </w:rPr>
      </w:pPr>
    </w:p>
    <w:p>
      <w:pPr>
        <w:jc w:val="both"/>
        <w:ind w:right="20" w:firstLine="509"/>
        <w:spacing w:after="0" w:line="255" w:lineRule="auto"/>
        <w:rPr>
          <w:sz w:val="20"/>
          <w:szCs w:val="20"/>
          <w:color w:val="auto"/>
        </w:rPr>
      </w:pPr>
      <w:r>
        <w:rPr>
          <w:rFonts w:ascii="Arial" w:cs="Arial" w:eastAsia="Arial" w:hAnsi="Arial"/>
          <w:sz w:val="18"/>
          <w:szCs w:val="18"/>
          <w:color w:val="auto"/>
        </w:rPr>
        <w:t>We anticipate continuing to expend significant amounts of cash in the foreseeable future as we continue to invest in research and development of our product offerings, commercialization of new products and services, and expansion into new markets. Our future capital requirements will depend on many factors including our revenue, research and development efforts, the timing and extent of additional capital expenditures to invest in existing and new facilities, as well as our manufacturing operations, the expansion of sales and marketing and the introduction of new products. We have entered into, and may in the future enter into, arrangements to acquire or invest in businesses, services and technologies, and any such acquisitions or investments could significantly increase our capital needs.</w:t>
      </w:r>
    </w:p>
    <w:p>
      <w:pPr>
        <w:spacing w:after="0" w:line="1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35" w:name="page36"/>
    <w:bookmarkEnd w:id="35"/>
    <w:p>
      <w:pPr>
        <w:jc w:val="both"/>
        <w:ind w:firstLine="509"/>
        <w:spacing w:after="0" w:line="342" w:lineRule="auto"/>
        <w:rPr>
          <w:sz w:val="20"/>
          <w:szCs w:val="20"/>
          <w:color w:val="auto"/>
        </w:rPr>
      </w:pPr>
      <w:r>
        <w:rPr>
          <w:rFonts w:ascii="Arial" w:cs="Arial" w:eastAsia="Arial" w:hAnsi="Arial"/>
          <w:sz w:val="16"/>
          <w:szCs w:val="16"/>
          <w:color w:val="auto"/>
        </w:rPr>
        <w:t>We currently anticipate making additional capital expenditures during the next 12 months, which is expected to primarily include equipment to be used for manufacturing and investment in research and development, as well as spend associated with the expansion of our facilities in Wuxi, China.</w:t>
      </w:r>
    </w:p>
    <w:p>
      <w:pPr>
        <w:spacing w:after="0" w:line="1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we lease certain office facilities under operating lease arrangements that expire on various dates through fiscal year 2027. Under the terms of the leases, we are responsible for certain expenses related to operations, maintenance, repairs and management fees. Future minimum lease payments under non-cancelable operating leases totaled $14.7 million as of June 30, 2023.</w:t>
      </w:r>
    </w:p>
    <w:p>
      <w:pPr>
        <w:spacing w:after="0" w:line="76"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Based on our current business plan, we believe our existing cash and cash equivalents and anticipated cash flows from operations will be sufficient to meet our working capital and capital expenditure needs for at least the next 12 months from the date of this Quarterly Report on Form 10-Q.</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We have financed our operations primarily through sales of our securities. In July 2021, we completed our IPO, which resulted in net proceeds to us of approximately $215.7 million. We have also benefited from operating cash flows from the sale of our products and services.</w:t>
      </w:r>
    </w:p>
    <w:p>
      <w:pPr>
        <w:spacing w:after="0" w:line="3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August 26, 2022, we entered into a sales agreement (the “Sales Agreement”) with Piper Sandler &amp; Co. (“Piper”) as sales agent to sell from time to time up to $150 million of our common stock through an “at the market” offering program. To date, we have not made any sales of common stock pursuant to the Sales Agreement. The securities in this transaction were offered pursuant to an automatic shelf registration statement on Form S-3ASR (File No. 333-267118) that was filed with the SEC on August 26, 2022.</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Six months ended June 30,</w:t>
            </w:r>
          </w:p>
        </w:tc>
        <w:tc>
          <w:tcPr>
            <w:tcW w:w="1200" w:type="dxa"/>
            <w:vAlign w:val="bottom"/>
            <w:tcBorders>
              <w:bottom w:val="single" w:sz="8" w:color="auto"/>
            </w:tcBorders>
          </w:tcPr>
          <w:p>
            <w:pPr>
              <w:spacing w:after="0"/>
              <w:rPr>
                <w:sz w:val="16"/>
                <w:szCs w:val="16"/>
                <w:color w:val="auto"/>
              </w:rPr>
            </w:pPr>
          </w:p>
        </w:tc>
      </w:tr>
      <w:tr>
        <w:trPr>
          <w:trHeight w:val="169"/>
        </w:trPr>
        <w:tc>
          <w:tcPr>
            <w:tcW w:w="72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4"/>
                <w:szCs w:val="14"/>
                <w:color w:val="auto"/>
              </w:rPr>
            </w:pPr>
          </w:p>
        </w:tc>
        <w:tc>
          <w:tcPr>
            <w:tcW w:w="1460" w:type="dxa"/>
            <w:vAlign w:val="bottom"/>
          </w:tcPr>
          <w:p>
            <w:pPr>
              <w:jc w:val="right"/>
              <w:ind w:right="77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jc w:val="right"/>
              <w:ind w:right="773"/>
              <w:spacing w:after="0"/>
              <w:rPr>
                <w:sz w:val="20"/>
                <w:szCs w:val="20"/>
                <w:color w:val="auto"/>
              </w:rPr>
            </w:pPr>
            <w:r>
              <w:rPr>
                <w:rFonts w:ascii="Arial" w:cs="Arial" w:eastAsia="Arial" w:hAnsi="Arial"/>
                <w:sz w:val="14"/>
                <w:szCs w:val="14"/>
                <w:b w:val="1"/>
                <w:bCs w:val="1"/>
                <w:color w:val="auto"/>
              </w:rPr>
              <w:t>2022</w:t>
            </w:r>
          </w:p>
        </w:tc>
      </w:tr>
      <w:tr>
        <w:trPr>
          <w:trHeight w:val="237"/>
        </w:trPr>
        <w:tc>
          <w:tcPr>
            <w:tcW w:w="70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22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r>
      <w:tr>
        <w:trPr>
          <w:trHeight w:val="237"/>
        </w:trPr>
        <w:tc>
          <w:tcPr>
            <w:tcW w:w="7280" w:type="dxa"/>
            <w:vAlign w:val="bottom"/>
            <w:gridSpan w:val="2"/>
          </w:tcPr>
          <w:p>
            <w:pPr>
              <w:ind w:left="160"/>
              <w:spacing w:after="0"/>
              <w:rPr>
                <w:sz w:val="20"/>
                <w:szCs w:val="20"/>
                <w:color w:val="auto"/>
              </w:rPr>
            </w:pPr>
            <w:r>
              <w:rPr>
                <w:rFonts w:ascii="Arial" w:cs="Arial" w:eastAsia="Arial" w:hAnsi="Arial"/>
                <w:sz w:val="18"/>
                <w:szCs w:val="18"/>
                <w:color w:val="auto"/>
              </w:rPr>
              <w:t>Operating activities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5"/>
              <w:spacing w:after="0"/>
              <w:rPr>
                <w:sz w:val="20"/>
                <w:szCs w:val="20"/>
                <w:color w:val="auto"/>
              </w:rPr>
            </w:pPr>
            <w:r>
              <w:rPr>
                <w:rFonts w:ascii="Arial" w:cs="Arial" w:eastAsia="Arial" w:hAnsi="Arial"/>
                <w:sz w:val="18"/>
                <w:szCs w:val="18"/>
                <w:color w:val="auto"/>
              </w:rPr>
              <w:t>8</w:t>
            </w: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(10,920 )</w:t>
            </w:r>
          </w:p>
        </w:tc>
      </w:tr>
      <w:tr>
        <w:trPr>
          <w:trHeight w:val="249"/>
        </w:trPr>
        <w:tc>
          <w:tcPr>
            <w:tcW w:w="72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Investing activities</w:t>
            </w:r>
          </w:p>
        </w:tc>
        <w:tc>
          <w:tcPr>
            <w:tcW w:w="4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(166,084 )</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(3,695 )</w:t>
            </w:r>
          </w:p>
        </w:tc>
      </w:tr>
      <w:tr>
        <w:trPr>
          <w:trHeight w:val="237"/>
        </w:trPr>
        <w:tc>
          <w:tcPr>
            <w:tcW w:w="7280" w:type="dxa"/>
            <w:vAlign w:val="bottom"/>
            <w:gridSpan w:val="2"/>
          </w:tcPr>
          <w:p>
            <w:pPr>
              <w:ind w:left="160"/>
              <w:spacing w:after="0"/>
              <w:rPr>
                <w:sz w:val="20"/>
                <w:szCs w:val="20"/>
                <w:color w:val="auto"/>
              </w:rPr>
            </w:pPr>
            <w:r>
              <w:rPr>
                <w:rFonts w:ascii="Arial" w:cs="Arial" w:eastAsia="Arial" w:hAnsi="Arial"/>
                <w:sz w:val="18"/>
                <w:szCs w:val="18"/>
                <w:color w:val="auto"/>
              </w:rPr>
              <w:t>Financing activities</w:t>
            </w:r>
          </w:p>
        </w:tc>
        <w:tc>
          <w:tcPr>
            <w:tcW w:w="420" w:type="dxa"/>
            <w:vAlign w:val="bottom"/>
          </w:tcPr>
          <w:p>
            <w:pPr>
              <w:spacing w:after="0"/>
              <w:rPr>
                <w:sz w:val="20"/>
                <w:szCs w:val="20"/>
                <w:color w:val="auto"/>
              </w:rPr>
            </w:pPr>
          </w:p>
        </w:tc>
        <w:tc>
          <w:tcPr>
            <w:tcW w:w="1460" w:type="dxa"/>
            <w:vAlign w:val="bottom"/>
          </w:tcPr>
          <w:p>
            <w:pPr>
              <w:jc w:val="right"/>
              <w:ind w:right="75"/>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1,508</w:t>
            </w:r>
          </w:p>
        </w:tc>
      </w:tr>
      <w:tr>
        <w:trPr>
          <w:trHeight w:val="249"/>
        </w:trPr>
        <w:tc>
          <w:tcPr>
            <w:tcW w:w="728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4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(2,096 )</w:t>
            </w: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(1,617 )</w:t>
            </w:r>
          </w:p>
        </w:tc>
      </w:tr>
      <w:tr>
        <w:trPr>
          <w:trHeight w:val="237"/>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(167,956 )</w:t>
            </w: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(14,724 )</w:t>
            </w:r>
          </w:p>
        </w:tc>
      </w:tr>
      <w:tr>
        <w:trPr>
          <w:trHeight w:val="20"/>
        </w:trPr>
        <w:tc>
          <w:tcPr>
            <w:tcW w:w="7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-187960</wp:posOffset>
            </wp:positionV>
            <wp:extent cx="128905"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Net cash provided by operating activities for the six months ended June 30, 2023 was less than $0.1 million including net loss of $11.2 million. We also incurred non-cash provision for excess and obsolete inventory, stock-based compensation expense, depreciation and amortization, amortization of right-of-use assets, and interest expenses for accretion of the legal settlement liabilities of $0.6 million, $10.6 million, $2.7 million, $1.6 million, and $0.8 million, respectively. Usage of cash included a decrease in lease liability of $1.4 million, a decrease of inventories of $0.2 million and a decrease in the legal settlement liability of $0.2 million. Additionally, there was a decrease of trade accounts receivable of $0.7 million, a decrease in prepaid expenses and other assets of $3.2 million, an increase in accrued expenses and other liabilities of $0.3 million, and a decrease of trade accounts payables of $1.7 million.</w:t>
      </w:r>
    </w:p>
    <w:p>
      <w:pPr>
        <w:spacing w:after="0" w:line="5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Net cash used in operating activities for the six months ended June 30, 2022 was $10.9 million. We incurred non-cash stock-based compensation expense, depreciation and amortization, amortization of right-of-use assets, and interest expenses for accretion of the legal settlement liabilities of $7.8 million, $1.7 million, $1.4 million, and $1.0 million, respectively. Usage of cash included an increase of inventories of $14.4 million, an increase of trade accounts receivable of $8.0 million due to an increase in sales, and an increase in prepaid expenses and other assets of $8.7 million. This was partially offset by an increase of trade accounts payables of $3.7 million, an increase in deferred revenue of $4.6 million, an increase in accrued expenses and other liabilities of $2.8 million and an increase in the legal settlement liability of $0.5 million.</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Net cash used in investing activities during the six months ended June 30, 2023 was $166.1 million driven by purchases of marketable securities of $129.1 million, proceeds from maturities of marketable securities of $10.0 million, purchases of business of $44.9 million, purchases of property and equipment of $1.8 million, and payment of additional investments in Cytek Japan of $0.2 million.</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Net cash used in investing activities during the six months ended June 30, 2022 was $3.7 million driven by purchases of property and equipment of $2.1 million and payment of investments of $1.6 million.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Net cash provided by financing activities during the six months ended June 30, 2023 was $0.2 million driven by theissuance of our common stock under our equity incentive plans, offset by repayment of loan of $0.3 million and $1.0 million costs related to the repurchase of our shares.</w:t>
      </w:r>
    </w:p>
    <w:p>
      <w:pPr>
        <w:spacing w:after="0" w:line="3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Net cash provided by financing activities during the six months ended June 30, 2022 was $1.5 million driven by issuance of our common stock under our equity incentive plans.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During the six months ended June 30, 2023, there were no material changes to our contractual obligations and commitments from those described under “Management’s Discussion and Analysis of Financial Condition” which is contained in our 10-K and filed with the SEC on March 1, 2023.</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This management’s discussion and analysis of our financial condition and results of operations is based on our unaudited interim consolidated financial statements, which have been prepared in accordance with accounting principles generally accepted in the United States of America, or GAAP. The preparation of our unaudited interim consolidated financial statements in conformity with GAAP requires management to make estimates and assumptions that affect the amounts reported in the unaudited interim consolidated financial statements and notes to the unaudited interim consolidated financial statements. Some of those judgments can be subjective and complex, and therefore, actual results could differ materially from those estimates are different assumptions and conditions. A summary of our critical accounting policies is presented in our audited financial statements and notes thereto as of and for the year ended December 31, 2022 included in our Annual Report on Form 10-K filed with the SEC on March 1, 2023. There were no material changes to our critical accounting policies during the six months ended June 30, 2023.</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20" w:right="140" w:firstLine="509"/>
        <w:spacing w:after="0" w:line="263" w:lineRule="auto"/>
        <w:rPr>
          <w:sz w:val="20"/>
          <w:szCs w:val="20"/>
          <w:color w:val="auto"/>
        </w:rPr>
      </w:pPr>
      <w:r>
        <w:rPr>
          <w:rFonts w:ascii="Arial" w:cs="Arial" w:eastAsia="Arial" w:hAnsi="Arial"/>
          <w:sz w:val="18"/>
          <w:szCs w:val="18"/>
          <w:color w:val="auto"/>
        </w:rPr>
        <w:t xml:space="preserve">Information with respect to this item may be found in Note 2, </w:t>
      </w:r>
      <w:r>
        <w:rPr>
          <w:rFonts w:ascii="Arial" w:cs="Arial" w:eastAsia="Arial" w:hAnsi="Arial"/>
          <w:sz w:val="18"/>
          <w:szCs w:val="18"/>
          <w:i w:val="1"/>
          <w:iCs w:val="1"/>
          <w:color w:val="auto"/>
        </w:rPr>
        <w:t>Basis of presentation and summary of significant accounting policies</w:t>
      </w:r>
      <w:r>
        <w:rPr>
          <w:rFonts w:ascii="Arial" w:cs="Arial" w:eastAsia="Arial" w:hAnsi="Arial"/>
          <w:sz w:val="18"/>
          <w:szCs w:val="18"/>
          <w:color w:val="auto"/>
        </w:rPr>
        <w:t>, in our notes to unaudited interim consolidated financial statements included in Part I, Item 1, of this Quarterly Report on Form 10-Q, which information is incorporated herein by reference.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market risk inherent in our financial instruments and in our financial condition represents the potential loss arising from adverse changes in interest rates or exchange rates. As of June 30, 2023, we had cash and cash equivalents of $131.5 million, which consisted primarily of money market funds and bank deposits. The primary objective of our investment is to preserve principal and provide liquidity. These money market funds and bank deposits generate interest income at variable rates.</w:t>
      </w:r>
    </w:p>
    <w:p>
      <w:pPr>
        <w:spacing w:after="0" w:line="7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therefore do not believe we are exposed to, nor do we anticipate being in the near future exposed to, material risk due to changes in interest rates because of the short-term nature of our cash and cash equivalents.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revenue has been generated across the globe, mainly in the United States, Europe and Asia. Our foreign currency risk related to our revenue and operating expenses denominated in currencies other than the U.S. dollar, primarily the renminbi and the euro, causes both our revenue and our operating results to be impacted by fluctuations in the exchange rates.</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we expand our presence in international markets, our results of operations and cash flows may increasingly be subject to fluctuations due to changes in foreign currency exchange rates and may be adversely affected in the future due to changes in foreign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jc w:val="both"/>
        <w:spacing w:after="0" w:line="342" w:lineRule="auto"/>
        <w:rPr>
          <w:sz w:val="20"/>
          <w:szCs w:val="20"/>
          <w:color w:val="auto"/>
        </w:rPr>
      </w:pPr>
      <w:r>
        <w:rPr>
          <w:rFonts w:ascii="Arial" w:cs="Arial" w:eastAsia="Arial" w:hAnsi="Arial"/>
          <w:sz w:val="16"/>
          <w:szCs w:val="16"/>
          <w:color w:val="auto"/>
        </w:rPr>
        <w:t>exchange rates. To date, we have not entered into any hedging arrangements intended to minimize the impact of these fluctuations in the exchange rates. As our international operations grow, we intend to continue to reassess our approach to manage our risk relating to fluctuations in currency rates.</w:t>
      </w:r>
    </w:p>
    <w:p>
      <w:pPr>
        <w:spacing w:after="0" w:line="1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do not believe that either inflation or foreign currency risk had a material effect on our business, financial condition, or results of operations during the periods presented. Please see the section entitled “Management's Discussion and Analysis of Financial Condition and Results of Operations— Non-GAAP Financial Measure” for a presentation of revenue on a constant currency basis, which provides information regarding our operating performance excluding the effects of foreign currency volatility.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have evaluated the effectiveness of our disclosure controls and procedures (as defined in Rules 13a-15(e) and 15d-15(e) of the Exchange Act) as of the end of the period covered by this Quarterly Report on Form 10-Q.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as a result of the material weaknesses in our internal control, our disclosure controls and procedures were not effective as of June 30, 2023.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w:t>
      </w:r>
    </w:p>
    <w:p>
      <w:pPr>
        <w:spacing w:after="0" w:line="333"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In connection with our financial statement close process for the year ended December 31, 2022, we identified deficiencies in the control environment and control activities components of the Committee of Sponsoring Organizations (“COSO”) framework that constitute material weaknesses, either individually or in the aggregate.</w:t>
      </w:r>
    </w:p>
    <w:p>
      <w:pPr>
        <w:spacing w:after="0" w:line="292" w:lineRule="exact"/>
        <w:rPr>
          <w:sz w:val="20"/>
          <w:szCs w:val="20"/>
          <w:color w:val="auto"/>
        </w:rPr>
      </w:pPr>
    </w:p>
    <w:p>
      <w:pPr>
        <w:ind w:left="1020" w:right="240" w:hanging="503"/>
        <w:spacing w:after="0" w:line="296"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Control environment – Management did not maintain an effective control environment based on the criteria established in the COSO framework and identified deficiencies in the principles associated with the control environment of the COSO framework. Specifically, the Company does not have a sufficient number of qualified resources within our accounting and IT function with the appropriate level of technical accounting or other requisite knowledge to (1) timely identify and assess accounting implications of transactions and (2) perform assigned responsibilities and have appropriate accountability for the design and operation of internal control over financial reporting.</w:t>
      </w:r>
    </w:p>
    <w:p>
      <w:pPr>
        <w:spacing w:after="0" w:line="269" w:lineRule="exact"/>
        <w:rPr>
          <w:rFonts w:ascii="Arial" w:cs="Arial" w:eastAsia="Arial" w:hAnsi="Arial"/>
          <w:sz w:val="16"/>
          <w:szCs w:val="16"/>
          <w:color w:val="auto"/>
        </w:rPr>
      </w:pPr>
    </w:p>
    <w:p>
      <w:pPr>
        <w:ind w:left="1020" w:right="100" w:hanging="503"/>
        <w:spacing w:after="0" w:line="255"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Control activities – Management did not design and implement effective control activities based on the criteria established in the COSO framework and identified deficiencies in the principles associated with the control activities component of the COSO framework. Specifically, these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w:t>
      </w:r>
    </w:p>
    <w:p>
      <w:pPr>
        <w:spacing w:after="0" w:line="192" w:lineRule="exact"/>
        <w:rPr>
          <w:rFonts w:ascii="Arial" w:cs="Arial" w:eastAsia="Arial" w:hAnsi="Arial"/>
          <w:sz w:val="18"/>
          <w:szCs w:val="18"/>
          <w:color w:val="auto"/>
        </w:rPr>
      </w:pPr>
    </w:p>
    <w:p>
      <w:pPr>
        <w:ind w:left="1020" w:right="60"/>
        <w:spacing w:after="0" w:line="257" w:lineRule="auto"/>
        <w:rPr>
          <w:rFonts w:ascii="Arial" w:cs="Arial" w:eastAsia="Arial" w:hAnsi="Arial"/>
          <w:sz w:val="18"/>
          <w:szCs w:val="18"/>
          <w:color w:val="auto"/>
        </w:rPr>
      </w:pPr>
      <w:r>
        <w:rPr>
          <w:rFonts w:ascii="Arial" w:cs="Arial" w:eastAsia="Arial" w:hAnsi="Arial"/>
          <w:sz w:val="18"/>
          <w:szCs w:val="18"/>
          <w:color w:val="auto"/>
        </w:rPr>
        <w:t>The following material weaknesses were contributing factors: (i) inadequate general information technology controls (GITCs) in the areas of access security and program change-management over certain information technology systems that support the Company’s financial reporting processes. Some of our business process controls (automated and manual) are dependent on the affected GITCs; they too were deemed ineffective because they could have been adversely impacted; and (ii) ineffective design and/or review procedures for journal entries and balance sheet account reconciliations.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 and Status</w:t>
      </w:r>
    </w:p>
    <w:p>
      <w:pPr>
        <w:spacing w:after="0" w:line="333"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We are committed to remediating the control deficiencies that constituted the above material weaknesses by implementing changes to our internal control over financial reporting. Management has implemented, and continues to implement, measures designed to ensure that control deficiencies contributing to the material weaknesses are remediated, such that these controls are designed, implemented and operating effectively. During 2022 and the six months ended June 30, 2023, we executed and will continue to execute the following steps intended to remediate the material weaknesses described above and strengthen our internal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control over financial reporting:</w:t>
      </w:r>
    </w:p>
    <w:p>
      <w:pPr>
        <w:spacing w:after="0" w:line="333" w:lineRule="exact"/>
        <w:rPr>
          <w:sz w:val="20"/>
          <w:szCs w:val="20"/>
          <w:color w:val="auto"/>
        </w:rPr>
      </w:pPr>
    </w:p>
    <w:p>
      <w:pPr>
        <w:ind w:left="1020" w:right="78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support from external consultants, we will revise and improve the design of our controls, implement reviews and monitor the effectiveness of our system of internal controls, including GITCs.</w:t>
      </w:r>
    </w:p>
    <w:p>
      <w:pPr>
        <w:spacing w:after="0" w:line="278"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identify and assign qualified personnel to implement appropriate accountability for the design and operation of internal control over financial reporting and monitor the progress of remediation.</w:t>
      </w:r>
    </w:p>
    <w:p>
      <w:pPr>
        <w:spacing w:after="0" w:line="278"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committed to adding qualified personnel within our accounting and information technology functions.</w:t>
      </w:r>
    </w:p>
    <w:p>
      <w:pPr>
        <w:spacing w:after="0" w:line="333"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continue to revise and enhance the design of existing controls and implement new controls, update documentation, expand education and training, and strengthen supervisory reviews by our management.</w:t>
      </w:r>
    </w:p>
    <w:p>
      <w:pPr>
        <w:spacing w:after="0" w:line="278"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strengthened, and will continue to strengthen, GITCs related to financial accounting and reporting systems including implementing monitoring controls as appropriate.</w:t>
      </w:r>
    </w:p>
    <w:p>
      <w:pPr>
        <w:spacing w:after="0" w:line="278"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continue to automate workflows and enhance oversight over the execution and review of manual journal entry controls and account reconciliations, and will continue to provide training for such enhanced oversight and review.</w:t>
      </w:r>
    </w:p>
    <w:p>
      <w:pPr>
        <w:spacing w:after="0" w:line="62"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We plan to continue to devote significant time and attention to remediate the above material weaknesses as soon as reasonably practicable. As we continue to evaluate our controls, we will make the changes described above as well as any others needed to enhance our control environment and remediate the material weaknesses. We believe these actions will be sufficient to remediate the identified material weaknesses and strengthen our internal control over financial reporting; however, there can be no guarantee that such remediation will be sufficient. We will continue to evaluate the effectiveness of our controls and will make any further changes management determines appropriate.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333"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We are taking actions to remediate the material weaknesses relating to our internal control over financial reporting. Other than the changes intended to remediate the material weaknesses noted above, there was no change in our internal control over financial reporting that occurred during the three months ended June 30, 2023 that materially affected, or were reasonably likely to materially affect, our internal control over financial reporting.</w:t>
      </w:r>
    </w:p>
    <w:p>
      <w:pPr>
        <w:spacing w:after="0" w:line="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We are not currently engaged in any material pending legal proceedings. From time to time, we may be subject to legal proceedings and claims arising in the ordinary course of business.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9" w:name="page40"/>
    <w:bookmarkEnd w:id="39"/>
    <w:p>
      <w:pPr>
        <w:ind w:left="2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3"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i w:val="1"/>
          <w:iCs w:val="1"/>
          <w:color w:val="auto"/>
        </w:rPr>
        <w:t>Our operations and financial results are subject to numerous risks and uncertainties, including those described below, which may have a material and adverse effect on our business, results of operations, cash flows, financial conditions, and the trading price of our common stock. The risks and uncertainties described below are not the only ones facing us. Additional risks and uncertainties not presently known to us or that we currently deem immaterial also may impair our business operations. You should consider these risks and uncertainties carefully, together with all of the other information included or incorporated by reference in this Quarterly Report on Form 10-Q. If any of the following risks actually occur, our business, financial condition, results of operations and future prospects could be materially and adversely affected. You should not interpret our disclosure of any of the following risks to imply that such risks have not already materialized.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may be unable for many reasons, including those that are beyond our control, to implement our business strategy successfully. Below is a summary of material factors that make an investment in our shares of common stock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w:t>
      </w:r>
    </w:p>
    <w:p>
      <w:pPr>
        <w:spacing w:after="0" w:line="80" w:lineRule="exact"/>
        <w:rPr>
          <w:sz w:val="20"/>
          <w:szCs w:val="20"/>
          <w:color w:val="auto"/>
        </w:rPr>
      </w:pPr>
    </w:p>
    <w:p>
      <w:pPr>
        <w:ind w:left="1020" w:hanging="503"/>
        <w:spacing w:after="0" w:line="308"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38" w:lineRule="exact"/>
        <w:rPr>
          <w:rFonts w:ascii="Arial" w:cs="Arial" w:eastAsia="Arial" w:hAnsi="Arial"/>
          <w:sz w:val="17"/>
          <w:szCs w:val="17"/>
          <w:color w:val="auto"/>
        </w:rPr>
      </w:pPr>
    </w:p>
    <w:p>
      <w:pPr>
        <w:jc w:val="both"/>
        <w:ind w:left="1020" w:hanging="503"/>
        <w:spacing w:after="0" w:line="311"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are highly dependent on a limited number of product offerings. Our revenue has been primarily generated from sales of our core Aurora and Northern Light systems, which require a substantial sales cycle and are prone to quarterly fluctuations in revenue. Our future success depends on our ability to develop and successfully introduce new and enhanced products that meet the needs of our customers.</w:t>
      </w:r>
    </w:p>
    <w:p>
      <w:pPr>
        <w:spacing w:after="0" w:line="40" w:lineRule="exact"/>
        <w:rPr>
          <w:rFonts w:ascii="Arial" w:cs="Arial" w:eastAsia="Arial" w:hAnsi="Arial"/>
          <w:sz w:val="16"/>
          <w:szCs w:val="16"/>
          <w:color w:val="auto"/>
        </w:rPr>
      </w:pPr>
    </w:p>
    <w:p>
      <w:pPr>
        <w:jc w:val="both"/>
        <w:ind w:left="1020" w:hanging="503"/>
        <w:spacing w:after="0" w:line="25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 On August 25, 2021, we and Cytek (Wuxi) Biosciences Co., Ltd, our China subsidiary (the “Subsidiary”), entered into a Supply Agreement (the “Coherent Agreement”) with Coherent NA, Inc. (“Coherent”). Pursuant to the Coherent Agreement, Coherent has agreed to sell and supply to us and the Subsidiary, on a non-exclusive basis, laser products manufactured by Coherent. Other than the Coherent Agreement, we do not currently have long-term supply contracts with our sole and single source suppliers of key components.</w:t>
      </w:r>
    </w:p>
    <w:p>
      <w:pPr>
        <w:spacing w:after="0" w:line="86"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results of operations will be harmed if we are unable to accurately forecast customer demand for our products and manage our inventory.</w:t>
      </w:r>
    </w:p>
    <w:p>
      <w:pPr>
        <w:spacing w:after="0" w:line="140" w:lineRule="exact"/>
        <w:rPr>
          <w:rFonts w:ascii="Arial" w:cs="Arial" w:eastAsia="Arial" w:hAnsi="Arial"/>
          <w:sz w:val="16"/>
          <w:szCs w:val="16"/>
          <w:color w:val="auto"/>
        </w:rPr>
      </w:pPr>
    </w:p>
    <w:p>
      <w:pPr>
        <w:jc w:val="both"/>
        <w:ind w:left="1020" w:hanging="503"/>
        <w:spacing w:after="0" w:line="279"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adopt our products, it will negatively affect our business, financial condition, prospects and results of operations.</w:t>
      </w:r>
    </w:p>
    <w:p>
      <w:pPr>
        <w:spacing w:after="0" w:line="63"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we are unable to manufacture our products in high-quality commercial quantities successfully and consistently to meet demand, our growth will be limited.</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future success is dependent upon our ability to increase penetration in our existing markets and expand into adjacent markets. If we are unable to successfully expand our commercial operations, including hiring additional qualified sales representatives, technical applications specialists and customer support staff, our business may be adversely affected.</w:t>
      </w:r>
    </w:p>
    <w:p>
      <w:pPr>
        <w:spacing w:after="0" w:line="75"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and our suppliers are subject to ongoing regulatory obligations and continued regulatory review, which may result in significant additional expense and subject us to penalties if we fail to comply with applicable regulatory requirements. Our products may become subject to more onerous regulation by the FDA or other regulatory agencies in the future, which could increase our costs and delay or prevent sales of our products or commercialization of new products and product enhancements.</w:t>
      </w:r>
    </w:p>
    <w:p>
      <w:pPr>
        <w:spacing w:after="0" w:line="78"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Concentration of ownership of our common stock among our executive officers, directors, principal stockholders and their respective affiliates may prevent new investors from influencing significant corporate decisions. Based on shares outstanding as of June 30, 2023, our executive officers, directors, holders of 5% or more of our common stock and their respective affiliates, in the aggregate, own approximately 44.1% of our common stock. These stockholders, acting together,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0" w:name="page41"/>
    <w:bookmarkEnd w:id="40"/>
    <w:p>
      <w:pPr>
        <w:ind w:left="1020"/>
        <w:spacing w:after="0" w:line="277" w:lineRule="auto"/>
        <w:rPr>
          <w:sz w:val="20"/>
          <w:szCs w:val="20"/>
          <w:color w:val="auto"/>
        </w:rPr>
      </w:pPr>
      <w:r>
        <w:rPr>
          <w:rFonts w:ascii="Arial" w:cs="Arial" w:eastAsia="Arial" w:hAnsi="Arial"/>
          <w:sz w:val="18"/>
          <w:szCs w:val="18"/>
          <w:color w:val="auto"/>
        </w:rPr>
        <w:t>will be able to significantly influence all matters requiring stockholder approval, including the election and removal of directors and any merger or other significant corporate transaction.</w:t>
      </w:r>
    </w:p>
    <w:p>
      <w:pPr>
        <w:spacing w:after="0" w:line="62" w:lineRule="exact"/>
        <w:rPr>
          <w:sz w:val="20"/>
          <w:szCs w:val="20"/>
          <w:color w:val="auto"/>
        </w:rPr>
      </w:pPr>
    </w:p>
    <w:p>
      <w:pPr>
        <w:jc w:val="both"/>
        <w:ind w:left="1020" w:hanging="503"/>
        <w:spacing w:after="0" w:line="259"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78" w:lineRule="exact"/>
        <w:rPr>
          <w:rFonts w:ascii="Arial" w:cs="Arial" w:eastAsia="Arial" w:hAnsi="Arial"/>
          <w:sz w:val="18"/>
          <w:szCs w:val="18"/>
          <w:color w:val="auto"/>
        </w:rPr>
      </w:pPr>
    </w:p>
    <w:p>
      <w:pPr>
        <w:ind w:left="1020" w:hanging="503"/>
        <w:spacing w:after="0" w:line="308"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business currently depends significantly on research and development spending by academic institutions and government-owned institutions, a reduction in which could limit demand for our solutions and adversely affect our business and operating results.</w:t>
      </w:r>
    </w:p>
    <w:p>
      <w:pPr>
        <w:spacing w:after="0" w:line="3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International operations and expansion of our international business exposes us to business, regulatory, political, operational, financial and economic risks associated with doing business outside of the United States.</w:t>
      </w:r>
    </w:p>
    <w:p>
      <w:pPr>
        <w:spacing w:after="0" w:line="62" w:lineRule="exact"/>
        <w:rPr>
          <w:rFonts w:ascii="Arial" w:cs="Arial" w:eastAsia="Arial" w:hAnsi="Arial"/>
          <w:sz w:val="18"/>
          <w:szCs w:val="18"/>
          <w:color w:val="auto"/>
        </w:rPr>
      </w:pPr>
    </w:p>
    <w:p>
      <w:pPr>
        <w:jc w:val="both"/>
        <w:ind w:left="1020" w:hanging="503"/>
        <w:spacing w:after="0" w:line="279"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market for cell analysis technologies and life sciences tools, including flow cytometry, is rapidly evolving and highly competitive. 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63" w:lineRule="exact"/>
        <w:rPr>
          <w:rFonts w:ascii="Arial" w:cs="Arial" w:eastAsia="Arial" w:hAnsi="Arial"/>
          <w:sz w:val="17"/>
          <w:szCs w:val="17"/>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our products do not perform as expected, our operating results, reputation and business will suffer.</w:t>
      </w:r>
    </w:p>
    <w:p>
      <w:pPr>
        <w:spacing w:after="0" w:line="117" w:lineRule="exact"/>
        <w:rPr>
          <w:rFonts w:ascii="Arial" w:cs="Arial" w:eastAsia="Arial" w:hAnsi="Arial"/>
          <w:sz w:val="18"/>
          <w:szCs w:val="18"/>
          <w:color w:val="auto"/>
        </w:rPr>
      </w:pPr>
    </w:p>
    <w:p>
      <w:pPr>
        <w:ind w:left="1020" w:hanging="503"/>
        <w:spacing w:after="0" w:line="308"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3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62"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15" w:lineRule="exact"/>
        <w:rPr>
          <w:rFonts w:ascii="Arial" w:cs="Arial" w:eastAsia="Arial" w:hAnsi="Arial"/>
          <w:sz w:val="16"/>
          <w:szCs w:val="16"/>
          <w:color w:val="auto"/>
        </w:rPr>
      </w:pPr>
    </w:p>
    <w:p>
      <w:pPr>
        <w:jc w:val="both"/>
        <w:ind w:left="1020" w:hanging="503"/>
        <w:spacing w:after="0" w:line="263"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75"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existing operations, develop our products and/or expand our operations.</w:t>
      </w:r>
    </w:p>
    <w:p>
      <w:pPr>
        <w:spacing w:after="0" w:line="117"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costs of our products and services, limit their use or adoption, and otherwise negatively affect our operating results and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3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have a limited operating history and may encounter unforeseen expenses, difficulties, complications, delays and other known and unknown obstacles. We launched our first core commercial product, the Aurora system, in June 2017. Our limited commercial and operating history makes it difficult to evaluate our current business and predict our future performance. Although we have experienced significant revenue growth in recent periods, any assessment of our future revenue, profitability or prediction about our future success or viability is subject to significant uncertainty. We have encountered in the past, and will encounter in the future, risks and uncertainties frequently experienced by growing companies with limited operating histories in emerging and rapidly changing industries, including scaling up our infrastructure and headcount. If our assumptions regarding these risks and uncertainties, which we use to plan and operate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our business, are incorrect or change, or if we do not address these risks successfully, our results of operations could differ materially from our expectations, and our business, financial condition and results of operations could be materially and adversely affected.</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highly dependent on a limited number of product offerings. Our revenue has been primarily generated from sale of our core Aurora and Northern Lights systems, which require a substantial sales cycle and are prone to quarterly fluctuations in revenue.</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Our Aurora system was commercially launched in June 2017, our Northern Lights system was commercially launched in October 2018 and our Aurora CS was first commercially shipped in June 2021. Sales of the Aurora, Northern Lights and Aurora CS systems together accounted for a substantial portion of our revenue for the periods presented. We expect that, for at least the foreseeable future, sales of our Aurora, Northern Lights and Aurora CS systems will continue to account for a substantial portion of our revenue. The sales cycle for our flow cytometer instruments is slow and can take up to six months or longer to complete. As a result of this lengthy and unpredictable sales cycle, we will be prone to quarterly fluctuations in our revenue as sales of the Aurora and Northern Lights systems are expected to continue to comprise a significant component of our revenue. Additionally, we experience seasonality in our business, with revenue in the fourth quarter typically being higher as a result of higher sales volume. Quarterly fluctuations may make it difficult for us to predict our future operating results. Consequently, comparisons of our operating results on a period-to-period basis may not be meaningful. Investors should not rely on our past results as an indication of our future performance.</w:t>
      </w:r>
    </w:p>
    <w:p>
      <w:pPr>
        <w:spacing w:after="0" w:line="14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w:t>
      </w:r>
    </w:p>
    <w:p>
      <w:pPr>
        <w:spacing w:after="0" w:line="76"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We have sourced and will continue to source certain components of the Aurora, Northern Lights and Aurora CS systems from a limited number of suppliers and, in some cases, sole source suppliers. Key components in our products that are supplied by sole or single source suppliers include certain lasers, semiconductors and mechanical components that are used in our optical, electrical and fluidic subassemblies. On August 25, 2021, we and the Subsidiary entered into the Coherent Agreement with Coherent. Pursuant to the Coherent Agreement, Coherent has agreed to sell and supply to us and the Subsidiary, on a non-exclusive basis, laser products manufactured by Coherent. We and the Subsidiary provide Coherent with rolling forecasts of our and the Subsidiary’s anticipated orders, which are non-binding. Purchase orders submitted by us and the Subsidiary pursuant to the terms of the Coherent Agreement will be deemed accepted upon written acknowledgement of acceptance by Coherent. Other than the Coherent Agreement, we do not currently have long-term supply contracts with our sole and single source suppliers of key components. Additionally, we believe we are not a major customer to most of our suppliers. Our suppliers may therefore give other customers’ needs higher priority than ours, and we may not be able to obtain adequate supply in a timely manner or on commercially reasonable terms. While we are in the process of qualifying additional sources of supply, qualifications can take 12 to 24 months and, in some cases, longer. If we were to lose one or more of our sole or single source suppliers, it would take significant time and effort to qualify alternative suppliers, if available. Moreover, in the event that we transition to a new supplier, particularly from any of our single source suppliers, doing so could be time-consuming and expensive, may result in interruptions in our ability to supply our products to the market and could affect the performance of our products, resulting in increased costs and negative customer perception.</w:t>
      </w:r>
    </w:p>
    <w:p>
      <w:pPr>
        <w:spacing w:after="0" w:line="13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Although we believe that we have stable relationships with our existing suppliers, we cannot assure you that we will be able to secure a stable supply of components materials going forward. In the event that any adverse developments occur with our suppliers, in particular for those products that are sole-sourced,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 In addition, quarantines, shelter-in-place and similar government orders related to infectious disease outbreaks, or the perception that such orders, shutdowns or other restrictions on the conduct of business operations could occur, could impact the suppliers upon which we rely, or the availability or cost of materials, which could disrupt the supply chain for our products.</w:t>
      </w:r>
    </w:p>
    <w:p>
      <w:pPr>
        <w:spacing w:after="0" w:line="15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we cannot assure you that our suppliers have obtained and will be able to obtain or maintain all licenses, permits and approvals necessary for their operations or comply with all applicable laws and regulations, and failure to do so by them may lead to interruption in their business operations, which in turn may result in shortages of components supplied to us.</w:t>
      </w:r>
    </w:p>
    <w:p>
      <w:pPr>
        <w:spacing w:after="0" w:line="14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Supply interruptions have in the past arisen and could arise in the future from effects of infectious disease outbreaks, shortages of raw materials, labor disputes or weather conditions affecting products or shipments, transportation disruptions, adjustments to our inventory levels or other factors within and beyond our control, and such supply interruption risk is increased by the limited number 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jc w:val="both"/>
        <w:spacing w:after="0" w:line="255" w:lineRule="auto"/>
        <w:rPr>
          <w:sz w:val="20"/>
          <w:szCs w:val="20"/>
          <w:color w:val="auto"/>
        </w:rPr>
      </w:pPr>
      <w:r>
        <w:rPr>
          <w:rFonts w:ascii="Arial" w:cs="Arial" w:eastAsia="Arial" w:hAnsi="Arial"/>
          <w:sz w:val="18"/>
          <w:szCs w:val="18"/>
          <w:color w:val="auto"/>
        </w:rPr>
        <w:t>suppliers for certain of the components we use in our products. Our failure to maintain a continued supply of components that meets our quality control requirements for any reason, including changes to or termination of our agreements with key suppliers, or to enter into new agreements with other suppliers, particularly in the case of single or sole source suppliers, could result in the loss of access to important components and materials used in our products and impact our ability to manufacture and sell our products. Any delay or interruption in the supply of our materials could delay or suspend sales of our products and increase the costs of manufacturing our products, which could have an adverse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results of operations will be harmed if we are unable to accurately forecast customer demand for our products and manage our inventory.</w:t>
      </w:r>
    </w:p>
    <w:p>
      <w:pPr>
        <w:spacing w:after="0" w:line="14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To ensure adequate supply of our instruments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by competitors, an increase or decrease in customer demand for our products or for products of our competitors, our failure to accurately forecast market acceptance of new products, changes in general market conditions, including as a result of infectious disease outbreaks, seasonal demands, regulatory matters, inflation or weakening of general economic conditions.</w:t>
      </w:r>
    </w:p>
    <w:p>
      <w:pPr>
        <w:spacing w:after="0" w:line="13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seek to maintain sufficient levels of inventory of our instruments and other products to protect ourselves from supply interruptions. We rely in part on our support organizations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would cause our gross margin to be adversely affected and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 a significant increase in demand, we may not have adequate manufacturing capacity to meet such demand, and additional supplies may not be available when required on terms that are acceptable to us, or at all, or suppliers may not be able to allocate sufficient capacity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limited experience manufacturing our products and if we are unable to manufacture our products in high-quality commercial quantities successfully and consistently to meet demand, our growth will be limited.</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have limited experience manufacturing our products. We currently manufacture our instruments and reagents at our manufacturing facilities in Fremont, California, Seattle, Washington and Wuxi, China, and reagents at our facility in San Diego, California. To manufacture our products in the quantities that we believe will be required to meet the currently anticipated market demand beyond the next several years, we will need to increase manufacturing capacity, which will involve significant challenges and may require additional quality controls and regulatory approvals. We may not successfully complete any required increase to existing manufacturing capacity in a timely manner, or at all.</w:t>
      </w:r>
    </w:p>
    <w:p>
      <w:pPr>
        <w:spacing w:after="0" w:line="136"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products. Additionally, any damage to or destruction of our manufacturing facilities or equipment may significantly impair our ability to manufacture products on a timely basis. There may also be unforeseen occurrences that increase our costs, such as increased prices of the components of our products, changes to labor costs or less favorable terms with third-party suppliers. There can be no assurance that we will not encounter such problems in the future.</w:t>
      </w:r>
    </w:p>
    <w:p>
      <w:pPr>
        <w:spacing w:after="0" w:line="13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If we are unable to manufacture products consistently and in sufficient quantities to meet anticipated customer demand, our business, financial condition, results of operations and prospects would be harmed. As we continue to scale the commercial production of our products and increase our manufacturing capacity, we may encounter quality issues that could result in product defects, errors or recalls. Manufacturing delays related to quality control could negatively impact our ability to bring our products to market, harm our reputation and decrease our revenue. Any defects, errors or recalls could be expensive and generate negative publicity, which could impair our ability to market or sell our products, and adversely affect our results of operations.</w:t>
      </w:r>
    </w:p>
    <w:p>
      <w:pPr>
        <w:spacing w:after="0" w:line="15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the introduction of new products may require the development of new manufacturing sites, processes or procedures as well as new suppliers. Developing new processes and negotiating supply agreements can be very time consuming, and any unexpected difficulty in doing so could delay the introduction of a product.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i w:val="1"/>
          <w:iCs w:val="1"/>
          <w:color w:val="auto"/>
        </w:rPr>
        <w:t>Our future success is dependent upon our ability to increase penetration in our existing markets and expand into adjacent markets.</w:t>
      </w:r>
    </w:p>
    <w:p>
      <w:pPr>
        <w:spacing w:after="0" w:line="129"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Our customer base includes academic and government institutions, pharmaceutical and biotechnology companies, clinical research organizations and clinical laboratories focused on cell analysis. Approximately 41% and 38% of our revenue came from sales to academic and government-owned institutions and 59% and 62% of our revenue came from sales to pharmaceutical and biotechnology companies, distributors and CROs in the three months ended June 30, 2023 and 2022, respectively. Our success will depend upon our ability to increase our market penetration.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w:t>
      </w:r>
    </w:p>
    <w:p>
      <w:pPr>
        <w:spacing w:after="0" w:line="13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 xml:space="preserve">Our success will also depend on our ability to further expand into adjacent markets, such as immunotherapy, immuno-oncology, bio-processing, infectious diseases and immune-deficiencies, as well as areas outside of healthcare, such as marine biology and alternative biofuels and other environmental fields. For example,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or approval of a pre-market approval application from the FDA. Our failure to further expand in adjacent markets and attract new customers could adversely affect our ability to improve our operating results.</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change current practices to adopt our products, it will negatively affect our business, financial condition, prospects and results of operations.</w:t>
      </w:r>
    </w:p>
    <w:p>
      <w:pPr>
        <w:spacing w:after="0" w:line="6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Our primary strategy to grow our revenue is to take a stepwise approach to market our products across key stakeholders in flow cytometry and cell analysis, such as academic and government institutions, clinical research organizations, pharmaceutical companies and clinical laboratories. While the number of customers using our products has increased in recent years, many academic and government institutions, clinical research organizations, pharmaceutical companies and clinical laboratories have not yet adopted our products, and such institutions and companies may choose not to adopt our products for a number of reasons, including:</w:t>
      </w:r>
    </w:p>
    <w:p>
      <w:pPr>
        <w:spacing w:after="0" w:line="161" w:lineRule="exact"/>
        <w:rPr>
          <w:sz w:val="20"/>
          <w:szCs w:val="20"/>
          <w:color w:val="auto"/>
        </w:rPr>
      </w:pPr>
    </w:p>
    <w:p>
      <w:pPr>
        <w:ind w:left="102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inadequate recruiting or training of talented sales force in existing and new markets to facilitate outreach and further adoption and awareness of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lack of experience with our products for cell analysis;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perceived inadequacy of evidence supporting benefits or cost-effectiveness of our products over existing alternatives;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liability risks generally associated with the use of new products and processes;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training required to use new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 or delay in the research and development activities using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competing products and alternatives;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introduction of other novel alternative products for cell analysis.</w:t>
      </w:r>
    </w:p>
    <w:p>
      <w:pPr>
        <w:spacing w:after="0" w:line="26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believe that educating notable industry KOLs, representatives of academic and government institutions, clinical research organizations, pharmaceutical companies and clinical laboratories, about the merits and benefits of our products for flow cytometry and cell analysis is one of key elements of increasing the adoption of our products. If these institutions and companies do not adopt our products for any reason, including those listed above, our ability to execute our growth strategy will be impaired, and it will negatively affect our business, financial condition, prospects and results of operations.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currently depends significantly on research and development spending by academic and government-owned institutions, a reduction in which could limit demand for our solutions and adversely affect our business and operating results.</w:t>
      </w:r>
    </w:p>
    <w:p>
      <w:pPr>
        <w:spacing w:after="0" w:line="62"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Approximately 41% and 38% of our revenue came from sales to academic and government-owned institutions in the three months ended June 30, 2023 and 2022, respectively. Much of their funding was, in turn, provided by various state, federal and foreign government agencies. In the near term, we expect that a large portion of our revenue will continue to be derived from sales to academic and government-owned institutions. As a result, the demand for our solutions may depend upon the research and development budgets of these customers, which are impacted by factors beyond our control, such as:</w:t>
      </w:r>
    </w:p>
    <w:p>
      <w:pPr>
        <w:spacing w:after="0" w:line="130"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w:t>
      </w:r>
    </w:p>
    <w:p>
      <w:pPr>
        <w:spacing w:after="0" w:line="117" w:lineRule="exact"/>
        <w:rPr>
          <w:rFonts w:ascii="Arial" w:cs="Arial" w:eastAsia="Arial" w:hAnsi="Arial"/>
          <w:sz w:val="18"/>
          <w:szCs w:val="18"/>
          <w:color w:val="auto"/>
        </w:rPr>
      </w:pPr>
    </w:p>
    <w:p>
      <w:pPr>
        <w:ind w:left="1020" w:hanging="503"/>
        <w:spacing w:after="0" w:line="308"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to programs that provide funding to research laboratories, hospitals and related institutions, including changes in the amount of funds allocated to different areas of research or changes that have the effect of increasing the length of the funding process;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macroeconomic conditions and the political climate;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scientists’ and customers’ opinions of the utility of new products or services;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regulatory environment;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differences in budgetary cycles;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competitor product offerings or pricing;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market-driven pressures to consolidate operations and reduce costs;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acceptance of relatively new technologies, such as ours.</w:t>
      </w:r>
    </w:p>
    <w:p>
      <w:pPr>
        <w:spacing w:after="0" w:line="11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In addition, various state, federal and foreign agencies that provide grants and other funding may be subject to stringent budgetary constraints that could result in spending reductions, reduced grant making, reduced allocations or budget cutbacks, including as a result of negative or worsening conditions in the general economy, which could jeopardize the ability of these customers, or the customers to whom they provide funding, to purchase our solutions. For example, congressional appropriations to the National Institutes of Health (the “NIH”) have generally increased year-over-year in recent years, but the NIH also experiences occasional year-over-year decreases in appropriations. There is no guarantee that NIH appropriations will not decrease or halt in the future. A decrease in the amount or halt of, or delay in the approval of, appropriations to NIH or other similar United States or foreign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solutions. Our operating results may fluctuate substantially due to any such reductions and delays. Any decrease in our customers’ budgets or expenditures, or in the size, scope or frequency of their capital or operating expenditures, could materially and adversely affect our business, operating results and financial condition.</w:t>
      </w:r>
    </w:p>
    <w:p>
      <w:pPr>
        <w:spacing w:after="0" w:line="131" w:lineRule="exact"/>
        <w:rPr>
          <w:sz w:val="20"/>
          <w:szCs w:val="20"/>
          <w:color w:val="auto"/>
        </w:rPr>
      </w:pPr>
    </w:p>
    <w:p>
      <w:pPr>
        <w:jc w:val="both"/>
        <w:ind w:firstLine="43"/>
        <w:spacing w:after="0" w:line="375" w:lineRule="auto"/>
        <w:rPr>
          <w:sz w:val="20"/>
          <w:szCs w:val="20"/>
          <w:color w:val="auto"/>
        </w:rPr>
      </w:pPr>
      <w:r>
        <w:rPr>
          <w:rFonts w:ascii="Arial" w:cs="Arial" w:eastAsia="Arial" w:hAnsi="Arial"/>
          <w:sz w:val="15"/>
          <w:szCs w:val="15"/>
          <w:b w:val="1"/>
          <w:bCs w:val="1"/>
          <w:i w:val="1"/>
          <w:iCs w:val="1"/>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to selling our products through our direct sales force and support organizations in North America, Europe, China, and several other countries in the Asia-Pacific region, we sell our products through third-party distributors or sales agents in certain countries in Europe, Latin America, the Middle East and the Asia-Pacific region. If current or future distributors do not perform adequately or effectively or fail to obtain or maintain any required regulatory approvals, we may not realize long-term international revenue growth and our business, operating results and financial condition may be harmed. We have limited control over our distributors, which may not commit the necessary resources to market our products to the level of our expectations.</w:t>
      </w:r>
    </w:p>
    <w:p>
      <w:pPr>
        <w:spacing w:after="0" w:line="16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intend to continue to grow our business internationally and to do so we may choose to partner with additional distributors to maximize the commercial opportunity for our products. There is no guarantee that we will be successful in attracting or retaining desirable sales and distribution partners or that we will be able to enter into such arrangements on favorable terms, which could affect our ability to expand into or further penetrate certain geographies and adversely impact our business, operating results and financial condition.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b w:val="1"/>
          <w:bCs w:val="1"/>
          <w:i w:val="1"/>
          <w:iCs w:val="1"/>
          <w:color w:val="auto"/>
        </w:rPr>
        <w:t>International operations and expansion of our international business exposes us to business, regulatory, political, operational, financial and economic risks associated with doing business outside of the United States.</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currently have significant international operations and our business strategy incorporates further international expansion. We currently maintain relationships with distributors and suppliers outside of the United States and may in the future enter into new distributor and supplier relationships outside of the United States. In addition, we currently have manufacturing operations in both the United States and China. Doing business internationally involves a number of risks, including:</w:t>
      </w:r>
    </w:p>
    <w:p>
      <w:pPr>
        <w:spacing w:after="0" w:line="160" w:lineRule="exact"/>
        <w:rPr>
          <w:sz w:val="20"/>
          <w:szCs w:val="20"/>
          <w:color w:val="auto"/>
        </w:rPr>
      </w:pPr>
    </w:p>
    <w:p>
      <w:pPr>
        <w:ind w:left="1020" w:hanging="503"/>
        <w:spacing w:after="0" w:line="342"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multiple, conflicting and changing laws and regulations such as privacy regulations, tax laws, export and import restrictions, tariffs, economic sanctions and embargoes, employment laws, regulatory requirements and other governmental approvals, permits and licenses;</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by us or our distributors to obtain approvals to conduct our business in various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differing intellectual property rights;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complexities and difficulties in obtaining intellectual property protection, enforcing our intellectual property and defending against third party intellectual property claims;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logistics and regulations associated with shipping systems and parts and components for our products, as well as transportation delays;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travel restrictions that limit the ability of marketing, presales, sales, services and support teams to service customers;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international trade disputes that could result in tariffs and other protective measures;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such as the ongoing war in Ukraine, outbreak of disease, boycotts, curtailment of trade and other business restrictions; and</w:t>
      </w:r>
    </w:p>
    <w:p>
      <w:pPr>
        <w:spacing w:after="0" w:line="62"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regulatory and compliance risks that relate to maintaining accurate information and control over sales and distributors’ activities that may fall within the purview of the U.S. Foreign Corrupt Practices Act (the “FCPA”), its books and records provisions, or its anti-bribery provisions.</w:t>
      </w:r>
    </w:p>
    <w:p>
      <w:pPr>
        <w:spacing w:after="0" w:line="1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business, financial condition, results of operations and prospects. In addition, certain international markets are subject to significant political and economic uncertainty, including, for example, the effect of the withdrawal of the United Kingdom from the European Union. Significant political and economic developments in international markets in which we currently or intend to operate, or the perception that any of them could occur, creates further challenges for operating in these markets in addition to creating instability in global economic conditions.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market for cell analysis technologies and life sciences tools, including flow cytometry, is highly competitive, and if we cannot compete successfully with our competitors, we may be unable to increase or sustain our revenue, or achieve and sustain profitability.</w:t>
      </w:r>
    </w:p>
    <w:p>
      <w:pPr>
        <w:spacing w:after="0" w:line="3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face significant competition in the cell analysis and life sciences tools markets. We currently compete with both established and early stage life sciences and in vitro diagnostics (“IVD”) companies that design, manufacture and market flow cytometry instruments, consumables and software for cell analysis and/or provide services related to the same. An increasing number of applications for cell analysis, and more particularly flow cytometry, is leading to more companies offering competitive products and services. Our competitors include Agilent Technologies, Beckman Coulter (Danaher Corporation), Becton, Dickinson and Company (“BD”), Bio-Rad Laboratories, Standard BioTools Inc., Miltenyi Biotec, Sony Biotechnology (Sony Corporation), and Thermo Fisher Scientific. Our target customers may also elect to develop their workflows using other technologies rather than implementing our platform or existing customers may decide to stop using our platform. In addition, there are many large, established companies in the life sciences tools market that could develop instruments or other products that will compete with us in the future. These large, established companies have substantially greater financial and other resources than us, including larger research and development, quality and regulatory staff or more established marketing and sales forces.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competitors and potential competitors may enjoy a number of competitive advantages over us, including:</w:t>
      </w:r>
    </w:p>
    <w:p>
      <w:pPr>
        <w:spacing w:after="0" w:line="185"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longer operating histories;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larger customer bases;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greater brand recognition and market penetration;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greater financial resources and capabilities;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greater technological and research and development resources;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larger intellectual property portfolios;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better system reliability and robustness;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greater selling and marketing capabilities;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 p</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 addition, competitors may be acquired by, receive investments from or enter into other commercial relationships with larger, well-established and well-financed companies. Our competitors and potential competitors may be able to respond more quickly to changes in customer requirements, devote greater resources to the development, promotion and sale of their products and services than we can, secure key components from suppliers on more favorable terms, adopt more aggressive pricing policies or sell their products or offer services competitive with our products at prices and margins designed to win significant levels of market share. We may not be able to compete effectively against these organizations. If we are unable to compete successfully against current and future competitors, we may be unable to increase market adoption and sales of our products, which could negatively impact our business, financial condition, results of operations and prospects.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develop and successfully introduce new and enhanced products that meet the needs of our customers.</w:t>
      </w:r>
    </w:p>
    <w:p>
      <w:pPr>
        <w:spacing w:after="0" w:line="15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current products include instruments, consumables and services to advance high-content and high-sensitivity cell analysis. We cannot assure you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and enabling services.</w:t>
      </w:r>
    </w:p>
    <w:p>
      <w:pPr>
        <w:spacing w:after="0" w:line="146"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Our future success depends on our ability to anticipate our customers’ needs and develop new products and enhance current products and services to address those needs. Introduction of new products and product enhancements will require that we effectively transfer production processes from research and development to manufacturing and coordinate our efforts with those of our suppliers to achieve the desired level of production. If we fail to transfer production processes effectively, develop product enhancements or introduce new products or enabling services in sufficient quantities to meet the needs of our customers, or effectively coordinate with our suppliers, our net sales may be reduced and our business would be harmed.</w:t>
      </w:r>
    </w:p>
    <w:p>
      <w:pPr>
        <w:spacing w:after="0" w:line="134"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commercial success of all of our products and services will depend upon their acceptance by the life sciences and biopharmaceutical industries. Some of the products and services that we are developing are based upon new technologies or approaches. As a result, there can be no assurance that these new products and services, even if successfully developed and introduced, will be accepted by customers. If customers do not adopt our new products, services and technologies, our results of operations may suffer and, as a result, the market price of our common stock may decline.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7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We currently sell our products primarily in the cell analysis market, which is characterized by significant enhancements and evolving industry and regulatory standards.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 offered by our competitors or make products themselves. Without the timely introduction of new instruments, consumables, software, services and enhancements, our offerings may become less competitive over time, in which case 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adequately predict our customers’ needs or fail to obtain desired levels of market acceptance, our business may suffer and our operating results could be adversely affected.</w:t>
      </w:r>
    </w:p>
    <w:p>
      <w:pPr>
        <w:spacing w:after="0" w:line="13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believe our products have potential applications across a wide range of markets and we have targeted certain markets in which we believe our technology has significant advantages, or for which we believe we have a higher probability of success or revenue opportunity. For example, we are committed to developing our platform’s applications within the clinical market, and in particular, within disease detection, diagnosis, and treatment monitoring. We seek to maintain a process of prioritization and resource allocation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jc w:val="both"/>
        <w:spacing w:after="0" w:line="291" w:lineRule="auto"/>
        <w:rPr>
          <w:sz w:val="20"/>
          <w:szCs w:val="20"/>
          <w:color w:val="auto"/>
        </w:rPr>
      </w:pPr>
      <w:r>
        <w:rPr>
          <w:rFonts w:ascii="Arial" w:cs="Arial" w:eastAsia="Arial" w:hAnsi="Arial"/>
          <w:sz w:val="16"/>
          <w:szCs w:val="16"/>
          <w:color w:val="auto"/>
        </w:rPr>
        <w:t>among our programs to maintain a balance between advancing near-term opportunities and exploring additional markets and use cases for our technology. However, due to the significant resources required for the development of products or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accelerate adoption of our FSP solutions, it could slow or stop our business growth and negatively impact our business, financial condition, results of operations and prospects.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New product development involves a lengthy and complex process and we may be unable to develop or commercialize products on a timely basis, or at all.</w:t>
      </w:r>
    </w:p>
    <w:p>
      <w:pPr>
        <w:spacing w:after="0" w:line="6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 that our research and development efforts will produce commercially viable products and solutions and before we can commercialize any new products, we will need to expend significant funds to, for example:</w:t>
      </w:r>
    </w:p>
    <w:p>
      <w:pPr>
        <w:spacing w:after="0" w:line="131"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conduct substantial research and development;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 necessary regulatory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further develop and scale our laboratory, engineering and manufacturing processes to accommodate different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source and enter into agreements with new suppliers;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further develop and scale our infrastructure.</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product development processes involve a high degree of risk, and these efforts may be delayed or fail for many reasons, including failure of the product to perform as expected and failure to reliably demonstrate the advantages of the product.</w:t>
      </w:r>
    </w:p>
    <w:p>
      <w:pPr>
        <w:spacing w:after="0" w:line="14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systems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spacing w:after="0" w:line="7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success depends on our ability to provide reliable, high quality products that enable high-content and high-sensitivity cell analysis through flexible, efficient and cost-effective solutions. Our systems are complex in design and involve a highly complex and precise manufacturing process. As a result of the technological complexity of our systems, changes in our or our suppliers’ manufacturing processes or the inadvertent use of defective materials by us or our suppliers could result in an adverse effect on our ability to achieve acceptable manufacturing yields and product reliability. To the extent that we do not achieve and maintain our projected yields or product reliability, our business, operating results, financial condition and customer relationships would be adversely affected. We provide warranties on a majority of our product sales, and reserves for estimated warranty costs are recorded during the period of sale. The determination of such reserves requires us to make estimates of failure rates and expected costs to repair or replace the products under warranty. We typically establish warranty reserves based on historical warranty costs for each product line. If actual repair and replacement costs differ significantly from our estimates, adjustments to cost of sales may be required in future periods which could have an adverse effect on our results of operations.</w:t>
      </w:r>
    </w:p>
    <w:p>
      <w:pPr>
        <w:spacing w:after="0" w:line="16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customers may discover defects in our products after the products have been fully installed and operated. In addition, some of our products include components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143"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customers or orders;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costs of warranty expenses;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attract new customers;</w:t>
      </w:r>
    </w:p>
    <w:p>
      <w:pPr>
        <w:spacing w:after="0" w:line="117" w:lineRule="exact"/>
        <w:rPr>
          <w:rFonts w:ascii="Arial" w:cs="Arial" w:eastAsia="Arial" w:hAnsi="Arial"/>
          <w:sz w:val="18"/>
          <w:szCs w:val="18"/>
          <w:color w:val="auto"/>
        </w:rPr>
      </w:pPr>
    </w:p>
    <w:p>
      <w:pPr>
        <w:ind w:left="5540" w:right="5260" w:hanging="5023"/>
        <w:spacing w:after="0" w:line="535" w:lineRule="auto"/>
        <w:tabs>
          <w:tab w:leader="none" w:pos="10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diversion of development, engineering and manufacturing resources;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actions by governmental authorities;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19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believe that customers in our target markets are likely to be particularly sensitive to product defects and errors. 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w:t>
      </w:r>
    </w:p>
    <w:p>
      <w:pPr>
        <w:spacing w:after="0" w:line="14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Although our products are tested prior to shipment, defects or errors could nonetheless occur. Our operating results depend on our ability to execute and, when necessary, improve our quality management strategy and systems and our ability to effectively train and maintain our employee base with 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w:t>
      </w:r>
    </w:p>
    <w:p>
      <w:pPr>
        <w:spacing w:after="0" w:line="14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We provide a one-year assurance-type warranty on our instruments. Existing and future warranties place us at the risk of incurring future repair and/or replacement costs. At the time revenue is recognized, we establish an accrual for estimated warranty expenses based on historical data and trends of product reliability and costs of repairing and replacing defective products. We exercise judgment in estimating the expected product warranty costs, using data such as the actual and projected product failure rates, estimated repair costs, freight, material, labor and overhead costs. While we believe that historical experience provides a reliable basis for estimating such warranty cost, unforeseen quality issues or component failure rates could result in future costs in excess of such estimates, or alternatively, improved quality and reliability in our products and consumables could result in actual expenses that are below those currently estimated. As of June 30, 2023, we had accrued approximately $2.8 million in expenses relating to product warranty accruals. Substantial amounts of warranty claims could have an adverse effect on our business, financial condition and results of operations.</w:t>
      </w:r>
    </w:p>
    <w:p>
      <w:pPr>
        <w:spacing w:after="0" w:line="1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Even after any underlying concerns or problems are resolved, any lingering concerns in our target markets regarding our technology or any manufacturing defects or performance errors in our products or services could continue to result in lost revenue, delayed market acceptance, damage to our reputation and claims against us.</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38"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From time to time, we may pursue acquisitions of businesses and assets. For example, in February 2023, we entered into an asset purchase agreement with Luminex Corporation (“Luminex”) and acquired certain assets related to the flow cytometry and imaging (“FCI”) business unit of Luminex (the “FCI Acquisition”). We may choose to further expand our business by acquiring additional businesses or assets in the future. We also may pursue strategic alliances and additional joint ventures that leverage products and industry experience to expand our offerings or distribution. We have limited experience with acquiring other companies and forming strategic partnerships. We may not be able to find suitable partners or acquisition candidates, and we may not be able to complete such transactions on favorable terms, if at all. We may not be able to integrate acquisitions, including the recent FCI Acquisition, successfully into our existing business, and in certain cases we could assume unknown or contingent liabilities. Any future acquisitions also could result in the incurrence of debt, contingent liabilities or future write-offs of intangible assets or goodwill, any of which could have an adverse effect on our financial condition, results of operations and cash flows. In addition, any pursuit of an acquisition and any potential integration of an acquired company also may disrupt ongoing operations and divert management attention and resources that we would otherwise focus on developing our existing business. We may experience losses related to investments in other companies, which could have a negative effect on our results of operations and financial condition. We may not realize the anticipated benefits of any acquisition, technology license, strategic alliance or joint venture.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Shipping is a critical part of our business and any changes in our shipping arrangements or damages or losses sustained during shipping could adversely affect our business, financial condition, results of operations and prospects.</w:t>
      </w:r>
    </w:p>
    <w:p>
      <w:pPr>
        <w:spacing w:after="0" w:line="6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We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Additionally, our manufacturing operations in Fremont and San Diego, California, Seattle, Washington, and Wuxi, China require global shipping services which are subject to certain factors outside of our control, such as increased costs due to fuel surcharges or otherwise, delays passing through customs and disruptions to global shipping routes. We experienced shipping delays and difficulties due to the COVID-19 pandemic and may again experience such delays or difficulties due to future pandemics, other infectious disease outbreaks or natural disasters. Moreover, there is no guarantee that our systems will not become damaged or lost in transit, and we have experienced, and expect to continue to experience, delivery difficulties. If a system is damaged in transit, it may result in a substantial delay in the fulfillment of the customer’s order, and depending on the type and extent of the damage and whether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jc w:val="both"/>
        <w:spacing w:after="0" w:line="279" w:lineRule="auto"/>
        <w:rPr>
          <w:sz w:val="20"/>
          <w:szCs w:val="20"/>
          <w:color w:val="auto"/>
        </w:rPr>
      </w:pPr>
      <w:r>
        <w:rPr>
          <w:rFonts w:ascii="Arial" w:cs="Arial" w:eastAsia="Arial" w:hAnsi="Arial"/>
          <w:sz w:val="17"/>
          <w:szCs w:val="17"/>
          <w:color w:val="auto"/>
        </w:rPr>
        <w:t>the incident is covered by insurance, it may result in customer dissatisfaction and a substantial financial loss for us. If our products are not delivered in a timely fashion or are lost during the delivery process, our customers could also become dissatisfied and cease using our products or services, which would adversely affect our business, financial condition, results of operations and prospects. Additionally, delays in shipping could have an adverse impact on our ability to recognize revenue in a timely manner, which could have an adverse impact on our quarterly results of operations.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commercial operations, including hiring additional qualified sales representatives, technical applications specialists and customer support staff, our business may be adversely affected.</w:t>
      </w:r>
    </w:p>
    <w:p>
      <w:pPr>
        <w:spacing w:after="0" w:line="6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Our future sales will depend, in large part, on our ability to develop and substantially expand our sales infrastructure, particularly as we enter into new markets, rollout new solutions and applications and manage inbound interest from new customers. We distribute our products through our direct sales force and support organizations located in North America, Europe, China, and several countries in the Asia-Pacific region, and through distributors or sales agents in several countries in Europe, Latin America, the Middle East and the Asia-Pacific region. Our sales and marketing efforts are targeted at academic and governmental institutions, pharmaceutical and biotechnology companies, clinical research organizations and clinical laboratories focused on cell analysis. To continue driving adoption of our solutions and to support our global brand, we will need to further expand our sales infrastructure by hiring additional, highly qualified and reputable sales representatives, technical applications specialists and customer support staff, in addition to increasing advertising efforts.</w:t>
      </w:r>
    </w:p>
    <w:p>
      <w:pPr>
        <w:spacing w:after="0" w:line="15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Identifying and recruiting qualified personnel with sufficient industry experience and training them requires significant time, expense and attention. We have limited experience in training our personnel to successfully market and sell our products. If we provide inadequate training, fail to increase our sales and marketing capabilities or fail to develop broad brand awareness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w:t>
      </w:r>
    </w:p>
    <w:p>
      <w:pPr>
        <w:spacing w:after="0" w:line="13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Additionally, our technical applications specialists work closely with researchers and clinicians to optimize and implement new panels and applications to meet their specific needs. Hiring these highly skilled specialists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as well as competition from companies in other industries. To effectively support current and potential customers, we will need to hire, maintain, train and grow the number of our technical application specialists and customer support staff. If we are unable to maintain, attract, train or retain the number of qualified support personnel that our business needs, our business and prospects will suffer.</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rely on a significant base of peer-reviewed publications to showcase and validate the importance and application of our technology in academic and clinical research settings. As of June 30, 2023, there have been more than 1,300 peer-reviewed articles published, including many published in prominent journals, using data generated by our technology across a wide range of key scientific research areas, including immunology and inflammation, infectious diseases, immuno-oncology, oncology and others. We believe that expanding the base of these publications, and otherwise developing and maintaining awareness of our brand in a cost-effective manner is critical to achieving broad acceptance of our solutions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widespread brand awareness that is critical for broad customer adoption of our solutions.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are highly dependent on our senior management team and key personnel. Our success will depend on our ability to retain senior management and to attract and retain qualified personnel in the future, including sales, marketing, scientific 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spacing w:after="0" w:line="13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Competition for skilled personnel in our market is intense and has recently intensified further due to macro-economic conditions and industry trends in many areas where our employees are located. This may limit our ability to hire and retain highly qualified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jc w:val="both"/>
        <w:spacing w:after="0" w:line="296" w:lineRule="auto"/>
        <w:rPr>
          <w:sz w:val="20"/>
          <w:szCs w:val="20"/>
          <w:color w:val="auto"/>
        </w:rPr>
      </w:pPr>
      <w:r>
        <w:rPr>
          <w:rFonts w:ascii="Arial" w:cs="Arial" w:eastAsia="Arial" w:hAnsi="Arial"/>
          <w:sz w:val="16"/>
          <w:szCs w:val="16"/>
          <w:color w:val="auto"/>
        </w:rPr>
        <w:t>personnel on acceptable terms, or at all. To induce valuable employees to remain at our company, in addition to salary and cash incentives, we have issued, and will in the future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 with us on short notice. Our employment arrangements with our employees provide for at-will employment, which means that any of our employees could leave our employment at any time, with or without notice.</w:t>
      </w:r>
    </w:p>
    <w:p>
      <w:pPr>
        <w:spacing w:after="0" w:line="13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Many of the other cell analysis technology companies that we compete against for qualified personnel have greater financial and other resources, different risk profiles and a longer history in the industry than we do. They may also provide more diverse opportunities, better chances for career advancement and higher compensation. Some of these characteristics are more appealing to high quality candidates than what we can offer. Further, if we hire employees from competitors or other companies, their former employers may attempt to assert that these employees or we have breached legal obligations, resulting in a diversion of our time and resources and, potentially, damages.</w:t>
      </w:r>
    </w:p>
    <w:p>
      <w:pPr>
        <w:spacing w:after="0" w:line="14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p>
    <w:p>
      <w:pPr>
        <w:spacing w:after="0" w:line="16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w:t>
      </w:r>
    </w:p>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1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June 30, 2023, we had 699 full-time employees. As our sales and marketing strategies develop, we expect to need additional managerial, operational, sales, marketing, financial and other personnel. Future growth would impose significant added responsibilities on members of management, including:</w:t>
      </w:r>
    </w:p>
    <w:p>
      <w:pPr>
        <w:spacing w:after="0" w:line="157"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contractors and other third parties;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1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finance,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connection with our financial statement close process for the year ended December 31, 2022, we identified deficiencies in the control environment and control activities components of the Committee of Sponsoring Organizations (“COSO”) framework that constitute material weaknesses, either individually or in the aggregate. Deficiencies in the control environment related to (i) the lack of a sufficient number of qualified resources within our accounting and IT functions with the appropriate level of technical accounting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jc w:val="both"/>
        <w:spacing w:after="0" w:line="255" w:lineRule="auto"/>
        <w:rPr>
          <w:sz w:val="20"/>
          <w:szCs w:val="20"/>
          <w:color w:val="auto"/>
        </w:rPr>
      </w:pPr>
      <w:r>
        <w:rPr>
          <w:rFonts w:ascii="Arial" w:cs="Arial" w:eastAsia="Arial" w:hAnsi="Arial"/>
          <w:sz w:val="18"/>
          <w:szCs w:val="18"/>
          <w:color w:val="auto"/>
        </w:rPr>
        <w:t>other requisite knowledge to (a) timely identify and assess accounting implications of transactions; and (b) perform assigned responsibilities and have appropriate accountability for the design and operation of internal control over financial reporting. Deficiencies related to control activities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 Please see the section entitled “Item 4. Controls and Procedures" for additional information.</w:t>
      </w:r>
    </w:p>
    <w:p>
      <w:pPr>
        <w:spacing w:after="0" w:line="84"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its financial statements would not be prevented or detected on a timely basis. These deficiencies could result in additional material misstatements to our consolidated financial statements that could not be prevented or detected on a timely basis.</w:t>
      </w:r>
    </w:p>
    <w:p>
      <w:pPr>
        <w:spacing w:after="0" w:line="5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cannot be certain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We currently do not have an internal audit group, and we will need to hire additional accounting and finance staff and consultants with appropriate public company experience and technical accounting knowledge to remediate the control deficiencies.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to fund our existing operations, develop our products and/or expand our operations.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Based on our current planned operations, we expect that our existing cash will enable us to fund our operating expenses for at least 12 months from the date hereof. However, if our available cash balances and anticipated cash flow from operations are insufficient to satisfy our liquidity requirements or otherwise, we may seek to issue equity or convertible debt securities, enter into a credit facility or another form of third-party funding, seek other debt financing or enter into collaborations or licensing arrangements.</w:t>
      </w:r>
    </w:p>
    <w:p>
      <w:pPr>
        <w:spacing w:after="0" w:line="79"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We may consider raising additional capital in the future to expand our business, to pursue strategic investments, to take advantage of financing opportunities or for other reasons, including to further scale up our manufacturing of our products, to increase our sales and marketing efforts to drive market adoption of our products and address competitive developments, and to finance capital expenditures and general and administrative expenses.</w:t>
      </w:r>
    </w:p>
    <w:p>
      <w:pPr>
        <w:spacing w:after="0" w:line="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present and future funding requirements will depend on many factors, some of which are beyond our control, including:</w:t>
      </w:r>
    </w:p>
    <w:p>
      <w:pPr>
        <w:spacing w:after="0" w:line="198"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achieve and maintain revenue growth;</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expanding our operations, including our sales and marketing efforts;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rate of progress in launching and commercializing new products, and the cost of the sales and marketing activities associated with, establishing adoption of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rate of progress in, and cost of research and development activities associated with, products in research and development;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associated with any product recall that may occur;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related to domestic and international expansion;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of attaining, defending and enforcing our intellectual property rights;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terms and timing of any other collaborative, licensing and other arrangements that we may establish.</w:t>
      </w:r>
    </w:p>
    <w:p>
      <w:pPr>
        <w:spacing w:after="0" w:line="18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Additional funding may not be available on acceptable terms, or at all. Weakness and volatility in the capital markets and the economy in general could limit our access to the capital markets and increase our cost of borrowing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jc w:val="both"/>
        <w:spacing w:after="0" w:line="286" w:lineRule="auto"/>
        <w:rPr>
          <w:sz w:val="20"/>
          <w:szCs w:val="20"/>
          <w:color w:val="auto"/>
        </w:rPr>
      </w:pPr>
      <w:r>
        <w:rPr>
          <w:rFonts w:ascii="Arial" w:cs="Arial" w:eastAsia="Arial" w:hAnsi="Arial"/>
          <w:sz w:val="17"/>
          <w:szCs w:val="17"/>
          <w:color w:val="auto"/>
        </w:rPr>
        <w:t>additional debt, making capital expenditures or declaring dividends. If we raise additional funds through other third-party funding, collaborations agreements, strategic alliances, licensing arrangements or marketing and distribution arrangements, we may have to relinquish valuable rights to our technologies, future revenue streams, research programs or products or grant licenses on terms that may not be favorable to us.</w:t>
      </w:r>
    </w:p>
    <w:p>
      <w:pPr>
        <w:spacing w:after="0" w:line="5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In addition, our ability to raise additional funds may be adversely impacted by potential worsening global economic conditions and the disruptions to, and volatility in, the credit and financial markets in the United States and worldwide resulting from geopolitical tensions, such as the ongoing war in Ukraine, as well as tensions with and economic uncertainty in China, inflation, rising interest rates and liquidity concerns at, and failures of, banks and other financial institutions. The global economy, including credit and financial markets, has experienced extreme volatility and disruptions, including severely diminished liquidity and credit availability, declines in economic growth, increases in inflation rates, higher interest rates and uncertainty about economic stability. If the equity and credit markets further deteriorate, or do not improve, it may make any necessary debt or equity financing more difficult, more costly and more dilutive. If we are unable to raise additional capital in sufficient amounts or on terms acceptable to us, we may have to significantly delay, scale back or discontinue the development, manufacturing or commercialization of our products, or other research and development initiatives. If this were to occur, our ability to grow and support our business and to respond to market challenges could be significantly limited, which could have an adverse effect on our business, financial condition and results of operations.</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62"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level of demand for any of our products, which may vary significantly;</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manufacturing, regulatory approval and commercialization activities relating to our products, which may change from time to time;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size, seasonality and customer mix of the cell analysis market;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and marketing efforts and expenses;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rate at which we grow our sales force and the speed at which newly-hired salespeople become effective;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productivity of our sales force;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effectiveness of our distribution partners in selling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positive or negative coverage in the media or publications of our products or competitive products;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manufacturing our products, which may vary depending on the quantity of production and the terms of our arrangements with our suppliers;</w:t>
      </w:r>
    </w:p>
    <w:p>
      <w:pPr>
        <w:spacing w:after="0" w:line="62" w:lineRule="exact"/>
        <w:rPr>
          <w:rFonts w:ascii="Arial" w:cs="Arial" w:eastAsia="Arial" w:hAnsi="Arial"/>
          <w:sz w:val="18"/>
          <w:szCs w:val="18"/>
          <w:color w:val="auto"/>
        </w:rPr>
      </w:pPr>
    </w:p>
    <w:p>
      <w:pPr>
        <w:ind w:left="1020" w:hanging="503"/>
        <w:spacing w:after="0" w:line="308"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degree of competition in our industry and any change in the competitive landscape of our industry, including the introduction of new products or enhancements or technologies by us or others in the cell analysis market and competition-related pricing pressures;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 or applications;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the industry in which we do business, including those related to widespread health crises;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future global financial crises and economic downturns, including those caused by widespread public health crises;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economic factors, including changes in inflation, interest rates, foreign currency rates, liquidity concerns at, and failures of, banks and other financial institutions and the potential effect of such factors on revenues and expenses; and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4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color w:val="auto"/>
        </w:rPr>
        <w:t>analysts or investors, the price of our common stock could decline substantially. Such a stock price decline could occur even when we have met any previously publicly stated guidance we may provide.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sizes of the markets for our products may be smaller than we estimate.</w:t>
      </w:r>
    </w:p>
    <w:p>
      <w:pPr>
        <w:spacing w:after="0" w:line="117"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 xml:space="preserve">Within the life sciences technology market, flow cytometry technologies currently provide solutions largely within cell proliferation, cell counting, cell identification, cell quality control and single-cell applications, representing an initial total addressable market (“TAM”) of nearly $12 billion. However, we believe that the enhanced capabilities of our FSP platform has the potential to capture an increasingly greater share of the broader cell analysis TAM. Our Northern Lights system has been approved for clinical use in the European Union and China.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or approval of a pre-market approval application from the FDA. Further, we believe our differentiated platform will enable us to expand the use of cell analysis into new markets, well beyond current applications addressed by prior flow cytometry technologies and other cell analysis technologies. While we believe our assumptions and the data underlying our estimates are reasonable, we have not independently verified the accuracy of the third-party data on which we have based our assumptions and estimates, and these assumptions and estimates may not be correct and significantly different than actual market sizes, and the conditions supporting our assumptions or estimates may change at any time, including as a result of factors outside our control, thereby reducing the predictive accuracy of these underlying factors. If the actual number of customers who would benefit from our products, the price at which we can sell products or the annual addressable market for our products is smaller than we have estimated, it may impair our sales growth and have an adverse impact on our business, financial condition and results of operations.</w:t>
      </w:r>
    </w:p>
    <w:p>
      <w:pPr>
        <w:spacing w:after="0" w:line="6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addition, our growth strategy involves launching new solutions and expanding sales of existing solutions into new markets and geographies in which we have limited experience. For example, we intend to develop our platform’s applications within the clinical market, and in particular, within disease detection, diagnosis, and treatment monitoring. Sales of new or existing solutions into new market opportunities may take several years to develop and mature, and we cannot be certain that these market opportunities will develop as we expect. As a result, the sizes of the annual total addressable market for new markets and new products are even more difficult to predict.</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were to be sued for product liability, we could face substantial liabilities that exceed our resources, limit sales of our existing products and limit commercialization of any products that we may develop.</w:t>
      </w:r>
    </w:p>
    <w:p>
      <w:pPr>
        <w:spacing w:after="0" w:line="6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If we cannot successfully defend ourselves against product liability claims, we will incur substantial liabilities and reputational harm. In addition, regardless of merit or eventual outcome, product liability claims may result in:</w:t>
      </w:r>
    </w:p>
    <w:p>
      <w:pPr>
        <w:spacing w:after="0" w:line="84"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litigation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to commercialize our products or new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damage to our business reputation;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recalls or withdrawals from the market;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sales;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termination of existing agreements by our partners and potential partners failing to partner with us.</w:t>
      </w:r>
    </w:p>
    <w:p>
      <w:pPr>
        <w:spacing w:after="0" w:line="19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product malfunctions and the accompanying product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color w:val="auto"/>
        </w:rPr>
        <w:t>liability that may result. Such recalls and withdrawals may also harm our reputation with customers, which could negatively affect our business, financial condition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proceedings may harm our business.</w:t>
      </w:r>
    </w:p>
    <w:p>
      <w:pPr>
        <w:spacing w:after="0" w:line="11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have been, and may become, involved in legal proceedings relating to patent and other intellectual property matters, product liability claims, employee claims, tort or contract claims, federal or state regulatory investigations, securities class actions and other legal proceedings or investigations, which could have a negative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harm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7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If our information technology systems or data, or those of third parties on which we rely, are compromised now, or in the future, we could experience adverse consequences resulting from such a compromise, including but not limited to regulatory investigations or</w:t>
      </w:r>
    </w:p>
    <w:p>
      <w:pPr>
        <w:ind w:left="60" w:right="1660"/>
        <w:spacing w:after="0" w:line="260" w:lineRule="auto"/>
        <w:rPr>
          <w:sz w:val="20"/>
          <w:szCs w:val="20"/>
          <w:color w:val="auto"/>
        </w:rPr>
      </w:pPr>
      <w:r>
        <w:rPr>
          <w:rFonts w:ascii="Arial" w:cs="Arial" w:eastAsia="Arial" w:hAnsi="Arial"/>
          <w:sz w:val="18"/>
          <w:szCs w:val="18"/>
          <w:b w:val="1"/>
          <w:bCs w:val="1"/>
          <w:i w:val="1"/>
          <w:iCs w:val="1"/>
          <w:color w:val="auto"/>
        </w:rPr>
        <w:t>actions; litigation; fines and penalties; disruptions of our business operations; reputational harm; loss of revenue or profits; loss of customers or sales; and other adverse consequences.</w:t>
      </w:r>
    </w:p>
    <w:p>
      <w:pPr>
        <w:spacing w:after="0" w:line="293"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In the ordinary course of our business, we and the third parties upon which we rely, collect, use, store, safeguard, disclose, share, transfer, secure and otherwise process (collectively, “Process” or “Processing”) proprietary, confidential and sensitive data, including personal information (such as key-coded data, health information and other special categories of personal information), intellectual property, trade secrets and proprietary business information owned or controlled by ourselves, our customers and other parties (collectively “Sensitive Information”). We rely upon third parties (such as service providers) for our data processing–related activities and share or receive Sensitive Information with or from third parties.</w:t>
      </w:r>
    </w:p>
    <w:p>
      <w:pPr>
        <w:spacing w:after="0" w:line="68"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We face a variety of evolving threats, which could cause security incidents. 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becoming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produce, sell and distribute our goods and services. We and the third parties upon which we rely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and other similar threats. In particular, severe ransomware attacks, including those perpetrated by organized criminal threat actors, nation-states, and nation-state-supported actors, are becoming increasingly prevalent and severe and can lead to significant interruptions in our operations,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Additionally, employees working from home, while in transit and in public locations poses increased risks to our information technology systems and data when utilizing network connections, computers, and devices outside our premises or network.</w:t>
      </w:r>
    </w:p>
    <w:p>
      <w:pPr>
        <w:spacing w:after="0" w:line="38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Sensitive information of the Company or our customers could also be leaked, disclosed, or revealed as a result of or in connection with our employee’s, personnel’s, or vendor’s use of generative AI (“AI”) technologies. 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discover security issues that were not found during due diligence of such acquired or integrated entities, and it may be difficult to integrate companies into our information technology environment and security program.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jc w:val="both"/>
        <w:ind w:firstLine="509"/>
        <w:spacing w:after="0" w:line="254" w:lineRule="auto"/>
        <w:rPr>
          <w:sz w:val="20"/>
          <w:szCs w:val="20"/>
          <w:color w:val="auto"/>
        </w:rPr>
      </w:pPr>
      <w:r>
        <w:rPr>
          <w:rFonts w:ascii="Arial" w:cs="Arial" w:eastAsia="Arial" w:hAnsi="Arial"/>
          <w:sz w:val="18"/>
          <w:szCs w:val="18"/>
          <w:color w:val="auto"/>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84"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platform. We may expend significant resources or modify our business activities in an effort to protect against security incidents. Certain data privacy and security obligations may require us to implement and maintain specific security measures, industry-standard or reasonable security measures to protect our information technology systems and Sensitive Information. While we have implemented security measures designed to protect against security incidents, there can be no assurance that these measures will be effective. We take steps to detect and remediate vulnerabilities, but we may not be able to detect and remediate all vulnerabilities in our information technology systems because the threats and techniques used to exploit the vulnerability change frequently and are often sophisticated in nature. Therefore, such vulnerabilities could be exploited but may not be detected until after a security incident has occurred. These vulnerabilities pose a material risk to our business.</w:t>
      </w:r>
    </w:p>
    <w:p>
      <w:pPr>
        <w:spacing w:after="0" w:line="6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Applicable data privacy and security obligations may require us to notify relevant stakeholders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data (including personal information);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and services, deter new customers from purchasing our products and services, and negatively impact our ability to grow and operate our business.</w:t>
      </w:r>
    </w:p>
    <w:p>
      <w:pPr>
        <w:spacing w:after="0" w:line="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Further,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Our operations (including our manufacturing operations) and the operations of our distribution partners could be subject to earthquakes, power shortages, telecommunications failures, water shortages, floods, hurricanes, typhoons, fires, extreme weather conditions, medical epidemics and pandemics, and other natural or man-made disasters or business interruptions, for which we are predominantly self-insured. Our ability to obtain components for our products could be disrupted if the operations of our suppliers were affected by a man-made or natural disaster or other business interruption. In addition, our corporate headquarters is located in Fremont, California and one of our reagents manufacturing facilities is located in San Diego, California, near major earthquake faults and fire zones, and the ultimate impact on us for being located near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70"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We manufacture our products at our manufacturing facilities located in Fremont and San Diego, California, Seattle, Washington, and Wuxi, China, and we rely on various suppliers in the United States, China and other countries. Should our manufacturing facilities or the facilities of our suppliers be damaged or destroyed by natural or man-made disasters, such as earthquakes, fires or other events, or should events such as political unrest unfold, it could take months to relocate or rebuild, during which time our manufacturing and the operations of our suppliers would cease or be delayed and our products may be unavailable. Moreover, the use of a new facility or new manufacturing, quality control, or environmental control equipment or systems generally requires FDA review and approval. Because of the time required to authorize manufacturing in a new facility under FDA and non-U.S. regulatory requirements, we may not be able to resume production on a timely basis even if we are able to replace production capacity in the event we lose our manufacturing capacity. The 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i w:val="1"/>
          <w:iCs w:val="1"/>
          <w:color w:val="auto"/>
        </w:rPr>
        <w:t>Our insurance policies are expensive and protect us only from some business risks, which leaves us exposed to significant uninsured liabilities.</w:t>
      </w:r>
    </w:p>
    <w:p>
      <w:pPr>
        <w:spacing w:after="0" w:line="14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do not carry insurance for all categories of risk that our business may encounter. Although we have general and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 Breach. Additionally, no assurance can be given that such policies can be retained on acceptable terms or that litigation will not occur following an insurance claim.</w:t>
      </w:r>
    </w:p>
    <w:p>
      <w:pPr>
        <w:spacing w:after="0" w:line="74"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use hazardous biological materials that require considerable expertise for handling, storage and disposal and may result in claims against us. We and third parties with whom we contract must comply with environmental laws and regulations, which can be expensive and restrict how we do business, and could expose us to liability if our use of such hazardous materials cause injury.</w:t>
      </w:r>
    </w:p>
    <w:p>
      <w:pPr>
        <w:spacing w:after="0" w:line="7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Our research and development and manufacturing processes involve the controlled use of hazardous materials, including flammables, toxics, corrosives and biologics. Our research operations produce hazardous biological and chemical waste products, and we largely contract with third parties for the disposal of these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In the event of accidental contamination or injury from these materials or wastes, we could be liable for damages or penalized with fines in an amount exceeding our resources and our operations could be suspended or otherwise adversely affected.</w:t>
      </w:r>
    </w:p>
    <w:p>
      <w:pPr>
        <w:spacing w:after="0" w:line="8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In addition, because our product contains metals and electronic components which are purchased from third-party vendors, we may be required under rules promulgated by the U.S. Securities and Exchange Commission ("SEC") governing disclosure of the use of “conflict minerals” (tin, tungsten, tantalum and gold) to determine whether those minerals are necessary to the functionality or production of our products and, if so, conduct a country of origin inquiry with respect to all such minerals. If any such minerals may have originated in the Democratic Republic of the Congo, or DRC, or any of its adjoining countries, or covered countries, then we must conduct diligence on the source and chain of custody of those conflict minerals to determine if they originated in one of the covered countries and, if so, whether they financed or benefited armed groups in the covered countries. Disclosures relating to the products that may contain conflict minerals, the country of origin of those minerals and whether they are “DRC conflict free” must be provided in a Form SD (and accompanying conflict minerals report, if required, to disclose the diligence undertaken by us in sourcing the minerals and our conclusions relating to such diligence). If we are required to submit a conflict minerals report, that report must be audited by an independent auditor pursuant to existing government auditing standards. Compliance with this disclosure rule may be very time-consuming for our management and personnel (as well as time-consuming for our suppliers) and could involve the expenditure of significant amounts of money by us and them. Disclosures mandated by this rule, which can be perceived by the market to be “negative,” may cause customers to refuse to purchase our products. The cost of compliance with the rule could adversely affect our results of operations.</w:t>
      </w:r>
    </w:p>
    <w:p>
      <w:pPr>
        <w:spacing w:after="0" w:line="7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Furthermore, environmental laws and regulations are complex, change frequently and have tended to become more stringent. We cannot predict the impact of such changes and cannot be certain of our future compliance. We do not currently maintain separate environmental liability coverage and any accidental contamination or discharge or any resultant injury from these materials could result in significant cost to us in penalties, damages and suspension of our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foreign currency exchange risk.</w:t>
      </w:r>
    </w:p>
    <w:p>
      <w:pPr>
        <w:spacing w:after="0" w:line="117"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A substantial amount of our revenues is derived from international operations, and we anticipate that a significant portion of our sales will continue to come from outside the United States in the future. As we have experienced in the six months ended June 30, 2023, where our prices are denominated in U.S. dollars, our sales and revenues could be adversely affected by declines in foreign currencies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jc w:val="both"/>
        <w:spacing w:after="0" w:line="296" w:lineRule="auto"/>
        <w:rPr>
          <w:sz w:val="20"/>
          <w:szCs w:val="20"/>
          <w:color w:val="auto"/>
        </w:rPr>
      </w:pPr>
      <w:r>
        <w:rPr>
          <w:rFonts w:ascii="Arial" w:cs="Arial" w:eastAsia="Arial" w:hAnsi="Arial"/>
          <w:sz w:val="16"/>
          <w:szCs w:val="16"/>
          <w:color w:val="auto"/>
        </w:rPr>
        <w:t>relative to the U.S. dollar. The revenues we report with respect to our operations outside the United States may be adversely affected by fluctuations in foreign currency exchange rates. See the section titled “Management’s Discussion and Analysis of Financial Condition and Results of Operations” for additional information on the financial impact of exchange rate fluctuations and the ways and extent to which we may attempt to address any impact. Any hedging activities we engage in may only offset a portion of the adverse financial impact resulting from unfavorable changes in foreign currency exchange rates. We cannot predict with any certainty changes in foreign currency exchange rates or the degree to which we can mitigate these risks.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and Our Industry</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products may become subject to more onerous regulation by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w:t>
      </w:r>
    </w:p>
    <w:p>
      <w:pPr>
        <w:spacing w:after="0" w:line="157" w:lineRule="exact"/>
        <w:rPr>
          <w:sz w:val="20"/>
          <w:szCs w:val="20"/>
          <w:color w:val="auto"/>
        </w:rPr>
      </w:pPr>
    </w:p>
    <w:p>
      <w:pPr>
        <w:jc w:val="both"/>
        <w:ind w:firstLine="578"/>
        <w:spacing w:after="0" w:line="287" w:lineRule="auto"/>
        <w:rPr>
          <w:sz w:val="20"/>
          <w:szCs w:val="20"/>
          <w:color w:val="auto"/>
        </w:rPr>
      </w:pPr>
      <w:r>
        <w:rPr>
          <w:rFonts w:ascii="Arial" w:cs="Arial" w:eastAsia="Arial" w:hAnsi="Arial"/>
          <w:sz w:val="16"/>
          <w:szCs w:val="16"/>
          <w:color w:val="auto"/>
        </w:rPr>
        <w:t>Currently, our Northern Lights CLC system is available for clinical use in only China and the European Union. Our Aurora and Northern Lights systems are otherwise available to customers as research use only (“RUO”) products. RUO products are regulated by the FDA as medical devices. Although medical devices are subject to stringent FDA oversight, products that are intended for RUO and are labeled as RUO are exempt from compliance with most FDA requirements, including premarket clearance or approval, manufacturing requirements and others. A product labeled RUO but which is actually intended for clinical diagnostic use may be viewed by the FDA as adulterated and misbranded under the Federal Food, Drug, and Cosmetic Act (“FDCA”), and subject to FDA enforcement action. The FDA has indicated that when determining the intended use of a product labeled RUO, the FDA will consider the totality of the circumstances surrounding distribution and use of the product, including how the product is marketed and to whom. The FDA could disagree with our assessment that our products are properly marketed as RUOs, or could conclude that products labeled as RUO are actually intended for clinical diagnostic use, and could take enforcement action against us, including requiring us to stop distribution of our products until we are in compliance with applicable regulations, which would reduce our revenue, increase our costs and adversely affect our business, prospects, results of operations and financial condition. In the event that the FDA requires us to obtain marketing authorization of our RUO products in the future, there can be no assurance that the FDA will grant any clearance or approval requested by us in a timely manner, or at all.</w:t>
      </w:r>
    </w:p>
    <w:p>
      <w:pPr>
        <w:spacing w:after="0" w:line="127" w:lineRule="exact"/>
        <w:rPr>
          <w:sz w:val="20"/>
          <w:szCs w:val="20"/>
          <w:color w:val="auto"/>
        </w:rPr>
      </w:pPr>
    </w:p>
    <w:p>
      <w:pPr>
        <w:jc w:val="both"/>
        <w:ind w:firstLine="578"/>
        <w:spacing w:after="0" w:line="268" w:lineRule="auto"/>
        <w:rPr>
          <w:sz w:val="20"/>
          <w:szCs w:val="20"/>
          <w:color w:val="auto"/>
        </w:rPr>
      </w:pPr>
      <w:r>
        <w:rPr>
          <w:rFonts w:ascii="Arial" w:cs="Arial" w:eastAsia="Arial" w:hAnsi="Arial"/>
          <w:sz w:val="17"/>
          <w:szCs w:val="17"/>
          <w:color w:val="auto"/>
        </w:rPr>
        <w:t>As part of our growth strategy, we plan to seek approval to offer our Aurora and Northern Lights systems for clinical use in the United States and in other countries. In the United States, before we can market a new medical device, or a new use of, new claim for or significant modification to an existing product, we must first receive either clearance under Section 510(k) of the FDCA, or approval of a premarket approval application from the FDA, unless an exemption applies. The process of obtaining approval or clearance from the FDA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or clearances for any new products or for modifications to our existing products on a timely basis or that any approval or clearance will not be subsequently withdrawn or conditioned upon extensive post-market study requirements. Moreover, even if we receive FDA clearance or approval of new products or modifications to existing products, we will be required to comply with extensive regulations relating to the development, research, clearance, approval,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Occurrence of any of the foregoing could harm our reputation, business, financial condition, results of operations and prospects.</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suppliers are subject to ongoing regulatory obligations and continued regulatory review, which may result in significant additional expense and subject us to penalties if we fail to comply with applicable regulatory requirements.</w:t>
      </w:r>
    </w:p>
    <w:p>
      <w:pPr>
        <w:spacing w:after="0" w:line="62" w:lineRule="exact"/>
        <w:rPr>
          <w:sz w:val="20"/>
          <w:szCs w:val="20"/>
          <w:color w:val="auto"/>
        </w:rPr>
      </w:pPr>
    </w:p>
    <w:p>
      <w:pPr>
        <w:jc w:val="both"/>
        <w:ind w:firstLine="578"/>
        <w:spacing w:after="0" w:line="255" w:lineRule="auto"/>
        <w:rPr>
          <w:sz w:val="20"/>
          <w:szCs w:val="20"/>
          <w:color w:val="auto"/>
        </w:rPr>
      </w:pPr>
      <w:r>
        <w:rPr>
          <w:rFonts w:ascii="Arial" w:cs="Arial" w:eastAsia="Arial" w:hAnsi="Arial"/>
          <w:sz w:val="18"/>
          <w:szCs w:val="18"/>
          <w:color w:val="auto"/>
        </w:rPr>
        <w:t>Any medical device we market will be subject to continued regulatory review, oversight, requirements, and periodic inspections by the FDA and other domestic and foreign regulatory bodies. In particular, unless exempt, we and our suppliers are required to comply with the FDA’s Quality System Regulation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spacing w:after="0" w:line="277" w:lineRule="auto"/>
        <w:rPr>
          <w:sz w:val="20"/>
          <w:szCs w:val="20"/>
          <w:color w:val="auto"/>
        </w:rPr>
      </w:pPr>
      <w:r>
        <w:rPr>
          <w:rFonts w:ascii="Arial" w:cs="Arial" w:eastAsia="Arial" w:hAnsi="Arial"/>
          <w:sz w:val="18"/>
          <w:szCs w:val="18"/>
          <w:color w:val="auto"/>
        </w:rPr>
        <w:t>FDA and other regulatory bodies, or the failure to timely and adequately respond to any adverse inspectional observations or product safety issues, could result in, among other things, any of the following enforcement actions:</w:t>
      </w:r>
    </w:p>
    <w:p>
      <w:pPr>
        <w:spacing w:after="0" w:line="143"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customer notifications for repair, replacement or refunds;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of 510(k) clearances on PMA approvals that have already been granted;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85"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If any of these actions were to occur, our reputation would be harmed and our product sales and profitability would be adversely impacted.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57"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8"/>
          <w:szCs w:val="18"/>
          <w:color w:val="auto"/>
        </w:rPr>
        <w:t>Later discovery of previously unknown problems with our products, including manufacturing problems, or failure to comply with regulatory requirements such as the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47" w:lineRule="exact"/>
        <w:rPr>
          <w:sz w:val="20"/>
          <w:szCs w:val="20"/>
          <w:color w:val="auto"/>
        </w:rPr>
      </w:pPr>
    </w:p>
    <w:p>
      <w:pPr>
        <w:jc w:val="both"/>
        <w:ind w:firstLine="584"/>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160"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Our products or any component thereof may be subject to product recalls in the future. A recall of our products, either voluntarily or at the direction of the FDA or another governmental authority, or the discovery of serious safety issues with our products, could have a significant adverse impact on us.</w:t>
      </w:r>
    </w:p>
    <w:p>
      <w:pPr>
        <w:spacing w:after="0" w:line="1" w:lineRule="exact"/>
        <w:rPr>
          <w:sz w:val="20"/>
          <w:szCs w:val="20"/>
          <w:color w:val="auto"/>
        </w:rPr>
      </w:pPr>
    </w:p>
    <w:p>
      <w:pPr>
        <w:jc w:val="both"/>
        <w:ind w:firstLine="584"/>
        <w:spacing w:after="0" w:line="269" w:lineRule="auto"/>
        <w:rPr>
          <w:sz w:val="20"/>
          <w:szCs w:val="20"/>
          <w:color w:val="auto"/>
        </w:rPr>
      </w:pPr>
      <w:r>
        <w:rPr>
          <w:rFonts w:ascii="Arial" w:cs="Arial" w:eastAsia="Arial" w:hAnsi="Arial"/>
          <w:sz w:val="17"/>
          <w:szCs w:val="17"/>
          <w:color w:val="auto"/>
        </w:rPr>
        <w:t>The FDA has the authority to require the recall of commercialized products that are subject to FDA regulation. Manufacturers may, under their own initiative, recall a product if any deficiency is found. For reportable corrections and removals, companies are required to make additional periodic submissions to the FDA after initiating the recall, and often engage with the FDA on their recall strategy prior to initiating the recall. A government-mandated or voluntary recall by us or one of our distributors could occur as a result of an unacceptable health risk, component failures, failures in laboratory processes, malfunctions, manufacturing errors, design or labeling defects, or other deficiencies and issues. Recalls of any of our products would divert managerial and financial resources and adversely affect our business, results of operations, financial condition and reputation. We may also be subject to liability claims, be required to bear other costs or take other actions that may negatively impact our future sales and our ability to generate profits. Companies are also required to maintain certain records of corrections and removals, even if these do not require reporting to the FDA. We may initiate voluntary recalls involving our products. A recall announcement by us could harm our reputation with customers and negatively affect our business, financial condition, and results of operations. In addition, the FDA or other agency could take enforcement action for failing to report the recalls when they were conducted.</w:t>
      </w:r>
    </w:p>
    <w:p>
      <w:pPr>
        <w:spacing w:after="0" w:line="141"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8"/>
          <w:szCs w:val="18"/>
          <w:color w:val="auto"/>
        </w:rPr>
        <w:t>If we initiate a recall, including a correction or removal, for one of our products, issue a safety alert, or undertake a field action or recall to reduce a health risk, this could lead to increased scrutiny by the FDA, other governmental and regulatory enforcement bodies, and our customers regarding the quality and safety of our products, and to negative publicity, including FDA alerts, press releases, or administrative or judicial actions. Furthermore, the submission of these reports could be used against us by competitors and cause customers to delay purchase decisions or cancel orders, which would harm our reputation.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jc w:val="both"/>
        <w:spacing w:after="0" w:line="342" w:lineRule="auto"/>
        <w:rPr>
          <w:sz w:val="20"/>
          <w:szCs w:val="20"/>
          <w:color w:val="auto"/>
        </w:rPr>
      </w:pPr>
      <w:r>
        <w:rPr>
          <w:rFonts w:ascii="Arial" w:cs="Arial" w:eastAsia="Arial" w:hAnsi="Arial"/>
          <w:sz w:val="16"/>
          <w:szCs w:val="16"/>
          <w:b w:val="1"/>
          <w:bCs w:val="1"/>
          <w:i w:val="1"/>
          <w:iCs w:val="1"/>
          <w:color w:val="auto"/>
        </w:rPr>
        <w:t>The misuse or off-label use of our products may harm our reputation in the marketplace, or result in injuries that lead to product liability suits, which could be costly to our business. Moreover, we could be subject to FDA sanctions if we are deemed to have engaged in off-label promotion.</w:t>
      </w:r>
    </w:p>
    <w:p>
      <w:pPr>
        <w:spacing w:after="0" w:line="16" w:lineRule="exact"/>
        <w:rPr>
          <w:sz w:val="20"/>
          <w:szCs w:val="20"/>
          <w:color w:val="auto"/>
        </w:rPr>
      </w:pPr>
    </w:p>
    <w:p>
      <w:pPr>
        <w:jc w:val="both"/>
        <w:ind w:firstLine="578"/>
        <w:spacing w:after="0" w:line="254" w:lineRule="auto"/>
        <w:rPr>
          <w:sz w:val="20"/>
          <w:szCs w:val="20"/>
          <w:color w:val="auto"/>
        </w:rPr>
      </w:pPr>
      <w:r>
        <w:rPr>
          <w:rFonts w:ascii="Arial" w:cs="Arial" w:eastAsia="Arial" w:hAnsi="Arial"/>
          <w:sz w:val="18"/>
          <w:szCs w:val="18"/>
          <w:color w:val="auto"/>
        </w:rPr>
        <w:t>Our promotional materials and training methods must comply with FDA and other applicable laws and regulations, including the prohibition on the promotion of an RUO device or medical device for an indication that has not been approved or cleared by the FDA, referred to as an off-label use. We cannot prevent our customers from using our products for off-label uses, including in laboratory developed tests for clinical use. If the FDA determines that our promotional materials constitute the unlawful promotion of an off-label use, it could subject us to regulatory or enforcement actions, including civil money penalties, criminal fines and penalties, and exclusion from participation in federal health programs, among others. Other federal, state or foreign governmental authorities might also take action if they consider our promotion or training materials to constitute promotion of an off-label use, which could result in significant fines or penalties under other statutory authorities. In that event, our reputation could be damaged and the use of our products in the marketplace could be diminished.</w:t>
      </w:r>
    </w:p>
    <w:p>
      <w:pPr>
        <w:spacing w:after="0" w:line="165" w:lineRule="exact"/>
        <w:rPr>
          <w:sz w:val="20"/>
          <w:szCs w:val="20"/>
          <w:color w:val="auto"/>
        </w:rPr>
      </w:pPr>
    </w:p>
    <w:p>
      <w:pPr>
        <w:jc w:val="both"/>
        <w:ind w:firstLine="578"/>
        <w:spacing w:after="0" w:line="259" w:lineRule="auto"/>
        <w:rPr>
          <w:sz w:val="20"/>
          <w:szCs w:val="20"/>
          <w:color w:val="auto"/>
        </w:rPr>
      </w:pPr>
      <w:r>
        <w:rPr>
          <w:rFonts w:ascii="Arial" w:cs="Arial" w:eastAsia="Arial" w:hAnsi="Arial"/>
          <w:sz w:val="18"/>
          <w:szCs w:val="18"/>
          <w:color w:val="auto"/>
        </w:rPr>
        <w:t>Furthermore, off-label uses of our products may lead to performance issues or produce erroneous results, which could harm our reputation in the marketplace and increase the risk of product liability. Product liability claims are expensive to defend and could divert our management’s attention from our primary business and result in substantial damage awards against us. Any of these events could harm our business, results of operations and financial condition.</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tariffs or other government trade policies may materially adversely affect our business and results of operations, including by reducing demand for our products.</w:t>
      </w:r>
    </w:p>
    <w:p>
      <w:pPr>
        <w:spacing w:after="0" w:line="62" w:lineRule="exact"/>
        <w:rPr>
          <w:sz w:val="20"/>
          <w:szCs w:val="20"/>
          <w:color w:val="auto"/>
        </w:rPr>
      </w:pPr>
    </w:p>
    <w:p>
      <w:pPr>
        <w:jc w:val="both"/>
        <w:ind w:firstLine="578"/>
        <w:spacing w:after="0" w:line="268" w:lineRule="auto"/>
        <w:rPr>
          <w:sz w:val="20"/>
          <w:szCs w:val="20"/>
          <w:color w:val="auto"/>
        </w:rPr>
      </w:pPr>
      <w:r>
        <w:rPr>
          <w:rFonts w:ascii="Arial" w:cs="Arial" w:eastAsia="Arial" w:hAnsi="Arial"/>
          <w:sz w:val="17"/>
          <w:szCs w:val="17"/>
          <w:color w:val="auto"/>
        </w:rPr>
        <w:t>The imposition of tariffs and trade restrictions as a result of international trade disputes or changes in trade policies may adversely affect our sales and profitability. For example, in 2018 and 2019, the U.S. government imposed and proposed, among other actions, new or higher tariffs on specified imported products originating from China in response to what it characterized as unfair trade practices, and China responded by imposing and proposing new or higher tariffs on specified U.S. products. There can be no assurance that a broader trade agreement will be successfully negotiated between the United States and China to reduce or eliminate these tariffs. These tariffs, and the related geopolitical uncertainty between the United States and China, may cause decreased demand for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 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Future actions or escalations by either the United 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controls that could impair our ability to compete in international markets due to licensing requirements and subject us to liability if we are not in compliance with applicable laws.</w:t>
      </w:r>
    </w:p>
    <w:p>
      <w:pPr>
        <w:spacing w:after="0" w:line="62"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7"/>
          <w:szCs w:val="17"/>
          <w:color w:val="auto"/>
        </w:rPr>
        <w:t>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and services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jc w:val="both"/>
        <w:spacing w:after="0" w:line="275" w:lineRule="auto"/>
        <w:rPr>
          <w:sz w:val="20"/>
          <w:szCs w:val="20"/>
          <w:color w:val="auto"/>
        </w:rPr>
      </w:pPr>
      <w:r>
        <w:rPr>
          <w:rFonts w:ascii="Arial" w:cs="Arial" w:eastAsia="Arial" w:hAnsi="Arial"/>
          <w:sz w:val="17"/>
          <w:szCs w:val="17"/>
          <w:b w:val="1"/>
          <w:bCs w:val="1"/>
          <w:i w:val="1"/>
          <w:iCs w:val="1"/>
          <w:color w:val="auto"/>
        </w:rPr>
        <w:t>We are subject to stringent and changing U.S. and foreign data privacy and security laws, regulations, rules, and standards as well as policies, contractual obligations, and other obligations related to data privacy and security. Our actual or perceived failure to comply with such obligations could lead to government regulatory investigations or enforcement actions (that could include fines and penalties), a disruption of our business or commercialization of our products, private litigation (including class claims) and mass arbitration demands, harm to our reputation, loss of revenue or profits, and other adverse effects on our business or prospects.</w:t>
      </w:r>
    </w:p>
    <w:p>
      <w:pPr>
        <w:spacing w:after="0" w:line="68" w:lineRule="exact"/>
        <w:rPr>
          <w:sz w:val="20"/>
          <w:szCs w:val="20"/>
          <w:color w:val="auto"/>
        </w:rPr>
      </w:pPr>
    </w:p>
    <w:p>
      <w:pPr>
        <w:jc w:val="both"/>
        <w:ind w:firstLine="584"/>
        <w:spacing w:after="0" w:line="301" w:lineRule="auto"/>
        <w:rPr>
          <w:sz w:val="20"/>
          <w:szCs w:val="20"/>
          <w:color w:val="auto"/>
        </w:rPr>
      </w:pPr>
      <w:r>
        <w:rPr>
          <w:rFonts w:ascii="Arial" w:cs="Arial" w:eastAsia="Arial" w:hAnsi="Arial"/>
          <w:sz w:val="16"/>
          <w:szCs w:val="16"/>
          <w:color w:val="auto"/>
        </w:rPr>
        <w:t>In the course of our operations, we collect, receive, store, process, generate, use, transfer, disclose, make accessible, protect, secure, dispose of, transmit, and share sensitive, confidential, and proprietary information, including personal information, business data, trade secrets, intellectual property, and sensitive third-party data. Accordingly, we are, and may increasingly become, subject to various data privacy and security laws, the number and scope of which are changing, subject to differing applications and interpretations, may be inconsistent among jurisdictions, and may conflict with each other.</w:t>
      </w:r>
    </w:p>
    <w:p>
      <w:pPr>
        <w:spacing w:after="0" w:line="130" w:lineRule="exact"/>
        <w:rPr>
          <w:sz w:val="20"/>
          <w:szCs w:val="20"/>
          <w:color w:val="auto"/>
        </w:rPr>
      </w:pPr>
    </w:p>
    <w:p>
      <w:pPr>
        <w:jc w:val="both"/>
        <w:ind w:firstLine="584"/>
        <w:spacing w:after="0" w:line="268" w:lineRule="auto"/>
        <w:rPr>
          <w:sz w:val="20"/>
          <w:szCs w:val="20"/>
          <w:color w:val="auto"/>
        </w:rPr>
      </w:pPr>
      <w:r>
        <w:rPr>
          <w:rFonts w:ascii="Arial" w:cs="Arial" w:eastAsia="Arial" w:hAnsi="Arial"/>
          <w:sz w:val="17"/>
          <w:szCs w:val="17"/>
          <w:color w:val="auto"/>
        </w:rPr>
        <w:t>In the United States, federal, state, and local governments have enacted numerous data privacy and security laws, including data breach notification laws, personal information privacy and security laws, and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The California Consumer Privacy Act of 2018 (“CCPA”) applies to personal information of consumers, business representatives, and employees, and requires businesses to provide specific disclosures in privacy notices and honor requests of California residents to exercise certain rights related to their personal information. The CCPA allows for statutory fines for noncompliance (up to $7,500 per violation) and allows private litigants affected by certain data breaches to recover significant statutory damages. In addition, the California Privacy Rights Act of 2020 (“CPRA”) expands the CCPA’s requirements, including by adding a new right for individuals to correct their personal information and establishing a new regulatory agency, the California Privacy Protection Agency, to implement and enforce the law, which could increase the risk of an enforcement action. Other states, such as Virginia, Colorado, Utah, and Connecticut, have enacted data privacy and security laws. Similar laws are being considered in several other states, as well as at the federal and local levels. If we become subject to new data privacy and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 increasing legal risk and compliances costs for us and the third parties upon whom we rely.</w:t>
      </w:r>
    </w:p>
    <w:p>
      <w:pPr>
        <w:spacing w:after="0" w:line="141" w:lineRule="exact"/>
        <w:rPr>
          <w:sz w:val="20"/>
          <w:szCs w:val="20"/>
          <w:color w:val="auto"/>
        </w:rPr>
      </w:pPr>
    </w:p>
    <w:p>
      <w:pPr>
        <w:jc w:val="both"/>
        <w:ind w:firstLine="584"/>
        <w:spacing w:after="0" w:line="286" w:lineRule="auto"/>
        <w:rPr>
          <w:sz w:val="20"/>
          <w:szCs w:val="20"/>
          <w:color w:val="auto"/>
        </w:rPr>
      </w:pPr>
      <w:r>
        <w:rPr>
          <w:rFonts w:ascii="Arial" w:cs="Arial" w:eastAsia="Arial" w:hAnsi="Arial"/>
          <w:sz w:val="16"/>
          <w:szCs w:val="16"/>
          <w:color w:val="auto"/>
        </w:rPr>
        <w:t>Outside the United States, an increasing number of laws, regulations, and industry standards apply to data privacy and security. For example, the European Union’s General Data Protection Regulation (“EU GDPR”) and the United Kingdom’s General Data Protection Regulation (“UK GDPR”) impose strict requirements for processing the personal information of individuals located, respectively within the European Economic Area (“EEA”) and the United Kingdom (“UK”). For example, violations of the EU and UK GDPR can result in, temporary or definitive bans on data processing and other corrective actions; fines of up to 20 million Euros (£17.5 million for the UK GDPR) or 4% of annual global revenue, whichever is greater; or private litigation related to processing of personal information brought by classes of data subjects or consumer protection organizations authorized at law to represent their interests. Furthermore, in Europe, there is a proposed regulation related to artificial intelligence (“AI”) that, if adopted, could impose onerous obligations related to the use of AI-related systems. Other countries outside of Europe have enacted or are considering enacting similar comprehensive data privacy and security laws and regulations, which could increase the cost and complexity of delivering our services and operating our business. For example, China’s Personal Information Protection Law (“PIPL”) broadly regulates data privacy and security practices and imposes strict requirements for processing personal information. As another example, Canada has enacted the Personal Information Protection and Electronic Documents Act and Canada’s Anti-Spam Legislation, which broadly regulate the Processing of personal information and impose compliance obligations and penalties comparable to those of European data privacy and security laws. Complying with these and other similar laws and regulations (to the extent applicable) may cause us to incur substantial operational costs or require us to change our business practices, and could lead to material fines, penalties and liability.</w:t>
      </w:r>
    </w:p>
    <w:p>
      <w:pPr>
        <w:spacing w:after="0" w:line="144" w:lineRule="exact"/>
        <w:rPr>
          <w:sz w:val="20"/>
          <w:szCs w:val="20"/>
          <w:color w:val="auto"/>
        </w:rPr>
      </w:pPr>
    </w:p>
    <w:p>
      <w:pPr>
        <w:jc w:val="both"/>
        <w:ind w:firstLine="584"/>
        <w:spacing w:after="0" w:line="269" w:lineRule="auto"/>
        <w:rPr>
          <w:sz w:val="20"/>
          <w:szCs w:val="20"/>
          <w:color w:val="auto"/>
        </w:rPr>
      </w:pPr>
      <w:r>
        <w:rPr>
          <w:rFonts w:ascii="Arial" w:cs="Arial" w:eastAsia="Arial" w:hAnsi="Arial"/>
          <w:sz w:val="17"/>
          <w:szCs w:val="17"/>
          <w:color w:val="auto"/>
        </w:rPr>
        <w:t>In addition, many jurisdictions have enacted data localization laws and cross-border persona information transfer laws. These laws may make it more difficult for us to transfer personal information across jurisdictions, which could impede our business. For example, absent appropriate safeguards or other circumstances, the EU GDPR and UK GDPR generally restrict the transfer of personal information to the United States and other countries that are viewed by some regulators as to not generally provide an adequate level of data privacy and security. Although there are currently various mechanisms that may be used to transfer personal information from the EEA and UK to the United States in compliance with law, such as the EEA and UK’s standard contractual clauses, the UK’s International Data Transfer Agreement / Addendum, and the EU-U.S. Data Privacy Framework (which allows for transfers for relevant U.S.-based organizations who self-certify compliance and participate in the Framework), these mechanisms are subject to legal challenges, and there is no assurance that we can satisfy or rely on these measures to lawfully transfer personal information to the United States or other countries. In addition to European restrictions on cross-border transfers of personal information, other jurisdictions have enacted or are considering similar cross-border personal information transfer laws and local personal information residency laws, any of which could increase the cost and complexity of doing business. If we cannot implement a valid compliance mechanism for cross-border data transfers, we may face increased exposure to regulatory actions, substantial fines, and injunctions against processing or transferring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jc w:val="both"/>
        <w:spacing w:after="0" w:line="254" w:lineRule="auto"/>
        <w:rPr>
          <w:sz w:val="20"/>
          <w:szCs w:val="20"/>
          <w:color w:val="auto"/>
        </w:rPr>
      </w:pPr>
      <w:r>
        <w:rPr>
          <w:rFonts w:ascii="Arial" w:cs="Arial" w:eastAsia="Arial" w:hAnsi="Arial"/>
          <w:sz w:val="18"/>
          <w:szCs w:val="18"/>
          <w:color w:val="auto"/>
        </w:rPr>
        <w:t>personal information from Europe or elsewhere. The inability to import personal information to the United States could significantly and negatively impact our business operations, including by limiting our ability to collaborate with parties that are subject to European and other data privacy and security laws, requiring us to increase our personal information processing capabilities in Europe and/or elsewhere at significant expense; increased exposure to regulatory actions; and substantial fines and penalties.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68" w:lineRule="exact"/>
        <w:rPr>
          <w:sz w:val="20"/>
          <w:szCs w:val="20"/>
          <w:color w:val="auto"/>
        </w:rPr>
      </w:pPr>
    </w:p>
    <w:p>
      <w:pPr>
        <w:jc w:val="both"/>
        <w:ind w:firstLine="584"/>
        <w:spacing w:after="0" w:line="269" w:lineRule="auto"/>
        <w:rPr>
          <w:sz w:val="20"/>
          <w:szCs w:val="20"/>
          <w:color w:val="auto"/>
        </w:rPr>
      </w:pPr>
      <w:r>
        <w:rPr>
          <w:rFonts w:ascii="Arial" w:cs="Arial" w:eastAsia="Arial" w:hAnsi="Arial"/>
          <w:sz w:val="17"/>
          <w:szCs w:val="17"/>
          <w:color w:val="auto"/>
        </w:rPr>
        <w:t>In addition to data privacy and security laws, privacy advocates and industry groups have proposed, and may propose in the future, standards with which we are legally or contractually bound to comply.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 DSS can result in penalties ranging from $5,000 to $100,000 per month by credit card companies, litigation, damage to our reputation, and revenue losses. We may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data privacy and security laws, such as the EU/UK GDPR and the CCPA, require us to impose specific contractual restrictions on our service providers. We also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38" w:lineRule="exact"/>
        <w:rPr>
          <w:sz w:val="20"/>
          <w:szCs w:val="20"/>
          <w:color w:val="auto"/>
        </w:rPr>
      </w:pPr>
    </w:p>
    <w:p>
      <w:pPr>
        <w:jc w:val="both"/>
        <w:ind w:firstLine="584"/>
        <w:spacing w:after="0" w:line="285" w:lineRule="auto"/>
        <w:rPr>
          <w:sz w:val="20"/>
          <w:szCs w:val="20"/>
          <w:color w:val="auto"/>
        </w:rPr>
      </w:pPr>
      <w:r>
        <w:rPr>
          <w:rFonts w:ascii="Arial" w:cs="Arial" w:eastAsia="Arial" w:hAnsi="Arial"/>
          <w:sz w:val="16"/>
          <w:szCs w:val="16"/>
          <w:color w:val="auto"/>
        </w:rPr>
        <w:t>Our obligations related to data privacy and security are quickly changing in an increasingly stringent fashion and creating regulatory uncertainty.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which may necessitate changes to our information technologies, systems, and practices and to those of any third parties that process personal information on our behalf.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impact our compliance posture and business operations. If we or the third parties on which we rely fail, or are perceived to have failed, to address or comply with applicable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revision or restructuring of our business model or operations.</w:t>
      </w: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U.S. and certain foreign anti-corruption and anti-money laundering laws and regulations. We can face criminal liability and other serious consequences for violations, which can harm our business.</w:t>
      </w:r>
    </w:p>
    <w:p>
      <w:pPr>
        <w:spacing w:after="0" w:line="62" w:lineRule="exact"/>
        <w:rPr>
          <w:sz w:val="20"/>
          <w:szCs w:val="20"/>
          <w:color w:val="auto"/>
        </w:rPr>
      </w:pPr>
    </w:p>
    <w:p>
      <w:pPr>
        <w:jc w:val="both"/>
        <w:ind w:firstLine="584"/>
        <w:spacing w:after="0" w:line="254" w:lineRule="auto"/>
        <w:rPr>
          <w:sz w:val="20"/>
          <w:szCs w:val="20"/>
          <w:color w:val="auto"/>
        </w:rPr>
      </w:pPr>
      <w:r>
        <w:rPr>
          <w:rFonts w:ascii="Arial" w:cs="Arial" w:eastAsia="Arial" w:hAnsi="Arial"/>
          <w:sz w:val="18"/>
          <w:szCs w:val="18"/>
          <w:color w:val="auto"/>
        </w:rPr>
        <w:t>We are subject to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w:t>
      </w:r>
    </w:p>
    <w:p>
      <w:pPr>
        <w:spacing w:after="0" w:line="154"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8"/>
          <w:szCs w:val="18"/>
          <w:color w:val="auto"/>
        </w:rPr>
        <w:t>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jc w:val="both"/>
        <w:spacing w:after="0" w:line="263" w:lineRule="auto"/>
        <w:rPr>
          <w:sz w:val="20"/>
          <w:szCs w:val="20"/>
          <w:color w:val="auto"/>
        </w:rPr>
      </w:pPr>
      <w:r>
        <w:rPr>
          <w:rFonts w:ascii="Arial" w:cs="Arial" w:eastAsia="Arial" w:hAnsi="Arial"/>
          <w:sz w:val="18"/>
          <w:szCs w:val="18"/>
          <w:color w:val="auto"/>
        </w:rPr>
        <w:t>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fail to comply with U.S. federal and state fraud and abuse and other healthcare laws and regulations, including those relating to kickbacks and false claims, we could face substantial penalties and our business operations and financial condition could be harmed.</w:t>
      </w:r>
    </w:p>
    <w:p>
      <w:pPr>
        <w:spacing w:after="0" w:line="38" w:lineRule="exact"/>
        <w:rPr>
          <w:sz w:val="20"/>
          <w:szCs w:val="20"/>
          <w:color w:val="auto"/>
        </w:rPr>
      </w:pPr>
    </w:p>
    <w:p>
      <w:pPr>
        <w:jc w:val="both"/>
        <w:ind w:firstLine="584"/>
        <w:spacing w:after="0" w:line="296" w:lineRule="auto"/>
        <w:rPr>
          <w:sz w:val="20"/>
          <w:szCs w:val="20"/>
          <w:color w:val="auto"/>
        </w:rPr>
      </w:pPr>
      <w:r>
        <w:rPr>
          <w:rFonts w:ascii="Arial" w:cs="Arial" w:eastAsia="Arial" w:hAnsi="Arial"/>
          <w:sz w:val="16"/>
          <w:szCs w:val="16"/>
          <w:color w:val="auto"/>
        </w:rPr>
        <w:t>We are exposed to broadly applicable anti-fraud and abuse, anti-kickback, false claims and other healthcare laws and regulations that may constrain our business, our arrangements and relationships with customers, and how we market, sell and distribute our products. We have a compliance program,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 The laws that may affect our ability to operate include, among others:</w:t>
      </w:r>
    </w:p>
    <w:p>
      <w:pPr>
        <w:spacing w:after="0" w:line="121" w:lineRule="exact"/>
        <w:rPr>
          <w:sz w:val="20"/>
          <w:szCs w:val="20"/>
          <w:color w:val="auto"/>
        </w:rPr>
      </w:pPr>
    </w:p>
    <w:p>
      <w:pPr>
        <w:jc w:val="both"/>
        <w:ind w:left="1020" w:hanging="503"/>
        <w:spacing w:after="0" w:line="268"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Anti-Kickback Statute, which prohibits, among other things, knowingly and willingly soliciting, offering, receiving or paying remuneration, directly or indirectly, overtly or covertly, in cash or in kind, to induce or reward either the referral of a person, or the purchase, order or recommendation of, items or services for which payment may be made, in whole or in part, under a federal healthcare program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In addition, the government may assert that a claim, including items or services resulting from a violation of the Anti-Kickback Statute, constitutes a false or fraudulent claim for purposes of the FCA. There are a number of statutory exceptions and regulatory safe harbors protecting certain business arrangements from prosecution under the Anti-Kickback Statute; however, those exceptions and safe harbors are drawn narrowly, and there may be limited or no exception or safe harbor for many common business activities. Certain common business activities including, certain reimbursement support programs, educational and research grants or charitable donations, and practices that involve remuneration to those who prescribe, purchase or recommend medical devices, including discounts, providing items or services for free or engaging such people as consultants, advisors or speakers, may be subject to scrutiny if they do not fit squarely within any available exception or safe harbor and would be subject to a facts and circumstances analysis to determine compliance with the Anti-Kickback Statute. Our business may not in all cases meet all of the criteria for statutory exception or regulatory safe harbor protection from anti-kickback liability;</w:t>
      </w:r>
    </w:p>
    <w:p>
      <w:pPr>
        <w:spacing w:after="0" w:line="73" w:lineRule="exact"/>
        <w:rPr>
          <w:rFonts w:ascii="Arial" w:cs="Arial" w:eastAsia="Arial" w:hAnsi="Arial"/>
          <w:sz w:val="17"/>
          <w:szCs w:val="17"/>
          <w:color w:val="auto"/>
        </w:rPr>
      </w:pPr>
    </w:p>
    <w:p>
      <w:pPr>
        <w:jc w:val="both"/>
        <w:ind w:left="1020" w:hanging="503"/>
        <w:spacing w:after="0" w:line="267"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federal civil False Claims Act, or the FCA, which prohibits, among other things, persons or entities from knowingly presenting, or causing to be presented, a false or fraudulent claim for payment of government funds and knowingly making, using or causing to be made or used, a false record or statement to get a false claim paid or to avoid, decrease or conceal an obligation to pay money to the federal government. A claim including items or services resulting from a violation of the Anti-Kickback Statute constitutes a false or fraudulent claim for purposes of the FCA. Actions under the FCA may be brought by the government or as a qui tam action by a private person in the name of the government. These people, sometimes known as “relators” or, more commonly, as “whistleblowers,” may share in any monetary recovery. Many medical device manufacturers have been investigated and have reached substantial financial settlements with the federal government under the FCA for a variety of alleged improper activities, including causing false claims to be submitted as a result of the marketing of their products for unapproved and thus non-reimbursable uses and interactions with prescribers and other customers, including those that may have affected their billing or coding practices and submission of claims to the federal government. FCA liability is potentially significant in the healthcare industry because the statute provides for treble damages and mandatory monetary penalties for each false or fraudulent claim or statement. Because of the potential for large monetary exposure, life sciences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Medical device manufacturers and other healthcare companies also are subject to other federal false claims laws, including, among others, federal criminal healthcare fraud and false statement statutes that extend to non-government health benefit programs;</w:t>
      </w:r>
    </w:p>
    <w:p>
      <w:pPr>
        <w:spacing w:after="0" w:line="83" w:lineRule="exact"/>
        <w:rPr>
          <w:rFonts w:ascii="Arial" w:cs="Arial" w:eastAsia="Arial" w:hAnsi="Arial"/>
          <w:sz w:val="17"/>
          <w:szCs w:val="17"/>
          <w:color w:val="auto"/>
        </w:rPr>
      </w:pPr>
    </w:p>
    <w:p>
      <w:pPr>
        <w:jc w:val="both"/>
        <w:ind w:left="1020" w:hanging="503"/>
        <w:spacing w:after="0" w:line="273"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HIPAA,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jc w:val="both"/>
        <w:ind w:left="1020" w:hanging="503"/>
        <w:spacing w:after="0" w:line="25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Act, and their implementing regulations, also impose obligations, including mandatory contractual terms, on covered entities subject to the rule, such as health plans, healthcare clearinghouses and certain healthcare providers, as well as their business associates that perform certain services for them or on their behalf involving the use or disclosure of individually identifiable health information with respect to safeguarding the privacy, security and transmission of individually identifiable health information;</w:t>
      </w:r>
    </w:p>
    <w:p>
      <w:pPr>
        <w:spacing w:after="0" w:line="79" w:lineRule="exact"/>
        <w:rPr>
          <w:rFonts w:ascii="Arial" w:cs="Arial" w:eastAsia="Arial" w:hAnsi="Arial"/>
          <w:sz w:val="18"/>
          <w:szCs w:val="18"/>
          <w:color w:val="auto"/>
        </w:rPr>
      </w:pPr>
    </w:p>
    <w:p>
      <w:pPr>
        <w:jc w:val="both"/>
        <w:ind w:left="1020" w:hanging="503"/>
        <w:spacing w:after="0" w:line="255"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various state laws govern the privacy and security of personal information, including the California Consumer Protection Act, or CCPA, which became effective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w:t>
      </w:r>
    </w:p>
    <w:p>
      <w:pPr>
        <w:spacing w:after="0" w:line="84" w:lineRule="exact"/>
        <w:rPr>
          <w:rFonts w:ascii="Arial" w:cs="Arial" w:eastAsia="Arial" w:hAnsi="Arial"/>
          <w:sz w:val="18"/>
          <w:szCs w:val="18"/>
          <w:color w:val="auto"/>
        </w:rPr>
      </w:pPr>
    </w:p>
    <w:p>
      <w:pPr>
        <w:jc w:val="both"/>
        <w:ind w:left="1020" w:hanging="503"/>
        <w:spacing w:after="0" w:line="273"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federal Physician Payments Sunshine Act, implemented as Open Payments, requires manufacturers of drugs, devices, biologics and medical supplies for which payment is available under Medicare, Medicaid or the Children’s Health Insurance Program to report annually, with certain exceptions to CMS, information related to payments or other “transfers of value” made to physicians, as defined by such law, and teaching hospitals, and requires applicable manufacturers and group purchasing organizations to report annually to CMS ownership and investment interests held by physicians and their immediate family members, physician assistants, nurse practitioners, clinical nurse specialists, certified nurse anesthetists and certified nurse-midwives; and</w:t>
      </w:r>
    </w:p>
    <w:p>
      <w:pPr>
        <w:spacing w:after="0" w:line="69" w:lineRule="exact"/>
        <w:rPr>
          <w:rFonts w:ascii="Arial" w:cs="Arial" w:eastAsia="Arial" w:hAnsi="Arial"/>
          <w:sz w:val="17"/>
          <w:szCs w:val="17"/>
          <w:color w:val="auto"/>
        </w:rPr>
      </w:pPr>
    </w:p>
    <w:p>
      <w:pPr>
        <w:jc w:val="both"/>
        <w:ind w:left="1020" w:hanging="503"/>
        <w:spacing w:after="0" w:line="271"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analogous state and foreign law equivalents of each of the above federal laws, such as anti-kickback and false claims laws which may apply to items or services reimbursed by any third-party payor, including commercial insurers;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which are state laws that require medical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may not have the same effect, thus complicating compliance efforts.</w:t>
      </w:r>
    </w:p>
    <w:p>
      <w:pPr>
        <w:spacing w:after="0" w:line="70"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8"/>
          <w:szCs w:val="18"/>
          <w:color w:val="auto"/>
        </w:rPr>
        <w:t>State and federal regulatory and enforcement agencies continue to actively investigate violations of healthcare laws and regulations, and the U.S. Congress continues to strengthen the arsenal of enforcement tools. Enforcement agencies also continue to pursue novel theories of liability under these laws. In particular, government agencies have increased regulatory scrutiny and enforcement activity with respect to manufacturer reimbursement support activities, including bringing criminal charges or civil enforcement actions under the Anti-Kickback Statute, FCA and HIPAA’s healthcare fraud and privacy provisions.</w:t>
      </w:r>
    </w:p>
    <w:p>
      <w:pPr>
        <w:spacing w:after="0" w:line="80"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under such laws, it is possible that some of our business activities, including certain sales and marketing practices of our products, could be subject to challenge under one or more such laws. If an arrangement were deemed to violate the Anti-Kickback Statute, it may also subject us to violations under other fraud and abuse laws such as the federal civil FCA and civil monetary penalties laws. Moreover, such arrangements could be found to violate comparable state fraud and abuse laws.</w:t>
      </w:r>
    </w:p>
    <w:p>
      <w:pPr>
        <w:spacing w:after="0" w:line="161" w:lineRule="exact"/>
        <w:rPr>
          <w:sz w:val="20"/>
          <w:szCs w:val="20"/>
          <w:color w:val="auto"/>
        </w:rPr>
      </w:pPr>
    </w:p>
    <w:p>
      <w:pPr>
        <w:jc w:val="both"/>
        <w:ind w:firstLine="578"/>
        <w:spacing w:after="0" w:line="287" w:lineRule="auto"/>
        <w:rPr>
          <w:sz w:val="20"/>
          <w:szCs w:val="20"/>
          <w:color w:val="auto"/>
        </w:rPr>
      </w:pPr>
      <w:r>
        <w:rPr>
          <w:rFonts w:ascii="Arial" w:cs="Arial" w:eastAsia="Arial" w:hAnsi="Arial"/>
          <w:sz w:val="16"/>
          <w:szCs w:val="16"/>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FCA, Anti-Kickback Statute or civil monetary penalties law cases also may enter into a Corporate Integrity Agreement with the U.S. Department of Health and Human Services Office of Inspector General, or the OIG, to avoid exclusion from participation (such as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harm our business, financial condition and results of operations.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4" w:name="page65"/>
    <w:bookmarkEnd w:id="64"/>
    <w:p>
      <w:pPr>
        <w:jc w:val="both"/>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and vendors may engage in misconduct or other improper activities, including noncompliance with regulatory standards and requirements, which could harm our business, financial condition and results of operations.</w:t>
      </w:r>
    </w:p>
    <w:p>
      <w:pPr>
        <w:spacing w:after="0" w:line="1" w:lineRule="exact"/>
        <w:rPr>
          <w:sz w:val="20"/>
          <w:szCs w:val="20"/>
          <w:color w:val="auto"/>
        </w:rPr>
      </w:pPr>
    </w:p>
    <w:p>
      <w:pPr>
        <w:jc w:val="both"/>
        <w:ind w:firstLine="578"/>
        <w:spacing w:after="0" w:line="270" w:lineRule="auto"/>
        <w:rPr>
          <w:sz w:val="20"/>
          <w:szCs w:val="20"/>
          <w:color w:val="auto"/>
        </w:rPr>
      </w:pPr>
      <w:r>
        <w:rPr>
          <w:rFonts w:ascii="Arial" w:cs="Arial" w:eastAsia="Arial" w:hAnsi="Arial"/>
          <w:sz w:val="17"/>
          <w:szCs w:val="17"/>
          <w:color w:val="auto"/>
        </w:rPr>
        <w:t>We are exposed to the risk that our employees, independent contractors, consultants, commercial partners, distributors and vendors may engage in fraudulent or illegal activity. Misconduct by these parties could include intentional, reckless or negligent conduct or disclosure of unauthorized activities to us that violates: (1) the laws of the FDA and other similar regulatory bodies, including those laws requiring the reporting of true, complete and accurate information to such regulators, (2) manufacturing standards, (3) healthcare fraud and abuse laws in the United States and similar foreign fraudulent misconduct laws, or (4)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spacing w:after="0" w:line="154" w:lineRule="exact"/>
        <w:rPr>
          <w:sz w:val="20"/>
          <w:szCs w:val="20"/>
          <w:color w:val="auto"/>
        </w:rPr>
      </w:pPr>
    </w:p>
    <w:p>
      <w:pPr>
        <w:jc w:val="both"/>
        <w:ind w:firstLine="578"/>
        <w:spacing w:after="0" w:line="269" w:lineRule="auto"/>
        <w:rPr>
          <w:sz w:val="20"/>
          <w:szCs w:val="20"/>
          <w:color w:val="auto"/>
        </w:rPr>
      </w:pPr>
      <w:r>
        <w:rPr>
          <w:rFonts w:ascii="Arial" w:cs="Arial" w:eastAsia="Arial" w:hAnsi="Arial"/>
          <w:sz w:val="17"/>
          <w:szCs w:val="17"/>
          <w:color w:val="auto"/>
        </w:rPr>
        <w:t>We have adopted a code of business conduct and ethics that applies to our directors, officers and employees,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reputational harm, and divert the attention of management in defending ourselves against any of these claims or investigations, which could harm our business, financial condition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108" w:lineRule="exact"/>
        <w:rPr>
          <w:sz w:val="20"/>
          <w:szCs w:val="20"/>
          <w:color w:val="auto"/>
        </w:rPr>
      </w:pPr>
    </w:p>
    <w:p>
      <w:pPr>
        <w:jc w:val="both"/>
        <w:ind w:firstLine="584"/>
        <w:spacing w:after="0" w:line="272" w:lineRule="auto"/>
        <w:rPr>
          <w:sz w:val="20"/>
          <w:szCs w:val="20"/>
          <w:color w:val="auto"/>
        </w:rPr>
      </w:pPr>
      <w:r>
        <w:rPr>
          <w:rFonts w:ascii="Arial" w:cs="Arial" w:eastAsia="Arial" w:hAnsi="Arial"/>
          <w:sz w:val="17"/>
          <w:szCs w:val="17"/>
          <w:color w:val="auto"/>
        </w:rPr>
        <w:t>As with other flow cytometry companies, our success depends in large part on our ability to obtain, maintain and solidify a proprietary position for our current and any future products, which will depend upon our success in obtaining effective patent protection in the United States and other countries that cover, and other intellectual property with respect to, such products, their manufacturing processes and their intended methods of use and enforcing those patent claims once granted as well as our other intellectual property. In some cases, we may not be able to obtain issued patent claims or other intellectual property covering our technologies which are sufficient to prevent third parties, such as our competitors, from utilizing our products and negate any competitive advantage we may have. Any failure to obtain or maintain patent and other intellectual property protection with respect to our current and any future products or other aspects of our business could harm our business, financial condition and results of operations.</w:t>
      </w:r>
    </w:p>
    <w:p>
      <w:pPr>
        <w:spacing w:after="0" w:line="150" w:lineRule="exact"/>
        <w:rPr>
          <w:sz w:val="20"/>
          <w:szCs w:val="20"/>
          <w:color w:val="auto"/>
        </w:rPr>
      </w:pPr>
    </w:p>
    <w:p>
      <w:pPr>
        <w:jc w:val="both"/>
        <w:ind w:firstLine="578"/>
        <w:spacing w:after="0" w:line="279" w:lineRule="auto"/>
        <w:rPr>
          <w:sz w:val="20"/>
          <w:szCs w:val="20"/>
          <w:color w:val="auto"/>
        </w:rPr>
      </w:pPr>
      <w:r>
        <w:rPr>
          <w:rFonts w:ascii="Arial" w:cs="Arial" w:eastAsia="Arial" w:hAnsi="Arial"/>
          <w:sz w:val="17"/>
          <w:szCs w:val="17"/>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Additionally,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131" w:lineRule="exact"/>
        <w:rPr>
          <w:sz w:val="20"/>
          <w:szCs w:val="20"/>
          <w:color w:val="auto"/>
        </w:rPr>
      </w:pPr>
    </w:p>
    <w:p>
      <w:pPr>
        <w:jc w:val="both"/>
        <w:ind w:firstLine="584"/>
        <w:spacing w:after="0" w:line="290"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and obtain patent protection. 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jc w:val="both"/>
        <w:spacing w:after="0" w:line="277" w:lineRule="auto"/>
        <w:rPr>
          <w:sz w:val="20"/>
          <w:szCs w:val="20"/>
          <w:color w:val="auto"/>
        </w:rPr>
      </w:pPr>
      <w:r>
        <w:rPr>
          <w:rFonts w:ascii="Arial" w:cs="Arial" w:eastAsia="Arial" w:hAnsi="Arial"/>
          <w:sz w:val="18"/>
          <w:szCs w:val="18"/>
          <w:color w:val="auto"/>
        </w:rPr>
        <w:t>applications in the United States and other jurisdictions are typically not published until 18 months after filing, or in some cases not at all. Therefore, we cannot be certain that we were the first to file for patent protection of such inventions.</w:t>
      </w:r>
    </w:p>
    <w:p>
      <w:pPr>
        <w:spacing w:after="0" w:line="143" w:lineRule="exact"/>
        <w:rPr>
          <w:sz w:val="20"/>
          <w:szCs w:val="20"/>
          <w:color w:val="auto"/>
        </w:rPr>
      </w:pPr>
    </w:p>
    <w:p>
      <w:pPr>
        <w:jc w:val="both"/>
        <w:ind w:firstLine="578"/>
        <w:spacing w:after="0" w:line="289" w:lineRule="auto"/>
        <w:rPr>
          <w:sz w:val="20"/>
          <w:szCs w:val="20"/>
          <w:color w:val="auto"/>
        </w:rPr>
      </w:pPr>
      <w:r>
        <w:rPr>
          <w:rFonts w:ascii="Arial" w:cs="Arial" w:eastAsia="Arial" w:hAnsi="Arial"/>
          <w:sz w:val="16"/>
          <w:szCs w:val="16"/>
          <w:color w:val="auto"/>
        </w:rPr>
        <w:t>Including rights acquired in connection with the acquisition of the FCI business unit, as of June 30, 2023, we own 34 issued U.S. utility patents, nine issued Japan utility patents, seven issued European utility patents, three issued China utility patents, one Canada utility patent, one India utility Patent, two Australian utility patents, and three Singapore utility patents. We have 48 pending utility patent applications, including 28 utility patent applications in the United States, five international utility patent applications, six utility patent applications in the European Union, five utility patent applications in China, and three utility patent applications in Japan. Assuming all maintenance fees are paid, the U.S. issued patents are expected to naturally expire between years 2023 and 2038. Patents covering intellectual property relating to design specific technologies invented by our researchers in Shanghai and Wuxi, China are filed in China and owned by our China subsidiaries, respectively. As of June 30, 2023, our Shanghai subsidiary owns 16 issued utility patents and one issued invention patent and has ten pending invention patent applications, and our Wuxi subsidiary owns 36 issued patents and has ten pending patent applications, including two pending utility model patent applications and eight pending invention patent applications.</w:t>
      </w:r>
    </w:p>
    <w:p>
      <w:pPr>
        <w:spacing w:after="0" w:line="126" w:lineRule="exact"/>
        <w:rPr>
          <w:sz w:val="20"/>
          <w:szCs w:val="20"/>
          <w:color w:val="auto"/>
        </w:rPr>
      </w:pPr>
    </w:p>
    <w:p>
      <w:pPr>
        <w:jc w:val="both"/>
        <w:ind w:firstLine="578"/>
        <w:spacing w:after="0" w:line="269" w:lineRule="auto"/>
        <w:rPr>
          <w:sz w:val="20"/>
          <w:szCs w:val="20"/>
          <w:color w:val="auto"/>
        </w:rPr>
      </w:pPr>
      <w:r>
        <w:rPr>
          <w:rFonts w:ascii="Arial" w:cs="Arial" w:eastAsia="Arial" w:hAnsi="Arial"/>
          <w:sz w:val="17"/>
          <w:szCs w:val="17"/>
          <w:color w:val="auto"/>
        </w:rPr>
        <w:t>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It is possible that in the future the scope, validity and enforceability of our patents, licensed patents, patent applications, trademarks, and trademark applications may be challenged at the United States Patent and Trademark Office (“USPTO”) or in proceedings before the patent offices of other jurisdictions. We may not be successful in defending any such challenges made against our patents, patent applications, trademarks or trademark applications. Any successful third party challenge to our patents or trademarks could result in the unenforceability or invalidity of such patents or trademarks and increased competition to our business. We may have to challenge the patents, patent applications, trademarks, or trademark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155" w:lineRule="exact"/>
        <w:rPr>
          <w:sz w:val="20"/>
          <w:szCs w:val="20"/>
          <w:color w:val="auto"/>
        </w:rPr>
      </w:pPr>
    </w:p>
    <w:p>
      <w:pPr>
        <w:jc w:val="both"/>
        <w:ind w:firstLine="584"/>
        <w:spacing w:after="0" w:line="272" w:lineRule="auto"/>
        <w:rPr>
          <w:sz w:val="20"/>
          <w:szCs w:val="20"/>
          <w:color w:val="auto"/>
        </w:rPr>
      </w:pPr>
      <w:r>
        <w:rPr>
          <w:rFonts w:ascii="Arial" w:cs="Arial" w:eastAsia="Arial" w:hAnsi="Arial"/>
          <w:sz w:val="17"/>
          <w:szCs w:val="17"/>
          <w:color w:val="auto"/>
        </w:rPr>
        <w:t>Moreover, in some circumstances, we may not have the right to control the preparation, filing and prosecution of patent applications, or to maintain the patents, covering technology that we license from or license to third parties or that we may jointly-own with third parties in the future and are therefore reliant on our licensors or licensees, and may be reliant on future joint-owners, licensors or licensees, to protect certain of our intellectual property used in our business. If our joint-owners, licensors or licensees fail to adequately protect this intellectual property or if we do not have exclusivity for the marketing of our products, whether because our joint-owners or licensors do not grant us exclusivity or they do not enforce the intellectual property against our competitors, our ability to commercialize products could suffer. Therefore, these and any of our patents and applications may not be prosecuted and enforced in a manner consistent with the best interests of our business.</w:t>
      </w:r>
    </w:p>
    <w:p>
      <w:pPr>
        <w:spacing w:after="0" w:line="137" w:lineRule="exact"/>
        <w:rPr>
          <w:sz w:val="20"/>
          <w:szCs w:val="20"/>
          <w:color w:val="auto"/>
        </w:rPr>
      </w:pPr>
    </w:p>
    <w:p>
      <w:pPr>
        <w:jc w:val="both"/>
        <w:ind w:firstLine="584"/>
        <w:spacing w:after="0" w:line="272" w:lineRule="auto"/>
        <w:rPr>
          <w:sz w:val="20"/>
          <w:szCs w:val="20"/>
          <w:color w:val="auto"/>
        </w:rPr>
      </w:pPr>
      <w:r>
        <w:rPr>
          <w:rFonts w:ascii="Arial" w:cs="Arial" w:eastAsia="Arial" w:hAnsi="Arial"/>
          <w:sz w:val="17"/>
          <w:szCs w:val="17"/>
          <w:color w:val="auto"/>
        </w:rPr>
        <w:t>Defects of form in the preparation or filing of our patents or patent applications may exist, or may arise in the future, for example, with respect to proper priority claims, inventorship and the like. If we or any of our current or future joint-owners, licensors or licensees fail to establish, maintain, protect or enforce such patents and other intellectual property rights, such rights may be reduced or eliminated. If any current or future joint-owners, licensors or licensees are not fully cooperative or disagree with us as to the prosecution, maintenance or enforcement of any patent rights, such patent rights could be compromised. If there are material defects in the form, preparation or prosecution of our patents or patent applications, such patents or applications may be invalid and/or unenforceable. Any of these outcomes could impair our ability to prevent competition from third parties, which may impact our ability to commercialize our products and materially harm our business.</w:t>
      </w:r>
    </w:p>
    <w:p>
      <w:pPr>
        <w:spacing w:after="0" w:line="150" w:lineRule="exact"/>
        <w:rPr>
          <w:sz w:val="20"/>
          <w:szCs w:val="20"/>
          <w:color w:val="auto"/>
        </w:rPr>
      </w:pPr>
    </w:p>
    <w:p>
      <w:pPr>
        <w:jc w:val="both"/>
        <w:ind w:firstLine="584"/>
        <w:spacing w:after="0" w:line="269" w:lineRule="auto"/>
        <w:rPr>
          <w:sz w:val="20"/>
          <w:szCs w:val="20"/>
          <w:color w:val="auto"/>
        </w:rPr>
      </w:pPr>
      <w:r>
        <w:rPr>
          <w:rFonts w:ascii="Arial" w:cs="Arial" w:eastAsia="Arial" w:hAnsi="Arial"/>
          <w:sz w:val="17"/>
          <w:szCs w:val="17"/>
          <w:color w:val="auto"/>
        </w:rPr>
        <w:t>The strength of patent rights generally, and particularly the patent position of life sciences companies, involves complex legal and scientific questions and can be uncertain, and has been the subject of much litigation in recent years. This uncertainty includes changes to the patent laws through either legislative action to changes to statutory patent law or court action that may reinterpret existing law or rules in ways affecting the scope or validity of issued patents or the chances that patent applications will result in issued claims and the scope of any such claims. Our current or future patent applications may fail to result in issued patents in the United States or foreign countries with claims that cover our current and any future products. Even if patents do successfully issue from our patent applications, third parties may challenge the validity, enforceability or scope of such patents, which may result in such patents being narrowed, invalidated or held unenforceable. Any successful challenge to our patents could deprive us of the exclusive rights necessary for the successful commercialization of our current and any future products, which may materially harm our business. Furthermore, even if they are unchallenged, our patents may not adequately protect our current and any future products, provide exclusivity for such products or prevent others from designing around the claims of our patents. If the scope of any patent protection we obtain is not sufficiently broad, or if we lose any of our patent protection, our ability to prevent our competitors from commercializing similar 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6" w:name="page67"/>
    <w:bookmarkEnd w:id="66"/>
    <w:p>
      <w:pPr>
        <w:jc w:val="both"/>
        <w:spacing w:after="0" w:line="263" w:lineRule="auto"/>
        <w:rPr>
          <w:sz w:val="20"/>
          <w:szCs w:val="20"/>
          <w:color w:val="auto"/>
        </w:rPr>
      </w:pPr>
      <w:r>
        <w:rPr>
          <w:rFonts w:ascii="Arial" w:cs="Arial" w:eastAsia="Arial" w:hAnsi="Arial"/>
          <w:sz w:val="18"/>
          <w:szCs w:val="18"/>
          <w:color w:val="auto"/>
        </w:rPr>
        <w:t>identical technology and products would be adversely affected and would materially harm our business. If the breadth or strength of protection provided by the patents we hold or pursue with respect to our current and any future products is challenged, it could dissuade companies from collaborating with us to develop, or threaten our ability to commercialize, our current and any future products.</w:t>
      </w:r>
    </w:p>
    <w:p>
      <w:pPr>
        <w:spacing w:after="0" w:line="157" w:lineRule="exact"/>
        <w:rPr>
          <w:sz w:val="20"/>
          <w:szCs w:val="20"/>
          <w:color w:val="auto"/>
        </w:rPr>
      </w:pPr>
    </w:p>
    <w:p>
      <w:pPr>
        <w:jc w:val="both"/>
        <w:ind w:firstLine="584"/>
        <w:spacing w:after="0" w:line="286" w:lineRule="auto"/>
        <w:rPr>
          <w:sz w:val="20"/>
          <w:szCs w:val="20"/>
          <w:color w:val="auto"/>
        </w:rPr>
      </w:pPr>
      <w:r>
        <w:rPr>
          <w:rFonts w:ascii="Arial" w:cs="Arial" w:eastAsia="Arial" w:hAnsi="Arial"/>
          <w:sz w:val="16"/>
          <w:szCs w:val="16"/>
          <w:color w:val="auto"/>
        </w:rPr>
        <w:t>Patents have a limited lifespan. In the United States, the natural expiration of a utility patent is generally 20 years after its effective filing date and the natural expiration of a design patent is generally 14 years after its issue date, unless the filing date occurred on or after May 13, 2015, in which case the natural expiration of a design patent is generally 15 years after its issue date.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The laws of some foreign countries do not protect our proprietary rights to the same extent as the laws of the United States, and we may encounter significant problems in protecting our proprietary rights in these countries. Various extensions may be available; however, the life of a patent, and the protection it affords, is limited. Without patent protection for our current and any future products and services, we may be open to competition, which may harm our business prospects. Further, if we encounter delays in our development efforts, the period of time during which we could market our current and any future products and services under patent protection would be reduced and, given the amount of time required for the development, testing and regulatory review of planned or future products, patents protecting our current and any future products might expire before or shortly after such products are commercialized.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w:t>
      </w:r>
    </w:p>
    <w:p>
      <w:pPr>
        <w:spacing w:after="0" w:line="133" w:lineRule="exact"/>
        <w:rPr>
          <w:sz w:val="20"/>
          <w:szCs w:val="20"/>
          <w:color w:val="auto"/>
        </w:rPr>
      </w:pPr>
    </w:p>
    <w:p>
      <w:pPr>
        <w:jc w:val="both"/>
        <w:ind w:firstLine="584"/>
        <w:spacing w:after="0" w:line="272" w:lineRule="auto"/>
        <w:rPr>
          <w:sz w:val="20"/>
          <w:szCs w:val="20"/>
          <w:color w:val="auto"/>
        </w:rPr>
      </w:pPr>
      <w:r>
        <w:rPr>
          <w:rFonts w:ascii="Arial" w:cs="Arial" w:eastAsia="Arial" w:hAnsi="Arial"/>
          <w:sz w:val="17"/>
          <w:szCs w:val="17"/>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now or in the future may be challenged, narrowed, circumvented or invalidated by third parties. Consequently, we do not know whether our current and any future products or other technologies will be protectable or remain protected by valid and enforceable patents. Our competitors or other third parties may be able to circumvent our patents by developing similar or alternative technologies or products in a non-infringing manner which could harm our business, financial condition and results of operations.</w:t>
      </w:r>
    </w:p>
    <w:p>
      <w:pPr>
        <w:spacing w:after="0" w:line="150" w:lineRule="exact"/>
        <w:rPr>
          <w:sz w:val="20"/>
          <w:szCs w:val="20"/>
          <w:color w:val="auto"/>
        </w:rPr>
      </w:pPr>
    </w:p>
    <w:p>
      <w:pPr>
        <w:jc w:val="both"/>
        <w:ind w:firstLine="584"/>
        <w:spacing w:after="0" w:line="296" w:lineRule="auto"/>
        <w:rPr>
          <w:sz w:val="20"/>
          <w:szCs w:val="20"/>
          <w:color w:val="auto"/>
        </w:rPr>
      </w:pPr>
      <w:r>
        <w:rPr>
          <w:rFonts w:ascii="Arial" w:cs="Arial" w:eastAsia="Arial" w:hAnsi="Arial"/>
          <w:sz w:val="16"/>
          <w:szCs w:val="16"/>
          <w:color w:val="auto"/>
        </w:rPr>
        <w:t>Some of our patents and patent applications may in the future be jointly-owned with third parties, including certain universities and public institutions in the United States and China. If we are unable to obtain an exclusive license to any such third-party joint-owners’ interest in such patents or patent applications, such co-owners may be able to license their rights to other third parties, including our competitors, and our competitors could market competing products and technology. In addition, we may need the cooperation of any such joint-owners patents to enforce such patents against third parties, and such cooperation may not be provided to us. Any of the foregoing could harm our business, financial condition and results of operations.</w:t>
      </w:r>
    </w:p>
    <w:p>
      <w:pPr>
        <w:spacing w:after="0" w:line="121" w:lineRule="exact"/>
        <w:rPr>
          <w:sz w:val="20"/>
          <w:szCs w:val="20"/>
          <w:color w:val="auto"/>
        </w:rPr>
      </w:pPr>
    </w:p>
    <w:p>
      <w:pPr>
        <w:jc w:val="both"/>
        <w:ind w:firstLine="584"/>
        <w:spacing w:after="0" w:line="270" w:lineRule="auto"/>
        <w:rPr>
          <w:sz w:val="20"/>
          <w:szCs w:val="20"/>
          <w:color w:val="auto"/>
        </w:rPr>
      </w:pPr>
      <w:r>
        <w:rPr>
          <w:rFonts w:ascii="Arial" w:cs="Arial" w:eastAsia="Arial" w:hAnsi="Arial"/>
          <w:sz w:val="17"/>
          <w:szCs w:val="17"/>
          <w:color w:val="auto"/>
        </w:rPr>
        <w:t>Additionally, we may find it necessary or prudent to acquire or obtain licenses from third-party intellectual property holders. However, we may be unable to acquire or secure such licenses to any intellectual property rights from third parties that we identify as necessary for our current and any future products. The acquisition or licensing of third-party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products, which could harm our business, financial condition and results of operations.</w:t>
      </w:r>
    </w:p>
    <w:p>
      <w:pPr>
        <w:spacing w:after="0" w:line="3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Patents covering our current, and any future products, or our technologies could be found invalid or unenforceable if challenged in court or before administrative bodies in the United States or abroad, which could harm our business, financial condition and results of operations.</w:t>
      </w:r>
    </w:p>
    <w:p>
      <w:pPr>
        <w:spacing w:after="0" w:line="16" w:lineRule="exact"/>
        <w:rPr>
          <w:sz w:val="20"/>
          <w:szCs w:val="20"/>
          <w:color w:val="auto"/>
        </w:rPr>
      </w:pPr>
    </w:p>
    <w:p>
      <w:pPr>
        <w:jc w:val="both"/>
        <w:ind w:firstLine="584"/>
        <w:spacing w:after="0" w:line="290"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patents may be challenged in the courts, the USPTO or patent offices abroad and may not provide us with adequate proprietary protection or competitive advantage against competitors with similar products. We may be subject to a third-party preissuance submission of prior art to the USPTO or become involved in opposition, derivation, revocation, reexamination, post-grant and inter partes review (“IPR”), or interference proceedings or other similar proceedings challenging our patent rights. An adverse determination in any such submission, proceeding or litigation could reduce the scope of, or invalidate or render unenforceable, such patent rights, allow third parties to commercialize our current and any future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features of patentability with respect to our patents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jc w:val="both"/>
        <w:spacing w:after="0" w:line="259" w:lineRule="auto"/>
        <w:rPr>
          <w:sz w:val="20"/>
          <w:szCs w:val="20"/>
          <w:color w:val="auto"/>
        </w:rPr>
      </w:pPr>
      <w:r>
        <w:rPr>
          <w:rFonts w:ascii="Arial" w:cs="Arial" w:eastAsia="Arial" w:hAnsi="Arial"/>
          <w:sz w:val="18"/>
          <w:szCs w:val="18"/>
          <w:color w:val="auto"/>
        </w:rPr>
        <w:t>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current and any future products or technologies. Such proceedings also may result in substantial cost and require significant time from our management, even if the eventual outcome is favorable to us.</w:t>
      </w:r>
    </w:p>
    <w:p>
      <w:pPr>
        <w:spacing w:after="0" w:line="160" w:lineRule="exact"/>
        <w:rPr>
          <w:sz w:val="20"/>
          <w:szCs w:val="20"/>
          <w:color w:val="auto"/>
        </w:rPr>
      </w:pPr>
    </w:p>
    <w:p>
      <w:pPr>
        <w:jc w:val="both"/>
        <w:ind w:firstLine="584"/>
        <w:spacing w:after="0" w:line="286" w:lineRule="auto"/>
        <w:rPr>
          <w:sz w:val="20"/>
          <w:szCs w:val="20"/>
          <w:color w:val="auto"/>
        </w:rPr>
      </w:pPr>
      <w:r>
        <w:rPr>
          <w:rFonts w:ascii="Arial" w:cs="Arial" w:eastAsia="Arial" w:hAnsi="Arial"/>
          <w:sz w:val="16"/>
          <w:szCs w:val="16"/>
          <w:color w:val="auto"/>
        </w:rPr>
        <w:t>In addition, if we initiate legal proceedings against a third party to enforce a patent covering our current and any future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Defenses of these types of claims, regardless of their merit, would involve substantial litigation expense and would be a substantial diversion of employee resources from our business. Third parties may also raise claims challenging the validity or enforceability of our patents before administrative bodies in the United States or abroad, even outside the context of litigation, including through re-examination, post-grant review, IPR, derivation proceedings and equivalent proceedings in foreign jurisdictions (such as opposition proceedings). Such proceedings could result in the revocation of, cancellation of or amendment to our patents in such a way that they no longer cover or provide meaningful protection of our current and any future products or technologies. The outcome for any particular patent following legal assertions of invalidity and unenforceability is unpredictable. With respect to the validity question, for example, we cannot be certain that there is no invalidating prior art, of which we and the patent examiner were unaware during prosecution. If a defendant or other third-party were to prevail on a legal assertion of invalidity or unenforceability, we would lose at least part, and perhaps all, of the patent protection on our current and any future products and technology. Such a loss of patent protection would harm our business, financial condition and results of operations.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substantially on our trademarks and trade names. If our trademarks and trade names are not adequately protected, then we may not be able to build name recognition in our markets of interest and our business may be harmed.</w:t>
      </w:r>
    </w:p>
    <w:p>
      <w:pPr>
        <w:spacing w:after="0" w:line="62" w:lineRule="exact"/>
        <w:rPr>
          <w:sz w:val="20"/>
          <w:szCs w:val="20"/>
          <w:color w:val="auto"/>
        </w:rPr>
      </w:pPr>
    </w:p>
    <w:p>
      <w:pPr>
        <w:jc w:val="both"/>
        <w:ind w:firstLine="584"/>
        <w:spacing w:after="0" w:line="289" w:lineRule="auto"/>
        <w:rPr>
          <w:sz w:val="20"/>
          <w:szCs w:val="20"/>
          <w:color w:val="auto"/>
        </w:rPr>
      </w:pPr>
      <w:r>
        <w:rPr>
          <w:rFonts w:ascii="Arial" w:cs="Arial" w:eastAsia="Arial" w:hAnsi="Arial"/>
          <w:sz w:val="16"/>
          <w:szCs w:val="16"/>
          <w:color w:val="auto"/>
        </w:rPr>
        <w:t>We rely substantially upon trademarks to build and maintain the integrity of our brand. Our registered and unregistered trademarks or trade names may be challenged, infringed, circumvented, declared generic or determined to be violating or infringing on other marks. We may not be able to protect our rights to these trademarks and trade names, which we rely upon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and asserting claims against such third parties may be prohibitively expensive. In addition, there could be potential trade name or trademark infringement or dilution claims brought by owners of other trademarks against us.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harm our business, financial condition and results of operations.</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intellectual property, including patent, protection depends on compliance with various procedural, document submission, fee payment and other requirements imposed by government agencies, and our intellectual property, including patent, protection could be reduced or eliminated for non-compliance with these requirements.</w:t>
      </w:r>
    </w:p>
    <w:p>
      <w:pPr>
        <w:spacing w:after="0" w:line="76" w:lineRule="exact"/>
        <w:rPr>
          <w:sz w:val="20"/>
          <w:szCs w:val="20"/>
          <w:color w:val="auto"/>
        </w:rPr>
      </w:pPr>
    </w:p>
    <w:p>
      <w:pPr>
        <w:jc w:val="both"/>
        <w:ind w:firstLine="584"/>
        <w:spacing w:after="0" w:line="287" w:lineRule="auto"/>
        <w:rPr>
          <w:sz w:val="20"/>
          <w:szCs w:val="20"/>
          <w:color w:val="auto"/>
        </w:rPr>
      </w:pPr>
      <w:r>
        <w:rPr>
          <w:rFonts w:ascii="Arial" w:cs="Arial" w:eastAsia="Arial" w:hAnsi="Arial"/>
          <w:sz w:val="16"/>
          <w:szCs w:val="16"/>
          <w:color w:val="auto"/>
        </w:rPr>
        <w:t>Periodic maintenance fees, renewal fees, annuity fees and various other government fees on intellectual property registrations and applications will be due to be paid to the applicable government agencies, including with respect to patents and patent applications the USPTO and similar agencies outside of the United States, over the lifetime of our intellectual property registrations and applications, including our patents and patent applications. The various applicable government agencies, including with respect to patents and patent applications the USPTO and similar agencies outside of the United States, require compliance with several procedural, documentary, fee payment and other similar provisions during the application process. In some cases, an inadvertent lapse can be cured by payment of a late fee or by other means in accordance with the applicable rules. There are situations, however, in which non-compliance can result in the abandonment or lapse of the intellectual property registration or application, resulting in a partial or complete loss of intellectual property rights in the relevant jurisdiction. Non-compliance events that could result in abandonment or lapse of an intellectual property registration or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which could harm our business, financial condition and results of operations.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jc w:val="both"/>
        <w:spacing w:after="0" w:line="263" w:lineRule="auto"/>
        <w:rPr>
          <w:sz w:val="20"/>
          <w:szCs w:val="20"/>
          <w:color w:val="auto"/>
        </w:rPr>
      </w:pPr>
      <w:r>
        <w:rPr>
          <w:rFonts w:ascii="Arial" w:cs="Arial" w:eastAsia="Arial" w:hAnsi="Arial"/>
          <w:sz w:val="18"/>
          <w:szCs w:val="18"/>
          <w:b w:val="1"/>
          <w:bCs w:val="1"/>
          <w:i w:val="1"/>
          <w:iCs w:val="1"/>
          <w:color w:val="auto"/>
        </w:rPr>
        <w:t>We have limited foreign intellectual property rights outside the United States, selected countries in the European Union, Japan and China and may not be able to protect our intellectual property and proprietary rights throughout the world, which could harm our business, financial condition and results of operations.</w:t>
      </w:r>
    </w:p>
    <w:p>
      <w:pPr>
        <w:spacing w:after="0" w:line="76" w:lineRule="exact"/>
        <w:rPr>
          <w:sz w:val="20"/>
          <w:szCs w:val="20"/>
          <w:color w:val="auto"/>
        </w:rPr>
      </w:pPr>
    </w:p>
    <w:p>
      <w:pPr>
        <w:jc w:val="both"/>
        <w:ind w:firstLine="584"/>
        <w:spacing w:after="0" w:line="271" w:lineRule="auto"/>
        <w:rPr>
          <w:sz w:val="20"/>
          <w:szCs w:val="20"/>
          <w:color w:val="auto"/>
        </w:rPr>
      </w:pPr>
      <w:r>
        <w:rPr>
          <w:rFonts w:ascii="Arial" w:cs="Arial" w:eastAsia="Arial" w:hAnsi="Arial"/>
          <w:sz w:val="17"/>
          <w:szCs w:val="17"/>
          <w:color w:val="auto"/>
        </w:rPr>
        <w:t>We have limited intellectual property rights outside the United States, selected countries in the European Union, Japan and China. Filing, prosecuting and defending patents or trademarks on our current and any future products in all countries throughout the world would be prohibitively expensive, and the laws of foreign countries may not protect our rights to the same extent as the laws of the United States. Consequently, we may not be able to prevent third parties from practicing our inventions or utilizing our trademarks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and any future products, and our patents or other intellectual property rights may not be effective or sufficient to prevent them from competing.</w:t>
      </w:r>
    </w:p>
    <w:p>
      <w:pPr>
        <w:spacing w:after="0" w:line="70" w:lineRule="exact"/>
        <w:rPr>
          <w:sz w:val="20"/>
          <w:szCs w:val="20"/>
          <w:color w:val="auto"/>
        </w:rPr>
      </w:pPr>
    </w:p>
    <w:p>
      <w:pPr>
        <w:jc w:val="both"/>
        <w:ind w:firstLine="584"/>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In addition, changes in the law and legal decisions by courts in the United States and foreign countries may affect our ability to obtain adequate protection for our technology and the enforcement of our intellectual property.</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U.S. patent law could diminish the value of patents in general, thereby impairing our ability to protect our current and any future products.</w:t>
      </w:r>
    </w:p>
    <w:p>
      <w:pPr>
        <w:spacing w:after="0" w:line="152" w:lineRule="exact"/>
        <w:rPr>
          <w:sz w:val="20"/>
          <w:szCs w:val="20"/>
          <w:color w:val="auto"/>
        </w:rPr>
      </w:pPr>
    </w:p>
    <w:p>
      <w:pPr>
        <w:jc w:val="both"/>
        <w:ind w:firstLine="584"/>
        <w:spacing w:after="0" w:line="288"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third-party was the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current and any future products.</w:t>
      </w:r>
    </w:p>
    <w:p>
      <w:pPr>
        <w:spacing w:after="0" w:line="128" w:lineRule="exact"/>
        <w:rPr>
          <w:sz w:val="20"/>
          <w:szCs w:val="20"/>
          <w:color w:val="auto"/>
        </w:rPr>
      </w:pPr>
    </w:p>
    <w:p>
      <w:pPr>
        <w:jc w:val="both"/>
        <w:ind w:firstLine="584"/>
        <w:spacing w:after="0" w:line="311" w:lineRule="auto"/>
        <w:rPr>
          <w:sz w:val="20"/>
          <w:szCs w:val="20"/>
          <w:color w:val="auto"/>
        </w:rPr>
      </w:pPr>
      <w:r>
        <w:rPr>
          <w:rFonts w:ascii="Arial" w:cs="Arial" w:eastAsia="Arial" w:hAnsi="Arial"/>
          <w:sz w:val="16"/>
          <w:szCs w:val="16"/>
          <w:color w:val="auto"/>
        </w:rPr>
        <w:t>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IPR and derivation proceedings.</w:t>
      </w:r>
    </w:p>
    <w:p>
      <w:pPr>
        <w:spacing w:after="0" w:line="122" w:lineRule="exact"/>
        <w:rPr>
          <w:sz w:val="20"/>
          <w:szCs w:val="20"/>
          <w:color w:val="auto"/>
        </w:rPr>
      </w:pPr>
    </w:p>
    <w:p>
      <w:pPr>
        <w:jc w:val="both"/>
        <w:ind w:firstLine="584"/>
        <w:spacing w:after="0" w:line="254"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America Invents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Any of the foregoing could harm our business, financial condition and results of operations.</w:t>
      </w:r>
    </w:p>
    <w:p>
      <w:pPr>
        <w:spacing w:after="0" w:line="151" w:lineRule="exact"/>
        <w:rPr>
          <w:sz w:val="20"/>
          <w:szCs w:val="20"/>
          <w:color w:val="auto"/>
        </w:rPr>
      </w:pPr>
    </w:p>
    <w:p>
      <w:pPr>
        <w:jc w:val="both"/>
        <w:ind w:firstLine="584"/>
        <w:spacing w:after="0" w:line="263" w:lineRule="auto"/>
        <w:rPr>
          <w:sz w:val="20"/>
          <w:szCs w:val="20"/>
          <w:color w:val="auto"/>
        </w:rPr>
      </w:pPr>
      <w:r>
        <w:rPr>
          <w:rFonts w:ascii="Arial" w:cs="Arial" w:eastAsia="Arial" w:hAnsi="Arial"/>
          <w:sz w:val="18"/>
          <w:szCs w:val="18"/>
          <w:color w:val="auto"/>
        </w:rPr>
        <w:t>In addition, recent U.S. Supreme Court rulings have made and will likely continue to make changes in how the patent laws of the United States are interpreted. In addition to increasing uncertainty with regard to our ability to obtain patents in the future, this combination of events has created uncertainty with respect to the validity and enforceability of patents, once obtained. Depending 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jc w:val="both"/>
        <w:spacing w:after="0" w:line="279" w:lineRule="auto"/>
        <w:rPr>
          <w:sz w:val="20"/>
          <w:szCs w:val="20"/>
          <w:color w:val="auto"/>
        </w:rPr>
      </w:pPr>
      <w:r>
        <w:rPr>
          <w:rFonts w:ascii="Arial" w:cs="Arial" w:eastAsia="Arial" w:hAnsi="Arial"/>
          <w:sz w:val="17"/>
          <w:szCs w:val="17"/>
          <w:color w:val="auto"/>
        </w:rPr>
        <w:t>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against us, the joint-owners of our intellectual property, or our collaborators may prevent or delay the sale and marketing of our current and any future products.</w:t>
      </w:r>
    </w:p>
    <w:p>
      <w:pPr>
        <w:spacing w:after="0" w:line="62" w:lineRule="exact"/>
        <w:rPr>
          <w:sz w:val="20"/>
          <w:szCs w:val="20"/>
          <w:color w:val="auto"/>
        </w:rPr>
      </w:pPr>
    </w:p>
    <w:p>
      <w:pPr>
        <w:jc w:val="both"/>
        <w:ind w:firstLine="584"/>
        <w:spacing w:after="0" w:line="290" w:lineRule="auto"/>
        <w:rPr>
          <w:sz w:val="20"/>
          <w:szCs w:val="20"/>
          <w:color w:val="auto"/>
        </w:rPr>
      </w:pPr>
      <w:r>
        <w:rPr>
          <w:rFonts w:ascii="Arial" w:cs="Arial" w:eastAsia="Arial" w:hAnsi="Arial"/>
          <w:sz w:val="16"/>
          <w:szCs w:val="16"/>
          <w:color w:val="auto"/>
        </w:rPr>
        <w:t>The flow cytometry industry is highly competitive and dynamic. Due to the focused research and development that is taking place by several companies, including us and our competitors, in this field, the intellectual property landscape is in flux, and it may remain uncertain in the future. As such, we could become subject to significant intellectual property-related litigation and proceedings relating to our or third-party intellectual property and proprietary rights. Such litigation and proceedings may cause us to incur significant expense, including the payment of damages, settlement payments and/or royalty payments. For example, in February 2018, BD filed suit against us and certain of our employees in the United States District Court for the Northern District of California asserting a number of claims against us, including misappropriation of trade secrets and copyright infringement. In October 2020, we entered into a settlement agreement with BD resulting in a dismissal of all claims and a release of all claims between the parties. Pursuant to the settlement agreement with BD, we are required to make certain payments to BD, including royalty payments on sales of certain of our products.</w:t>
      </w:r>
    </w:p>
    <w:p>
      <w:pPr>
        <w:spacing w:after="0" w:line="125" w:lineRule="exact"/>
        <w:rPr>
          <w:sz w:val="20"/>
          <w:szCs w:val="20"/>
          <w:color w:val="auto"/>
        </w:rPr>
      </w:pPr>
    </w:p>
    <w:p>
      <w:pPr>
        <w:jc w:val="both"/>
        <w:ind w:firstLine="584"/>
        <w:spacing w:after="0" w:line="254" w:lineRule="auto"/>
        <w:rPr>
          <w:sz w:val="20"/>
          <w:szCs w:val="20"/>
          <w:color w:val="auto"/>
        </w:rPr>
      </w:pPr>
      <w:r>
        <w:rPr>
          <w:rFonts w:ascii="Arial" w:cs="Arial" w:eastAsia="Arial" w:hAnsi="Arial"/>
          <w:sz w:val="18"/>
          <w:szCs w:val="18"/>
          <w:color w:val="auto"/>
        </w:rPr>
        <w:t>Our commercial success depends in part on our and any potential future collaborators’ ability to develop, manufacture, market and sell any products that we may develop and use our proprietary technologies without infringing, misappropriating or otherwise violating the patents and other intellectual property or proprietary rights of third parties. It is uncertain whether the issuance of any third-party patent would require us or any potential collaborators to alter our development or commercial strategies, obtain licenses or cease certain activities. The medical device industry is characterized by extensive litigation regarding patents and other intellectual property rights, as well as administrative proceedings for challenging patents, including interference, inter partes or post-grant review, derivation and reexamination proceedings before the USPTO or oppositions and other comparable proceedings in foreign jurisdictions.</w:t>
      </w:r>
    </w:p>
    <w:p>
      <w:pPr>
        <w:spacing w:after="0" w:line="168" w:lineRule="exact"/>
        <w:rPr>
          <w:sz w:val="20"/>
          <w:szCs w:val="20"/>
          <w:color w:val="auto"/>
        </w:rPr>
      </w:pPr>
    </w:p>
    <w:p>
      <w:pPr>
        <w:jc w:val="both"/>
        <w:ind w:firstLine="584"/>
        <w:spacing w:after="0" w:line="269" w:lineRule="auto"/>
        <w:rPr>
          <w:sz w:val="20"/>
          <w:szCs w:val="20"/>
          <w:color w:val="auto"/>
        </w:rPr>
      </w:pPr>
      <w:r>
        <w:rPr>
          <w:rFonts w:ascii="Arial" w:cs="Arial" w:eastAsia="Arial" w:hAnsi="Arial"/>
          <w:sz w:val="17"/>
          <w:szCs w:val="17"/>
          <w:color w:val="auto"/>
        </w:rPr>
        <w:t>Third parties, including our competitors, may currently have patents or obtain patents in the future and claim that the manufacture, use or sale of our current and any future products infringes upon these patents. We have not conducted an extensive search of patents issued or assigned to other parties, including our competitors, and no assurance can be given that patents containing claims covering our current and any future products, components of our current and any future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 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increasing the risk that we will be required to incur significant expenses defending any such claims or lose patent protection for our current or future products.</w:t>
      </w:r>
    </w:p>
    <w:p>
      <w:pPr>
        <w:spacing w:after="0" w:line="145" w:lineRule="exact"/>
        <w:rPr>
          <w:sz w:val="20"/>
          <w:szCs w:val="20"/>
          <w:color w:val="auto"/>
        </w:rPr>
      </w:pPr>
    </w:p>
    <w:p>
      <w:pPr>
        <w:jc w:val="both"/>
        <w:ind w:firstLine="584"/>
        <w:spacing w:after="0" w:line="287" w:lineRule="auto"/>
        <w:rPr>
          <w:sz w:val="20"/>
          <w:szCs w:val="20"/>
          <w:color w:val="auto"/>
        </w:rPr>
      </w:pPr>
      <w:r>
        <w:rPr>
          <w:rFonts w:ascii="Arial" w:cs="Arial" w:eastAsia="Arial" w:hAnsi="Arial"/>
          <w:sz w:val="16"/>
          <w:szCs w:val="16"/>
          <w:color w:val="auto"/>
        </w:rPr>
        <w:t>We may also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current and any future products.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current and any future products.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one or more of our current and any future products.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harm our business, financial condition and results of operations.</w:t>
      </w:r>
    </w:p>
    <w:p>
      <w:pPr>
        <w:spacing w:after="0" w:line="141"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8"/>
          <w:szCs w:val="18"/>
          <w:color w:val="auto"/>
        </w:rPr>
        <w:t>In the event that any third-party claims that we infringe their patents or that we are otherwise employing their proprietary technology without authorization and initiates litigation against us, even if we believe such claims are without merit, there is no assurance that a court would find in our favor on questions of infringement, validity, enforceability or priority. A court of competent jurisdiction could hold that these third-party patents are valid, enforceable and infringed by our current and any future products, which could harm our ability to commercialize any product we may develop and any other technologies covered by the asserted third-party patents. 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jc w:val="both"/>
        <w:spacing w:after="0" w:line="288" w:lineRule="auto"/>
        <w:rPr>
          <w:sz w:val="20"/>
          <w:szCs w:val="20"/>
          <w:color w:val="auto"/>
        </w:rPr>
      </w:pPr>
      <w:r>
        <w:rPr>
          <w:rFonts w:ascii="Arial" w:cs="Arial" w:eastAsia="Arial" w:hAnsi="Arial"/>
          <w:sz w:val="16"/>
          <w:szCs w:val="16"/>
          <w:color w:val="auto"/>
        </w:rPr>
        <w:t>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third-party intellectual property rights, including patents, and we are unsuccessful in demonstrating that such patents or other intellectual property rights are invalid or unenforceable, such third parties may be able to block our ability to commercialize the applicable products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significant license fees and/or royalties, and the rights granted to us might be non-exclusive, which could result in our competitors gaining access to the same technology. If we are unable to obtain a necessary license to a third-party patent on commercially reasonable terms, or at all, we may be unable to commercialize our current and any future products, or such commercialization efforts may be significantly delayed, which could in turn significantly harm our business.</w:t>
      </w:r>
    </w:p>
    <w:p>
      <w:pPr>
        <w:spacing w:after="0" w:line="141" w:lineRule="exact"/>
        <w:rPr>
          <w:sz w:val="20"/>
          <w:szCs w:val="20"/>
          <w:color w:val="auto"/>
        </w:rPr>
      </w:pPr>
    </w:p>
    <w:p>
      <w:pPr>
        <w:jc w:val="both"/>
        <w:ind w:firstLine="584"/>
        <w:spacing w:after="0" w:line="254" w:lineRule="auto"/>
        <w:rPr>
          <w:sz w:val="20"/>
          <w:szCs w:val="20"/>
          <w:color w:val="auto"/>
        </w:rPr>
      </w:pPr>
      <w:r>
        <w:rPr>
          <w:rFonts w:ascii="Arial" w:cs="Arial" w:eastAsia="Arial" w:hAnsi="Arial"/>
          <w:sz w:val="18"/>
          <w:szCs w:val="18"/>
          <w:color w:val="auto"/>
        </w:rPr>
        <w:t>Defense of infringement claims, regardless of their merit or outcome,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and/or have to pay substantial damages for use of the asserted intellectual property, including treble damages and attorneys’ fees were we found to willfully infringe such intellectual property. Claims that we have misappropriated the confidential information or trade secrets of third parties could harm our business, financial condition and results of operations. We also might have to redesign our infringing products or technologies, which may be impossible or require substantial time and monetary expenditure.</w:t>
      </w:r>
    </w:p>
    <w:p>
      <w:pPr>
        <w:spacing w:after="0" w:line="154" w:lineRule="exact"/>
        <w:rPr>
          <w:sz w:val="20"/>
          <w:szCs w:val="20"/>
          <w:color w:val="auto"/>
        </w:rPr>
      </w:pPr>
    </w:p>
    <w:p>
      <w:pPr>
        <w:jc w:val="both"/>
        <w:ind w:firstLine="584"/>
        <w:spacing w:after="0" w:line="270" w:lineRule="auto"/>
        <w:rPr>
          <w:sz w:val="20"/>
          <w:szCs w:val="20"/>
          <w:color w:val="auto"/>
        </w:rPr>
      </w:pPr>
      <w:r>
        <w:rPr>
          <w:rFonts w:ascii="Arial" w:cs="Arial" w:eastAsia="Arial" w:hAnsi="Arial"/>
          <w:sz w:val="17"/>
          <w:szCs w:val="17"/>
          <w:color w:val="auto"/>
        </w:rPr>
        <w:t>Engaging in litigation to defend against third-party infringement claims is very expensive, particularly for a company of our size, and time-consuming.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Uncertainties resulting from the initiation and continuation of patent litigation or other proceedings against us could impair our ability to compete in the marketplace. The occurrence of any of the foregoing could harm our business, financial condition and results of operations.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62" w:lineRule="exact"/>
        <w:rPr>
          <w:sz w:val="20"/>
          <w:szCs w:val="20"/>
          <w:color w:val="auto"/>
        </w:rPr>
      </w:pPr>
    </w:p>
    <w:p>
      <w:pPr>
        <w:jc w:val="both"/>
        <w:ind w:firstLine="584"/>
        <w:spacing w:after="0" w:line="296" w:lineRule="auto"/>
        <w:rPr>
          <w:sz w:val="20"/>
          <w:szCs w:val="20"/>
          <w:color w:val="auto"/>
        </w:rPr>
      </w:pPr>
      <w:r>
        <w:rPr>
          <w:rFonts w:ascii="Arial" w:cs="Arial" w:eastAsia="Arial" w:hAnsi="Arial"/>
          <w:sz w:val="16"/>
          <w:szCs w:val="16"/>
          <w:color w:val="auto"/>
        </w:rPr>
        <w:t>Competitors may infringe our patents, or the patents of any future licensing partners, or we may be required to defend against claims of infringement. In an infringement proceeding, a court may decide that our patent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121" w:lineRule="exact"/>
        <w:rPr>
          <w:sz w:val="20"/>
          <w:szCs w:val="20"/>
          <w:color w:val="auto"/>
        </w:rPr>
      </w:pPr>
    </w:p>
    <w:p>
      <w:pPr>
        <w:jc w:val="both"/>
        <w:ind w:firstLine="584"/>
        <w:spacing w:after="0" w:line="270"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harm our ability to compete in the marketplace. Any of the foregoing could harm our business, financial condition and results of operations.</w:t>
      </w:r>
    </w:p>
    <w:p>
      <w:pPr>
        <w:spacing w:after="0" w:line="154" w:lineRule="exact"/>
        <w:rPr>
          <w:sz w:val="20"/>
          <w:szCs w:val="20"/>
          <w:color w:val="auto"/>
        </w:rPr>
      </w:pPr>
    </w:p>
    <w:p>
      <w:pPr>
        <w:jc w:val="both"/>
        <w:ind w:firstLine="584"/>
        <w:spacing w:after="0" w:line="301" w:lineRule="auto"/>
        <w:rPr>
          <w:sz w:val="20"/>
          <w:szCs w:val="20"/>
          <w:color w:val="auto"/>
        </w:rPr>
      </w:pPr>
      <w:r>
        <w:rPr>
          <w:rFonts w:ascii="Arial" w:cs="Arial" w:eastAsia="Arial" w:hAnsi="Arial"/>
          <w:sz w:val="16"/>
          <w:szCs w:val="16"/>
          <w:color w:val="auto"/>
        </w:rPr>
        <w:t>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harmed.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 Such claims could harm our business, financial condition and results of operations.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jc w:val="both"/>
        <w:ind w:firstLine="584"/>
        <w:spacing w:after="0" w:line="290" w:lineRule="auto"/>
        <w:rPr>
          <w:sz w:val="20"/>
          <w:szCs w:val="20"/>
          <w:color w:val="auto"/>
        </w:rPr>
      </w:pPr>
      <w:r>
        <w:rPr>
          <w:rFonts w:ascii="Arial" w:cs="Arial" w:eastAsia="Arial" w:hAnsi="Arial"/>
          <w:sz w:val="16"/>
          <w:szCs w:val="16"/>
          <w:color w:val="auto"/>
        </w:rPr>
        <w:t>As is common in the life sciences industry, our employees, consultants and advisors may be currently or previously employed or engaged at universities or other life sciences companies, including our competitors and potential competitors. Although we try to ensure that our employees, consultants and advisors do not use the proprietary information or know-how of others in their work for us, we may in the future become subject to claims that we or these people have, inadvertently or otherwise, used or disclosed intellectual property, including trade secrets or other proprietary information, of their current or former employer. Also, we may in the future be subject to claims that these people are violating non-compete agreements with their former employers. Litigation may be necessary to defend against these claims. If we fail in defending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w:t>
      </w:r>
    </w:p>
    <w:p>
      <w:pPr>
        <w:spacing w:after="0" w:line="138" w:lineRule="exact"/>
        <w:rPr>
          <w:sz w:val="20"/>
          <w:szCs w:val="20"/>
          <w:color w:val="auto"/>
        </w:rPr>
      </w:pPr>
    </w:p>
    <w:p>
      <w:pPr>
        <w:jc w:val="both"/>
        <w:ind w:firstLine="584"/>
        <w:spacing w:after="0" w:line="296"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jc w:val="both"/>
        <w:ind w:firstLine="584"/>
        <w:spacing w:after="0" w:line="291" w:lineRule="auto"/>
        <w:rPr>
          <w:sz w:val="20"/>
          <w:szCs w:val="20"/>
          <w:color w:val="auto"/>
        </w:rPr>
      </w:pPr>
      <w:r>
        <w:rPr>
          <w:rFonts w:ascii="Arial" w:cs="Arial" w:eastAsia="Arial" w:hAnsi="Arial"/>
          <w:sz w:val="16"/>
          <w:szCs w:val="16"/>
          <w:color w:val="auto"/>
        </w:rPr>
        <w:t>In addition to seeking patent protection for our current and any future products, we also rely upon unpatented trade secrets, know-how and continuing technological innovation to develop and maintain a competitive position, especially where we do not believe patent protection is appropriate or obtainable. Trade secrets and know-how can be difficult to protect. We seek to protect such proprietary information, in part, through non-disclosure and confidentiality agreements with our employees, collaborators, contractors, advisors, consultants and other third parties and invention assignment agreements with our employees. We also have agreements with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39" w:lineRule="exact"/>
        <w:rPr>
          <w:sz w:val="20"/>
          <w:szCs w:val="20"/>
          <w:color w:val="auto"/>
        </w:rPr>
      </w:pPr>
    </w:p>
    <w:p>
      <w:pPr>
        <w:jc w:val="both"/>
        <w:ind w:firstLine="584"/>
        <w:spacing w:after="0" w:line="289" w:lineRule="auto"/>
        <w:rPr>
          <w:sz w:val="20"/>
          <w:szCs w:val="20"/>
          <w:color w:val="auto"/>
        </w:rPr>
      </w:pPr>
      <w:r>
        <w:rPr>
          <w:rFonts w:ascii="Arial" w:cs="Arial" w:eastAsia="Arial" w:hAnsi="Arial"/>
          <w:sz w:val="16"/>
          <w:szCs w:val="16"/>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third-party, we would have no right to prevent them from using that technology or information to compete with us. If any of our trade secrets were to be disclosed to, or independently developed by, a competitor or other third-party,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scientific industry positions.</w:t>
      </w:r>
    </w:p>
    <w:p>
      <w:pPr>
        <w:spacing w:after="0" w:line="126" w:lineRule="exact"/>
        <w:rPr>
          <w:sz w:val="20"/>
          <w:szCs w:val="20"/>
          <w:color w:val="auto"/>
        </w:rPr>
      </w:pPr>
    </w:p>
    <w:p>
      <w:pPr>
        <w:jc w:val="both"/>
        <w:ind w:firstLine="584"/>
        <w:spacing w:after="0" w:line="255"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people,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harm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a key information technology system, process, or site could have an adverse effect on our business.</w:t>
      </w:r>
    </w:p>
    <w:p>
      <w:pPr>
        <w:spacing w:after="0" w:line="117" w:lineRule="exact"/>
        <w:rPr>
          <w:sz w:val="20"/>
          <w:szCs w:val="20"/>
          <w:color w:val="auto"/>
        </w:rPr>
      </w:pPr>
    </w:p>
    <w:p>
      <w:pPr>
        <w:jc w:val="both"/>
        <w:ind w:firstLine="584"/>
        <w:spacing w:after="0" w:line="269" w:lineRule="auto"/>
        <w:rPr>
          <w:sz w:val="20"/>
          <w:szCs w:val="20"/>
          <w:color w:val="auto"/>
        </w:rPr>
      </w:pPr>
      <w:r>
        <w:rPr>
          <w:rFonts w:ascii="Arial" w:cs="Arial" w:eastAsia="Arial" w:hAnsi="Arial"/>
          <w:sz w:val="17"/>
          <w:szCs w:val="17"/>
          <w:color w:val="auto"/>
        </w:rPr>
        <w:t>We rely extensively on information technology systems to conduct our business. These systems affect, among other things, ordering and managing materials from suppliers, shipping products, processing transactions, complying with regulatory, legal or tax requirements, data security and other processes necessary to manage our business. Our systems and the data contained on them may be subject to computer viruses, ransomware or other malware, attacks by computer hackers, social engineering (including phishing), supply chain attacks, credential stuffing, efforts by individuals or groups of hackers and sophisticated organizations, including state-sponsored organizations, errors or malfeasance of our personnel, and security vulnerabilities in the software or systems on which we rely, and failures during the process of upgrading or replacing software, databases or components thereof. If the confidentiality, integrity, or availability of our systems or our data is compromised due to these, or any number of causes, ranging from catastrophic events and power outages to security breaches, and our business continuity plans do not effectively compensate on a timely basis, we may experience interruptions in our operations, including corruption of our data or release of our confidential information, which could have an adverse effect on our business. Furthermore, any breach in our information technology systems could lead to the unauthorized access,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jc w:val="both"/>
        <w:spacing w:after="0" w:line="263" w:lineRule="auto"/>
        <w:rPr>
          <w:sz w:val="20"/>
          <w:szCs w:val="20"/>
          <w:color w:val="auto"/>
        </w:rPr>
      </w:pPr>
      <w:r>
        <w:rPr>
          <w:rFonts w:ascii="Arial" w:cs="Arial" w:eastAsia="Arial" w:hAnsi="Arial"/>
          <w:sz w:val="18"/>
          <w:szCs w:val="18"/>
          <w:color w:val="auto"/>
        </w:rPr>
        <w:t>disclosure and use of non-public information, which may be protected by applicable laws. Any such access, disclosure, or other loss of information could require substantial expenditures to remedy and could result in legal claims or proceedings, liability under laws that protect the privacy of personal information and damage to our reputation.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compromise our ability to offer our services and subject us to possible litigation.</w:t>
      </w:r>
    </w:p>
    <w:p>
      <w:pPr>
        <w:spacing w:after="0" w:line="117" w:lineRule="exact"/>
        <w:rPr>
          <w:sz w:val="20"/>
          <w:szCs w:val="20"/>
          <w:color w:val="auto"/>
        </w:rPr>
      </w:pPr>
    </w:p>
    <w:p>
      <w:pPr>
        <w:jc w:val="both"/>
        <w:ind w:firstLine="584"/>
        <w:spacing w:after="0" w:line="287" w:lineRule="auto"/>
        <w:rPr>
          <w:sz w:val="20"/>
          <w:szCs w:val="20"/>
          <w:color w:val="auto"/>
        </w:rPr>
      </w:pPr>
      <w:r>
        <w:rPr>
          <w:rFonts w:ascii="Arial" w:cs="Arial" w:eastAsia="Arial" w:hAnsi="Arial"/>
          <w:sz w:val="16"/>
          <w:szCs w:val="16"/>
          <w:color w:val="auto"/>
        </w:rPr>
        <w:t>We use open source software in connection with the software integrated in our instruments.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the licensee’s software that incorporates, links or uses such open source software, and make available to third parties for no cost, any derivative works of the open source code created by the licensee, which could include the licensee’s own valuable proprietary code.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foregoing could harm our business, financial condition, results of operations and prospects.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117"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The market price of our common stock may be highly volatile and may fluctuate or decline substantially as a result of a variety of factors, some of which are beyond our control, including limited trading volume. In addition to the factors discussed in this “Risk Factors” section and elsewhere in this Quarterly Report on Form 10-Q, these factors include:</w:t>
      </w:r>
    </w:p>
    <w:p>
      <w:pPr>
        <w:spacing w:after="0" w:line="157" w:lineRule="exact"/>
        <w:rPr>
          <w:sz w:val="20"/>
          <w:szCs w:val="20"/>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degree and rate of market adoption of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 or investors;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results of operations, including as a result of anticipated or unanticipated demand based on seasonal factors;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negative publicity associated with issues related to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 by us or our stockholders, as well as the anticipation of lock-up releases;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for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adverse developments concerning any of our third-party distribution partners and suppliers, including our single and sole-source suppliers;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inability to engage additional distribution partners and establish collaborations, if needed;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performance or news releases by other companies in our industry including about adverse developments related to safety, effectiveness, accuracy and usability of their products, reputational concerns, regulatory compliance, and product recalls;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regulatory and market conditions, including economic recessions or slowdowns, the ongoing war in Ukraine and the general inflationary environment;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3" w:name="page74"/>
    <w:bookmarkEnd w:id="73"/>
    <w:p>
      <w:pPr>
        <w:jc w:val="both"/>
        <w:ind w:firstLine="584"/>
        <w:spacing w:after="0" w:line="273" w:lineRule="auto"/>
        <w:rPr>
          <w:sz w:val="20"/>
          <w:szCs w:val="20"/>
          <w:color w:val="auto"/>
        </w:rPr>
      </w:pPr>
      <w:r>
        <w:rPr>
          <w:rFonts w:ascii="Arial" w:cs="Arial" w:eastAsia="Arial" w:hAnsi="Arial"/>
          <w:sz w:val="17"/>
          <w:szCs w:val="17"/>
          <w:color w:val="auto"/>
        </w:rPr>
        <w:t>Broad market and industry fluctuations, as well as general economic, pandemic, political, regulatory, and market conditions, may negatively impact the market price of our common stock. In addition, given the relatively small public float of shares of our common stock on the Nasdaq Global Select Market (the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and may invest or spend the funds in ways with which you do not agree and in ways that may not yield a return.</w:t>
      </w:r>
    </w:p>
    <w:p>
      <w:pPr>
        <w:spacing w:after="0" w:line="62" w:lineRule="exact"/>
        <w:rPr>
          <w:sz w:val="20"/>
          <w:szCs w:val="20"/>
          <w:color w:val="auto"/>
        </w:rPr>
      </w:pPr>
    </w:p>
    <w:p>
      <w:pPr>
        <w:jc w:val="both"/>
        <w:ind w:firstLine="584"/>
        <w:spacing w:after="0" w:line="272" w:lineRule="auto"/>
        <w:rPr>
          <w:sz w:val="20"/>
          <w:szCs w:val="20"/>
          <w:color w:val="auto"/>
        </w:rPr>
      </w:pPr>
      <w:r>
        <w:rPr>
          <w:rFonts w:ascii="Arial" w:cs="Arial" w:eastAsia="Arial" w:hAnsi="Arial"/>
          <w:sz w:val="17"/>
          <w:szCs w:val="17"/>
          <w:color w:val="auto"/>
        </w:rPr>
        <w:t>We have broad discretion over the use of our cash. Investors may not agree with our decisions, and our use of cash may not yield any return on your investment. We currently intend to use our cash to fund manufacturing activities, sales and marketing activities, including the hiring and training of additional sales and marketing personnel, and the remainder for working capital and general corporate purposes, including research and development activities. In addition, a portion of our cash may also be used to acquire assets or complementary businesses. Our failure to use our cash effectively could impair our ability to pursue our growth strategy or could require us to raise additional capital. In addition, pending their use, our cash may be placed in investments that do not produce income or that may lose value. If we do not invest or apply our cash in ways that enhance stockholder value, we may fail to achieve expected financial results, which could cause our stock price to decline.</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of our common stock or securities convertible into our common stock will result in additional dilution of the percentage of ownership of our stockholders and could cause the market price of our common stock to decline.</w:t>
      </w:r>
    </w:p>
    <w:p>
      <w:pPr>
        <w:spacing w:after="0" w:line="62" w:lineRule="exact"/>
        <w:rPr>
          <w:sz w:val="20"/>
          <w:szCs w:val="20"/>
          <w:color w:val="auto"/>
        </w:rPr>
      </w:pPr>
    </w:p>
    <w:p>
      <w:pPr>
        <w:jc w:val="both"/>
        <w:ind w:firstLine="578"/>
        <w:spacing w:after="0" w:line="286" w:lineRule="auto"/>
        <w:rPr>
          <w:sz w:val="20"/>
          <w:szCs w:val="20"/>
          <w:color w:val="auto"/>
        </w:rPr>
      </w:pPr>
      <w:r>
        <w:rPr>
          <w:rFonts w:ascii="Arial" w:cs="Arial" w:eastAsia="Arial" w:hAnsi="Arial"/>
          <w:sz w:val="17"/>
          <w:szCs w:val="17"/>
          <w:color w:val="auto"/>
        </w:rPr>
        <w:t>Sales and issuances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and issuances may have on the prevailing market price of our common stock.</w:t>
      </w:r>
    </w:p>
    <w:p>
      <w:pPr>
        <w:spacing w:after="0" w:line="138"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8"/>
          <w:szCs w:val="18"/>
          <w:color w:val="auto"/>
        </w:rPr>
        <w:t>In addition, we may offer and sell up to $150 million shares of common stock registered under our universal shelf registration statement on Form S-3 pursuant to the Sales Agreement with Piper in one or more “at the market” offerings. To date, we have not made any sales of common stock pursuant to the Sales Agreement. The extent to which we utilize the Sales Agreement with Piper as a source of funding will depend on a number of factors, including the prevailing market price of our common stock, general market conditions and other restrictions and the extent to which we are able to secure funds from other sources.</w:t>
      </w:r>
    </w:p>
    <w:p>
      <w:pPr>
        <w:spacing w:after="0" w:line="147" w:lineRule="exact"/>
        <w:rPr>
          <w:sz w:val="20"/>
          <w:szCs w:val="20"/>
          <w:color w:val="auto"/>
        </w:rPr>
      </w:pPr>
    </w:p>
    <w:p>
      <w:pPr>
        <w:jc w:val="both"/>
        <w:ind w:firstLine="578"/>
        <w:spacing w:after="0" w:line="301" w:lineRule="auto"/>
        <w:rPr>
          <w:sz w:val="20"/>
          <w:szCs w:val="20"/>
          <w:color w:val="auto"/>
        </w:rPr>
      </w:pPr>
      <w:r>
        <w:rPr>
          <w:rFonts w:ascii="Arial" w:cs="Arial" w:eastAsia="Arial" w:hAnsi="Arial"/>
          <w:sz w:val="16"/>
          <w:szCs w:val="16"/>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awards are available for immediate resale in the United States in the open market.</w:t>
      </w:r>
    </w:p>
    <w:p>
      <w:pPr>
        <w:spacing w:after="0" w:line="130"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Sales of shares of our common stock could also impair our ability to raise capital through the sale of additional equity securities in the future and at a price we deem appropriate. These sales could also cause the trading price of our common stock to decline and make it more difficult for you to sell shares of our common stock.</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executive officers, directors and principal stockholders may prevent new investors from influencing significant corporate decisions.</w:t>
      </w:r>
    </w:p>
    <w:p>
      <w:pPr>
        <w:spacing w:after="0" w:line="62" w:lineRule="exact"/>
        <w:rPr>
          <w:sz w:val="20"/>
          <w:szCs w:val="20"/>
          <w:color w:val="auto"/>
        </w:rPr>
      </w:pPr>
    </w:p>
    <w:p>
      <w:pPr>
        <w:jc w:val="both"/>
        <w:ind w:firstLine="578"/>
        <w:spacing w:after="0" w:line="254" w:lineRule="auto"/>
        <w:rPr>
          <w:sz w:val="20"/>
          <w:szCs w:val="20"/>
          <w:color w:val="auto"/>
        </w:rPr>
      </w:pPr>
      <w:r>
        <w:rPr>
          <w:rFonts w:ascii="Arial" w:cs="Arial" w:eastAsia="Arial" w:hAnsi="Arial"/>
          <w:sz w:val="18"/>
          <w:szCs w:val="18"/>
          <w:color w:val="auto"/>
        </w:rPr>
        <w:t>Based on the number of shares of common stock outstanding as of June 30, 2023, our executive officers, directors, holders of 5% or more of our common stock and their respective affiliates, in the aggregate, own approximately 44.1% of our common stock. 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For example, because many of these stockholders purchased their shares at prices substantially below the current market price or our shares and have held their shares for a longer period, they may be more interested in selling our company to an acquirer than other investors, or they may want us to pursue strategies that deviate from the interests of other stockholders.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4" w:name="page75"/>
    <w:bookmarkEnd w:id="74"/>
    <w:p>
      <w:pPr>
        <w:jc w:val="both"/>
        <w:ind w:firstLine="584"/>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common stock after price appreciation, which may never occur, as the only way to realize any future gains on their investments.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8"/>
          <w:szCs w:val="18"/>
          <w:color w:val="auto"/>
        </w:rPr>
        <w:t>We are subject to the periodic reporting requirements of the Securities Exchange Act of 1934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47" w:lineRule="exact"/>
        <w:rPr>
          <w:sz w:val="20"/>
          <w:szCs w:val="20"/>
          <w:color w:val="auto"/>
        </w:rPr>
      </w:pPr>
    </w:p>
    <w:p>
      <w:pPr>
        <w:jc w:val="both"/>
        <w:ind w:firstLine="584"/>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6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6" w:lineRule="exact"/>
        <w:rPr>
          <w:sz w:val="20"/>
          <w:szCs w:val="20"/>
          <w:color w:val="auto"/>
        </w:rPr>
      </w:pPr>
    </w:p>
    <w:p>
      <w:pPr>
        <w:jc w:val="both"/>
        <w:ind w:firstLine="584"/>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83" w:lineRule="exact"/>
        <w:rPr>
          <w:sz w:val="20"/>
          <w:szCs w:val="20"/>
          <w:color w:val="auto"/>
        </w:rPr>
      </w:pPr>
    </w:p>
    <w:p>
      <w:pPr>
        <w:ind w:left="1020" w:hanging="503"/>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17"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authority of the board of directors to issue redeemable convertible preferred stock on terms determined by the board of directors without stockholder approval and which redeemable convertible preferred stock may include rights superior to the rights of the holders of common stock.</w:t>
      </w:r>
    </w:p>
    <w:p>
      <w:pPr>
        <w:spacing w:after="0" w:line="76" w:lineRule="exact"/>
        <w:rPr>
          <w:sz w:val="20"/>
          <w:szCs w:val="20"/>
          <w:color w:val="auto"/>
        </w:rPr>
      </w:pPr>
    </w:p>
    <w:p>
      <w:pPr>
        <w:jc w:val="both"/>
        <w:ind w:firstLine="578"/>
        <w:spacing w:after="0" w:line="254"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Corporate Law, which may prohibit certain business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5" w:name="page76"/>
    <w:bookmarkEnd w:id="75"/>
    <w:p>
      <w:pPr>
        <w:jc w:val="both"/>
        <w:spacing w:after="0" w:line="291" w:lineRule="auto"/>
        <w:rPr>
          <w:sz w:val="20"/>
          <w:szCs w:val="20"/>
          <w:color w:val="auto"/>
        </w:rPr>
      </w:pPr>
      <w:r>
        <w:rPr>
          <w:rFonts w:ascii="Arial" w:cs="Arial" w:eastAsia="Arial" w:hAnsi="Arial"/>
          <w:sz w:val="16"/>
          <w:szCs w:val="16"/>
          <w:color w:val="auto"/>
        </w:rPr>
        <w:t>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139" w:lineRule="exact"/>
        <w:rPr>
          <w:sz w:val="20"/>
          <w:szCs w:val="20"/>
          <w:color w:val="auto"/>
        </w:rPr>
      </w:pPr>
    </w:p>
    <w:p>
      <w:pPr>
        <w:jc w:val="both"/>
        <w:ind w:firstLine="578"/>
        <w:spacing w:after="0" w:line="269" w:lineRule="auto"/>
        <w:rPr>
          <w:sz w:val="20"/>
          <w:szCs w:val="20"/>
          <w:color w:val="auto"/>
        </w:rPr>
      </w:pPr>
      <w:r>
        <w:rPr>
          <w:rFonts w:ascii="Arial" w:cs="Arial" w:eastAsia="Arial" w:hAnsi="Arial"/>
          <w:sz w:val="17"/>
          <w:szCs w:val="17"/>
          <w:color w:val="auto"/>
        </w:rPr>
        <w:t>These provisions would not apply to suits brought to enforce a duty or liability created by the Exchange Act. Furthermore, Section 22 of the Securities Act of 1933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145" w:lineRule="exact"/>
        <w:rPr>
          <w:sz w:val="20"/>
          <w:szCs w:val="20"/>
          <w:color w:val="auto"/>
        </w:rPr>
      </w:pPr>
    </w:p>
    <w:p>
      <w:pPr>
        <w:jc w:val="both"/>
        <w:ind w:firstLine="578"/>
        <w:spacing w:after="0" w:line="27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6" w:lineRule="exact"/>
        <w:rPr>
          <w:sz w:val="20"/>
          <w:szCs w:val="20"/>
          <w:color w:val="auto"/>
        </w:rPr>
      </w:pPr>
    </w:p>
    <w:p>
      <w:pPr>
        <w:jc w:val="both"/>
        <w:ind w:firstLine="584"/>
        <w:spacing w:after="0" w:line="288" w:lineRule="auto"/>
        <w:rPr>
          <w:sz w:val="20"/>
          <w:szCs w:val="20"/>
          <w:color w:val="auto"/>
        </w:rPr>
      </w:pPr>
      <w:r>
        <w:rPr>
          <w:rFonts w:ascii="Arial" w:cs="Arial" w:eastAsia="Arial" w:hAnsi="Arial"/>
          <w:sz w:val="16"/>
          <w:szCs w:val="16"/>
          <w:color w:val="auto"/>
        </w:rPr>
        <w:t>The preparation of our consolidated financial statements in conformity with generally accepted accounting principles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revenue accounting standard, Accounting Standards Codification, or ASC, Topic 606, management makes judgments and assumptions based on our interpretation of the new standard. The revenue standard is principle-based and interpretation of those principles may vary from company to company based on their unique circumstances. It is possible that interpretation, industry practice and guidance may evolve as we apply the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jc w:val="both"/>
        <w:ind w:firstLine="584"/>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companies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2" w:lineRule="exact"/>
        <w:rPr>
          <w:sz w:val="20"/>
          <w:szCs w:val="20"/>
          <w:color w:val="auto"/>
        </w:rPr>
      </w:pPr>
    </w:p>
    <w:p>
      <w:pPr>
        <w:jc w:val="both"/>
        <w:ind w:firstLine="584"/>
        <w:spacing w:after="0" w:line="277" w:lineRule="auto"/>
        <w:rPr>
          <w:sz w:val="20"/>
          <w:szCs w:val="20"/>
          <w:color w:val="auto"/>
        </w:rPr>
      </w:pPr>
      <w:r>
        <w:rPr>
          <w:rFonts w:ascii="Arial" w:cs="Arial" w:eastAsia="Arial" w:hAnsi="Arial"/>
          <w:sz w:val="18"/>
          <w:szCs w:val="18"/>
          <w:color w:val="auto"/>
        </w:rPr>
        <w:t>As a public company, we have incurred and will continue to incur significant legal, accounting, and other expenses that we did not incur as a private company. We expect such expenses to further increase as we are no longer an emerging growth company.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jc w:val="both"/>
        <w:spacing w:after="0" w:line="273" w:lineRule="auto"/>
        <w:rPr>
          <w:sz w:val="20"/>
          <w:szCs w:val="20"/>
          <w:color w:val="auto"/>
        </w:rPr>
      </w:pPr>
      <w:r>
        <w:rPr>
          <w:rFonts w:ascii="Arial" w:cs="Arial" w:eastAsia="Arial" w:hAnsi="Arial"/>
          <w:sz w:val="17"/>
          <w:szCs w:val="17"/>
          <w:color w:val="auto"/>
        </w:rPr>
        <w:t>Sarbanes-Oxley Act, the Dodd-Frank Wall Street Reform and Consumer Protection Act, the listing requirements of Nasdaq and other applicable securities rules and regulations impose various requirements on public companies. Furthermore, the senior members of our management team do not have significant experience with operating a public company. As a result, our management and other personnel will have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timing of such costs, which could negatively affect our business,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common stock.</w:t>
      </w:r>
    </w:p>
    <w:p>
      <w:pPr>
        <w:spacing w:after="0" w:line="117" w:lineRule="exact"/>
        <w:rPr>
          <w:sz w:val="20"/>
          <w:szCs w:val="20"/>
          <w:color w:val="auto"/>
        </w:rPr>
      </w:pPr>
    </w:p>
    <w:p>
      <w:pPr>
        <w:jc w:val="both"/>
        <w:ind w:firstLine="584"/>
        <w:spacing w:after="0" w:line="255" w:lineRule="auto"/>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152" w:lineRule="exact"/>
        <w:rPr>
          <w:sz w:val="20"/>
          <w:szCs w:val="20"/>
          <w:color w:val="auto"/>
        </w:rPr>
      </w:pPr>
    </w:p>
    <w:p>
      <w:pPr>
        <w:jc w:val="both"/>
        <w:ind w:firstLine="47"/>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common stock price and trading volume could decline.</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76"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68"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(“NOLs”) to offset future taxable income may be subject to certain limitations.</w:t>
      </w:r>
    </w:p>
    <w:p>
      <w:pPr>
        <w:spacing w:after="0" w:line="117"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As of December 31, 2022, we had no federal and state NOL carryforwards. Certain state NOLs will begin to expire in the calendar year 2036, unless previously utilized. Certain NOL carryforwards subject to expiration could expire unused and be unavailable to offset future income tax liabilities.</w:t>
      </w:r>
    </w:p>
    <w:p>
      <w:pPr>
        <w:spacing w:after="0" w:line="1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Under the 2017 Tax Cuts and Jobs Act (the “Tax Act"), as modified by the Coronavirus Aid, Relief and Economic Security Act, or CARES Act, federal NOLs incurred in taxable years beginning after December 31, 2017 may be carried forward indefinitely, but the deductibility of such federal NOLs in taxable years beginning after December 31, 2020 is limited to 80% of taxable income in such years. There is variation in how states have responded and may continue to respond to the Tax Act and CARES Act. In addition, for state income tax purposes, there may be periods during which the use of NOLs is suspended or otherwise limited.</w:t>
      </w:r>
    </w:p>
    <w:p>
      <w:pPr>
        <w:spacing w:after="0" w:line="8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Separately, under Section 382 of the Internal Revenue Code of 1986, as amended (“Code”)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Similar rules may apply under state tax laws. We determined that an ownership change occurred on September 7, 2018, October 23, 2020, and in connection with our IPO on July 23, 2021. As of December 31, 2022, we had not experienced an ownership change subsequent to the ownership change on July 23, 2021. In addition, we may in the future experience ownership changes, as a result of changes in our stock ownership (some of which are not in our control). If an ownership change occurs, our ability to utilize our NOL carryforwards and other tax attributes to reduce future tax liabilities may be limited. Many states have provisions similar to Code Section 382. Annual limitations may result in the expiration of the state net operating loss carryforwards before utilization.</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7" w:name="page78"/>
    <w:bookmarkEnd w:id="77"/>
    <w:p>
      <w:pPr>
        <w:ind w:left="1020" w:hanging="503"/>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117" w:lineRule="exact"/>
        <w:rPr>
          <w:rFonts w:ascii="Arial" w:cs="Arial" w:eastAsia="Arial" w:hAnsi="Arial"/>
          <w:sz w:val="18"/>
          <w:szCs w:val="18"/>
          <w:color w:val="auto"/>
        </w:rPr>
      </w:pPr>
    </w:p>
    <w:p>
      <w:pPr>
        <w:ind w:left="1020" w:hanging="503"/>
        <w:spacing w:after="0" w:line="308" w:lineRule="auto"/>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Additionally, a tax authority may disagree with tax positions that we have taken, which could result in increased tax liabilities. For example,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 and regulations may have a material adverse effect on our business, financial condition and results of operations.</w:t>
      </w:r>
    </w:p>
    <w:p>
      <w:pPr>
        <w:spacing w:after="0" w:line="12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rules dealing with U.S. federal, state and local income taxation are constantly under review by the Internal Revenue Service, the U.S. Treasury Department and other governmental bodies.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financial condition, results of operations, and cash flow. We urge investors to consult with their legal and tax advisers regarding the implication of potential changes in tax laws on an investment in our common stock.</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6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We conduct business globally and file income tax returns in multiple jurisdictions. Our consolidated effective income tax rate could be materially adversely affected by several factors, including: changing tax laws, regulations and treaties, or the interpretation thereof; tax policy initiatives and reforms under consideration; the practices of tax authorities in jurisdictions in which we operate; the resolution of issues arising from tax audits or examinations and any related interest or penalties.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statement of financial position,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May 17, 2023, the Board approved a program for the repurchase by the Company of up to an aggregate of $50 million of its</w:t>
      </w:r>
    </w:p>
    <w:p>
      <w:pPr>
        <w:spacing w:after="0" w:line="2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outstanding common stock. During the three months ended June 30, 2023, the Company repurchased 125,782 shares of its outstanding common stock for a total cost of approximately $1.0 million at an average price per share of $7.78. The repurchase program was used to return capital to shareholders and to minimize the dilutive impact of stock options and other share-based awards. The repurchased shares of common stock were retired.</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33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July 2021, we issued and sold an aggregate of 13,949,401 shares of common stock in connection with our IPO, including the full exercise by the underwriters of their option to purchase an additional 2,184,695 shares from us, and the selling stockholders sold 2,799,929 shares of common stock, at a public offering price of $17.00 per share. All of the shares of common stock issued and sold in our IPO were registered under the Securities Act pursuant to a registration statement on Form S-1 (Registration No. 333-257663), which was declared effective by the SEC on July 22, 2021. There has been no material change in the use of proceeds from our IPO from those disclosed in the final prospectus for our IPO dated July 22, 2021 and filed with the SEC pursuant to Rule 424(b)(4) of the Securities Act on July 23, 2021.</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77" w:right="1440"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570"/>
              <w:spacing w:after="0"/>
              <w:rPr>
                <w:sz w:val="20"/>
                <w:szCs w:val="20"/>
                <w:color w:val="auto"/>
              </w:rPr>
            </w:pPr>
            <w:r>
              <w:rPr>
                <w:rFonts w:ascii="Arial" w:cs="Arial" w:eastAsia="Arial" w:hAnsi="Arial"/>
                <w:sz w:val="18"/>
                <w:szCs w:val="18"/>
                <w:b w:val="1"/>
                <w:bCs w:val="1"/>
                <w:color w:val="auto"/>
              </w:rPr>
              <w:t>4</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820" w:type="dxa"/>
            <w:vAlign w:val="bottom"/>
          </w:tcPr>
          <w:p>
            <w:pPr>
              <w:ind w:left="20"/>
              <w:spacing w:after="0"/>
              <w:rPr>
                <w:sz w:val="20"/>
                <w:szCs w:val="20"/>
                <w:color w:val="auto"/>
              </w:rPr>
            </w:pPr>
            <w:r>
              <w:rPr>
                <w:rFonts w:ascii="Arial" w:cs="Arial" w:eastAsia="Arial" w:hAnsi="Arial"/>
                <w:sz w:val="18"/>
                <w:szCs w:val="18"/>
                <w:b w:val="1"/>
                <w:bCs w:val="1"/>
                <w:color w:val="auto"/>
              </w:rPr>
              <w:t>ITEM 6.</w:t>
            </w:r>
          </w:p>
        </w:tc>
        <w:tc>
          <w:tcPr>
            <w:tcW w:w="140" w:type="dxa"/>
            <w:vAlign w:val="bottom"/>
          </w:tcPr>
          <w:p>
            <w:pPr>
              <w:spacing w:after="0"/>
              <w:rPr>
                <w:sz w:val="24"/>
                <w:szCs w:val="24"/>
                <w:color w:val="auto"/>
              </w:rPr>
            </w:pPr>
          </w:p>
        </w:tc>
        <w:tc>
          <w:tcPr>
            <w:tcW w:w="4480" w:type="dxa"/>
            <w:vAlign w:val="bottom"/>
            <w:gridSpan w:val="15"/>
          </w:tcPr>
          <w:p>
            <w:pPr>
              <w:ind w:left="160"/>
              <w:spacing w:after="0"/>
              <w:rPr>
                <w:sz w:val="20"/>
                <w:szCs w:val="20"/>
                <w:color w:val="auto"/>
              </w:rPr>
            </w:pPr>
            <w:r>
              <w:rPr>
                <w:rFonts w:ascii="Arial" w:cs="Arial" w:eastAsia="Arial" w:hAnsi="Arial"/>
                <w:sz w:val="18"/>
                <w:szCs w:val="18"/>
                <w:b w:val="1"/>
                <w:bCs w:val="1"/>
                <w:color w:val="auto"/>
              </w:rPr>
              <w:t>Exhibits</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Incorporated by Reference</w:t>
            </w:r>
          </w:p>
        </w:tc>
        <w:tc>
          <w:tcPr>
            <w:tcW w:w="116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r>
      <w:tr>
        <w:trPr>
          <w:trHeight w:val="205"/>
        </w:trPr>
        <w:tc>
          <w:tcPr>
            <w:tcW w:w="8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17"/>
                <w:szCs w:val="17"/>
                <w:color w:val="auto"/>
              </w:rPr>
            </w:pPr>
          </w:p>
        </w:tc>
        <w:tc>
          <w:tcPr>
            <w:tcW w:w="4480" w:type="dxa"/>
            <w:vAlign w:val="bottom"/>
            <w:gridSpan w:val="15"/>
          </w:tcPr>
          <w:p>
            <w:pPr>
              <w:ind w:left="1680"/>
              <w:spacing w:after="0" w:line="205" w:lineRule="exact"/>
              <w:rPr>
                <w:sz w:val="20"/>
                <w:szCs w:val="20"/>
                <w:color w:val="auto"/>
              </w:rPr>
            </w:pPr>
            <w:r>
              <w:rPr>
                <w:rFonts w:ascii="Arial" w:cs="Arial" w:eastAsia="Arial" w:hAnsi="Arial"/>
                <w:sz w:val="18"/>
                <w:szCs w:val="18"/>
                <w:b w:val="1"/>
                <w:bCs w:val="1"/>
                <w:color w:val="auto"/>
              </w:rPr>
              <w:t>Exhibit Title</w:t>
            </w:r>
          </w:p>
        </w:tc>
        <w:tc>
          <w:tcPr>
            <w:tcW w:w="880" w:type="dxa"/>
            <w:vAlign w:val="bottom"/>
          </w:tcPr>
          <w:p>
            <w:pPr>
              <w:jc w:val="center"/>
              <w:ind w:right="90"/>
              <w:spacing w:after="0" w:line="205" w:lineRule="exact"/>
              <w:rPr>
                <w:sz w:val="20"/>
                <w:szCs w:val="20"/>
                <w:color w:val="auto"/>
              </w:rPr>
            </w:pPr>
            <w:r>
              <w:rPr>
                <w:rFonts w:ascii="Arial" w:cs="Arial" w:eastAsia="Arial" w:hAnsi="Arial"/>
                <w:sz w:val="18"/>
                <w:szCs w:val="18"/>
                <w:b w:val="1"/>
                <w:bCs w:val="1"/>
                <w:color w:val="auto"/>
                <w:w w:val="93"/>
              </w:rPr>
              <w:t>Form</w:t>
            </w:r>
          </w:p>
        </w:tc>
        <w:tc>
          <w:tcPr>
            <w:tcW w:w="320" w:type="dxa"/>
            <w:vAlign w:val="bottom"/>
          </w:tcPr>
          <w:p>
            <w:pPr>
              <w:spacing w:after="0"/>
              <w:rPr>
                <w:sz w:val="17"/>
                <w:szCs w:val="17"/>
                <w:color w:val="auto"/>
              </w:rPr>
            </w:pPr>
          </w:p>
        </w:tc>
        <w:tc>
          <w:tcPr>
            <w:tcW w:w="7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2"/>
              </w:rPr>
              <w:t>File No.</w:t>
            </w:r>
          </w:p>
        </w:tc>
        <w:tc>
          <w:tcPr>
            <w:tcW w:w="1640" w:type="dxa"/>
            <w:vAlign w:val="bottom"/>
            <w:gridSpan w:val="3"/>
          </w:tcPr>
          <w:p>
            <w:pPr>
              <w:jc w:val="center"/>
              <w:ind w:left="330"/>
              <w:spacing w:after="0" w:line="205" w:lineRule="exact"/>
              <w:rPr>
                <w:sz w:val="20"/>
                <w:szCs w:val="20"/>
                <w:color w:val="auto"/>
              </w:rPr>
            </w:pPr>
            <w:r>
              <w:rPr>
                <w:rFonts w:ascii="Arial" w:cs="Arial" w:eastAsia="Arial" w:hAnsi="Arial"/>
                <w:sz w:val="18"/>
                <w:szCs w:val="18"/>
                <w:b w:val="1"/>
                <w:bCs w:val="1"/>
                <w:color w:val="auto"/>
                <w:w w:val="96"/>
              </w:rPr>
              <w:t>Exhibit</w:t>
            </w:r>
          </w:p>
        </w:tc>
        <w:tc>
          <w:tcPr>
            <w:tcW w:w="1160" w:type="dxa"/>
            <w:vAlign w:val="bottom"/>
          </w:tcPr>
          <w:p>
            <w:pPr>
              <w:ind w:left="300"/>
              <w:spacing w:after="0" w:line="205" w:lineRule="exact"/>
              <w:rPr>
                <w:sz w:val="20"/>
                <w:szCs w:val="20"/>
                <w:color w:val="auto"/>
              </w:rPr>
            </w:pPr>
            <w:r>
              <w:rPr>
                <w:rFonts w:ascii="Arial" w:cs="Arial" w:eastAsia="Arial" w:hAnsi="Arial"/>
                <w:sz w:val="18"/>
                <w:szCs w:val="18"/>
                <w:b w:val="1"/>
                <w:bCs w:val="1"/>
                <w:color w:val="auto"/>
              </w:rPr>
              <w:t>Filing</w:t>
            </w:r>
          </w:p>
        </w:tc>
        <w:tc>
          <w:tcPr>
            <w:tcW w:w="10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Filed</w:t>
            </w:r>
          </w:p>
        </w:tc>
      </w:tr>
      <w:tr>
        <w:trPr>
          <w:trHeight w:val="241"/>
        </w:trPr>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189"/>
        </w:trPr>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6"/>
                <w:szCs w:val="16"/>
                <w:color w:val="auto"/>
              </w:rPr>
            </w:pPr>
          </w:p>
        </w:tc>
        <w:tc>
          <w:tcPr>
            <w:tcW w:w="3700" w:type="dxa"/>
            <w:vAlign w:val="bottom"/>
            <w:gridSpan w:val="5"/>
          </w:tcPr>
          <w:p>
            <w:pPr>
              <w:spacing w:after="0" w:line="189" w:lineRule="exact"/>
              <w:rPr>
                <w:rFonts w:ascii="Arial" w:cs="Arial" w:eastAsia="Arial" w:hAnsi="Arial"/>
                <w:sz w:val="18"/>
                <w:szCs w:val="18"/>
                <w:color w:val="0000FF"/>
                <w:w w:val="90"/>
              </w:rPr>
            </w:pPr>
            <w:hyperlink r:id="rId265">
              <w:r>
                <w:rPr>
                  <w:rFonts w:ascii="Arial" w:cs="Arial" w:eastAsia="Arial" w:hAnsi="Arial"/>
                  <w:sz w:val="18"/>
                  <w:szCs w:val="18"/>
                  <w:color w:val="0000FF"/>
                  <w:w w:val="90"/>
                </w:rPr>
                <w:t>Amended and Restated Certificate of Incorporation</w:t>
              </w:r>
            </w:hyperlink>
          </w:p>
        </w:tc>
        <w:tc>
          <w:tcPr>
            <w:tcW w:w="640" w:type="dxa"/>
            <w:vAlign w:val="bottom"/>
            <w:gridSpan w:val="7"/>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99"/>
              </w:rPr>
              <w:t>8-K</w:t>
            </w:r>
          </w:p>
        </w:tc>
        <w:tc>
          <w:tcPr>
            <w:tcW w:w="320" w:type="dxa"/>
            <w:vAlign w:val="bottom"/>
          </w:tcPr>
          <w:p>
            <w:pPr>
              <w:spacing w:after="0"/>
              <w:rPr>
                <w:sz w:val="16"/>
                <w:szCs w:val="16"/>
                <w:color w:val="auto"/>
              </w:rPr>
            </w:pPr>
          </w:p>
        </w:tc>
        <w:tc>
          <w:tcPr>
            <w:tcW w:w="780" w:type="dxa"/>
            <w:vAlign w:val="bottom"/>
          </w:tcPr>
          <w:p>
            <w:pPr>
              <w:jc w:val="center"/>
              <w:spacing w:after="0" w:line="189" w:lineRule="exact"/>
              <w:rPr>
                <w:rFonts w:ascii="Arial" w:cs="Arial" w:eastAsia="Arial" w:hAnsi="Arial"/>
                <w:sz w:val="18"/>
                <w:szCs w:val="18"/>
                <w:color w:val="0000FF"/>
                <w:w w:val="90"/>
              </w:rPr>
            </w:pPr>
            <w:hyperlink r:id="rId265">
              <w:r>
                <w:rPr>
                  <w:rFonts w:ascii="Arial" w:cs="Arial" w:eastAsia="Arial" w:hAnsi="Arial"/>
                  <w:sz w:val="18"/>
                  <w:szCs w:val="18"/>
                  <w:color w:val="0000FF"/>
                  <w:w w:val="90"/>
                </w:rPr>
                <w:t>001-40632</w:t>
              </w:r>
            </w:hyperlink>
          </w:p>
        </w:tc>
        <w:tc>
          <w:tcPr>
            <w:tcW w:w="1140" w:type="dxa"/>
            <w:vAlign w:val="bottom"/>
            <w:gridSpan w:val="2"/>
          </w:tcPr>
          <w:p>
            <w:pPr>
              <w:jc w:val="center"/>
              <w:ind w:left="830"/>
              <w:spacing w:after="0" w:line="189" w:lineRule="exact"/>
              <w:rPr>
                <w:rFonts w:ascii="Arial" w:cs="Arial" w:eastAsia="Arial" w:hAnsi="Arial"/>
                <w:sz w:val="18"/>
                <w:szCs w:val="18"/>
                <w:color w:val="0000FF"/>
                <w:w w:val="87"/>
              </w:rPr>
            </w:pPr>
            <w:hyperlink r:id="rId265">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500" w:type="dxa"/>
            <w:vAlign w:val="bottom"/>
          </w:tcPr>
          <w:p>
            <w:pPr>
              <w:spacing w:after="0"/>
              <w:rPr>
                <w:sz w:val="16"/>
                <w:szCs w:val="16"/>
                <w:color w:val="auto"/>
              </w:rPr>
            </w:pPr>
          </w:p>
        </w:tc>
        <w:tc>
          <w:tcPr>
            <w:tcW w:w="1160" w:type="dxa"/>
            <w:vAlign w:val="bottom"/>
          </w:tcPr>
          <w:p>
            <w:pPr>
              <w:ind w:left="320"/>
              <w:spacing w:after="0" w:line="189" w:lineRule="exact"/>
              <w:rPr>
                <w:sz w:val="20"/>
                <w:szCs w:val="20"/>
                <w:color w:val="auto"/>
              </w:rPr>
            </w:pPr>
            <w:r>
              <w:rPr>
                <w:rFonts w:ascii="Arial" w:cs="Arial" w:eastAsia="Arial" w:hAnsi="Arial"/>
                <w:sz w:val="18"/>
                <w:szCs w:val="18"/>
                <w:color w:val="auto"/>
                <w:w w:val="90"/>
              </w:rPr>
              <w:t>07/27/2021</w:t>
            </w:r>
          </w:p>
        </w:tc>
        <w:tc>
          <w:tcPr>
            <w:tcW w:w="1020" w:type="dxa"/>
            <w:vAlign w:val="bottom"/>
          </w:tcPr>
          <w:p>
            <w:pPr>
              <w:spacing w:after="0"/>
              <w:rPr>
                <w:sz w:val="16"/>
                <w:szCs w:val="16"/>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8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19"/>
                <w:szCs w:val="19"/>
                <w:color w:val="auto"/>
              </w:rPr>
            </w:pPr>
          </w:p>
        </w:tc>
        <w:tc>
          <w:tcPr>
            <w:tcW w:w="2260" w:type="dxa"/>
            <w:vAlign w:val="bottom"/>
            <w:gridSpan w:val="2"/>
          </w:tcPr>
          <w:p>
            <w:pPr>
              <w:spacing w:after="0"/>
              <w:rPr>
                <w:rFonts w:ascii="Arial" w:cs="Arial" w:eastAsia="Arial" w:hAnsi="Arial"/>
                <w:sz w:val="18"/>
                <w:szCs w:val="18"/>
                <w:color w:val="0000FF"/>
                <w:w w:val="89"/>
              </w:rPr>
            </w:pPr>
            <w:hyperlink r:id="rId266">
              <w:r>
                <w:rPr>
                  <w:rFonts w:ascii="Arial" w:cs="Arial" w:eastAsia="Arial" w:hAnsi="Arial"/>
                  <w:sz w:val="18"/>
                  <w:szCs w:val="18"/>
                  <w:color w:val="0000FF"/>
                  <w:w w:val="89"/>
                </w:rPr>
                <w:t>Amended and Restated Bylaws</w:t>
              </w:r>
            </w:hyperlink>
          </w:p>
        </w:tc>
        <w:tc>
          <w:tcPr>
            <w:tcW w:w="1440" w:type="dxa"/>
            <w:vAlign w:val="bottom"/>
            <w:gridSpan w:val="3"/>
          </w:tcPr>
          <w:p>
            <w:pPr>
              <w:spacing w:after="0"/>
              <w:rPr>
                <w:sz w:val="19"/>
                <w:szCs w:val="19"/>
                <w:color w:val="auto"/>
              </w:rPr>
            </w:pPr>
          </w:p>
        </w:tc>
        <w:tc>
          <w:tcPr>
            <w:tcW w:w="780" w:type="dxa"/>
            <w:vAlign w:val="bottom"/>
            <w:gridSpan w:val="10"/>
          </w:tcPr>
          <w:p>
            <w:pPr>
              <w:spacing w:after="0"/>
              <w:rPr>
                <w:sz w:val="19"/>
                <w:szCs w:val="19"/>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320" w:type="dxa"/>
            <w:vAlign w:val="bottom"/>
          </w:tcPr>
          <w:p>
            <w:pPr>
              <w:spacing w:after="0"/>
              <w:rPr>
                <w:sz w:val="19"/>
                <w:szCs w:val="19"/>
                <w:color w:val="auto"/>
              </w:rPr>
            </w:pPr>
          </w:p>
        </w:tc>
        <w:tc>
          <w:tcPr>
            <w:tcW w:w="780" w:type="dxa"/>
            <w:vAlign w:val="bottom"/>
          </w:tcPr>
          <w:p>
            <w:pPr>
              <w:jc w:val="center"/>
              <w:spacing w:after="0"/>
              <w:rPr>
                <w:rFonts w:ascii="Arial" w:cs="Arial" w:eastAsia="Arial" w:hAnsi="Arial"/>
                <w:sz w:val="18"/>
                <w:szCs w:val="18"/>
                <w:color w:val="0000FF"/>
                <w:w w:val="90"/>
              </w:rPr>
            </w:pPr>
            <w:hyperlink r:id="rId266">
              <w:r>
                <w:rPr>
                  <w:rFonts w:ascii="Arial" w:cs="Arial" w:eastAsia="Arial" w:hAnsi="Arial"/>
                  <w:sz w:val="18"/>
                  <w:szCs w:val="18"/>
                  <w:color w:val="0000FF"/>
                  <w:w w:val="90"/>
                </w:rPr>
                <w:t>001-40632</w:t>
              </w:r>
            </w:hyperlink>
          </w:p>
        </w:tc>
        <w:tc>
          <w:tcPr>
            <w:tcW w:w="1140" w:type="dxa"/>
            <w:vAlign w:val="bottom"/>
            <w:gridSpan w:val="2"/>
          </w:tcPr>
          <w:p>
            <w:pPr>
              <w:jc w:val="center"/>
              <w:ind w:left="830"/>
              <w:spacing w:after="0"/>
              <w:rPr>
                <w:rFonts w:ascii="Arial" w:cs="Arial" w:eastAsia="Arial" w:hAnsi="Arial"/>
                <w:sz w:val="18"/>
                <w:szCs w:val="18"/>
                <w:color w:val="0000FF"/>
                <w:w w:val="87"/>
              </w:rPr>
            </w:pPr>
            <w:hyperlink r:id="rId266">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500" w:type="dxa"/>
            <w:vAlign w:val="bottom"/>
          </w:tcPr>
          <w:p>
            <w:pPr>
              <w:spacing w:after="0"/>
              <w:rPr>
                <w:sz w:val="19"/>
                <w:szCs w:val="19"/>
                <w:color w:val="auto"/>
              </w:rPr>
            </w:pPr>
          </w:p>
        </w:tc>
        <w:tc>
          <w:tcPr>
            <w:tcW w:w="1160" w:type="dxa"/>
            <w:vAlign w:val="bottom"/>
          </w:tcPr>
          <w:p>
            <w:pPr>
              <w:ind w:left="320"/>
              <w:spacing w:after="0"/>
              <w:rPr>
                <w:sz w:val="20"/>
                <w:szCs w:val="20"/>
                <w:color w:val="auto"/>
              </w:rPr>
            </w:pPr>
            <w:r>
              <w:rPr>
                <w:rFonts w:ascii="Arial" w:cs="Arial" w:eastAsia="Arial" w:hAnsi="Arial"/>
                <w:sz w:val="18"/>
                <w:szCs w:val="18"/>
                <w:color w:val="auto"/>
                <w:w w:val="90"/>
              </w:rPr>
              <w:t>07/27/2021</w:t>
            </w:r>
          </w:p>
        </w:tc>
        <w:tc>
          <w:tcPr>
            <w:tcW w:w="1020" w:type="dxa"/>
            <w:vAlign w:val="bottom"/>
          </w:tcPr>
          <w:p>
            <w:pPr>
              <w:spacing w:after="0"/>
              <w:rPr>
                <w:sz w:val="19"/>
                <w:szCs w:val="19"/>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82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40" w:type="dxa"/>
            <w:vAlign w:val="bottom"/>
          </w:tcPr>
          <w:p>
            <w:pPr>
              <w:spacing w:after="0"/>
              <w:rPr>
                <w:sz w:val="19"/>
                <w:szCs w:val="19"/>
                <w:color w:val="auto"/>
              </w:rPr>
            </w:pPr>
          </w:p>
        </w:tc>
        <w:tc>
          <w:tcPr>
            <w:tcW w:w="40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4"/>
              </w:rPr>
              <w:t>Certification of Principal Executive Officer required by</w:t>
            </w:r>
          </w:p>
        </w:tc>
        <w:tc>
          <w:tcPr>
            <w:tcW w:w="440" w:type="dxa"/>
            <w:vAlign w:val="bottom"/>
            <w:gridSpan w:val="6"/>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4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0"/>
              </w:rPr>
              <w:t>Rules 13a-14(a) and 15d-14(a) under the Securities</w:t>
            </w:r>
          </w:p>
        </w:tc>
        <w:tc>
          <w:tcPr>
            <w:tcW w:w="740" w:type="dxa"/>
            <w:vAlign w:val="bottom"/>
            <w:gridSpan w:val="9"/>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90"/>
              </w:rPr>
              <w:t>Exchange Act of 1934, as adopted pursuant to Section 302</w:t>
            </w:r>
          </w:p>
        </w:tc>
        <w:tc>
          <w:tcPr>
            <w:tcW w:w="22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of the Sarbanes-Oxley Act of 2002.</w:t>
            </w:r>
          </w:p>
        </w:tc>
        <w:tc>
          <w:tcPr>
            <w:tcW w:w="1920" w:type="dxa"/>
            <w:vAlign w:val="bottom"/>
            <w:gridSpan w:val="11"/>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3"/>
        </w:trPr>
        <w:tc>
          <w:tcPr>
            <w:tcW w:w="82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40" w:type="dxa"/>
            <w:vAlign w:val="bottom"/>
          </w:tcPr>
          <w:p>
            <w:pPr>
              <w:spacing w:after="0"/>
              <w:rPr>
                <w:sz w:val="19"/>
                <w:szCs w:val="19"/>
                <w:color w:val="auto"/>
              </w:rPr>
            </w:pPr>
          </w:p>
        </w:tc>
        <w:tc>
          <w:tcPr>
            <w:tcW w:w="43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4"/>
              </w:rPr>
              <w:t>Certification of Principal Financial Officer required by Rule</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60" w:type="dxa"/>
            <w:vAlign w:val="bottom"/>
            <w:tcBorders>
              <w:bottom w:val="single" w:sz="8" w:color="0000FF"/>
            </w:tcBorders>
            <w:gridSpan w:val="13"/>
          </w:tcPr>
          <w:p>
            <w:pPr>
              <w:spacing w:after="0" w:line="196" w:lineRule="exact"/>
              <w:rPr>
                <w:sz w:val="20"/>
                <w:szCs w:val="20"/>
                <w:color w:val="auto"/>
              </w:rPr>
            </w:pPr>
            <w:r>
              <w:rPr>
                <w:rFonts w:ascii="Arial" w:cs="Arial" w:eastAsia="Arial" w:hAnsi="Arial"/>
                <w:sz w:val="18"/>
                <w:szCs w:val="18"/>
                <w:color w:val="0000FF"/>
                <w:w w:val="91"/>
              </w:rPr>
              <w:t>13a-14(a) or Rule 15d-14(a) of the Securities Exchange Act</w:t>
            </w:r>
          </w:p>
        </w:tc>
        <w:tc>
          <w:tcPr>
            <w:tcW w:w="1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0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0"/>
              </w:rPr>
              <w:t>of 1934, as adopted pursuant to Section 302 of the</w:t>
            </w:r>
          </w:p>
        </w:tc>
        <w:tc>
          <w:tcPr>
            <w:tcW w:w="780" w:type="dxa"/>
            <w:vAlign w:val="bottom"/>
            <w:gridSpan w:val="10"/>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0"/>
              </w:rPr>
              <w:t>Sarbanes-Oxley Act of 2002.</w:t>
            </w:r>
          </w:p>
        </w:tc>
        <w:tc>
          <w:tcPr>
            <w:tcW w:w="2380" w:type="dxa"/>
            <w:vAlign w:val="bottom"/>
            <w:gridSpan w:val="14"/>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3"/>
        </w:trPr>
        <w:tc>
          <w:tcPr>
            <w:tcW w:w="82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140" w:type="dxa"/>
            <w:vAlign w:val="bottom"/>
          </w:tcPr>
          <w:p>
            <w:pPr>
              <w:spacing w:after="0"/>
              <w:rPr>
                <w:sz w:val="19"/>
                <w:szCs w:val="19"/>
                <w:color w:val="auto"/>
              </w:rPr>
            </w:pPr>
          </w:p>
        </w:tc>
        <w:tc>
          <w:tcPr>
            <w:tcW w:w="40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4"/>
              </w:rPr>
              <w:t>Certification of Chief Executive Officer pursuant to 18</w:t>
            </w:r>
          </w:p>
        </w:tc>
        <w:tc>
          <w:tcPr>
            <w:tcW w:w="480" w:type="dxa"/>
            <w:vAlign w:val="bottom"/>
            <w:gridSpan w:val="7"/>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tcBorders>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0"/>
              </w:rPr>
              <w:t>U.S.C. Section 1350, as adopted pursuant to Section 906 of</w:t>
            </w:r>
          </w:p>
        </w:tc>
        <w:tc>
          <w:tcPr>
            <w:tcW w:w="16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gridSpan w:val="15"/>
          </w:tcPr>
          <w:p>
            <w:pPr>
              <w:spacing w:after="0" w:line="196" w:lineRule="exact"/>
              <w:rPr>
                <w:sz w:val="20"/>
                <w:szCs w:val="20"/>
                <w:color w:val="auto"/>
              </w:rPr>
            </w:pPr>
            <w:r>
              <w:rPr>
                <w:rFonts w:ascii="Arial" w:cs="Arial" w:eastAsia="Arial" w:hAnsi="Arial"/>
                <w:sz w:val="18"/>
                <w:szCs w:val="18"/>
                <w:color w:val="0000FF"/>
              </w:rPr>
              <w:t>the Sarbanes-Oxley Act of 2002.*</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820" w:type="dxa"/>
            <w:vAlign w:val="bottom"/>
          </w:tcPr>
          <w:p>
            <w:pPr>
              <w:jc w:val="center"/>
              <w:spacing w:after="0"/>
              <w:rPr>
                <w:sz w:val="20"/>
                <w:szCs w:val="20"/>
                <w:color w:val="auto"/>
              </w:rPr>
            </w:pPr>
            <w:r>
              <w:rPr>
                <w:rFonts w:ascii="Arial" w:cs="Arial" w:eastAsia="Arial" w:hAnsi="Arial"/>
                <w:sz w:val="18"/>
                <w:szCs w:val="18"/>
                <w:color w:val="auto"/>
                <w:w w:val="99"/>
              </w:rPr>
              <w:t>32.2*</w:t>
            </w:r>
          </w:p>
        </w:tc>
        <w:tc>
          <w:tcPr>
            <w:tcW w:w="140" w:type="dxa"/>
            <w:vAlign w:val="bottom"/>
          </w:tcPr>
          <w:p>
            <w:pPr>
              <w:spacing w:after="0"/>
              <w:rPr>
                <w:sz w:val="19"/>
                <w:szCs w:val="19"/>
                <w:color w:val="auto"/>
              </w:rPr>
            </w:pPr>
          </w:p>
        </w:tc>
        <w:tc>
          <w:tcPr>
            <w:tcW w:w="39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3"/>
              </w:rPr>
              <w:t>Certification of Chief Financial Officer pursuant to 18</w:t>
            </w:r>
          </w:p>
        </w:tc>
        <w:tc>
          <w:tcPr>
            <w:tcW w:w="540" w:type="dxa"/>
            <w:vAlign w:val="bottom"/>
            <w:gridSpan w:val="8"/>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tcBorders>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0"/>
              </w:rPr>
              <w:t>U.S.C. Section 1350, as adopted pursuant to Section 906 of</w:t>
            </w:r>
          </w:p>
        </w:tc>
        <w:tc>
          <w:tcPr>
            <w:tcW w:w="16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gridSpan w:val="15"/>
          </w:tcPr>
          <w:p>
            <w:pPr>
              <w:spacing w:after="0" w:line="196" w:lineRule="exact"/>
              <w:rPr>
                <w:sz w:val="20"/>
                <w:szCs w:val="20"/>
                <w:color w:val="auto"/>
              </w:rPr>
            </w:pPr>
            <w:r>
              <w:rPr>
                <w:rFonts w:ascii="Arial" w:cs="Arial" w:eastAsia="Arial" w:hAnsi="Arial"/>
                <w:sz w:val="18"/>
                <w:szCs w:val="18"/>
                <w:color w:val="0000FF"/>
              </w:rPr>
              <w:t>the Sarbanes-Oxley Act of 2002.*</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2040" w:type="dxa"/>
            <w:vAlign w:val="bottom"/>
            <w:gridSpan w:val="1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49"/>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101.INS</w:t>
            </w:r>
          </w:p>
        </w:tc>
        <w:tc>
          <w:tcPr>
            <w:tcW w:w="140" w:type="dxa"/>
            <w:vAlign w:val="bottom"/>
          </w:tcPr>
          <w:p>
            <w:pPr>
              <w:spacing w:after="0"/>
              <w:rPr>
                <w:sz w:val="21"/>
                <w:szCs w:val="21"/>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auto"/>
                <w:w w:val="97"/>
              </w:rPr>
              <w:t>Inline XBRL Instance Document – the instance document</w:t>
            </w: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auto"/>
                <w:w w:val="95"/>
              </w:rPr>
              <w:t>does not appear in the Interactive Data File because XBRL</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auto"/>
              </w:rPr>
              <w:t>tags are embedded within the Inline XBRL document.</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86"/>
        </w:trPr>
        <w:tc>
          <w:tcPr>
            <w:tcW w:w="82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40" w:type="dxa"/>
            <w:vAlign w:val="bottom"/>
          </w:tcPr>
          <w:p>
            <w:pPr>
              <w:spacing w:after="0"/>
              <w:rPr>
                <w:sz w:val="24"/>
                <w:szCs w:val="24"/>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72"/>
        </w:trPr>
        <w:tc>
          <w:tcPr>
            <w:tcW w:w="82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140" w:type="dxa"/>
            <w:vAlign w:val="bottom"/>
          </w:tcPr>
          <w:p>
            <w:pPr>
              <w:spacing w:after="0"/>
              <w:rPr>
                <w:sz w:val="24"/>
                <w:szCs w:val="24"/>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30"/>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72"/>
        </w:trPr>
        <w:tc>
          <w:tcPr>
            <w:tcW w:w="82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40" w:type="dxa"/>
            <w:vAlign w:val="bottom"/>
          </w:tcPr>
          <w:p>
            <w:pPr>
              <w:spacing w:after="0"/>
              <w:rPr>
                <w:sz w:val="24"/>
                <w:szCs w:val="24"/>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30"/>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4"/>
        </w:trPr>
        <w:tc>
          <w:tcPr>
            <w:tcW w:w="82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140" w:type="dxa"/>
            <w:vAlign w:val="bottom"/>
          </w:tcPr>
          <w:p>
            <w:pPr>
              <w:spacing w:after="0"/>
              <w:rPr>
                <w:sz w:val="24"/>
                <w:szCs w:val="24"/>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30"/>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72"/>
        </w:trPr>
        <w:tc>
          <w:tcPr>
            <w:tcW w:w="82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140" w:type="dxa"/>
            <w:vAlign w:val="bottom"/>
          </w:tcPr>
          <w:p>
            <w:pPr>
              <w:spacing w:after="0"/>
              <w:rPr>
                <w:sz w:val="24"/>
                <w:szCs w:val="24"/>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auto"/>
                <w:w w:val="98"/>
              </w:rPr>
              <w:t>Inline XBRL Taxonomy Extension Presentation Linkbase</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30"/>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72"/>
        </w:trPr>
        <w:tc>
          <w:tcPr>
            <w:tcW w:w="82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40" w:type="dxa"/>
            <w:vAlign w:val="bottom"/>
          </w:tcPr>
          <w:p>
            <w:pPr>
              <w:spacing w:after="0"/>
              <w:rPr>
                <w:sz w:val="24"/>
                <w:szCs w:val="24"/>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auto"/>
              </w:rPr>
              <w:t>Cover Page Interactive Data File (formatted as inline</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30"/>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auto"/>
              </w:rPr>
              <w:t>XBRL and contained in Exhibits 101).</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______________________________________</w:t>
      </w:r>
    </w:p>
    <w:p>
      <w:pPr>
        <w:spacing w:after="0" w:line="116" w:lineRule="exact"/>
        <w:rPr>
          <w:sz w:val="20"/>
          <w:szCs w:val="20"/>
          <w:color w:val="auto"/>
        </w:rPr>
      </w:pPr>
    </w:p>
    <w:p>
      <w:pPr>
        <w:jc w:val="both"/>
        <w:ind w:firstLine="8"/>
        <w:spacing w:after="0" w:line="259" w:lineRule="auto"/>
        <w:tabs>
          <w:tab w:leader="none" w:pos="13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contemplated by SEC Release No. 33-8212, these exhibits are furnished with this Quarterly Report on Form 10-Q and are not deemed filed with the SEC and are not incorporated by reference in any filing of Cytek Biosciences, Inc. under the Securities Act of 1933, as amended, or the Securities Exchange Act of 1934, as amended, whether made before or after the date hereof and irrespective of any general incorporation language contained in such filings.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Cytek Biosciences, Inc.</w:t>
      </w:r>
    </w:p>
    <w:p>
      <w:pPr>
        <w:spacing w:after="0" w:line="283" w:lineRule="exact"/>
        <w:rPr>
          <w:sz w:val="20"/>
          <w:szCs w:val="20"/>
          <w:color w:val="auto"/>
        </w:rPr>
      </w:pPr>
    </w:p>
    <w:p>
      <w:pPr>
        <w:ind w:left="20"/>
        <w:spacing w:after="0"/>
        <w:tabs>
          <w:tab w:leader="none" w:pos="5320" w:val="left"/>
          <w:tab w:leader="none" w:pos="786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Wenbin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23495</wp:posOffset>
            </wp:positionV>
            <wp:extent cx="35236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3523615" cy="8255"/>
                    </a:xfrm>
                    <a:prstGeom prst="rect">
                      <a:avLst/>
                    </a:prstGeom>
                    <a:noFill/>
                  </pic:spPr>
                </pic:pic>
              </a:graphicData>
            </a:graphic>
          </wp:anchor>
        </w:drawing>
      </w:r>
    </w:p>
    <w:p>
      <w:pPr>
        <w:spacing w:after="0" w:line="30"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Wenbin Jiang, Ph.D.</w:t>
      </w:r>
    </w:p>
    <w:p>
      <w:pPr>
        <w:spacing w:after="0" w:line="3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5320" w:val="left"/>
          <w:tab w:leader="none" w:pos="770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Patrik Jeanmonod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23495</wp:posOffset>
            </wp:positionV>
            <wp:extent cx="35236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3523615" cy="8255"/>
                    </a:xfrm>
                    <a:prstGeom prst="rect">
                      <a:avLst/>
                    </a:prstGeom>
                    <a:noFill/>
                  </pic:spPr>
                </pic:pic>
              </a:graphicData>
            </a:graphic>
          </wp:anchor>
        </w:drawing>
      </w:r>
    </w:p>
    <w:p>
      <w:pPr>
        <w:spacing w:after="0" w:line="30"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Patrik Jeanmonod</w:t>
      </w:r>
    </w:p>
    <w:p>
      <w:pPr>
        <w:spacing w:after="0" w:line="3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Wenbin Jiang, Ph.D., certify that:</w:t>
      </w:r>
    </w:p>
    <w:p>
      <w:pPr>
        <w:spacing w:after="0" w:line="9"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Cytek Biosciences, Inc.;</w:t>
      </w:r>
    </w:p>
    <w:p>
      <w:pPr>
        <w:spacing w:after="0" w:line="9" w:lineRule="exact"/>
        <w:rPr>
          <w:rFonts w:ascii="Arial" w:cs="Arial" w:eastAsia="Arial" w:hAnsi="Arial"/>
          <w:sz w:val="18"/>
          <w:szCs w:val="18"/>
          <w:color w:val="auto"/>
        </w:rPr>
      </w:pPr>
    </w:p>
    <w:p>
      <w:pPr>
        <w:ind w:right="260" w:firstLine="8"/>
        <w:spacing w:after="0" w:line="281" w:lineRule="auto"/>
        <w:tabs>
          <w:tab w:leader="none" w:pos="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540" w:firstLine="8"/>
        <w:spacing w:after="0" w:line="265" w:lineRule="auto"/>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20" w:firstLine="8"/>
        <w:spacing w:after="0" w:line="255" w:lineRule="auto"/>
        <w:tabs>
          <w:tab w:leader="none" w:pos="17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spacing w:after="0" w:line="81" w:lineRule="exact"/>
        <w:rPr>
          <w:rFonts w:ascii="Arial" w:cs="Arial" w:eastAsia="Arial" w:hAnsi="Arial"/>
          <w:sz w:val="18"/>
          <w:szCs w:val="18"/>
          <w:color w:val="auto"/>
        </w:rPr>
      </w:pPr>
    </w:p>
    <w:p>
      <w:pPr>
        <w:ind w:left="760" w:right="280" w:hanging="378"/>
        <w:spacing w:after="0" w:line="263" w:lineRule="auto"/>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760" w:right="600" w:hanging="378"/>
        <w:spacing w:after="0" w:line="263" w:lineRule="auto"/>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760" w:right="760" w:hanging="378"/>
        <w:spacing w:after="0" w:line="342" w:lineRule="auto"/>
        <w:tabs>
          <w:tab w:leader="none" w:pos="7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760" w:right="280" w:hanging="378"/>
        <w:spacing w:after="0" w:line="255" w:lineRule="auto"/>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right="480" w:firstLine="8"/>
        <w:spacing w:after="0" w:line="290" w:lineRule="auto"/>
        <w:tabs>
          <w:tab w:leader="none" w:pos="177"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Arial" w:cs="Arial" w:eastAsia="Arial" w:hAnsi="Arial"/>
          <w:sz w:val="17"/>
          <w:szCs w:val="17"/>
          <w:color w:val="auto"/>
        </w:rPr>
      </w:pPr>
    </w:p>
    <w:p>
      <w:pPr>
        <w:ind w:left="760" w:right="180" w:hanging="378"/>
        <w:spacing w:after="0" w:line="277" w:lineRule="auto"/>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60" w:right="140" w:hanging="378"/>
        <w:spacing w:after="0" w:line="277" w:lineRule="auto"/>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20"/>
                <w:szCs w:val="20"/>
                <w:color w:val="auto"/>
              </w:rPr>
            </w:pPr>
            <w:r>
              <w:rPr>
                <w:rFonts w:ascii="Arial" w:cs="Arial" w:eastAsia="Arial" w:hAnsi="Arial"/>
                <w:sz w:val="18"/>
                <w:szCs w:val="18"/>
                <w:color w:val="auto"/>
              </w:rPr>
              <w:t>Date: August 8, 2023</w:t>
            </w:r>
          </w:p>
        </w:tc>
        <w:tc>
          <w:tcPr>
            <w:tcW w:w="1480" w:type="dxa"/>
            <w:vAlign w:val="bottom"/>
          </w:tcPr>
          <w:p>
            <w:pPr>
              <w:ind w:left="1020"/>
              <w:spacing w:after="0"/>
              <w:rPr>
                <w:sz w:val="20"/>
                <w:szCs w:val="20"/>
                <w:color w:val="auto"/>
              </w:rPr>
            </w:pPr>
            <w:r>
              <w:rPr>
                <w:rFonts w:ascii="Arial" w:cs="Arial" w:eastAsia="Arial" w:hAnsi="Arial"/>
                <w:sz w:val="18"/>
                <w:szCs w:val="18"/>
                <w:color w:val="auto"/>
              </w:rPr>
              <w:t>By:</w:t>
            </w:r>
          </w:p>
        </w:tc>
        <w:tc>
          <w:tcPr>
            <w:tcW w:w="7180" w:type="dxa"/>
            <w:vAlign w:val="bottom"/>
            <w:gridSpan w:val="3"/>
          </w:tcPr>
          <w:p>
            <w:pPr>
              <w:ind w:left="220"/>
              <w:spacing w:after="0"/>
              <w:rPr>
                <w:sz w:val="20"/>
                <w:szCs w:val="20"/>
                <w:color w:val="auto"/>
              </w:rPr>
            </w:pPr>
            <w:r>
              <w:rPr>
                <w:rFonts w:ascii="Arial" w:cs="Arial" w:eastAsia="Arial" w:hAnsi="Arial"/>
                <w:sz w:val="18"/>
                <w:szCs w:val="18"/>
                <w:color w:val="auto"/>
              </w:rPr>
              <w:t>/s/ Wenbin Jiang, Ph.D.</w:t>
            </w:r>
          </w:p>
        </w:tc>
      </w:tr>
      <w:tr>
        <w:trPr>
          <w:trHeight w:val="20"/>
        </w:trPr>
        <w:tc>
          <w:tcPr>
            <w:tcW w:w="2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r>
        <w:trPr>
          <w:trHeight w:val="222"/>
        </w:trPr>
        <w:tc>
          <w:tcPr>
            <w:tcW w:w="2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960" w:type="dxa"/>
            <w:vAlign w:val="bottom"/>
            <w:gridSpan w:val="2"/>
          </w:tcPr>
          <w:p>
            <w:pPr>
              <w:ind w:left="740"/>
              <w:spacing w:after="0"/>
              <w:rPr>
                <w:sz w:val="20"/>
                <w:szCs w:val="20"/>
                <w:color w:val="auto"/>
              </w:rPr>
            </w:pPr>
            <w:r>
              <w:rPr>
                <w:rFonts w:ascii="Arial" w:cs="Arial" w:eastAsia="Arial" w:hAnsi="Arial"/>
                <w:sz w:val="18"/>
                <w:szCs w:val="18"/>
                <w:color w:val="auto"/>
              </w:rPr>
              <w:t>Wenbin Jiang, Ph.D.</w:t>
            </w:r>
          </w:p>
        </w:tc>
      </w:tr>
      <w:tr>
        <w:trPr>
          <w:trHeight w:val="216"/>
        </w:trPr>
        <w:tc>
          <w:tcPr>
            <w:tcW w:w="2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60" w:type="dxa"/>
            <w:vAlign w:val="bottom"/>
            <w:gridSpan w:val="2"/>
          </w:tcPr>
          <w:p>
            <w:pPr>
              <w:ind w:left="74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960" w:type="dxa"/>
            <w:vAlign w:val="bottom"/>
            <w:gridSpan w:val="2"/>
          </w:tcPr>
          <w:p>
            <w:pPr>
              <w:ind w:left="740"/>
              <w:spacing w:after="0"/>
              <w:rPr>
                <w:sz w:val="20"/>
                <w:szCs w:val="20"/>
                <w:color w:val="auto"/>
              </w:rPr>
            </w:pPr>
            <w:r>
              <w:rPr>
                <w:rFonts w:ascii="Arial" w:cs="Arial" w:eastAsia="Arial" w:hAnsi="Arial"/>
                <w:sz w:val="18"/>
                <w:szCs w:val="18"/>
                <w:color w:val="auto"/>
              </w:rPr>
              <w:t>(Principal Executive Officer)</w:t>
            </w:r>
          </w:p>
        </w:tc>
      </w:tr>
      <w:tr>
        <w:trPr>
          <w:trHeight w:val="331"/>
        </w:trPr>
        <w:tc>
          <w:tcPr>
            <w:tcW w:w="25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Patrik Jeanmonod, certify that:</w:t>
      </w:r>
    </w:p>
    <w:p>
      <w:pPr>
        <w:spacing w:after="0" w:line="9"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Cytek Biosciences, Inc.;</w:t>
      </w:r>
    </w:p>
    <w:p>
      <w:pPr>
        <w:spacing w:after="0" w:line="9" w:lineRule="exact"/>
        <w:rPr>
          <w:rFonts w:ascii="Arial" w:cs="Arial" w:eastAsia="Arial" w:hAnsi="Arial"/>
          <w:sz w:val="18"/>
          <w:szCs w:val="18"/>
          <w:color w:val="auto"/>
        </w:rPr>
      </w:pPr>
    </w:p>
    <w:p>
      <w:pPr>
        <w:ind w:right="260" w:firstLine="8"/>
        <w:spacing w:after="0" w:line="281" w:lineRule="auto"/>
        <w:tabs>
          <w:tab w:leader="none" w:pos="1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540" w:firstLine="8"/>
        <w:spacing w:after="0" w:line="265" w:lineRule="auto"/>
        <w:tabs>
          <w:tab w:leader="none" w:pos="1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20" w:firstLine="8"/>
        <w:spacing w:after="0" w:line="255" w:lineRule="auto"/>
        <w:tabs>
          <w:tab w:leader="none" w:pos="17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spacing w:after="0" w:line="81"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55"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right="480" w:firstLine="8"/>
        <w:spacing w:after="0" w:line="290" w:lineRule="auto"/>
        <w:tabs>
          <w:tab w:leader="none" w:pos="177"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20"/>
                <w:szCs w:val="20"/>
                <w:color w:val="auto"/>
              </w:rPr>
            </w:pPr>
            <w:r>
              <w:rPr>
                <w:rFonts w:ascii="Arial" w:cs="Arial" w:eastAsia="Arial" w:hAnsi="Arial"/>
                <w:sz w:val="18"/>
                <w:szCs w:val="18"/>
                <w:color w:val="auto"/>
              </w:rPr>
              <w:t>Date: August 8, 2023</w:t>
            </w:r>
          </w:p>
        </w:tc>
        <w:tc>
          <w:tcPr>
            <w:tcW w:w="2080" w:type="dxa"/>
            <w:vAlign w:val="bottom"/>
          </w:tcPr>
          <w:p>
            <w:pPr>
              <w:ind w:left="1420"/>
              <w:spacing w:after="0"/>
              <w:rPr>
                <w:sz w:val="20"/>
                <w:szCs w:val="20"/>
                <w:color w:val="auto"/>
              </w:rPr>
            </w:pPr>
            <w:r>
              <w:rPr>
                <w:rFonts w:ascii="Arial" w:cs="Arial" w:eastAsia="Arial" w:hAnsi="Arial"/>
                <w:sz w:val="18"/>
                <w:szCs w:val="18"/>
                <w:color w:val="auto"/>
              </w:rPr>
              <w:t>By:</w:t>
            </w:r>
          </w:p>
        </w:tc>
        <w:tc>
          <w:tcPr>
            <w:tcW w:w="6200" w:type="dxa"/>
            <w:vAlign w:val="bottom"/>
            <w:gridSpan w:val="2"/>
          </w:tcPr>
          <w:p>
            <w:pPr>
              <w:spacing w:after="0"/>
              <w:rPr>
                <w:sz w:val="20"/>
                <w:szCs w:val="20"/>
                <w:color w:val="auto"/>
              </w:rPr>
            </w:pPr>
            <w:r>
              <w:rPr>
                <w:rFonts w:ascii="Arial" w:cs="Arial" w:eastAsia="Arial" w:hAnsi="Arial"/>
                <w:sz w:val="18"/>
                <w:szCs w:val="18"/>
                <w:color w:val="auto"/>
              </w:rPr>
              <w:t>/s/ Patrik Jeanmonod</w:t>
            </w:r>
          </w:p>
        </w:tc>
      </w:tr>
      <w:tr>
        <w:trPr>
          <w:trHeight w:val="20"/>
        </w:trPr>
        <w:tc>
          <w:tcPr>
            <w:tcW w:w="2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22"/>
        </w:trPr>
        <w:tc>
          <w:tcPr>
            <w:tcW w:w="29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color w:val="auto"/>
              </w:rPr>
              <w:t>Patrik Jeanmonod</w:t>
            </w:r>
          </w:p>
        </w:tc>
      </w:tr>
      <w:tr>
        <w:trPr>
          <w:trHeight w:val="216"/>
        </w:trPr>
        <w:tc>
          <w:tcPr>
            <w:tcW w:w="29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color w:val="auto"/>
              </w:rPr>
              <w:t>Chief Financial Officer</w:t>
            </w:r>
          </w:p>
        </w:tc>
      </w:tr>
      <w:tr>
        <w:trPr>
          <w:trHeight w:val="230"/>
        </w:trPr>
        <w:tc>
          <w:tcPr>
            <w:tcW w:w="29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color w:val="auto"/>
              </w:rPr>
              <w:t>(Principal Financial Officer)</w:t>
            </w:r>
          </w:p>
        </w:tc>
      </w:tr>
      <w:tr>
        <w:trPr>
          <w:trHeight w:val="547"/>
        </w:trPr>
        <w:tc>
          <w:tcPr>
            <w:tcW w:w="29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6" w:name="page87"/>
    <w:bookmarkEnd w:id="86"/>
    <w:p>
      <w:pPr>
        <w:ind w:left="10320"/>
        <w:spacing w:after="0"/>
        <w:rPr>
          <w:sz w:val="20"/>
          <w:szCs w:val="20"/>
          <w:color w:val="auto"/>
        </w:rPr>
      </w:pPr>
      <w:r>
        <w:rPr>
          <w:rFonts w:ascii="Arial" w:cs="Arial" w:eastAsia="Arial" w:hAnsi="Arial"/>
          <w:sz w:val="16"/>
          <w:szCs w:val="16"/>
          <w:b w:val="1"/>
          <w:bCs w:val="1"/>
          <w:color w:val="auto"/>
        </w:rPr>
        <w:t>Exhibit 32.1</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color w:val="auto"/>
        </w:rPr>
        <w:t>In connection with the Quarterly Report on Form 10-Q of Cytek Biosciences, Inc. (the “Company”) for the period ended June 30, 2023 as filed with the Securities and Exchange Commission on the date hereof (the “Report”), the undersigned, Wenbin Jiang, Ph.D., President and Chief Executive Officer of the Company, hereby certifies, pursuant to requirements set forth in Rule 13a-14(b) of the Securities Exchange Act of 1934, as amended (the “Exchange Act”), and 18 U.S.C. Section 1350, that to his knowledge:</w:t>
      </w:r>
    </w:p>
    <w:p>
      <w:pPr>
        <w:spacing w:after="0" w:line="79" w:lineRule="exact"/>
        <w:rPr>
          <w:sz w:val="20"/>
          <w:szCs w:val="20"/>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ind w:left="20"/>
              <w:spacing w:after="0"/>
              <w:rPr>
                <w:sz w:val="20"/>
                <w:szCs w:val="20"/>
                <w:color w:val="auto"/>
              </w:rPr>
            </w:pPr>
            <w:r>
              <w:rPr>
                <w:rFonts w:ascii="Arial" w:cs="Arial" w:eastAsia="Arial" w:hAnsi="Arial"/>
                <w:sz w:val="18"/>
                <w:szCs w:val="18"/>
                <w:color w:val="auto"/>
              </w:rPr>
              <w:t>Date: August 8, 2023</w:t>
            </w:r>
          </w:p>
        </w:tc>
        <w:tc>
          <w:tcPr>
            <w:tcW w:w="2060" w:type="dxa"/>
            <w:vAlign w:val="bottom"/>
          </w:tcPr>
          <w:p>
            <w:pPr>
              <w:ind w:left="1400"/>
              <w:spacing w:after="0"/>
              <w:rPr>
                <w:sz w:val="20"/>
                <w:szCs w:val="20"/>
                <w:color w:val="auto"/>
              </w:rPr>
            </w:pPr>
            <w:r>
              <w:rPr>
                <w:rFonts w:ascii="Arial" w:cs="Arial" w:eastAsia="Arial" w:hAnsi="Arial"/>
                <w:sz w:val="18"/>
                <w:szCs w:val="18"/>
                <w:color w:val="auto"/>
              </w:rPr>
              <w:t>By:</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Wenbin Jiang, Ph.D.</w:t>
            </w:r>
          </w:p>
        </w:tc>
        <w:tc>
          <w:tcPr>
            <w:tcW w:w="4540" w:type="dxa"/>
            <w:vAlign w:val="bottom"/>
          </w:tcPr>
          <w:p>
            <w:pPr>
              <w:spacing w:after="0"/>
              <w:rPr>
                <w:sz w:val="17"/>
                <w:szCs w:val="17"/>
                <w:color w:val="auto"/>
              </w:rPr>
            </w:pPr>
          </w:p>
        </w:tc>
      </w:tr>
      <w:tr>
        <w:trPr>
          <w:trHeight w:val="222"/>
        </w:trPr>
        <w:tc>
          <w:tcPr>
            <w:tcW w:w="29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Wenbin Jiang, Ph.D.</w:t>
            </w:r>
          </w:p>
        </w:tc>
      </w:tr>
      <w:tr>
        <w:trPr>
          <w:trHeight w:val="216"/>
        </w:trPr>
        <w:tc>
          <w:tcPr>
            <w:tcW w:w="29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9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47"/>
        </w:trPr>
        <w:tc>
          <w:tcPr>
            <w:tcW w:w="29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In connection with the Quarterly Report on Form 10-Q of Cytek Biosciences, Inc. (the “Company”) for the period ended June 30, 2023 as filed with the Securities and Exchange Commission on the date hereof (the “Report”), the undersigned, Patrik Jeanmonod, Chief Financial Officer of the Company, hereby certifies, pursuant to requirements set forth in Rule 13a-14(b) of the Securities Exchange Act of 1934, as amended (the “Exchange Act”), and 18 U.S.C. Section 1350, that to his knowledge:</w:t>
      </w:r>
    </w:p>
    <w:p>
      <w:pPr>
        <w:spacing w:after="0" w:line="79" w:lineRule="exact"/>
        <w:rPr>
          <w:sz w:val="20"/>
          <w:szCs w:val="20"/>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ind w:left="540"/>
              <w:spacing w:after="0"/>
              <w:rPr>
                <w:sz w:val="20"/>
                <w:szCs w:val="20"/>
                <w:color w:val="auto"/>
              </w:rPr>
            </w:pPr>
            <w:r>
              <w:rPr>
                <w:rFonts w:ascii="Arial" w:cs="Arial" w:eastAsia="Arial" w:hAnsi="Arial"/>
                <w:sz w:val="18"/>
                <w:szCs w:val="18"/>
                <w:color w:val="auto"/>
              </w:rPr>
              <w:t>Date:   August 8, 2023</w:t>
            </w:r>
          </w:p>
        </w:tc>
        <w:tc>
          <w:tcPr>
            <w:tcW w:w="1260" w:type="dxa"/>
            <w:vAlign w:val="bottom"/>
          </w:tcPr>
          <w:p>
            <w:pPr>
              <w:ind w:left="600"/>
              <w:spacing w:after="0"/>
              <w:rPr>
                <w:sz w:val="20"/>
                <w:szCs w:val="20"/>
                <w:color w:val="auto"/>
              </w:rPr>
            </w:pPr>
            <w:r>
              <w:rPr>
                <w:rFonts w:ascii="Arial" w:cs="Arial" w:eastAsia="Arial" w:hAnsi="Arial"/>
                <w:sz w:val="18"/>
                <w:szCs w:val="18"/>
                <w:color w:val="auto"/>
              </w:rPr>
              <w:t>By:</w:t>
            </w: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Patrik Jeanmonod</w:t>
            </w:r>
          </w:p>
        </w:tc>
        <w:tc>
          <w:tcPr>
            <w:tcW w:w="5560" w:type="dxa"/>
            <w:vAlign w:val="bottom"/>
          </w:tcPr>
          <w:p>
            <w:pPr>
              <w:spacing w:after="0"/>
              <w:rPr>
                <w:sz w:val="17"/>
                <w:szCs w:val="17"/>
                <w:color w:val="auto"/>
              </w:rPr>
            </w:pPr>
          </w:p>
        </w:tc>
      </w:tr>
      <w:tr>
        <w:trPr>
          <w:trHeight w:val="222"/>
        </w:trPr>
        <w:tc>
          <w:tcPr>
            <w:tcW w:w="2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80" w:type="dxa"/>
            <w:vAlign w:val="bottom"/>
            <w:gridSpan w:val="2"/>
          </w:tcPr>
          <w:p>
            <w:pPr>
              <w:ind w:left="260"/>
              <w:spacing w:after="0"/>
              <w:rPr>
                <w:sz w:val="20"/>
                <w:szCs w:val="20"/>
                <w:color w:val="auto"/>
              </w:rPr>
            </w:pPr>
            <w:r>
              <w:rPr>
                <w:rFonts w:ascii="Arial" w:cs="Arial" w:eastAsia="Arial" w:hAnsi="Arial"/>
                <w:sz w:val="18"/>
                <w:szCs w:val="18"/>
                <w:color w:val="auto"/>
              </w:rPr>
              <w:t>Patrik Jeanmonod</w:t>
            </w:r>
          </w:p>
        </w:tc>
      </w:tr>
      <w:tr>
        <w:trPr>
          <w:trHeight w:val="216"/>
        </w:trPr>
        <w:tc>
          <w:tcPr>
            <w:tcW w:w="2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gridSpan w:val="2"/>
          </w:tcPr>
          <w:p>
            <w:pPr>
              <w:ind w:left="260"/>
              <w:spacing w:after="0"/>
              <w:rPr>
                <w:sz w:val="20"/>
                <w:szCs w:val="20"/>
                <w:color w:val="auto"/>
              </w:rPr>
            </w:pPr>
            <w:r>
              <w:rPr>
                <w:rFonts w:ascii="Arial" w:cs="Arial" w:eastAsia="Arial" w:hAnsi="Arial"/>
                <w:sz w:val="18"/>
                <w:szCs w:val="18"/>
                <w:color w:val="auto"/>
              </w:rPr>
              <w:t>Chief Financial Officer</w:t>
            </w:r>
          </w:p>
        </w:tc>
      </w:tr>
      <w:tr>
        <w:trPr>
          <w:trHeight w:val="230"/>
        </w:trPr>
        <w:tc>
          <w:tcPr>
            <w:tcW w:w="2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80" w:type="dxa"/>
            <w:vAlign w:val="bottom"/>
            <w:gridSpan w:val="2"/>
          </w:tcPr>
          <w:p>
            <w:pPr>
              <w:ind w:left="260"/>
              <w:spacing w:after="0"/>
              <w:rPr>
                <w:sz w:val="20"/>
                <w:szCs w:val="20"/>
                <w:color w:val="auto"/>
              </w:rPr>
            </w:pPr>
            <w:r>
              <w:rPr>
                <w:rFonts w:ascii="Arial" w:cs="Arial" w:eastAsia="Arial" w:hAnsi="Arial"/>
                <w:sz w:val="18"/>
                <w:szCs w:val="18"/>
                <w:color w:val="auto"/>
              </w:rPr>
              <w:t>(Principal Financial Officer)</w:t>
            </w:r>
          </w:p>
        </w:tc>
      </w:tr>
      <w:tr>
        <w:trPr>
          <w:trHeight w:val="547"/>
        </w:trPr>
        <w:tc>
          <w:tcPr>
            <w:tcW w:w="29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1."/>
      <w:numFmt w:val="decimal"/>
      <w:start w:val="2"/>
    </w:lvl>
  </w:abstractNum>
  <w:abstractNum w:abstractNumId="4">
    <w:nsid w:val="836C40E"/>
    <w:multiLevelType w:val="hybridMultilevel"/>
    <w:lvl w:ilvl="0">
      <w:lvlJc w:val="left"/>
      <w:lvlText w:val="%1."/>
      <w:numFmt w:val="decimal"/>
      <w:start w:val="3"/>
    </w:lvl>
  </w:abstractNum>
  <w:abstractNum w:abstractNumId="5">
    <w:nsid w:val="2901D82"/>
    <w:multiLevelType w:val="hybridMultilevel"/>
    <w:lvl w:ilvl="0">
      <w:lvlJc w:val="left"/>
      <w:lvlText w:val="%1."/>
      <w:numFmt w:val="decimal"/>
      <w:start w:val="4"/>
    </w:lvl>
  </w:abstractNum>
  <w:abstractNum w:abstractNumId="6">
    <w:nsid w:val="3A95F874"/>
    <w:multiLevelType w:val="hybridMultilevel"/>
    <w:lvl w:ilvl="0">
      <w:lvlJc w:val="left"/>
      <w:lvlText w:val="%1."/>
      <w:numFmt w:val="decimal"/>
      <w:start w:val="6"/>
    </w:lvl>
  </w:abstractNum>
  <w:abstractNum w:abstractNumId="7">
    <w:nsid w:val="8138641"/>
    <w:multiLevelType w:val="hybridMultilevel"/>
    <w:lvl w:ilvl="0">
      <w:lvlJc w:val="left"/>
      <w:lvlText w:val="%1."/>
      <w:numFmt w:val="decimal"/>
      <w:start w:val="7"/>
    </w:lvl>
  </w:abstractNum>
  <w:abstractNum w:abstractNumId="8">
    <w:nsid w:val="1E7FF521"/>
    <w:multiLevelType w:val="hybridMultilevel"/>
    <w:lvl w:ilvl="0">
      <w:lvlJc w:val="left"/>
      <w:lvlText w:val="%1."/>
      <w:numFmt w:val="decimal"/>
      <w:start w:val="8"/>
    </w:lvl>
  </w:abstractNum>
  <w:abstractNum w:abstractNumId="9">
    <w:nsid w:val="7C3DBD3D"/>
    <w:multiLevelType w:val="hybridMultilevel"/>
    <w:lvl w:ilvl="0">
      <w:lvlJc w:val="left"/>
      <w:lvlText w:val="%1."/>
      <w:numFmt w:val="decimal"/>
      <w:start w:val="9"/>
    </w:lvl>
  </w:abstractNum>
  <w:abstractNum w:abstractNumId="10">
    <w:nsid w:val="737B8DDC"/>
    <w:multiLevelType w:val="hybridMultilevel"/>
    <w:lvl w:ilvl="0">
      <w:lvlJc w:val="left"/>
      <w:lvlText w:val="%1."/>
      <w:numFmt w:val="decimal"/>
      <w:start w:val="10"/>
    </w:lvl>
  </w:abstractNum>
  <w:abstractNum w:abstractNumId="11">
    <w:nsid w:val="6CEAF087"/>
    <w:multiLevelType w:val="hybridMultilevel"/>
    <w:lvl w:ilvl="0">
      <w:lvlJc w:val="left"/>
      <w:lvlText w:val="%1."/>
      <w:numFmt w:val="decimal"/>
      <w:start w:val="11"/>
    </w:lvl>
  </w:abstractNum>
  <w:abstractNum w:abstractNumId="12">
    <w:nsid w:val="22221A70"/>
    <w:multiLevelType w:val="hybridMultilevel"/>
    <w:lvl w:ilvl="0">
      <w:lvlJc w:val="left"/>
      <w:lvlText w:val="%1."/>
      <w:numFmt w:val="decimal"/>
      <w:start w:val="12"/>
    </w:lvl>
  </w:abstractNum>
  <w:abstractNum w:abstractNumId="13">
    <w:nsid w:val="4516DDE9"/>
    <w:multiLevelType w:val="hybridMultilevel"/>
    <w:lvl w:ilvl="0">
      <w:lvlJc w:val="left"/>
      <w:lvlText w:val="%1."/>
      <w:numFmt w:val="decimal"/>
      <w:start w:val="13"/>
    </w:lvl>
  </w:abstractNum>
  <w:abstractNum w:abstractNumId="14">
    <w:nsid w:val="3006C83E"/>
    <w:multiLevelType w:val="hybridMultilevel"/>
    <w:lvl w:ilvl="0">
      <w:lvlJc w:val="left"/>
      <w:lvlText w:val="%1."/>
      <w:numFmt w:val="decimal"/>
      <w:start w:val="14"/>
    </w:lvl>
  </w:abstractNum>
  <w:abstractNum w:abstractNumId="15">
    <w:nsid w:val="614FD4A1"/>
    <w:multiLevelType w:val="hybridMultilevel"/>
    <w:lvl w:ilvl="0">
      <w:lvlJc w:val="left"/>
      <w:lvlText w:val="%1."/>
      <w:numFmt w:val="decimal"/>
      <w:start w:val="15"/>
    </w:lvl>
  </w:abstractNum>
  <w:abstractNum w:abstractNumId="16">
    <w:nsid w:val="419AC241"/>
    <w:multiLevelType w:val="hybridMultilevel"/>
    <w:lvl w:ilvl="0">
      <w:lvlJc w:val="left"/>
      <w:lvlText w:val="%1."/>
      <w:numFmt w:val="decimal"/>
      <w:start w:val="16"/>
    </w:lvl>
  </w:abstractNum>
  <w:abstractNum w:abstractNumId="17">
    <w:nsid w:val="5577F8E1"/>
    <w:multiLevelType w:val="hybridMultilevel"/>
    <w:lvl w:ilvl="0">
      <w:lvlJc w:val="left"/>
      <w:lvlText w:val="%1."/>
      <w:numFmt w:val="decimal"/>
      <w:start w:val="17"/>
    </w:lvl>
  </w:abstractNum>
  <w:abstractNum w:abstractNumId="18">
    <w:nsid w:val="440BADFC"/>
    <w:multiLevelType w:val="hybridMultilevel"/>
    <w:lvl w:ilvl="0">
      <w:lvlJc w:val="left"/>
      <w:lvlText w:val="%1."/>
      <w:numFmt w:val="decimal"/>
      <w:start w:val="18"/>
    </w:lvl>
  </w:abstractNum>
  <w:abstractNum w:abstractNumId="19">
    <w:nsid w:val="5072367"/>
    <w:multiLevelType w:val="hybridMultilevel"/>
    <w:lvl w:ilvl="0">
      <w:lvlJc w:val="left"/>
      <w:lvlText w:val="%1."/>
      <w:numFmt w:val="decimal"/>
      <w:start w:val="19"/>
    </w:lvl>
  </w:abstractNum>
  <w:abstractNum w:abstractNumId="20">
    <w:nsid w:val="3804823E"/>
    <w:multiLevelType w:val="hybridMultilevel"/>
    <w:lvl w:ilvl="0">
      <w:lvlJc w:val="left"/>
      <w:lvlText w:val="%1."/>
      <w:numFmt w:val="decimal"/>
      <w:start w:val="20"/>
    </w:lvl>
  </w:abstractNum>
  <w:abstractNum w:abstractNumId="21">
    <w:nsid w:val="77465F01"/>
    <w:multiLevelType w:val="hybridMultilevel"/>
    <w:lvl w:ilvl="0">
      <w:lvlJc w:val="left"/>
      <w:lvlText w:val="%1."/>
      <w:numFmt w:val="decimal"/>
      <w:start w:val="21"/>
    </w:lvl>
  </w:abstractNum>
  <w:abstractNum w:abstractNumId="22">
    <w:nsid w:val="7724C67E"/>
    <w:multiLevelType w:val="hybridMultilevel"/>
    <w:lvl w:ilvl="0">
      <w:lvlJc w:val="left"/>
      <w:lvlText w:val="%1."/>
      <w:numFmt w:val="decimal"/>
      <w:start w:val="22"/>
    </w:lvl>
  </w:abstractNum>
  <w:abstractNum w:abstractNumId="23">
    <w:nsid w:val="5C482A97"/>
    <w:multiLevelType w:val="hybridMultilevel"/>
    <w:lvl w:ilvl="0">
      <w:lvlJc w:val="left"/>
      <w:lvlText w:val="%1."/>
      <w:numFmt w:val="decimal"/>
      <w:start w:val="23"/>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65" Type="http://schemas.openxmlformats.org/officeDocument/2006/relationships/hyperlink" Target="https://www.sec.gov/Archives/edgar/data/1831915/000119312521225716/d183956dex31.htm" TargetMode="External"/><Relationship Id="rId266" Type="http://schemas.openxmlformats.org/officeDocument/2006/relationships/hyperlink" Target="https://www.sec.gov/Archives/edgar/data/1831915/000119312521225716/d18395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2023-08-08T15:58:46Z</dcterms:created>
  <dcterms:modified xsi:type="dcterms:W3CDTF">2023-08-08T15:58:46Z</dcterms:modified>
</cp:coreProperties>
</file>