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460" w:right="780" w:hanging="434"/>
        <w:spacing w:after="0" w:line="286" w:lineRule="auto"/>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001-40632</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CYTEK BIOSCIENCES,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9"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47-2547526</w:t>
            </w:r>
          </w:p>
        </w:tc>
      </w:tr>
      <w:tr>
        <w:trPr>
          <w:trHeight w:val="198"/>
        </w:trPr>
        <w:tc>
          <w:tcPr>
            <w:tcW w:w="5020" w:type="dxa"/>
            <w:vAlign w:val="bottom"/>
          </w:tcPr>
          <w:p>
            <w:pPr>
              <w:jc w:val="center"/>
              <w:ind w:right="1686"/>
              <w:spacing w:after="0"/>
              <w:rPr>
                <w:sz w:val="20"/>
                <w:szCs w:val="20"/>
                <w:color w:val="auto"/>
              </w:rPr>
            </w:pPr>
            <w:r>
              <w:rPr>
                <w:rFonts w:ascii="Times New Roman" w:cs="Times New Roman" w:eastAsia="Times New Roman" w:hAnsi="Times New Roman"/>
                <w:sz w:val="13"/>
                <w:szCs w:val="13"/>
                <w:color w:val="auto"/>
                <w:w w:val="96"/>
              </w:rPr>
              <w:t>(State or other jurisdiction of</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700" w:type="dxa"/>
            <w:vAlign w:val="bottom"/>
          </w:tcPr>
          <w:p>
            <w:pPr>
              <w:jc w:val="center"/>
              <w:ind w:left="1686"/>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59"/>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8"/>
                <w:szCs w:val="18"/>
                <w:b w:val="1"/>
                <w:bCs w:val="1"/>
                <w:color w:val="auto"/>
                <w:w w:val="99"/>
              </w:rPr>
              <w:t>47215 Lakeview Blvd. Fremont, California</w:t>
            </w:r>
          </w:p>
        </w:tc>
        <w:tc>
          <w:tcPr>
            <w:tcW w:w="2700" w:type="dxa"/>
            <w:vAlign w:val="bottom"/>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186"/>
        </w:trPr>
        <w:tc>
          <w:tcPr>
            <w:tcW w:w="5020" w:type="dxa"/>
            <w:vAlign w:val="bottom"/>
          </w:tcPr>
          <w:p>
            <w:pPr>
              <w:jc w:val="center"/>
              <w:ind w:right="1666"/>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00" w:type="dxa"/>
            <w:vAlign w:val="bottom"/>
          </w:tcPr>
          <w:p>
            <w:pPr>
              <w:jc w:val="center"/>
              <w:ind w:left="1706"/>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(877) 922-9835</w:t>
      </w:r>
    </w:p>
    <w:p>
      <w:pPr>
        <w:spacing w:after="0" w:line="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2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rPr>
              <w:t>Title of each class</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02"/>
        </w:trPr>
        <w:tc>
          <w:tcPr>
            <w:tcW w:w="44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Common Stock, par value $0.001 per share</w:t>
            </w:r>
          </w:p>
        </w:tc>
        <w:tc>
          <w:tcPr>
            <w:tcW w:w="24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8"/>
              </w:rPr>
              <w:t>CTKB</w:t>
            </w:r>
          </w:p>
        </w:tc>
        <w:tc>
          <w:tcPr>
            <w:tcW w:w="4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r>
    </w:tbl>
    <w:p>
      <w:pPr>
        <w:spacing w:after="0" w:line="93" w:lineRule="exact"/>
        <w:rPr>
          <w:sz w:val="24"/>
          <w:szCs w:val="24"/>
          <w:color w:val="auto"/>
        </w:rPr>
      </w:pPr>
    </w:p>
    <w:p>
      <w:pPr>
        <w:ind w:right="12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520" w:type="dxa"/>
            <w:vAlign w:val="bottom"/>
            <w:vMerge w:val="restart"/>
          </w:tcPr>
          <w:p>
            <w:pPr>
              <w:jc w:val="right"/>
              <w:ind w:right="1464"/>
              <w:spacing w:after="0"/>
              <w:rPr>
                <w:sz w:val="20"/>
                <w:szCs w:val="20"/>
                <w:color w:val="auto"/>
              </w:rPr>
            </w:pPr>
            <w:r>
              <w:rPr>
                <w:rFonts w:ascii="Wingdings" w:cs="Wingdings" w:eastAsia="Wingdings" w:hAnsi="Wingdings"/>
                <w:sz w:val="15"/>
                <w:szCs w:val="15"/>
                <w:b w:val="1"/>
                <w:bCs w:val="1"/>
                <w:color w:val="auto"/>
              </w:rPr>
              <w:t>x</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Accelerated filer</w:t>
            </w:r>
          </w:p>
        </w:tc>
        <w:tc>
          <w:tcPr>
            <w:tcW w:w="1660" w:type="dxa"/>
            <w:vAlign w:val="bottom"/>
            <w:vMerge w:val="restart"/>
          </w:tcPr>
          <w:p>
            <w:pPr>
              <w:ind w:left="1520"/>
              <w:spacing w:after="0"/>
              <w:rPr>
                <w:sz w:val="20"/>
                <w:szCs w:val="20"/>
                <w:color w:val="auto"/>
              </w:rPr>
            </w:pPr>
            <w:r>
              <w:rPr>
                <w:rFonts w:ascii="Wingdings" w:cs="Wingdings" w:eastAsia="Wingdings" w:hAnsi="Wingdings"/>
                <w:sz w:val="15"/>
                <w:szCs w:val="15"/>
                <w:b w:val="1"/>
                <w:bCs w:val="1"/>
                <w:color w:val="auto"/>
                <w:w w:val="89"/>
              </w:rPr>
              <w:t>o</w:t>
            </w: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520" w:type="dxa"/>
            <w:vAlign w:val="bottom"/>
            <w:vMerge w:val="restart"/>
          </w:tcPr>
          <w:p>
            <w:pPr>
              <w:jc w:val="right"/>
              <w:ind w:right="1464"/>
              <w:spacing w:after="0"/>
              <w:rPr>
                <w:sz w:val="20"/>
                <w:szCs w:val="20"/>
                <w:color w:val="auto"/>
              </w:rPr>
            </w:pPr>
            <w:r>
              <w:rPr>
                <w:rFonts w:ascii="Wingdings" w:cs="Wingdings" w:eastAsia="Wingdings" w:hAnsi="Wingdings"/>
                <w:sz w:val="15"/>
                <w:szCs w:val="15"/>
                <w:b w:val="1"/>
                <w:bCs w:val="1"/>
                <w:color w:val="auto"/>
              </w:rPr>
              <w:t>o</w:t>
            </w:r>
          </w:p>
        </w:tc>
        <w:tc>
          <w:tcPr>
            <w:tcW w:w="4740" w:type="dxa"/>
            <w:vAlign w:val="bottom"/>
          </w:tcPr>
          <w:p>
            <w:pPr>
              <w:ind w:left="15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660" w:type="dxa"/>
            <w:vAlign w:val="bottom"/>
            <w:vMerge w:val="restart"/>
          </w:tcPr>
          <w:p>
            <w:pPr>
              <w:ind w:left="1520"/>
              <w:spacing w:after="0"/>
              <w:rPr>
                <w:sz w:val="20"/>
                <w:szCs w:val="20"/>
                <w:color w:val="auto"/>
              </w:rPr>
            </w:pPr>
            <w:r>
              <w:rPr>
                <w:rFonts w:ascii="Wingdings" w:cs="Wingdings" w:eastAsia="Wingdings" w:hAnsi="Wingdings"/>
                <w:sz w:val="15"/>
                <w:szCs w:val="15"/>
                <w:b w:val="1"/>
                <w:bCs w:val="1"/>
                <w:color w:val="auto"/>
                <w:w w:val="89"/>
              </w:rPr>
              <w:t>o</w:t>
            </w: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252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Emerging growth company</w:t>
      </w:r>
    </w:p>
    <w:p>
      <w:pPr>
        <w:ind w:left="3140"/>
        <w:spacing w:after="0"/>
        <w:rPr>
          <w:sz w:val="20"/>
          <w:szCs w:val="20"/>
          <w:color w:val="auto"/>
        </w:rPr>
      </w:pPr>
      <w:r>
        <w:rPr>
          <w:rFonts w:ascii="Wingdings" w:cs="Wingdings" w:eastAsia="Wingdings" w:hAnsi="Wingdings"/>
          <w:sz w:val="15"/>
          <w:szCs w:val="15"/>
          <w:b w:val="1"/>
          <w:bCs w:val="1"/>
          <w:color w:val="auto"/>
        </w:rPr>
        <w:t>o</w:t>
      </w:r>
    </w:p>
    <w:p>
      <w:pPr>
        <w:spacing w:after="0" w:line="124" w:lineRule="exact"/>
        <w:rPr>
          <w:sz w:val="24"/>
          <w:szCs w:val="24"/>
          <w:color w:val="auto"/>
        </w:rPr>
      </w:pPr>
    </w:p>
    <w:p>
      <w:pPr>
        <w:ind w:right="520"/>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37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Registrant’s Common Stock outstanding as of July 31, 2024 was 131,505,592.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60" w:type="dxa"/>
            <w:vAlign w:val="bottom"/>
            <w:gridSpan w:val="3"/>
            <w:vMerge w:val="continue"/>
          </w:tcPr>
          <w:p>
            <w:pPr>
              <w:spacing w:after="0"/>
              <w:rPr>
                <w:sz w:val="19"/>
                <w:szCs w:val="19"/>
                <w:color w:val="auto"/>
              </w:rPr>
            </w:pPr>
          </w:p>
        </w:tc>
        <w:tc>
          <w:tcPr>
            <w:tcW w:w="8700" w:type="dxa"/>
            <w:vAlign w:val="bottom"/>
            <w:gridSpan w:val="17"/>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300" w:type="dxa"/>
            <w:vAlign w:val="bottom"/>
            <w:gridSpan w:val="6"/>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40" w:type="dxa"/>
            <w:vAlign w:val="bottom"/>
            <w:tcBorders>
              <w:top w:val="single" w:sz="8" w:color="0000FF"/>
            </w:tcBorders>
            <w:gridSpan w:val="3"/>
          </w:tcPr>
          <w:p>
            <w:pPr>
              <w:spacing w:after="0"/>
              <w:rPr>
                <w:sz w:val="20"/>
                <w:szCs w:val="20"/>
                <w:color w:val="auto"/>
              </w:rPr>
            </w:pPr>
          </w:p>
        </w:tc>
        <w:tc>
          <w:tcPr>
            <w:tcW w:w="4040" w:type="dxa"/>
            <w:vAlign w:val="bottom"/>
            <w:gridSpan w:val="2"/>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560" w:type="dxa"/>
            <w:vAlign w:val="bottom"/>
            <w:gridSpan w:val="7"/>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920" w:type="dxa"/>
            <w:vAlign w:val="bottom"/>
            <w:gridSpan w:val="11"/>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0"/>
                <w:szCs w:val="20"/>
                <w:color w:val="auto"/>
              </w:rPr>
            </w:pPr>
          </w:p>
        </w:tc>
        <w:tc>
          <w:tcPr>
            <w:tcW w:w="7380" w:type="dxa"/>
            <w:vAlign w:val="bottom"/>
            <w:gridSpan w:val="13"/>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gridSpan w:val="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380" w:type="dxa"/>
            <w:vAlign w:val="bottom"/>
            <w:gridSpan w:val="9"/>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12"/>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0" w:type="dxa"/>
            <w:vAlign w:val="bottom"/>
            <w:gridSpan w:val="14"/>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1"/>
        </w:trPr>
        <w:tc>
          <w:tcPr>
            <w:tcW w:w="10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3"/>
          </w:tcPr>
          <w:p>
            <w:pPr>
              <w:ind w:left="40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780" w:type="dxa"/>
            <w:vAlign w:val="bottom"/>
            <w:tcBorders>
              <w:bottom w:val="single" w:sz="8" w:color="9A9A9A"/>
            </w:tcBorders>
          </w:tcPr>
          <w:p>
            <w:pPr>
              <w:spacing w:after="0"/>
              <w:rPr>
                <w:sz w:val="19"/>
                <w:szCs w:val="19"/>
                <w:color w:val="auto"/>
              </w:rPr>
            </w:pPr>
          </w:p>
        </w:tc>
        <w:tc>
          <w:tcPr>
            <w:tcW w:w="22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20" w:type="dxa"/>
            <w:vAlign w:val="bottom"/>
          </w:tcPr>
          <w:p>
            <w:pPr>
              <w:spacing w:after="0"/>
              <w:rPr>
                <w:sz w:val="17"/>
                <w:szCs w:val="17"/>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220" w:type="dxa"/>
            <w:vAlign w:val="bottom"/>
          </w:tcPr>
          <w:p>
            <w:pPr>
              <w:spacing w:after="0"/>
              <w:rPr>
                <w:sz w:val="21"/>
                <w:szCs w:val="21"/>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i w:val="1"/>
                <w:iCs w:val="1"/>
                <w:color w:val="auto"/>
                <w:w w:val="98"/>
              </w:rPr>
              <w:t>(audited)</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167,299</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95,111</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55,928</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60,877</w:t>
            </w:r>
          </w:p>
        </w:tc>
      </w:tr>
      <w:tr>
        <w:trPr>
          <w:trHeight w:val="250"/>
        </w:trPr>
        <w:tc>
          <w:tcPr>
            <w:tcW w:w="7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12,514</w:t>
            </w:r>
          </w:p>
        </w:tc>
      </w:tr>
      <w:tr>
        <w:trPr>
          <w:trHeight w:val="25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392,060</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assets, noncurrent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30,487</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23,084</w:t>
            </w:r>
          </w:p>
        </w:tc>
      </w:tr>
      <w:tr>
        <w:trPr>
          <w:trHeight w:val="25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50"/>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483,725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494,457</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settlement liability, 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r>
      <w:tr>
        <w:trPr>
          <w:trHeight w:val="250"/>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r>
      <w:tr>
        <w:trPr>
          <w:trHeight w:val="263"/>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w:t>
            </w: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56,226</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 liability, noncurrent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16,477</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 term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57"/>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r>
      <w:tr>
        <w:trPr>
          <w:trHeight w:val="250"/>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101,393</w:t>
            </w:r>
          </w:p>
        </w:tc>
      </w:tr>
      <w:tr>
        <w:trPr>
          <w:trHeight w:val="21"/>
        </w:trPr>
        <w:tc>
          <w:tcPr>
            <w:tcW w:w="7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8"/>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1,000,000,000 authorized shares as of June 30, 2024 and</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74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31, 2023, respectively; 131,505,201 and 130,714,906 issued and outstanding shares as of</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61"/>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 and December 31, 2023, respectively.</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5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423,386</w:t>
            </w:r>
          </w:p>
        </w:tc>
      </w:tr>
      <w:tr>
        <w:trPr>
          <w:trHeight w:val="2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w:t>
            </w:r>
          </w:p>
        </w:tc>
      </w:tr>
      <w:tr>
        <w:trPr>
          <w:trHeight w:val="250"/>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50"/>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389,123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393,064</w:t>
            </w:r>
          </w:p>
        </w:tc>
      </w:tr>
      <w:tr>
        <w:trPr>
          <w:trHeight w:val="250"/>
        </w:trPr>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483,725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494,457</w:t>
            </w:r>
          </w:p>
        </w:tc>
      </w:tr>
      <w:tr>
        <w:trPr>
          <w:trHeight w:val="27"/>
        </w:trPr>
        <w:tc>
          <w:tcPr>
            <w:tcW w:w="7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0920"/>
          </w:cols>
          <w:pgMar w:left="320" w:top="121" w:right="6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20" w:type="dxa"/>
            <w:vAlign w:val="bottom"/>
          </w:tcPr>
          <w:p>
            <w:pPr>
              <w:spacing w:after="0"/>
              <w:rPr>
                <w:sz w:val="18"/>
                <w:szCs w:val="18"/>
                <w:color w:val="auto"/>
              </w:rPr>
            </w:pPr>
          </w:p>
        </w:tc>
        <w:tc>
          <w:tcPr>
            <w:tcW w:w="3200" w:type="dxa"/>
            <w:vAlign w:val="bottom"/>
            <w:gridSpan w:val="4"/>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34,576</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40,452</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68,698</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71,624</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49,693</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86,781</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49,200</w:t>
            </w:r>
          </w:p>
        </w:tc>
        <w:tc>
          <w:tcPr>
            <w:tcW w:w="0" w:type="dxa"/>
            <w:vAlign w:val="bottom"/>
          </w:tcPr>
          <w:p>
            <w:pPr>
              <w:spacing w:after="0"/>
              <w:rPr>
                <w:sz w:val="1"/>
                <w:szCs w:val="1"/>
                <w:color w:val="auto"/>
              </w:rPr>
            </w:pPr>
          </w:p>
        </w:tc>
      </w:tr>
      <w:tr>
        <w:trPr>
          <w:trHeight w:val="25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25,512</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37,289</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70,489</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0" w:type="dxa"/>
            <w:vAlign w:val="bottom"/>
          </w:tcPr>
          <w:p>
            <w:pPr>
              <w:spacing w:after="0"/>
              <w:rPr>
                <w:sz w:val="1"/>
                <w:szCs w:val="1"/>
                <w:color w:val="auto"/>
              </w:rPr>
            </w:pPr>
          </w:p>
        </w:tc>
      </w:tr>
      <w:tr>
        <w:trPr>
          <w:trHeight w:val="25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5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(15,635)</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basic and diluted</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120" w:type="dxa"/>
            <w:vAlign w:val="bottom"/>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shares used in calculating net</w:t>
            </w:r>
          </w:p>
        </w:tc>
        <w:tc>
          <w:tcPr>
            <w:tcW w:w="12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10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135,918,707</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131,180,734</w:t>
            </w:r>
          </w:p>
        </w:tc>
        <w:tc>
          <w:tcPr>
            <w:tcW w:w="10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135,705,139</w:t>
            </w: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basic</w:t>
            </w:r>
          </w:p>
        </w:tc>
        <w:tc>
          <w:tcPr>
            <w:tcW w:w="12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calculating net</w:t>
            </w:r>
          </w:p>
        </w:tc>
        <w:tc>
          <w:tcPr>
            <w:tcW w:w="1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135,918,707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131,180,734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135,705,139</w:t>
            </w:r>
          </w:p>
        </w:tc>
        <w:tc>
          <w:tcPr>
            <w:tcW w:w="0" w:type="dxa"/>
            <w:vAlign w:val="bottom"/>
          </w:tcPr>
          <w:p>
            <w:pPr>
              <w:spacing w:after="0"/>
              <w:rPr>
                <w:sz w:val="1"/>
                <w:szCs w:val="1"/>
                <w:color w:val="auto"/>
              </w:rPr>
            </w:pP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 diluted</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comprehensive loss</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20" w:type="dxa"/>
            <w:vAlign w:val="bottom"/>
            <w:tcBorders>
              <w:right w:val="single" w:sz="8" w:color="auto"/>
            </w:tcBorders>
          </w:tcPr>
          <w:p>
            <w:pPr>
              <w:spacing w:after="0"/>
              <w:rPr>
                <w:sz w:val="18"/>
                <w:szCs w:val="18"/>
                <w:color w:val="auto"/>
              </w:rPr>
            </w:pPr>
          </w:p>
        </w:tc>
        <w:tc>
          <w:tcPr>
            <w:tcW w:w="2260" w:type="dxa"/>
            <w:vAlign w:val="bottom"/>
            <w:gridSpan w:val="3"/>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gridSpan w:val="3"/>
            <w:vMerge w:val="restart"/>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220" w:type="dxa"/>
            <w:vAlign w:val="bottom"/>
            <w:tcBorders>
              <w:righ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110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2"/>
                <w:szCs w:val="12"/>
                <w:color w:val="auto"/>
              </w:rPr>
            </w:pPr>
          </w:p>
        </w:tc>
        <w:tc>
          <w:tcPr>
            <w:tcW w:w="9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480" w:type="dxa"/>
            <w:vAlign w:val="bottom"/>
          </w:tcPr>
          <w:p>
            <w:pPr>
              <w:spacing w:after="0"/>
              <w:rPr>
                <w:sz w:val="12"/>
                <w:szCs w:val="12"/>
                <w:color w:val="auto"/>
              </w:rPr>
            </w:pPr>
          </w:p>
        </w:tc>
        <w:tc>
          <w:tcPr>
            <w:tcW w:w="132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40" w:type="dxa"/>
            <w:vAlign w:val="bottom"/>
          </w:tcPr>
          <w:p>
            <w:pPr>
              <w:spacing w:after="0"/>
              <w:rPr>
                <w:sz w:val="12"/>
                <w:szCs w:val="12"/>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6"/>
        </w:trPr>
        <w:tc>
          <w:tcPr>
            <w:tcW w:w="3220" w:type="dxa"/>
            <w:vAlign w:val="bottom"/>
            <w:tcBorders>
              <w:right w:val="single" w:sz="8" w:color="auto"/>
            </w:tcBorders>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80" w:type="dxa"/>
            <w:vAlign w:val="bottom"/>
          </w:tcPr>
          <w:p>
            <w:pPr>
              <w:spacing w:after="0"/>
              <w:rPr>
                <w:sz w:val="15"/>
                <w:szCs w:val="15"/>
                <w:color w:val="auto"/>
              </w:rPr>
            </w:pPr>
          </w:p>
        </w:tc>
        <w:tc>
          <w:tcPr>
            <w:tcW w:w="1320" w:type="dxa"/>
            <w:vAlign w:val="bottom"/>
            <w:gridSpan w:val="2"/>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83"/>
        </w:trPr>
        <w:tc>
          <w:tcPr>
            <w:tcW w:w="322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December 31, 2023</w:t>
            </w:r>
          </w:p>
        </w:tc>
        <w:tc>
          <w:tcPr>
            <w:tcW w:w="12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130,714,906</w:t>
            </w:r>
          </w:p>
        </w:tc>
        <w:tc>
          <w:tcPr>
            <w:tcW w:w="980" w:type="dxa"/>
            <w:vAlign w:val="bottom"/>
            <w:tcBorders>
              <w:top w:val="single" w:sz="8" w:color="auto"/>
              <w:bottom w:val="single" w:sz="8" w:color="CCEEFF"/>
            </w:tcBorders>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131</w:t>
            </w:r>
          </w:p>
        </w:tc>
        <w:tc>
          <w:tcPr>
            <w:tcW w:w="780" w:type="dxa"/>
            <w:vAlign w:val="bottom"/>
            <w:tcBorders>
              <w:top w:val="single" w:sz="8" w:color="auto"/>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423,386</w:t>
            </w:r>
          </w:p>
        </w:tc>
        <w:tc>
          <w:tcPr>
            <w:tcW w:w="580" w:type="dxa"/>
            <w:vAlign w:val="bottom"/>
            <w:tcBorders>
              <w:top w:val="single" w:sz="8" w:color="auto"/>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(29,178)</w:t>
            </w:r>
          </w:p>
        </w:tc>
        <w:tc>
          <w:tcPr>
            <w:tcW w:w="420" w:type="dxa"/>
            <w:vAlign w:val="bottom"/>
            <w:tcBorders>
              <w:top w:val="single" w:sz="8" w:color="auto"/>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24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393,064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559,325</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(20,050)</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5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280" w:type="dxa"/>
            <w:vAlign w:val="bottom"/>
            <w:gridSpan w:val="2"/>
            <w:vMerge w:val="continue"/>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5,640</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Balances at March 31, 2024</w:t>
            </w: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131,254,181</w:t>
            </w:r>
          </w:p>
        </w:tc>
        <w:tc>
          <w:tcPr>
            <w:tcW w:w="980" w:type="dxa"/>
            <w:vAlign w:val="bottom"/>
            <w:tcBorders>
              <w:top w:val="single" w:sz="8" w:color="auto"/>
            </w:tcBorders>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131</w:t>
            </w:r>
          </w:p>
        </w:tc>
        <w:tc>
          <w:tcPr>
            <w:tcW w:w="780" w:type="dxa"/>
            <w:vAlign w:val="bottom"/>
            <w:tcBorders>
              <w:top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429,384</w:t>
            </w:r>
          </w:p>
        </w:tc>
        <w:tc>
          <w:tcPr>
            <w:tcW w:w="58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(35,347)</w:t>
            </w:r>
          </w:p>
        </w:tc>
        <w:tc>
          <w:tcPr>
            <w:tcW w:w="42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392,614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506,375</w:t>
            </w: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210,496</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(21,532)</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5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280" w:type="dxa"/>
            <w:vAlign w:val="bottom"/>
            <w:gridSpan w:val="2"/>
            <w:vMerge w:val="continue"/>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(444,319)</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7,152</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(10,434)</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2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June 30, 2024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131,505,201</w:t>
            </w:r>
          </w:p>
        </w:tc>
        <w:tc>
          <w:tcPr>
            <w:tcW w:w="980" w:type="dxa"/>
            <w:vAlign w:val="bottom"/>
            <w:tcBorders>
              <w:bottom w:val="single" w:sz="8" w:color="CCEEFF"/>
            </w:tcBorders>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132</w:t>
            </w:r>
          </w:p>
        </w:tc>
        <w:tc>
          <w:tcPr>
            <w:tcW w:w="780" w:type="dxa"/>
            <w:vAlign w:val="bottom"/>
            <w:tcBorders>
              <w:bottom w:val="single" w:sz="8" w:color="CCEEFF"/>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434,967</w:t>
            </w:r>
          </w:p>
        </w:tc>
        <w:tc>
          <w:tcPr>
            <w:tcW w:w="5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(45,781)</w:t>
            </w:r>
          </w:p>
        </w:tc>
        <w:tc>
          <w:tcPr>
            <w:tcW w:w="42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Pr>
          <w:p>
            <w:pPr>
              <w:spacing w:after="0"/>
              <w:rPr>
                <w:sz w:val="17"/>
                <w:szCs w:val="17"/>
                <w:color w:val="auto"/>
              </w:rPr>
            </w:pPr>
          </w:p>
        </w:tc>
        <w:tc>
          <w:tcPr>
            <w:tcW w:w="2260" w:type="dxa"/>
            <w:vAlign w:val="bottom"/>
            <w:gridSpan w:val="3"/>
            <w:vMerge w:val="restart"/>
          </w:tcPr>
          <w:p>
            <w:pPr>
              <w:jc w:val="right"/>
              <w:ind w:right="6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22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3220" w:type="dxa"/>
            <w:vAlign w:val="bottom"/>
            <w:tcBorders>
              <w:righ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Borders>
              <w:right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120" w:type="dxa"/>
            <w:vAlign w:val="bottom"/>
          </w:tcPr>
          <w:p>
            <w:pPr>
              <w:spacing w:after="0"/>
              <w:rPr>
                <w:sz w:val="11"/>
                <w:szCs w:val="11"/>
                <w:color w:val="auto"/>
              </w:rPr>
            </w:pPr>
          </w:p>
        </w:tc>
        <w:tc>
          <w:tcPr>
            <w:tcW w:w="80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 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9"/>
        </w:trPr>
        <w:tc>
          <w:tcPr>
            <w:tcW w:w="322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33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2"/>
                <w:szCs w:val="12"/>
                <w:color w:val="auto"/>
              </w:rPr>
            </w:pPr>
          </w:p>
        </w:tc>
        <w:tc>
          <w:tcPr>
            <w:tcW w:w="10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2"/>
                <w:szCs w:val="12"/>
                <w:color w:val="auto"/>
              </w:rPr>
            </w:pPr>
          </w:p>
        </w:tc>
        <w:tc>
          <w:tcPr>
            <w:tcW w:w="80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7"/>
              </w:rPr>
              <w:t>consolidated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CCEEFF"/>
              <w:right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11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December 31, 2022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135,365,381</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442,887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(17,030)</w:t>
            </w:r>
          </w:p>
        </w:tc>
        <w:tc>
          <w:tcPr>
            <w:tcW w:w="74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425,546</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283,856</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(5,182)</w:t>
            </w:r>
          </w:p>
        </w:tc>
        <w:tc>
          <w:tcPr>
            <w:tcW w:w="1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80"/>
        </w:trPr>
        <w:tc>
          <w:tcPr>
            <w:tcW w:w="32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1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30"/>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(6,807)</w:t>
            </w: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(6,807)</w:t>
            </w: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30"/>
        </w:trPr>
        <w:tc>
          <w:tcPr>
            <w:tcW w:w="32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at March 31, 2023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135,644,055</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447,748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(23,837)</w:t>
            </w:r>
          </w:p>
        </w:tc>
        <w:tc>
          <w:tcPr>
            <w:tcW w:w="74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423,460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2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3"/>
                <w:szCs w:val="13"/>
                <w:color w:val="auto"/>
              </w:rPr>
              <w:t>Shares issued in connection with employee stock plans</w:t>
            </w: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697,670</w:t>
            </w:r>
          </w:p>
        </w:tc>
        <w:tc>
          <w:tcPr>
            <w:tcW w:w="18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483</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145,569</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Shares of Common Stock withheld related to net share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(16,604)</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72"/>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1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(125,782)</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(981)</w:t>
            </w: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73"/>
        </w:trPr>
        <w:tc>
          <w:tcPr>
            <w:tcW w:w="3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 net of tax</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(980)</w:t>
            </w:r>
          </w:p>
        </w:tc>
        <w:tc>
          <w:tcPr>
            <w:tcW w:w="0" w:type="dxa"/>
            <w:vAlign w:val="bottom"/>
          </w:tcPr>
          <w:p>
            <w:pPr>
              <w:spacing w:after="0"/>
              <w:rPr>
                <w:sz w:val="1"/>
                <w:szCs w:val="1"/>
                <w:color w:val="auto"/>
              </w:rPr>
            </w:pPr>
          </w:p>
        </w:tc>
      </w:tr>
      <w:tr>
        <w:trPr>
          <w:trHeight w:val="30"/>
        </w:trPr>
        <w:tc>
          <w:tcPr>
            <w:tcW w:w="3220" w:type="dxa"/>
            <w:vAlign w:val="bottom"/>
            <w:tcBorders>
              <w:righ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2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(4,388)</w:t>
            </w:r>
          </w:p>
        </w:tc>
        <w:tc>
          <w:tcPr>
            <w:tcW w:w="7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(4,388)</w:t>
            </w:r>
          </w:p>
        </w:tc>
        <w:tc>
          <w:tcPr>
            <w:tcW w:w="0" w:type="dxa"/>
            <w:vAlign w:val="bottom"/>
          </w:tcPr>
          <w:p>
            <w:pPr>
              <w:spacing w:after="0"/>
              <w:rPr>
                <w:sz w:val="1"/>
                <w:szCs w:val="1"/>
                <w:color w:val="auto"/>
              </w:rPr>
            </w:pPr>
          </w:p>
        </w:tc>
      </w:tr>
      <w:tr>
        <w:trPr>
          <w:trHeight w:val="167"/>
        </w:trPr>
        <w:tc>
          <w:tcPr>
            <w:tcW w:w="3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Balances at June 30, 2023</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136,344,908</w:t>
            </w: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454,027</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(28,225)</w:t>
            </w:r>
          </w:p>
        </w:tc>
        <w:tc>
          <w:tcPr>
            <w:tcW w:w="74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424,179</w:t>
            </w: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interim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48"/>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29"/>
        </w:trPr>
        <w:tc>
          <w:tcPr>
            <w:tcW w:w="81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9"/>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operating lease-right-of use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10,621</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(Benefits from) provision for credit losses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Gain on investments, accretion, and amortization,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expenses for accretion of the legal settlement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Trade 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Legal settlement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19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(113,985)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(129,081)</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business</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(44,895)</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for additional investment in Cytek Japan</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6"/>
        </w:trPr>
        <w:tc>
          <w:tcPr>
            <w:tcW w:w="8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(166,084)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Repayment of loan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Payments for taxes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plans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line of credit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repurchase of shares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186"/>
        </w:trPr>
        <w:tc>
          <w:tcPr>
            <w:tcW w:w="81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cash equivalents and restricted cash</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0" w:type="dxa"/>
            <w:vAlign w:val="bottom"/>
          </w:tcPr>
          <w:p>
            <w:pPr>
              <w:spacing w:after="0"/>
              <w:rPr>
                <w:sz w:val="1"/>
                <w:szCs w:val="1"/>
                <w:color w:val="auto"/>
              </w:rPr>
            </w:pPr>
          </w:p>
        </w:tc>
      </w:tr>
      <w:tr>
        <w:trPr>
          <w:trHeight w:val="19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(167,956)</w:t>
            </w:r>
          </w:p>
        </w:tc>
        <w:tc>
          <w:tcPr>
            <w:tcW w:w="0" w:type="dxa"/>
            <w:vAlign w:val="bottom"/>
          </w:tcPr>
          <w:p>
            <w:pPr>
              <w:spacing w:after="0"/>
              <w:rPr>
                <w:sz w:val="1"/>
                <w:szCs w:val="1"/>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167,630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299,500</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131,544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asset purchases in accounts payable or accrued purchase at period end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6"/>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Intangible asset in accounts payable or accrued expenses at period end</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4"/>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interim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jc w:val="both"/>
        <w:ind w:firstLine="1134"/>
        <w:spacing w:after="0" w:line="239" w:lineRule="auto"/>
        <w:rPr>
          <w:sz w:val="20"/>
          <w:szCs w:val="20"/>
          <w:color w:val="auto"/>
        </w:rPr>
      </w:pPr>
      <w:r>
        <w:rPr>
          <w:rFonts w:ascii="Times New Roman" w:cs="Times New Roman" w:eastAsia="Times New Roman" w:hAnsi="Times New Roman"/>
          <w:sz w:val="18"/>
          <w:szCs w:val="18"/>
          <w:color w:val="auto"/>
        </w:rPr>
        <w:t>Cytek Biosciences, Inc. (“Cytek” or the “Company”) is a leading cell analysis solutions company advancing the next generation of research and clinical tools with its novel technical approach of leveraging the full spectrum of fluorescence signatures from multiple lasers to distinguish fluorescent tags on single cells (“Full Spectrum Profiling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 “FSP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technology). The Company's goal is to become the premier cell analysis company through continued innovation that facilitates scientific advances in biomedical research and clinical applications.</w:t>
      </w:r>
    </w:p>
    <w:p>
      <w:pPr>
        <w:spacing w:after="0" w:line="90" w:lineRule="exact"/>
        <w:rPr>
          <w:sz w:val="20"/>
          <w:szCs w:val="20"/>
          <w:color w:val="auto"/>
        </w:rPr>
      </w:pPr>
    </w:p>
    <w:p>
      <w:pPr>
        <w:jc w:val="both"/>
        <w:ind w:firstLine="1134"/>
        <w:spacing w:after="0" w:line="241" w:lineRule="auto"/>
        <w:rPr>
          <w:sz w:val="20"/>
          <w:szCs w:val="20"/>
          <w:color w:val="auto"/>
        </w:rPr>
      </w:pPr>
      <w:r>
        <w:rPr>
          <w:rFonts w:ascii="Times New Roman" w:cs="Times New Roman" w:eastAsia="Times New Roman" w:hAnsi="Times New Roman"/>
          <w:sz w:val="18"/>
          <w:szCs w:val="18"/>
          <w:color w:val="auto"/>
        </w:rPr>
        <w:t>The Company has successfully developed and manufactured its full spectrum flow cytometry platform (“instrument(s)” or “product(s)”). The Company's core FSP instruments, the Cytek Aurora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Northern Lights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systems, deliver high-resolution, high-content and high-sensitivity cell analysis. The Company also launched its Cytek Aurora cell sorter (“Aurora CS”),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spacing w:after="0" w:line="91" w:lineRule="exact"/>
        <w:rPr>
          <w:sz w:val="20"/>
          <w:szCs w:val="20"/>
          <w:color w:val="auto"/>
        </w:rPr>
      </w:pPr>
    </w:p>
    <w:p>
      <w:pPr>
        <w:jc w:val="both"/>
        <w:ind w:firstLine="1134"/>
        <w:spacing w:after="0" w:line="239" w:lineRule="auto"/>
        <w:rPr>
          <w:sz w:val="20"/>
          <w:szCs w:val="20"/>
          <w:color w:val="auto"/>
        </w:rPr>
      </w:pPr>
      <w:r>
        <w:rPr>
          <w:rFonts w:ascii="Times New Roman" w:cs="Times New Roman" w:eastAsia="Times New Roman" w:hAnsi="Times New Roman"/>
          <w:sz w:val="18"/>
          <w:szCs w:val="18"/>
          <w:color w:val="auto"/>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Guava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instruments, and flow cytometry reagent products and services (the “FCI Business”). The acquired FCI Business includes conventional flow and image-based flow cytometry instrumentation and related products and services (the “FCI Products”).</w:t>
      </w:r>
    </w:p>
    <w:p>
      <w:pPr>
        <w:spacing w:after="0" w:line="90"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1134"/>
        <w:spacing w:after="0" w:line="277" w:lineRule="auto"/>
        <w:rPr>
          <w:sz w:val="20"/>
          <w:szCs w:val="20"/>
          <w:color w:val="auto"/>
        </w:rPr>
      </w:pPr>
      <w:r>
        <w:rPr>
          <w:rFonts w:ascii="Times New Roman" w:cs="Times New Roman" w:eastAsia="Times New Roman" w:hAnsi="Times New Roman"/>
          <w:sz w:val="17"/>
          <w:szCs w:val="17"/>
          <w:color w:val="auto"/>
        </w:rPr>
        <w:t>The unaudited interim consolidated financial statements include the accounts of Cytek Biosciences, Inc., its wholly-owned subsidiaries, Cytek Limited (HK), Cytek Biosciences B.V. (Europe), Cytek (Shanghai) Biosciences Co., Ltd., Cytek Biosciences (Wuxi) Co., Ltd.("Cytek Wuxi"), Cytek Japan Kabushiki Kaisha (“Cytek Japan”), Cytek Biosciences Ltd (UK), Cytek Biosciences GmbH (Germany), Cytoville Biosciences Shanghai Co., Ltd. and Cytek (Shanghai) Software Development Technology Co., Ltd. Cytoville Biosciences Shanghai Co., Ltd. and Cytek (Shanghai) Software Development Technology Co., Ltd. were closed in the fourth quarter of 2023. All intercompany accounts and transactions have been eliminated in consolidation.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loss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5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Company’s cash and cash equivalents consist of money held in demand depository accounts and money market funds. The carrying amount of cash and cash equivalents, and restricted cash was $177.9 million and $167.6 million as of June 30, 2024 and December 31, 2023,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June 30, 2024.</w:t>
      </w:r>
    </w:p>
    <w:p>
      <w:pPr>
        <w:spacing w:after="0" w:line="79"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Company classifies restricted cash as current on the accompanying unaudited interim consolidated balance sheets based upon the term of the remaining restrictions.</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is a summary of cash, cash equivalents and restricted cash on the consolidated balance sheets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as presented on the consolidated statements of cash flows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177,918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167,630</w:t>
            </w:r>
          </w:p>
        </w:tc>
      </w:tr>
      <w:tr>
        <w:trPr>
          <w:trHeight w:val="27"/>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restricted cash</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 customer made an advance payment of $0.3 million to Cytek Biosciences B.V., provided that the Customer receives a bank guarantee for the same amount as security for refund of said amount in the event that Cytek Biosciences B.V. fails to fulfill its delivery commitment. After the delivery, the restricted cash will be released into the Company's normal cash account. As of June 30, 2024, restricted cash of $0.3 million was released.</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advance payments to Cytek Biosciences B.V. totaled $30,000. The restricted cash will be released into the Company's normal cash account upon Cytek Biosciences B.V.'s fulfillment of its delivery commitment.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The Company's investments may consist of U.S. treasury and U.S. government agency securities,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bonds, commercial paper, and money market funds. The Company has designated all investments as available-for-sale and, therefore, such investments are reported at fair value, with unrealized gains and losses recorded in accumulated other comprehensive loss.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spacing w:after="0" w:line="7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Investment. </w:t>
      </w:r>
      <w:r>
        <w:rPr>
          <w:rFonts w:ascii="Times New Roman" w:cs="Times New Roman" w:eastAsia="Times New Roman" w:hAnsi="Times New Roman"/>
          <w:sz w:val="18"/>
          <w:szCs w:val="18"/>
          <w:color w:val="auto"/>
        </w:rPr>
        <w:t>The Company's investment consists of non-marketable equity investments in a privately held company.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three months ended June 30,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net</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principally of amounts due related to product sales of instrument systems and accessories, as well as installation and repair services. These receivables are generally due within 30 to 45 days of the period in which the corresponding sales occur and do not bear interest are classified as trade accounts receivable, net on the consolidated balance sheets. Trade accounts receivable are reported at their estimated net realizable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19" w:lineRule="exact"/>
        <w:rPr>
          <w:sz w:val="20"/>
          <w:szCs w:val="20"/>
          <w:color w:val="auto"/>
        </w:rPr>
      </w:pPr>
    </w:p>
    <w:p>
      <w:pPr>
        <w:jc w:val="both"/>
        <w:ind w:firstLine="1134"/>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Financial Instruments - Credit Losses”), on December 31, 2022, which was retroactively applied as of the first day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76"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7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in accordance with this accounting standard.</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changes in the allowance for credit losses for the six months ended June 30, 2024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372</w:t>
            </w:r>
          </w:p>
        </w:tc>
      </w:tr>
      <w:tr>
        <w:trPr>
          <w:trHeight w:val="26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Utilization of allowance for credit losses</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(198)</w:t>
            </w:r>
          </w:p>
        </w:tc>
      </w:tr>
      <w:tr>
        <w:trPr>
          <w:trHeight w:val="250"/>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6"/>
              </w:rPr>
              <w:t>125</w:t>
            </w:r>
          </w:p>
        </w:tc>
      </w:tr>
      <w:tr>
        <w:trPr>
          <w:trHeight w:val="27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299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Depreciation is recorded using the straight-line method based on the estimated useful lives of the depreciable property or, for leasehold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improvements, the remaining term of the lease, whichever is shorter. Assets not yet placed in use are not depreciated. The Company’s estimated useful lives of its property and equipment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20" w:type="dxa"/>
            <w:vAlign w:val="bottom"/>
          </w:tcPr>
          <w:p>
            <w:pPr>
              <w:spacing w:after="0"/>
              <w:rPr>
                <w:sz w:val="21"/>
                <w:szCs w:val="21"/>
                <w:color w:val="auto"/>
              </w:rPr>
            </w:pP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expected lease term or estimated useful life</w:t>
            </w:r>
          </w:p>
        </w:tc>
      </w:tr>
    </w:tbl>
    <w:p>
      <w:pPr>
        <w:spacing w:after="0" w:line="198"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Upon sale or retirement of the assets, the cost and related accumulated depreciation are removed from the accounts and the resulting gain or loss is recognized in the consolidated statement of operations and comprehensive loss. Expenditures for general maintenance and repairs are expensed as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20" w:type="dxa"/>
            <w:vAlign w:val="bottom"/>
            <w:tcBorders>
              <w:bottom w:val="single" w:sz="8" w:color="CCEEFF"/>
            </w:tcBorders>
          </w:tcPr>
          <w:p>
            <w:pPr>
              <w:spacing w:after="0"/>
              <w:rPr>
                <w:sz w:val="21"/>
                <w:szCs w:val="21"/>
                <w:color w:val="auto"/>
              </w:rPr>
            </w:pP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5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 years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3 - 15 years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FCI developed technology</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1 - 6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7 - 9 years</w:t>
            </w:r>
          </w:p>
        </w:tc>
      </w:tr>
      <w:tr>
        <w:trPr>
          <w:trHeight w:val="25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Reagent licenses</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6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5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Impairment of Long-Lived Assets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8"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68"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interim consolidated balance sheets for cash and cash equivalents, trade accounts receivable, net, trade accounts payable and accrued expenses approximate their fair values.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Company’s product revenue consists of sales of its instrument systems and accessories. The Company recognizes product revenue at the point in time when control of the product is transferred to the customer.</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Invoicing for products occurs upon delivery and payment terms are 30 to 45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7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68"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7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recorded $0.0 million and $1.0 million of revenue under bill-and-hold arrangements, respectively.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Assurance-type product warranties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banking and accounting fees relating to the Company’s planned initial public offering (“IPO”), are capitalized, and are offset against proceeds from an offering upon the effectiveness of the offering. In the event an anticipated offering is terminated, deferred offering costs will be expensed.</w:t>
      </w:r>
    </w:p>
    <w:p>
      <w:pPr>
        <w:spacing w:after="0" w:line="6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June 30, 2024, the Company has not made any sales of common stock pursuant to the 2022 Sales Agreement. Accordingly, $0.7 million in transaction expenses recorded as prepaid offering costs have not yet been expensed in transaction expenses recorded.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cost of advertising, marketing and media is expensed as incurred. For the three and six months ended June 30, 2024, advertising, marketing and media expenses were $1.3 million and $2.2 million, respectively. For the three and six months ended June 30, 2023, advertising, marketing and media expenses were $1.3 million and $2.1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7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Expected Volatility—Expected volatility is estimated by studying the volatility of selected industry peers deemed to be comparable to the Company's business corresponding to the expected term of the awards.</w:t>
      </w:r>
    </w:p>
    <w:p>
      <w:pPr>
        <w:spacing w:after="0" w:line="54"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Expected Term—Expected term represents the period that the Company's stock-based awards are expected to be outstanding and is determined using the simplified method.</w:t>
      </w:r>
    </w:p>
    <w:p>
      <w:pPr>
        <w:spacing w:after="0" w:line="5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Dividend Yield— The expected dividend yield is zero as the Company has never declared or paid cash dividends and has no current plans to do so in the foreseeable future.</w:t>
      </w:r>
    </w:p>
    <w:p>
      <w:pPr>
        <w:spacing w:after="0" w:line="5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U.S. Treasury zero-coupon issued in effect at the time of grant for periods corresponding with the expected term of the option.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Basic net loss per share and diluted net loss per share are computed using the weighted-average number of shares of common stock outstanding for the period. Net loss per share is calculated using the two-class method, which is an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allocation formula that determines net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w:t>
      </w:r>
    </w:p>
    <w:p>
      <w:pPr>
        <w:spacing w:after="0" w:line="7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per share gives effect to all potentially dilutive common stock equivalents, including outstanding options and redeemable convertible preferred stock.</w:t>
      </w:r>
    </w:p>
    <w:p>
      <w:pPr>
        <w:spacing w:after="0" w:line="72" w:lineRule="exact"/>
        <w:rPr>
          <w:sz w:val="20"/>
          <w:szCs w:val="20"/>
          <w:color w:val="auto"/>
        </w:rPr>
      </w:pPr>
    </w:p>
    <w:p>
      <w:pPr>
        <w:ind w:right="1500" w:firstLine="1134"/>
        <w:spacing w:after="0" w:line="374" w:lineRule="auto"/>
        <w:rPr>
          <w:sz w:val="20"/>
          <w:szCs w:val="20"/>
          <w:color w:val="auto"/>
        </w:rPr>
      </w:pPr>
      <w:r>
        <w:rPr>
          <w:rFonts w:ascii="Times New Roman" w:cs="Times New Roman" w:eastAsia="Times New Roman" w:hAnsi="Times New Roman"/>
          <w:sz w:val="18"/>
          <w:szCs w:val="18"/>
          <w:color w:val="auto"/>
        </w:rPr>
        <w:t xml:space="preserve">Common stock equivalents are excluded from the computation of diluted net loss per share if their effect is antidilutive. </w:t>
      </w:r>
      <w:r>
        <w:rPr>
          <w:rFonts w:ascii="Times New Roman" w:cs="Times New Roman" w:eastAsia="Times New Roman" w:hAnsi="Times New Roman"/>
          <w:sz w:val="18"/>
          <w:szCs w:val="18"/>
          <w:b w:val="1"/>
          <w:bCs w:val="1"/>
          <w:i w:val="1"/>
          <w:iCs w:val="1"/>
          <w:color w:val="auto"/>
        </w:rPr>
        <w:t>Business Combinations</w:t>
      </w:r>
    </w:p>
    <w:p>
      <w:pPr>
        <w:spacing w:after="0" w:line="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acquisition method of accounting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74"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Amounts allocated to assets and liabilities are based upon their estimated fair values. Such valuations require management to make significant estimates and assumptions, especially with respect to the identifiable intangible assets. The Company's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May 17, 2024, Cytek Wuxi entered into a Kuaiyifu Business Cooperation Agreement with the Bank of Communications Co., Ltd. to implement a supplier financing program which enables certain Cytek Wuxi suppliers, at their sole discretion, to sell their Cytek Wuxi receivables (i.e., Cytek Wuxi’s payment obligations to the suppliers) to the Bank of Communications Co., Ltd. on a non-recourse basis in order to be paid earlier than current payment terms provide.</w:t>
      </w:r>
    </w:p>
    <w:p>
      <w:pPr>
        <w:spacing w:after="0" w:line="7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Cytek Wuxi’s payment terms to the Bank of Communications Co., Ltd., including the timing and amount of payments, are based on the original supplier invoices. Cytek Wuxi’s current payment terms with a majority of its suppliers are typically between 30 and 90 days. Cytek Wuxi undertakes unconditional payment obligations with respect to the suppliers’ account receivable transferred to the bank under the supplier finance program.</w:t>
      </w:r>
    </w:p>
    <w:p>
      <w:pPr>
        <w:spacing w:after="0" w:line="68"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program allows for the transfer of supplier receivables up to an aggregate outstanding balance of $20.0 million Chinese renminbi (approximately US $2.8 million) through December 25, 2024. As of June 30, 2024, the program has no outstanding balance, and no supplier has transferred their receivables to the Bank of Communications Co., Ltd.</w:t>
      </w:r>
    </w:p>
    <w:p>
      <w:pPr>
        <w:spacing w:after="0" w:line="68"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Any transferred suppliers’ account receivable under the program in the future will be included in the outstanding line of credit with the financial institution.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In September 2022, the FASB issued ASU 2022-04, Liabilities-Supplier Finance Programs (Subtopic 405-50): Disclosure of Supplier Finance Program Obligations ("ASU 2022-04"), which requires a buyer in a supplier finance program to disclose qualitative and quantitative information about its program to allow a user of the financial statements to understand the program’s nature, activity during the period, changes from period to period and potential magnitude. The amendments in ASU 2022-04 are effective for fiscal years beginning after December 15, 2022 and interim periods within those fiscal years, with the exception for the amendment on roll-forward information, which is effective for fiscal years beginning after December 15, 2023. The guidance should be applied retrospectively, except for the amendment on roll-forward information, which should be applied prospectively. In the second quarter of 2024, the Company implemented a supplier financing arrangement and adopted ASU 2022-04. The adoption did not have a material effect on the Company's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No. 2023-07, Segment Reporting (Topic 280): Improvements to Reportable Segment Disclosures ("ASU 2023-07"). ASU 2023-07 looks to provide improvements to the segment disclosure by providing users with more decision-useful information about reportable segments in a public entity. The main provisions require a company to disclose, on an annual and interim basis, significant expenses included within each reported measure of segment profit or loss, an amount for other segment items by reportable segment and a description of its composition. ASU 2023-07 is to be applied retrospectively to all prior periods presented in the financial statements with an effective date for all public entities for fiscal years beginning after December 15, 2023, and interim periods within fiscal years beginning after December 15, 2024. Early adoption is permitted. The Company is currently evaluating the impact of this pronouncement.</w:t>
      </w:r>
    </w:p>
    <w:p>
      <w:pPr>
        <w:spacing w:after="0" w:line="8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of this pronouncement.</w:t>
      </w:r>
    </w:p>
    <w:p>
      <w:pPr>
        <w:spacing w:after="0" w:line="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Concentrations of credit risk and other risks and uncertainties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depicts the disaggregation of revenue by sales channel mix and customer mix as defined by the nature of workflows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90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0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6"/>
        </w:trPr>
        <w:tc>
          <w:tcPr>
            <w:tcW w:w="40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0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 mix</w:t>
            </w: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50"/>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sales channel</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34,549</w:t>
            </w:r>
          </w:p>
        </w:tc>
        <w:tc>
          <w:tcPr>
            <w:tcW w:w="100" w:type="dxa"/>
            <w:vAlign w:val="bottom"/>
          </w:tcPr>
          <w:p>
            <w:pPr>
              <w:spacing w:after="0"/>
              <w:rPr>
                <w:sz w:val="21"/>
                <w:szCs w:val="21"/>
                <w:color w:val="auto"/>
              </w:rPr>
            </w:pP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68,869</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63,307</w:t>
            </w:r>
          </w:p>
        </w:tc>
      </w:tr>
      <w:tr>
        <w:trPr>
          <w:trHeight w:val="26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 channel</w:t>
            </w: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w:t>
            </w:r>
          </w:p>
        </w:tc>
      </w:tr>
      <w:tr>
        <w:trPr>
          <w:trHeight w:val="24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49,693</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86,781</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6"/>
        </w:trPr>
        <w:tc>
          <w:tcPr>
            <w:tcW w:w="40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mix</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Academia and government</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52,834</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w:t>
            </w:r>
          </w:p>
        </w:tc>
      </w:tr>
      <w:tr>
        <w:trPr>
          <w:trHeight w:val="211"/>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Biotechnology, pharmaceutical, distributor and</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5"/>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contract research organizations</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51,179</w:t>
            </w:r>
          </w:p>
        </w:tc>
      </w:tr>
      <w:tr>
        <w:trPr>
          <w:trHeight w:val="27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Revenue by geographical markets is presented in Note 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revenues expected to be recognized in the future related to performance obligations that are unsatisfied (or partially satisfied) as of June 30, 2024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Greater than 1 year</w:t>
            </w:r>
          </w:p>
        </w:tc>
        <w:tc>
          <w:tcPr>
            <w:tcW w:w="34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36,953</w:t>
            </w:r>
          </w:p>
        </w:tc>
      </w:tr>
      <w:tr>
        <w:trPr>
          <w:trHeight w:val="27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deferred revenue from contracts with customers, and customer deposits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Customer deposits, which are included in 'Other current liabilities'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1140"/>
              <w:spacing w:after="0"/>
              <w:rPr>
                <w:sz w:val="20"/>
                <w:szCs w:val="20"/>
                <w:color w:val="auto"/>
              </w:rPr>
            </w:pPr>
            <w:r>
              <w:rPr>
                <w:rFonts w:ascii="Times New Roman" w:cs="Times New Roman" w:eastAsia="Times New Roman" w:hAnsi="Times New Roman"/>
                <w:sz w:val="18"/>
                <w:szCs w:val="18"/>
                <w:color w:val="auto"/>
              </w:rPr>
              <w:t>The following provides a roll-forward of the contract liabilities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Revenue deferred</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22,615</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Balance sheet details</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0" w:type="dxa"/>
            <w:vAlign w:val="bottom"/>
          </w:tcPr>
          <w:p>
            <w:pPr>
              <w:spacing w:after="0"/>
              <w:rPr>
                <w:sz w:val="1"/>
                <w:szCs w:val="1"/>
                <w:color w:val="auto"/>
              </w:rPr>
            </w:pPr>
          </w:p>
        </w:tc>
      </w:tr>
      <w:tr>
        <w:trPr>
          <w:trHeight w:val="24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60,877</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rent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refund receivable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warranty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1140"/>
              <w:spacing w:after="0"/>
              <w:rPr>
                <w:sz w:val="20"/>
                <w:szCs w:val="20"/>
                <w:color w:val="auto"/>
              </w:rPr>
            </w:pPr>
            <w:r>
              <w:rPr>
                <w:rFonts w:ascii="Times New Roman" w:cs="Times New Roman" w:eastAsia="Times New Roman" w:hAnsi="Times New Roman"/>
                <w:sz w:val="18"/>
                <w:szCs w:val="18"/>
                <w:color w:val="auto"/>
              </w:rPr>
              <w:t>For the product warranty analysis refer to Note 20.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other current liabilities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loan and line of credit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measurement. The following table sets forth the fair value of the Company’s financial assets and liabilities by level within the fair value hierarchy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21"/>
        </w:trPr>
        <w:tc>
          <w:tcPr>
            <w:tcW w:w="474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144,091</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144,091</w:t>
            </w:r>
          </w:p>
        </w:tc>
        <w:tc>
          <w:tcPr>
            <w:tcW w:w="8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13,884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13,884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243,414</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229,530</w:t>
            </w:r>
          </w:p>
        </w:tc>
        <w:tc>
          <w:tcPr>
            <w:tcW w:w="80" w:type="dxa"/>
            <w:vAlign w:val="bottom"/>
          </w:tcPr>
          <w:p>
            <w:pPr>
              <w:spacing w:after="0"/>
              <w:rPr>
                <w:sz w:val="21"/>
                <w:szCs w:val="21"/>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13,884</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7"/>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active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21"/>
        </w:trPr>
        <w:tc>
          <w:tcPr>
            <w:tcW w:w="4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144,892</w:t>
            </w:r>
          </w:p>
        </w:tc>
        <w:tc>
          <w:tcPr>
            <w:tcW w:w="80" w:type="dxa"/>
            <w:vAlign w:val="bottom"/>
          </w:tcPr>
          <w:p>
            <w:pPr>
              <w:spacing w:after="0"/>
              <w:rPr>
                <w:sz w:val="21"/>
                <w:szCs w:val="21"/>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144,892</w:t>
            </w:r>
          </w:p>
        </w:tc>
        <w:tc>
          <w:tcPr>
            <w:tcW w:w="80" w:type="dxa"/>
            <w:vAlign w:val="bottom"/>
          </w:tcPr>
          <w:p>
            <w:pPr>
              <w:spacing w:after="0"/>
              <w:rPr>
                <w:sz w:val="21"/>
                <w:szCs w:val="21"/>
                <w:color w:val="auto"/>
              </w:rPr>
            </w:pP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240,003</w:t>
            </w:r>
          </w:p>
        </w:tc>
        <w:tc>
          <w:tcPr>
            <w:tcW w:w="8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192,258</w:t>
            </w:r>
          </w:p>
        </w:tc>
        <w:tc>
          <w:tcPr>
            <w:tcW w:w="8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47,745</w:t>
            </w:r>
          </w:p>
        </w:tc>
        <w:tc>
          <w:tcPr>
            <w:tcW w:w="8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of financial assets measured at fair value on a recurring basis to or from Level 1, Level 2 or Level 3 for any of the periods presented.</w:t>
      </w:r>
    </w:p>
    <w:p>
      <w:pPr>
        <w:spacing w:after="0" w:line="54"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the Company's investments in privately held equity securities. Non-marketable equity investments of $1.6 million are included within Other noncurrent assets on the consolidated balance sheet as of June 30, 2024.</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21" w:lineRule="exact"/>
        <w:rPr>
          <w:sz w:val="20"/>
          <w:szCs w:val="20"/>
          <w:color w:val="auto"/>
        </w:rPr>
      </w:pPr>
    </w:p>
    <w:p>
      <w:pPr>
        <w:ind w:right="18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June 30, 2024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9"/>
                <w:szCs w:val="9"/>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85,439</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June 30, 2024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8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0" w:type="dxa"/>
            <w:vAlign w:val="bottom"/>
          </w:tcPr>
          <w:p>
            <w:pPr>
              <w:spacing w:after="0"/>
              <w:rPr>
                <w:sz w:val="16"/>
                <w:szCs w:val="16"/>
                <w:color w:val="auto"/>
              </w:rPr>
            </w:pPr>
          </w:p>
        </w:tc>
        <w:tc>
          <w:tcPr>
            <w:tcW w:w="10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4"/>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99,323</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securities by significant investment category reported as short-term as of December 31, 2023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9"/>
        </w:trPr>
        <w:tc>
          <w:tcPr>
            <w:tcW w:w="5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9"/>
                <w:szCs w:val="9"/>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47,366</w:t>
            </w:r>
          </w:p>
        </w:tc>
        <w:tc>
          <w:tcPr>
            <w:tcW w:w="0" w:type="dxa"/>
            <w:vAlign w:val="bottom"/>
          </w:tcPr>
          <w:p>
            <w:pPr>
              <w:spacing w:after="0"/>
              <w:rPr>
                <w:sz w:val="1"/>
                <w:szCs w:val="1"/>
                <w:color w:val="auto"/>
              </w:rPr>
            </w:pPr>
          </w:p>
        </w:tc>
      </w:tr>
      <w:tr>
        <w:trPr>
          <w:trHeight w:val="25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center"/>
              <w:ind w:left="816"/>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35,818</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0" w:type="dxa"/>
            <w:vAlign w:val="bottom"/>
          </w:tcPr>
          <w:p>
            <w:pPr>
              <w:spacing w:after="0"/>
              <w:rPr>
                <w:sz w:val="1"/>
                <w:szCs w:val="1"/>
                <w:color w:val="auto"/>
              </w:rPr>
            </w:pP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22"/>
                <w:szCs w:val="22"/>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95,111</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securities at December 31, 2023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Mature in less than one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95,111</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property and equipment, net (in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Total depreciation expense for the three and six months ended June 30, 2024 was $0.9 million and $1.6 million, respectively. Total depreciation expense for the three and six months ended June 30, 2023 was $0.6 million and $1.1 million, respectively.</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On February 28, 2023, the Company completed the FCI Acquisition for an aggregate cash consideration of $44.9 million.</w:t>
      </w:r>
    </w:p>
    <w:p>
      <w:pPr>
        <w:spacing w:after="0" w:line="11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FCI Acquisition expanded the Company's product portfolio to include high-resolution cell images with the speed, sensitivity and phenotyping abilities of flow cytometry and added cost-effective, entry-level and personal instrument options to broaden the market and research areas the Company services.</w:t>
      </w:r>
    </w:p>
    <w:p>
      <w:pPr>
        <w:spacing w:after="0" w:line="6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accordance with ASC 805. The purchase price has been allocated to tangible assets and identifiable intangible assets acquired and liabilities assumed based upon their estimated fair values, with the exception of contract liabilities assumed which are recognized and measured in accordance with ASC 606, Revenue from Contracts with Customers. The Company finalized its accounting for the FCI Acquisition during the fourth quarter of 2023.</w:t>
      </w:r>
    </w:p>
    <w:p>
      <w:pPr>
        <w:spacing w:after="0" w:line="7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the following changes as a result of measurement period adjustments to the fair value of the initial assets as follows:</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increased by $1.4 million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increased by $0.6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increased by $0.1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technologies increased by a total $0.7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names increased by $0.2 million</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period adjustments noted above decreased goodwill by $3.0 million.</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estimated fair value of assets acquired and liabilities assumed at the date of the FCI Acquisition: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thousands)</w:t>
            </w:r>
          </w:p>
        </w:tc>
      </w:tr>
      <w:tr>
        <w:trPr>
          <w:trHeight w:val="33"/>
        </w:trPr>
        <w:tc>
          <w:tcPr>
            <w:tcW w:w="9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Amnis ImageStream developed technology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Guava easyCyte and Muse developed technology</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Amnis FlowSight and CellStream developed technology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Amnis tradename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5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Guava tradename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57"/>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44,895</w:t>
            </w:r>
          </w:p>
        </w:tc>
      </w:tr>
      <w:tr>
        <w:trPr>
          <w:trHeight w:val="20"/>
        </w:trPr>
        <w:tc>
          <w:tcPr>
            <w:tcW w:w="9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$6.0 million of goodwill arising from the FCI Acquisition is primarily attributed to significant time-to-market advantages, as the Company gained immediate access to the FCI Products, existing relationships and business infrastructure and knowledgeable and experienced workforce. The goodwill is deductible for tax purposes. The Company has integrated the FCI Business into its existing business structure, which is comprised of a single reportable segment and a single reporting unit.</w:t>
      </w:r>
    </w:p>
    <w:p>
      <w:pPr>
        <w:spacing w:after="0" w:line="193"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tcBorders>
              <w:top w:val="single" w:sz="8" w:color="auto"/>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04"/>
        </w:trPr>
        <w:tc>
          <w:tcPr>
            <w:tcW w:w="8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(In thousands, except for years)</w:t>
            </w:r>
          </w:p>
        </w:tc>
      </w:tr>
      <w:tr>
        <w:trPr>
          <w:trHeight w:val="33"/>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5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8"/>
              </w:rPr>
              <w:t>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Amnis ImageStream Developed Technology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88"/>
              </w:rPr>
              <w:t>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Guava easyCyte and Muse Developed Technology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58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8"/>
              </w:rPr>
              <w:t>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Amnis FlowSight and CellStream Developed Technology</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88"/>
              </w:rPr>
              <w:t>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Amnis Tradename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Guava Tradename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58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w w:val="88"/>
              </w:rPr>
              <w:t>3</w:t>
            </w:r>
          </w:p>
        </w:tc>
      </w:tr>
      <w:tr>
        <w:trPr>
          <w:trHeight w:val="281"/>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580" w:type="dxa"/>
            <w:vAlign w:val="bottom"/>
            <w:tcBorders>
              <w:bottom w:val="single" w:sz="8" w:color="CCEEFF"/>
            </w:tcBorders>
            <w:shd w:val="clear" w:color="auto" w:fill="CCEEFF"/>
          </w:tcPr>
          <w:p>
            <w:pPr>
              <w:spacing w:after="0"/>
              <w:rPr>
                <w:sz w:val="24"/>
                <w:szCs w:val="24"/>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customer relationships intangible asset represents the fair value of the underlying relationships with existing customers of the FCI Business. The trade name intangible asset represents the fair value of brand and name recognition associated with the marketing of the FCI Products. The FCI developed technology intangible asset represents the fair value of access to certain imaging and microcapillary technologies.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The fair value of the intangible assets acquired were estimated using variations of the income approach. The fair value of the customer relationships intangible asset was determined based on the multi-period excess earnings method and the relief-from-royalty method was utilized to estimate the fair values of the trade name and FCI developed technology intangible assets. The key assumptions used in estimating the fair values of intangible assets included 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 were benchmarked with reference to the implied rate of return from the transaction model and the weighted average cost of capital.</w:t>
      </w:r>
    </w:p>
    <w:p>
      <w:pPr>
        <w:spacing w:after="0" w:line="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All acquired intangibles are being amortized over their estimated useful lives using the straight-line method of amortization.</w:t>
      </w:r>
    </w:p>
    <w:p>
      <w:pPr>
        <w:spacing w:after="0" w:line="117"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results of operations for the FCI Business are included in the consolidated financial statements of the Company from the date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w:t>
      </w:r>
    </w:p>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102870</wp:posOffset>
            </wp:positionV>
            <wp:extent cx="19456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 license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Reagent license</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r>
      <w:tr>
        <w:trPr>
          <w:trHeight w:val="25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23,084</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Total amortization expense for the three and six months ended June 30, 2024 was approximately $0.9 million and $1.9 million,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and six months ended June 30, 2023 was approximately $1.0 million and $1.5 million, respectively.</w:t>
      </w:r>
    </w:p>
    <w:p>
      <w:pPr>
        <w:spacing w:after="0" w:line="95"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settlement liability</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 million, (ii) a low single digit royalty payment for ten years, based on net sales of certain of its products,</w:t>
      </w:r>
    </w:p>
    <w:p>
      <w:pPr>
        <w:spacing w:after="0" w:line="1" w:lineRule="exact"/>
        <w:rPr>
          <w:sz w:val="20"/>
          <w:szCs w:val="20"/>
          <w:color w:val="auto"/>
        </w:rPr>
      </w:pPr>
    </w:p>
    <w:p>
      <w:pPr>
        <w:jc w:val="both"/>
        <w:ind w:firstLine="8"/>
        <w:spacing w:after="0" w:line="255" w:lineRule="auto"/>
        <w:tabs>
          <w:tab w:leader="none" w:pos="3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pacing w:after="0" w:line="7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as a royalty rate that a market participant would pay to license the BD intellectual property, forecasted sales subject to the market royalty rate and the discount rate.</w:t>
      </w:r>
    </w:p>
    <w:p>
      <w:pPr>
        <w:spacing w:after="0" w:line="54"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The patents in question were determined to have an average useful life of 18 months. Accordingly, beginning with the second quarter of 2022, the remaining contractual payments were classified as operating expenses as they were considered deferred litigation settlement. The Company recorded $0.1 million and $0.4 million of interest expense for the three and six months ended June 30, 2024, respectively, and $0.5 million and $0.8 million of interest expense for the three and six months ended June 30, 2023,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$19.4 million and $19.0 million as of June 30, 2024 and December 31, 2023, respectively, and will record licensing expense in future periods.</w:t>
      </w:r>
    </w:p>
    <w:p>
      <w:pPr>
        <w:spacing w:after="0" w:line="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components of the legal settlement liability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102870</wp:posOffset>
            </wp:positionV>
            <wp:extent cx="19456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Legal settlement liability</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legal settlement liability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November 7, 2022, Cytek Wuxi entered a fixed asset loan agreement with Bank of Communications, China (the “Wuxi Loan”). The Wuxi Loan is denominated in Chinese renminbi and collateralized by Cytek Wuxi's cash deposit to the bank. The deposit is in a separate account with Cytek Wuxi's name, but the use of such account is restricted. The 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June 30, 2024, the total loan amount is $1.9 million. The current portion of the loan, $0.6 million, is included in other current liabilities. The fixed interest rate on the loan was 4.5%.</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16, 2024, the Company signed a maximum credit agreement with Bank of Communications, China. for 40 million Chinese renminbi (approximately US $5.7 million). This credit is collateralized by the Wuxi building purchased in November 2023. 20 million Chinese renminbi (approximately US $2.8 million) under the credit agreement serves as collateral for the Wuxi Loan. The remaining 20 million Chinese renminbi (approximately US $2.8 million) can be borrowed, as needed, as a short-term loan for normal business operation requirements. The line of credit is available from December 25, 2023 to December 25, 2024.</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28, 2024, based on the above mentioned line of credit, Cytek Wuxi entered into a one year loan agreement with Bank of Communications, China. The loan is denominated in Chinese renminbi and collateralized by the building purchased by Cytek Wuxi in November, 2023. The total loan amount was 10 million Chinese renminbi (approximately US $1.4 million) and the interest rate is fixed at 3.45%. The loan effective term is February 28, 2024 to February 28, 2025. The interest expenses will be paid on a monthly basis. The loan will be used for operating expenses. The current portion of the line of credit loan of 10 million Chinese renminbi (approximately US $1.4 million) is included in other current liabilities.</w:t>
      </w:r>
    </w:p>
    <w:p>
      <w:pPr>
        <w:spacing w:after="0" w:line="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On August 26, 2022, the Company filed with the SEC an automatic shelf registration statement on Form S-3ASR (File No. 333-267118) (the “Registration Statement”). In connection with the filing of the Registration Statement, the Company also entered into the “2022 Sales Agreement”-with Piper Sandler &amp; Co. (“Piper”) as sales agent to sell from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to time up to $150 million of the Company’s common stock through an “at-the-market” offering program as defined in Rule 415 promulgated under the Securities Act.</w:t>
      </w:r>
    </w:p>
    <w:p>
      <w:pPr>
        <w:spacing w:after="0" w:line="54"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June 30, 2024, the Company has not made any sales of common stock pursuant to the 2022 Sales Agreement. Accordingly, $0.7 million in transaction expenses recorded as prepaid offering costs have not yet been expensed in transaction expenses recorded.</w:t>
      </w:r>
    </w:p>
    <w:p>
      <w:pPr>
        <w:spacing w:after="0" w:line="75"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On May 17, 2023, the Board approved a program for the repurchase by the Company of up to an aggregate of $50 million of its outstanding common stock. During the three months ended December 31, 2023, the Company repurchased 5,332,769 shares of its outstanding common stock for a total cost of approximately $34.6 million at an average price per share of $6.49. During the twelve months ended December 31, 2023, the Company repurchased 6,613,780 shares of its outstanding common stock for a total cost of approximately $44.0 million at an average price per share of $6.66. The commissions costs related with the repurchases were $0.1 million for both the three months and twelve months ended December 31, 2023. The repurchase program was used to return capital to shareholders and to minimize the dilutive impact of stock options and other stock-based awards. The repurchased shares of common stock were retired. The repurchase program expired on December 31, 2023.</w:t>
      </w:r>
    </w:p>
    <w:p>
      <w:pPr>
        <w:spacing w:after="0" w:line="8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June 6, 2024, the Board of Directors approved a program for the repurchase by the Company of up to an aggregate of $50 million of its outstanding common stock. The program will end on December 31, 2024. During the three months ended June 30, 2024, the Company repurchased 444,319 shares of its outstanding common stock for a total cost of approximately $2.7 million at an average price per share of $5.99. As of June 30, 2024, the Company has a remaining authorized amount of $47.3 million in the repurchase program.</w:t>
      </w:r>
    </w:p>
    <w:p>
      <w:pPr>
        <w:spacing w:after="0" w:line="200" w:lineRule="exact"/>
        <w:rPr>
          <w:sz w:val="20"/>
          <w:szCs w:val="20"/>
          <w:color w:val="auto"/>
        </w:rPr>
      </w:pPr>
    </w:p>
    <w:p>
      <w:pPr>
        <w:spacing w:after="0" w:line="223"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To date, pursuant to the Company repurchase programs, the Company has purchased the aggregate of 7,058,099 shares of its outstanding common stock for a total cost of approximately $46.7 million at an average price per share of $6.61. The repurchase programs were used to return capital to shareholders and to minimize the dilutive impact of stock options and other stock-based awards. The repurchased shares of common stock were retired.</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2023 and June 30, 2024, the Company accrued $0.3 million and $0.3 million in excise taxes related with its share repurchases. As of June 30, 2024, these excise taxes are still outstanding.</w:t>
      </w:r>
    </w:p>
    <w:p>
      <w:pPr>
        <w:spacing w:after="0" w:line="7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Plans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 of June 30, 2024, the Company had three stock-based compensation plans (the “Plans”) which are described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Equity Incentive Plan</w:t>
      </w:r>
    </w:p>
    <w:p>
      <w:pPr>
        <w:spacing w:after="0" w:line="11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11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Board of Directors elects to authorize a lesser number of shares prior to the applicable January 1. As of June 30, 2024, the total number of shares of common stock available for issuance under the 2021 Plan was 21,790,770 shares.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11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six months ended June 30, 2024, 210,496 shares were issued pursuant to purchases under the ESPP. As of June 30, 2024, the total number of shares of common stock available for issuance under the ESPP was 5,298,874 shares.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valuation assumptions</w:t>
      </w:r>
    </w:p>
    <w:p>
      <w:pPr>
        <w:spacing w:after="0" w:line="11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shows stock option activity during the periods indicated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4"/>
        </w:trPr>
        <w:tc>
          <w:tcPr>
            <w:tcW w:w="448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r>
      <w:tr>
        <w:trPr>
          <w:trHeight w:val="23"/>
        </w:trPr>
        <w:tc>
          <w:tcPr>
            <w:tcW w:w="44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7,219,702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7"/>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5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8,424,220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21"/>
                <w:szCs w:val="21"/>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10,232</w:t>
            </w:r>
          </w:p>
        </w:tc>
      </w:tr>
      <w:tr>
        <w:trPr>
          <w:trHeight w:val="21"/>
        </w:trPr>
        <w:tc>
          <w:tcPr>
            <w:tcW w:w="44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June 30,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4,949,291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June 30, 2024 and 2023 were $4.07 and $5.28 per share, respectively. The weighted-average grant date fair value of options granted during the six months ended June 30, 2024 and 2023 were $4.61 and $6.72 per share, respectively.</w:t>
      </w:r>
    </w:p>
    <w:p>
      <w:pPr>
        <w:spacing w:after="0" w:line="68"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There was $22.1 million of unrecognized stock-based compensation expense related to unvested stock options as of June 30, 2024. The unrecognized stock-based compensation expense is estimated to be recognized over a period of 2.59 years as of June 30, 2024.</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option exercises.</w:t>
      </w:r>
    </w:p>
    <w:p>
      <w:pPr>
        <w:spacing w:after="0" w:line="117"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and the estimated fair value of the Company’s common stock as of June 30, 2024.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RSU awards activity during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r>
      <w:tr>
        <w:trPr>
          <w:trHeight w:val="190"/>
        </w:trPr>
        <w:tc>
          <w:tcPr>
            <w:tcW w:w="4480" w:type="dxa"/>
            <w:vAlign w:val="bottom"/>
          </w:tcPr>
          <w:p>
            <w:pPr>
              <w:spacing w:after="0"/>
              <w:rPr>
                <w:sz w:val="16"/>
                <w:szCs w:val="16"/>
                <w:color w:val="auto"/>
              </w:rPr>
            </w:pP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6"/>
                <w:szCs w:val="16"/>
                <w:color w:val="auto"/>
              </w:rPr>
            </w:pPr>
          </w:p>
        </w:tc>
        <w:tc>
          <w:tcPr>
            <w:tcW w:w="13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4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2,608,257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w:t>
            </w:r>
          </w:p>
        </w:tc>
      </w:tr>
      <w:tr>
        <w:trPr>
          <w:trHeight w:val="25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3,358,467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3"/>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(582,543)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0"/>
        </w:trPr>
        <w:tc>
          <w:tcPr>
            <w:tcW w:w="4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(232,552)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7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June 30,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5,151,629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There was $41.2 million of unrecognized stock-based compensation expense related to unvested RSU awards as of June 30, 2024. The unrecognized stock-based compensation expense is estimated to be recognized over a period of 3.21 years as of June 30,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allocation of stock-based compensation expense related to the Company’s stock-based awards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7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6"/>
        </w:trPr>
        <w:tc>
          <w:tcPr>
            <w:tcW w:w="4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r>
      <w:tr>
        <w:trPr>
          <w:trHeight w:val="23"/>
        </w:trPr>
        <w:tc>
          <w:tcPr>
            <w:tcW w:w="4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5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6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5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w:t>
            </w:r>
          </w:p>
        </w:tc>
      </w:tr>
      <w:tr>
        <w:trPr>
          <w:trHeight w:val="275"/>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weighted-average valuation assumptions used in determining the fair value of employee stock options: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8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6"/>
        </w:trPr>
        <w:tc>
          <w:tcPr>
            <w:tcW w:w="5360" w:type="dxa"/>
            <w:vAlign w:val="bottom"/>
            <w:gridSpan w:val="2"/>
          </w:tcPr>
          <w:p>
            <w:pPr>
              <w:ind w:left="49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5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6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300"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used in estimating the fair value of the ESPP for the current offering period using the Black-Scholes option-pricing model:</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8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6"/>
        </w:trPr>
        <w:tc>
          <w:tcPr>
            <w:tcW w:w="5360" w:type="dxa"/>
            <w:vAlign w:val="bottom"/>
            <w:gridSpan w:val="2"/>
          </w:tcPr>
          <w:p>
            <w:pPr>
              <w:ind w:left="49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6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Employee benefit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retirement savings plan</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 currently maintains a 401(k) retirement savings plan that covers substantially all of its employees (“401(k) Plan”). The 401(k) Plan permits voluntary contributions by employees, a portion of which are matched by the Company. The Company’s contributions to the 401(k) Plan were approximately $569,732 and $974,025 for the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three and six months ended June 30, 2024, respectively. The Company’s contributions to the 401(k) Plan were approximately $432,000 and $770,000 for the three and six months ended June 30, 2023, respectively.</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7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72"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79"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from continuing operations was (2.6)% and 28.4% for the six months ended June 30, 2024 and 2023, respectively. The Company’s effective income tax rate for the six months ended June 30, 2024 is lower than the US federal statutory tax rate due to the impact of non-deductible stock-based compensation, and the Company's mix of earnings between various taxing jurisdictions, partially offset by a deduction for foreign-sourced revenue, stock compensation, and federal and state research credits. The effective income rate for the six months ended June 30, 2023 was higher than the US federal statutory tax rate primarily due to state income taxes, non-deductible stock-based compensation, the Company's mix of earnings between various taxing jurisdictions, partially offset by a deduction for foreign-sourced revenue, and federal and state research credits.</w:t>
      </w:r>
    </w:p>
    <w:p>
      <w:pPr>
        <w:spacing w:after="0" w:line="29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Company's benefit from income taxes consists primarily of provision for federal taxes and local taxes in the United States as well as foreign taxes. As the Company plans to expand the scale and scope of its international business activities, any changes in the United States and foreign taxation of such activities may increase the Company's overall provision for income taxes in the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displays the benefit from income taxes for the three and six months ended June 30, 2024 and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02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5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8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3,248</w:t>
            </w:r>
          </w:p>
        </w:tc>
        <w:tc>
          <w:tcPr>
            <w:tcW w:w="9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(2,207)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5,455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760"/>
        </w:trPr>
        <w:tc>
          <w:tcPr>
            <w:tcW w:w="5020" w:type="dxa"/>
            <w:vAlign w:val="bottom"/>
          </w:tcPr>
          <w:p>
            <w:pPr>
              <w:spacing w:after="0"/>
              <w:rPr>
                <w:sz w:val="24"/>
                <w:szCs w:val="24"/>
                <w:color w:val="auto"/>
              </w:rPr>
            </w:pPr>
          </w:p>
        </w:tc>
        <w:tc>
          <w:tcPr>
            <w:tcW w:w="24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24"/>
                <w:szCs w:val="24"/>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02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5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8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424</w:t>
            </w:r>
          </w:p>
        </w:tc>
        <w:tc>
          <w:tcPr>
            <w:tcW w:w="9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(4,440)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rPr>
              <w:t>4,864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7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Provision for income taxes was $3.2 million for the three months ended June 30, 2024, as compared to a benefit from income taxes of $2.2 million for the three months ended June 30, 2023. The net change of $5.5 million for the three months ended June 30, 2024 was primarily due to the reversal of the tax benefit during the three months ended June 30, 2024 due to a lower effective tax rate for the three months ended June 30, 2024, and an adjustment to tax expense to account for the settlement price of restricted stock units settled in the quarter being lower than the grant price.</w:t>
      </w:r>
    </w:p>
    <w:p>
      <w:pPr>
        <w:spacing w:after="0" w:line="7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Provision for income taxes was $0.4 million for the six months ended June 30, 2024, as compared to a benefit from income taxes of $4.4 million for the six months ended June 30, 2023. The net increase of $4.9 million for the six months ended June 30, 2024 is primarily due to a lower effective tax rate.</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tab/>
        <w:t>Lease</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75"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Company leases office facilities and equipment from unrelated parties under operating lease agreements that have initial terms ranging from 1 to 7.25 years. Some leases include one or more options to renew, generally at the Company's sole discretion, with renewal terms that can extend the lease term up to 5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is a sub-lessor in an agreement with a term of 3 years.</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The components of lease expense are as follows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 the three and six months ended June 30, 2024, sublease income was $0 and $57,000 recorded as other income.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 payments on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63"/>
        </w:trPr>
        <w:tc>
          <w:tcPr>
            <w:tcW w:w="8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1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9"/>
        </w:trPr>
        <w:tc>
          <w:tcPr>
            <w:tcW w:w="8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other 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75"/>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8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right="216"/>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rPr>
              <w:t>4.68</w:t>
            </w:r>
          </w:p>
        </w:tc>
      </w:tr>
      <w:tr>
        <w:trPr>
          <w:trHeight w:val="270"/>
        </w:trPr>
        <w:tc>
          <w:tcPr>
            <w:tcW w:w="8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right="216"/>
              <w:spacing w:after="0"/>
              <w:rPr>
                <w:sz w:val="20"/>
                <w:szCs w:val="20"/>
                <w:color w:val="auto"/>
              </w:rPr>
            </w:pPr>
            <w:r>
              <w:rPr>
                <w:rFonts w:ascii="Times New Roman" w:cs="Times New Roman" w:eastAsia="Times New Roman" w:hAnsi="Times New Roman"/>
                <w:sz w:val="18"/>
                <w:szCs w:val="18"/>
                <w:color w:val="auto"/>
                <w:w w:val="95"/>
              </w:rPr>
              <w:t>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5"/>
              </w:rPr>
              <w:t>2.7%</w:t>
            </w:r>
          </w:p>
        </w:tc>
      </w:tr>
    </w:tbl>
    <w:p>
      <w:pPr>
        <w:spacing w:after="0" w:line="171"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 June 30, 2024 is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three months ended June 30,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57"/>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w:t>
            </w:r>
          </w:p>
        </w:tc>
      </w:tr>
      <w:tr>
        <w:trPr>
          <w:trHeight w:val="243"/>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75"/>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 is not currently involved in any legal proceedings or litigation, nor to management's knowledge are there any potential claims, legal proceedings or litigation for which the ultimate disposition is likely to have a material effect on the Company’s financial position, results of operations or liquidity.</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Investment in Cytek Japan</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Japan as an equity method investment. The Company recorded $40,000 for its proportionate share of Cytek Japan’s earnings prior to its additional investment, which is included in other income (expense), net in the consolidated statements of operations and comprehensive loss for the year ended December 31, 2022.</w:t>
      </w:r>
    </w:p>
    <w:p>
      <w:pPr>
        <w:spacing w:after="0" w:line="68"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w:t>
      </w:r>
    </w:p>
    <w:p>
      <w:pPr>
        <w:spacing w:after="0" w:line="68" w:lineRule="exact"/>
        <w:rPr>
          <w:sz w:val="20"/>
          <w:szCs w:val="20"/>
          <w:color w:val="auto"/>
        </w:rPr>
      </w:pPr>
    </w:p>
    <w:p>
      <w:pPr>
        <w:ind w:right="480" w:firstLine="1134"/>
        <w:spacing w:after="0" w:line="282" w:lineRule="auto"/>
        <w:rPr>
          <w:sz w:val="20"/>
          <w:szCs w:val="20"/>
          <w:color w:val="auto"/>
        </w:rPr>
      </w:pPr>
      <w:r>
        <w:rPr>
          <w:rFonts w:ascii="Times New Roman" w:cs="Times New Roman" w:eastAsia="Times New Roman" w:hAnsi="Times New Roman"/>
          <w:sz w:val="18"/>
          <w:szCs w:val="18"/>
          <w:color w:val="auto"/>
        </w:rPr>
        <w:t>The Company recognized net assets of $1.1 million, consisting primarily of $1.0 million cash. The Company recorded noncontrolling interest of $315,000 on the unaudited interim consolidated financial statements as of March 31, 2021.</w:t>
      </w:r>
    </w:p>
    <w:p>
      <w:pPr>
        <w:spacing w:after="0" w:line="54"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In January 2023, the Company purchased an additional $235,000 of common stock of Cytek Japan. Cytek Japan became a wholly-owned subsidiary of the Company.</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Product warranty</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shows the activity in the product warranty accrual included in accrued expenses on the consolidated balance sheets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8"/>
              </w:rPr>
              <w:t>2,126</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current year warranties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left="616"/>
              <w:spacing w:after="0"/>
              <w:rPr>
                <w:sz w:val="20"/>
                <w:szCs w:val="20"/>
                <w:color w:val="auto"/>
              </w:rPr>
            </w:pPr>
            <w:r>
              <w:rPr>
                <w:rFonts w:ascii="Times New Roman" w:cs="Times New Roman" w:eastAsia="Times New Roman" w:hAnsi="Times New Roman"/>
                <w:sz w:val="18"/>
                <w:szCs w:val="18"/>
                <w:color w:val="auto"/>
                <w:w w:val="98"/>
              </w:rPr>
              <w:t>3,540</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cost incurred</w:t>
            </w: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rPr>
              <w:t>(2,861)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2,238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8"/>
              </w:rPr>
              <w:t>2,805</w:t>
            </w:r>
          </w:p>
        </w:tc>
      </w:tr>
      <w:tr>
        <w:trPr>
          <w:trHeight w:val="27"/>
        </w:trPr>
        <w:tc>
          <w:tcPr>
            <w:tcW w:w="8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 (in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r>
      <w:tr>
        <w:trPr>
          <w:trHeight w:val="277"/>
        </w:trPr>
        <w:tc>
          <w:tcPr>
            <w:tcW w:w="5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135,918,707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131,180,734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135,705,139</w:t>
            </w:r>
          </w:p>
        </w:tc>
      </w:tr>
      <w:tr>
        <w:trPr>
          <w:trHeight w:val="25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employee stock plans</w:t>
            </w:r>
          </w:p>
        </w:tc>
        <w:tc>
          <w:tcPr>
            <w:tcW w:w="3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131,440,486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135,918,707</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131,180,734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135,705,139</w:t>
            </w:r>
          </w:p>
        </w:tc>
      </w:tr>
      <w:tr>
        <w:trPr>
          <w:trHeight w:val="257"/>
        </w:trPr>
        <w:tc>
          <w:tcPr>
            <w:tcW w:w="5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Because we are in a net loss position, 1.9 million and 2.9 million shares for the three months ended June 30, 2024 and 2023, respectively, were dilutive, but were not included in the computation of diluted net loss per share because their inclusion would have been anti-dilutive. Therefore, basic net loss per share is the same as diluted net loss per share. Also approximately 10.9 million and 2.5 million equivalent shares for the three months ended June 30, 2024 and 2023, respectively, have been excluded from the calculation of diluted net loss per share because their impacts are anti-dilutive.</w:t>
      </w:r>
    </w:p>
    <w:p>
      <w:pPr>
        <w:spacing w:after="0" w:line="7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Because we are in a net loss position, 2.1 million and 3.1 million shares for the six months ended June 30, 2024 and 2023, respectively, were dilutive, but were not included in the computation of diluted net loss per share because their inclusion would have been anti-dilutive. Therefore, basic net loss per share is the same as diluted net loss per share. Also approximately 7.1 million and 6.0 million equivalent shares for the six months ended June 30, 2024 and 2023, respectively, have been excluded from the calculation of diluted net loss per share because their impacts are anti-dilutive.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Geographic areas</w:t>
      </w:r>
    </w:p>
    <w:p>
      <w:pPr>
        <w:spacing w:after="0" w:line="121"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The Company sells its products worldwide and attributes revenue to the geography where the product is delivered. The geographical distribution of revenue for the three and six months ended June 30, 2024 and 2023 was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51,280</w:t>
            </w: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r>
      <w:tr>
        <w:trPr>
          <w:trHeight w:val="26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r>
      <w:tr>
        <w:trPr>
          <w:trHeight w:val="25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75"/>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EMEA includes Europe, the Middle East and Africa; APAC includes Asia and the Pacific countries; Other includes Canada and Latin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w:t>
      </w:r>
    </w:p>
    <w:p>
      <w:pPr>
        <w:spacing w:after="0" w:line="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 the three and six months ended June 30, 2024 and 2023, the Company had no major customers.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 of June 30, 2024 and December 31, 2023, the Company’s long-lived assets by geographic area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7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1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6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5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40" w:type="dxa"/>
            <w:vAlign w:val="bottom"/>
            <w:shd w:val="clear" w:color="auto" w:fill="CCEEFF"/>
          </w:tcPr>
          <w:p>
            <w:pPr>
              <w:jc w:val="right"/>
              <w:ind w:right="15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r>
      <w:tr>
        <w:trPr>
          <w:trHeight w:val="25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7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5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7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r>
      <w:tr>
        <w:trPr>
          <w:trHeight w:val="25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ind w:right="15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18,114</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18,405</w:t>
            </w:r>
          </w:p>
        </w:tc>
      </w:tr>
      <w:tr>
        <w:trPr>
          <w:trHeight w:val="27"/>
        </w:trPr>
        <w:tc>
          <w:tcPr>
            <w:tcW w:w="61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and December 31, 2023, most of the Company’s long-lived assets were located in the United States and in Wuxi, China.</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113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2023 and the related Management’s Discussion and Analysis of Financial Condition and Results of Operations, both of which are contained in our Annual Report on Form 10-K filed with the Securities and Exchange Commission (the “SEC”) on March 13, 2024. Unless the context requires otherwise, references in this Quarterly Report on Form 10-Q to “we,” “us” and “our” refer to Cytek Biosciences,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FSP platform includes instruments, accessories, reagents, software and services to provide a comprehensive and integrated suite of solutions for our customers.</w:t>
      </w:r>
    </w:p>
    <w:p>
      <w:pPr>
        <w:spacing w:after="0" w:line="75"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Our core FSP systems, the Cytek Aurora and Northern Lights flow cytometers, deliver high-resolution, high-content and high-sensitivity cell analysis and addresses the inherent limitations of other technologies by providing a higher level of multiplexing with exquisite sensitivity, more flexibility and increased efficiency, all at a lower cost for performance. Additionally, our Cytek Aurora cell sorter (“Aurora CS”) leverages our FSP technology to further broaden our potential applications across cell analysis. Each system is supported by our highly intuitive, proprietary embedded SpectroFlo software, our reagents, and our service offerings to provide a comprehensive, end-to-end platform of solutions for our customers. Since our first U.S. commercial launch in mid-2017 through December 31, 2023, we have sold and deployed our instruments to customers around the world, including pharmaceutical companies, biopharma companies, academic research centers, and clinical research organizations (“CROs”).</w:t>
      </w:r>
    </w:p>
    <w:p>
      <w:pPr>
        <w:spacing w:after="0" w:line="8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On February 28, 2023, we completed the acquisition of certain assets (the “FCI Acquisition”) relating to the flow cytometry and imaging business of Luminex Corporation (“Luminex”), including relating to the business of manufacturing, marketing, selling, servicing and maintaining Amnis-and Guava-branded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 The acquisition supports our plan to develop new products and capabilities with flow cytometry and imaging technology, expand our reach and offerings into customer segments previously underserved, and increase the efficiency of our operations.</w:t>
      </w:r>
    </w:p>
    <w:p>
      <w:pPr>
        <w:spacing w:after="0" w:line="7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manufacture our instruments in our facilities in Fremont, California; Wuxi, China; and Seattle, Washington. We have designed our operating model to be capital efficient and to scale efficiently as our product volumes grow.</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Total revenue for the three and six months ended June 30, 2024 was $46.6 million and $91.5 million, respectively, representing a 6% decrease and a 5% increase, respectively, compared to total revenue for the three and six months ended June 30, 2023 of $49.7 million and $86.8 million, respectively. Total revenue for the three months ended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June 30, 2024 decreased compared to total revenue for the three months ended June 30, 2023 due to lower product revenue resulting from lower product sales in the United States, particularly in the academic and government market segment. The increase in total revenue for the six months ended June 30, 2024 compared to total revenue for the six months ended June 30, 2023 was due to higher service revenue as a result of a larger installed base of instruments generating service contracts and other service revenue, partially offset by lower product revenue in the period.</w:t>
      </w:r>
    </w:p>
    <w:p>
      <w:pPr>
        <w:spacing w:after="0" w:line="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74% and 75% of total revenue for the three and six months ended June 30, 2024, respectively, and 77% and 73% for the three and six months ended June 30, 2023, respectively. Revenue from distributors represented 26% and 25% of total revenue for the three and six months ended June 30, 2024 and 23% and 27% for the three and six months ended June 30, 2023.</w:t>
      </w:r>
    </w:p>
    <w:p>
      <w:pPr>
        <w:spacing w:after="0" w:line="75"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$10.0 million and $19.8 million for the three and six months ended June 30, 2024, respectively, and $12.1 million and $22.1 million three and six months ended June 30, 2023, respectively. While research and development expense was slightly lower in the three and six months ended June 30, 2024 compared to the three and six months ended June 30, 2023, we intend to continue to make significant investments in research and development in the future.</w:t>
      </w:r>
    </w:p>
    <w:p>
      <w:pPr>
        <w:spacing w:after="0" w:line="79"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$12.3 million and $24.8 million for the three and six months ended June 30, 2024, respectively, and $14.4 million and $25.5 million for the three and six months ended June 30, 2023, respectively.</w:t>
      </w:r>
    </w:p>
    <w:p>
      <w:pPr>
        <w:spacing w:after="0" w:line="75"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Since our inception in 2014, we have financed our operations primarily through sales of our securities and revenue from the sale of our products and services.</w:t>
      </w:r>
    </w:p>
    <w:p>
      <w:pPr>
        <w:spacing w:after="0" w:line="5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Our net loss was $10.4 million and $16.6 million for the three and six months ended June 30, 2024, respectively, and $4.4 million and $11.2 million for the three and six months ended June 30, 2023, respectively. The increase in net loss for the three months ended June 30, 2024 compared to the three months ended June 30, 2023 resulted primarily from higher tax expense and net other income due to foreign exchange losses in 2024. The change for the six months ended June 30, 2024 compared to the three months ended June 30, 2023 was also due to higher tax expense and lower net other income due to foreign exchange losses in 2024, partially offset by an increase in operating income as a result of lower sales and marketing and general and administrative expenses.</w:t>
      </w:r>
    </w:p>
    <w:p>
      <w:pPr>
        <w:spacing w:after="0" w:line="79" w:lineRule="exact"/>
        <w:rPr>
          <w:sz w:val="20"/>
          <w:szCs w:val="20"/>
          <w:color w:val="auto"/>
        </w:rPr>
      </w:pPr>
    </w:p>
    <w:p>
      <w:pPr>
        <w:ind w:right="460" w:firstLine="1134"/>
        <w:spacing w:after="0" w:line="375" w:lineRule="auto"/>
        <w:rPr>
          <w:sz w:val="20"/>
          <w:szCs w:val="20"/>
          <w:color w:val="auto"/>
        </w:rPr>
      </w:pPr>
      <w:r>
        <w:rPr>
          <w:rFonts w:ascii="Times New Roman" w:cs="Times New Roman" w:eastAsia="Times New Roman" w:hAnsi="Times New Roman"/>
          <w:sz w:val="18"/>
          <w:szCs w:val="18"/>
          <w:color w:val="auto"/>
        </w:rPr>
        <w:t xml:space="preserve">We expect our expenses to be relatively flat in the future but will continue to focus on developing new products and growing revenue. </w:t>
      </w:r>
      <w:r>
        <w:rPr>
          <w:rFonts w:ascii="Times New Roman" w:cs="Times New Roman" w:eastAsia="Times New Roman" w:hAnsi="Times New Roman"/>
          <w:sz w:val="18"/>
          <w:szCs w:val="18"/>
          <w:b w:val="1"/>
          <w:bCs w:val="1"/>
          <w:color w:val="auto"/>
        </w:rPr>
        <w:t>Key factors affecting our results of operations and future performance</w:t>
      </w:r>
    </w:p>
    <w:p>
      <w:pPr>
        <w:spacing w:after="0" w:line="1" w:lineRule="exact"/>
        <w:rPr>
          <w:sz w:val="20"/>
          <w:szCs w:val="20"/>
          <w:color w:val="auto"/>
        </w:rPr>
      </w:pPr>
    </w:p>
    <w:p>
      <w:pPr>
        <w:jc w:val="both"/>
        <w:ind w:right="20" w:firstLine="1134"/>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Global customer adoption</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in line with our growth.</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recurring revenue on an absolute basis to increase and become an increasingly important contributor to our revenue as our installed base expands.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Revenue mix and gross margin</w:t>
      </w:r>
    </w:p>
    <w:p>
      <w:pPr>
        <w:spacing w:after="0" w:line="12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Our revenue is primarily derived from sales of our instruments and services. Although we expect sales of our instruments to continue to represent the largest percentage of our revenue in the future, we expect service revenues to increase as a percentage of our total revenue as we grow our installed base. We expect a higher gross margin on our instruments as we increase the scale of our manufacturing operations as revenue grows and improve manufacturing efficiency.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and as a result of variability in the timing of new product introductions.</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Expansion into new markets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Our Northern Lights CLC system received CE Marking under the European Union In Vitro Diagnostic Medical Devices Directive in September 2020 and was registered in the European Union in compliance with Regulation (EU) 2017/746 on In Vitro Diagnostic Medical Devices in November 2023. The Northern Lights CLC system was also registered as a Class II In Vitro Diagnostic Medical Device in China. These registrations enable the Northern Lights CLC system to be marketed for clinical use in China, the European Union and in other countries around the world that accept the Certification of Free Sale issued from an EU Competent Authority.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channel mix:</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 sales channel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34,549</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37,854</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68,869</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63,307</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56"/>
        </w:trPr>
        <w:tc>
          <w:tcPr>
            <w:tcW w:w="4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Distributor channel</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mix:</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Academia and government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52,834</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0" w:type="dxa"/>
            <w:vAlign w:val="bottom"/>
          </w:tcPr>
          <w:p>
            <w:pPr>
              <w:spacing w:after="0"/>
              <w:rPr>
                <w:sz w:val="1"/>
                <w:szCs w:val="1"/>
                <w:color w:val="auto"/>
              </w:rPr>
            </w:pPr>
          </w:p>
        </w:tc>
      </w:tr>
      <w:tr>
        <w:trPr>
          <w:trHeight w:val="257"/>
        </w:trPr>
        <w:tc>
          <w:tcPr>
            <w:tcW w:w="4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Biotechnology, pharmaceutical, distributor and CRO</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w:t>
            </w: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51,179</w:t>
            </w: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Distributors typically sell to end customers identified in other customer categories.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Events and Uncertainties</w:t>
      </w:r>
    </w:p>
    <w:p>
      <w:pPr>
        <w:spacing w:after="0" w:line="12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The recent trends towards rising inflation may adversely affect our business and corresponding financial position and cash flows. Inflationary factors, such as increases in the cost of materials and supplies, interest rates and overhead costs may adversely affect our operating results. The general consensus among economists suggests that we should expect a higher recession risk to continue over the next year, which could result in further economic uncertainty and volatility in the capital markets in the near term, and could negatively affect our operations.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future public health crises, the ongoing conflict between Russia and Ukraine, the Israel and Palestine conflict or liquidity concerns at, and failure of, banks and other financial institutions.</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Many of our pharmaceutical and biotech customers based in the United States have been impacted by macro-economic uncertainties related to the weakening economy, liquidity concerns in the broader financial services industry, such as those caused by recent banking failures, disruptions to and volatility in the credit and equity markets, and rising interest rates. We believe these factors contributed to longer sales cycles, which adversely impacted our operating results for the three months ended June 30, 2024, and may adversely affect our operating results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 currently generate our total revenue, net from product revenue and service revenue.</w:t>
      </w:r>
    </w:p>
    <w:p>
      <w:pPr>
        <w:spacing w:after="0" w:line="11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Our product revenue primarily consists of sales of our instruments, including the Cytek Aurora, Northern Lights, Aurora 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Amnis and 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72"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Our service revenue primarily consists of post-warranty service contracts, installations and repairs which are recognized over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Post-warranty service contracts are recognized ratably over the term of the contract and installations and repair services are recognized as they are delivered to the customer.</w:t>
      </w:r>
    </w:p>
    <w:p>
      <w:pPr>
        <w:spacing w:after="0" w:line="67"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We expect our revenue to increase as we broaden our customer base, increase our installed base, and expand awareness of our products with new and existing customers.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total cost of sales is comprised of product cost of sales and service cost of sales.</w:t>
      </w:r>
    </w:p>
    <w:p>
      <w:pPr>
        <w:spacing w:after="0" w:line="115"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Cost of sales associated with our products primarily consist of manufacturing-related costs incurred in the production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write-downs, warranty costs, third party royalty costs, personnel and related costs, costs of component materials, overhead, packaging and delivery and depreciation expense.</w:t>
      </w:r>
    </w:p>
    <w:p>
      <w:pPr>
        <w:spacing w:after="0" w:line="65" w:lineRule="exact"/>
        <w:rPr>
          <w:sz w:val="20"/>
          <w:szCs w:val="20"/>
          <w:color w:val="auto"/>
        </w:rPr>
      </w:pPr>
    </w:p>
    <w:p>
      <w:pPr>
        <w:jc w:val="both"/>
        <w:ind w:firstLine="1134"/>
        <w:spacing w:after="0" w:line="284" w:lineRule="auto"/>
        <w:rPr>
          <w:sz w:val="20"/>
          <w:szCs w:val="20"/>
          <w:color w:val="auto"/>
        </w:rPr>
      </w:pP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Cost of sales associated with our services primarily consists of personnel and related costs, expenses related to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replacements, product updates and qualification validation of our products and depreciation expense.</w:t>
      </w:r>
    </w:p>
    <w:p>
      <w:pPr>
        <w:spacing w:after="0" w:line="5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5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Our operating expenses are primarily comprised of research and development, sales and marketing, and general and administrative expenses, depreciation and amortization, and related overhead.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primarily consist of salaries, benefits, stock-based compensation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employees in our research and development department, independent contractor costs, laboratory supplies, equipment maintenance and materials expenses.</w:t>
      </w:r>
    </w:p>
    <w:p>
      <w:pPr>
        <w:spacing w:after="0" w:line="67"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Research and development expense may increase in absolute dollars in future periods due to our continuing investment in product development.</w:t>
      </w:r>
    </w:p>
    <w:p>
      <w:pPr>
        <w:spacing w:after="0" w:line="52"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salaries, benefits, and stock-based compensation costs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our sales and marketing department, sales commissions, marketing material costs, travel expenses and costs related to trade shows, trainings and various workshops. Sales and marketing expense may increase in absolute dollars in future periods.</w:t>
      </w:r>
    </w:p>
    <w:p>
      <w:pPr>
        <w:spacing w:after="0" w:line="6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employees in our executive, accounting and finance, legal and human resource functions, as well as professional services fees, such as consulting, audit, tax, legal, general corporate costs and allocated overhead expenses. The Company is focused on controlling its general and administrative expenses; however, these may increase in absolute dollars in future periods.</w:t>
      </w:r>
    </w:p>
    <w:p>
      <w:pPr>
        <w:spacing w:after="0" w:line="7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expect these expenses to vary from period to period as a percentage of revenue. As a result, our historical results of operations may not be indicative of our results of operations in future periods.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jc w:val="both"/>
        <w:ind w:firstLine="113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accretion of the present value of the litigation settlement liability. See Note 11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unaudited interim consolidated financial statements included elsewhere in this Quarterly Report on Form 10-Q for further details regarding the settlement.</w:t>
      </w:r>
    </w:p>
    <w:p>
      <w:pPr>
        <w:spacing w:after="0" w:line="50" w:lineRule="exact"/>
        <w:rPr>
          <w:sz w:val="20"/>
          <w:szCs w:val="20"/>
          <w:color w:val="auto"/>
        </w:rPr>
      </w:pPr>
    </w:p>
    <w:p>
      <w:pPr>
        <w:jc w:val="both"/>
        <w:ind w:right="20" w:firstLine="113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consists primarily of interest earned on our cash and cash equivalents which are invested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deposits and in money market funds.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Our other income (expense), net consists primarily of foreign exchange gains and losses.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provision for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2024 and 2023</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and comprehensive loss data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10"/>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11"/>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34,576</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40,452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68,698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71,624</w:t>
            </w: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15,157</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net</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49,693</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86,781</w:t>
            </w:r>
          </w:p>
        </w:tc>
        <w:tc>
          <w:tcPr>
            <w:tcW w:w="0" w:type="dxa"/>
            <w:vAlign w:val="bottom"/>
          </w:tcPr>
          <w:p>
            <w:pPr>
              <w:spacing w:after="0"/>
              <w:rPr>
                <w:sz w:val="1"/>
                <w:szCs w:val="1"/>
                <w:color w:val="auto"/>
              </w:rPr>
            </w:pPr>
          </w:p>
        </w:tc>
      </w:tr>
      <w:tr>
        <w:trPr>
          <w:trHeight w:val="24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29,352</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4,856</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8,229</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21,531</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37,581</w:t>
            </w: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28,162</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49,200</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12,136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22,110</w:t>
            </w:r>
          </w:p>
        </w:tc>
        <w:tc>
          <w:tcPr>
            <w:tcW w:w="0" w:type="dxa"/>
            <w:vAlign w:val="bottom"/>
          </w:tcPr>
          <w:p>
            <w:pPr>
              <w:spacing w:after="0"/>
              <w:rPr>
                <w:sz w:val="1"/>
                <w:szCs w:val="1"/>
                <w:color w:val="auto"/>
              </w:rPr>
            </w:pPr>
          </w:p>
        </w:tc>
      </w:tr>
      <w:tr>
        <w:trPr>
          <w:trHeight w:val="250"/>
        </w:trPr>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25,512</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10,786</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23,102</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22,867</w:t>
            </w: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37,289</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67,709</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70,489</w:t>
            </w:r>
          </w:p>
        </w:tc>
        <w:tc>
          <w:tcPr>
            <w:tcW w:w="0" w:type="dxa"/>
            <w:vAlign w:val="bottom"/>
          </w:tcPr>
          <w:p>
            <w:pPr>
              <w:spacing w:after="0"/>
              <w:rPr>
                <w:sz w:val="1"/>
                <w:szCs w:val="1"/>
                <w:color w:val="auto"/>
              </w:rPr>
            </w:pPr>
          </w:p>
        </w:tc>
      </w:tr>
      <w:tr>
        <w:trPr>
          <w:trHeight w:val="256"/>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(21,289)</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50"/>
        </w:trPr>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1,740</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4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(15,635)</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(4,440)</w:t>
            </w:r>
          </w:p>
        </w:tc>
        <w:tc>
          <w:tcPr>
            <w:tcW w:w="0" w:type="dxa"/>
            <w:vAlign w:val="bottom"/>
          </w:tcPr>
          <w:p>
            <w:pPr>
              <w:spacing w:after="0"/>
              <w:rPr>
                <w:sz w:val="1"/>
                <w:szCs w:val="1"/>
                <w:color w:val="auto"/>
              </w:rPr>
            </w:pPr>
          </w:p>
        </w:tc>
      </w:tr>
      <w:tr>
        <w:trPr>
          <w:trHeight w:val="243"/>
        </w:trPr>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(10,434)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63"/>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1,131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comprehensive loss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(12,257)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Total revenue, net</w:t>
            </w: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5"/>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7"/>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34,576</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(5,876)</w:t>
            </w:r>
          </w:p>
        </w:tc>
        <w:tc>
          <w:tcPr>
            <w:tcW w:w="100" w:type="dxa"/>
            <w:vAlign w:val="bottom"/>
          </w:tcPr>
          <w:p>
            <w:pPr>
              <w:spacing w:after="0"/>
              <w:rPr>
                <w:sz w:val="22"/>
                <w:szCs w:val="22"/>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68,698</w:t>
            </w:r>
          </w:p>
        </w:tc>
        <w:tc>
          <w:tcPr>
            <w:tcW w:w="10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2"/>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2,800</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22,779</w:t>
            </w:r>
          </w:p>
        </w:tc>
        <w:tc>
          <w:tcPr>
            <w:tcW w:w="10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15,157</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46,617</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(6 %)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91,477</w:t>
            </w:r>
          </w:p>
        </w:tc>
        <w:tc>
          <w:tcPr>
            <w:tcW w:w="10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Total revenue decreased by $3.1 million to $46.6 million, or 6%; and increased by $4.7 million, or 5%, for the three and six months ended June 30, 2024, as compared to the three and six months ended June 30, 2023, respectively. The decrease in total revenue for the three months ended June 30, 2024 compared to total revenue for the three months ended June 30, 2023 was due to lower product revenue. The increase in total revenue for the six months ended June 30, 2024 compared to the six months ended June 30, 2023 was due to higher service revenue and an additional two months of revenue from the FCI Acquisition, which closed on February 28, 2023.</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Product revenue decreased by $5.9 million to $34.6 million, or 15%; and $2.9 million to $68.7 million, or 4%, for the three and six months ended June 30, 2024, as compared to the three and six months ended June 30, 2023, respectively. The decreases in both the three and six month time periods are largely related to lower instrument sales in the United States, particularly in the academic and government market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Service revenue increased $2.8 million to $12.0 million, or 30%; and $7.6 million to $22.8 million, or 50% for the three and six months ended June 30, 2024, as compared to the three and six months ended June 30, 2023, respectively. The increase was primarily due to growth in the installed base of instruments as compared to prior year periods which drove growth in both service contract revenue and other service revenue.</w:t>
      </w:r>
    </w:p>
    <w:p>
      <w:pPr>
        <w:spacing w:after="0" w:line="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Total cost of sales, gross profit and gross margin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40" w:type="dxa"/>
            <w:vAlign w:val="bottom"/>
          </w:tcPr>
          <w:p>
            <w:pPr>
              <w:spacing w:after="0"/>
              <w:rPr>
                <w:sz w:val="14"/>
                <w:szCs w:val="14"/>
                <w:color w:val="auto"/>
              </w:rPr>
            </w:pP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60" w:type="dxa"/>
            <w:vAlign w:val="bottom"/>
          </w:tcPr>
          <w:p>
            <w:pPr>
              <w:spacing w:after="0"/>
              <w:rPr>
                <w:sz w:val="14"/>
                <w:szCs w:val="14"/>
                <w:color w:val="auto"/>
              </w:rPr>
            </w:pPr>
          </w:p>
        </w:tc>
        <w:tc>
          <w:tcPr>
            <w:tcW w:w="1080" w:type="dxa"/>
            <w:vAlign w:val="bottom"/>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9"/>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15,808</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16,675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86"/>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32,554</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29,352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46"/>
        </w:trPr>
        <w:tc>
          <w:tcPr>
            <w:tcW w:w="3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5,373</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4,856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center"/>
              <w:ind w:left="226"/>
              <w:spacing w:after="0"/>
              <w:rPr>
                <w:sz w:val="20"/>
                <w:szCs w:val="20"/>
                <w:color w:val="auto"/>
              </w:rPr>
            </w:pPr>
            <w:r>
              <w:rPr>
                <w:rFonts w:ascii="Times New Roman" w:cs="Times New Roman" w:eastAsia="Times New Roman" w:hAnsi="Times New Roman"/>
                <w:sz w:val="16"/>
                <w:szCs w:val="16"/>
                <w:color w:val="auto"/>
                <w:w w:val="99"/>
              </w:rPr>
              <w:t>517</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10,474</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8,229</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4"/>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21,181</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21,531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86"/>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43,028</w:t>
            </w:r>
          </w:p>
        </w:tc>
        <w:tc>
          <w:tcPr>
            <w:tcW w:w="8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37,581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25,436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28,162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48,449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Total cost of sales decreased by $0.4 million, or 2%, and increased by $5.4 million, or 14%, for the three and six months ended June 30, 2024, as compared to the three and six months ended June 30, 2023, respectively. The decrease in product cost of sales for the three months ended June 30, 2024 was primarily driven by the decrease in product revenue. This was partially offset by higher overhead costs, as a result of lower capitalization of labor costs to inventory, and higher stock-based compensation expense. The increase of product cost of sale for the six months ended June 30, 2024 was primarily due to higher inventory adjustments of a one-time nature in the three months ended March 31, 2024 arising from the integration of Luminex inventories, and higher overhead costs due to the factors described above. Service cost of sales for the three and six months ended June 30, 2024 increased compared to the prior year period due to higher service headcount, travel, and contractor expense. Service cost of sales increased at a lower rate than service revenue in the three and six months ended June 30, 2024 due to higher service labor productivity, lower material costs relative to revenue and improved absorption of overhead costs.</w:t>
      </w:r>
    </w:p>
    <w:p>
      <w:pPr>
        <w:spacing w:after="0" w:line="80"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Total gross profit margin was 55% and 57% of total revenue for the three months ended June 30, 2024 and 2023, respectively, and 53% and 57% for the six months ended June 30, 2024 and 2023, respectively. Total gross profit margin declined for the three months ended June 30, 2024 as a result of lower product gross margins driven primarily by higher product overhead costs and lower product revenue. This was partially offset by higher service gross margin driven by higher service revenue, higher service labor productivity and improved absorption of overhead costs. Gross profit margin declined for the six months ended June 30, 2024 due to lower product gross margins related to higher overhead costs and unfavorable inventory adjustments recognized in the three months ended March 31, 2024. The lower product gross margin was partially offset by higher service gross margins.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40" w:type="dxa"/>
            <w:vAlign w:val="bottom"/>
          </w:tcPr>
          <w:p>
            <w:pPr>
              <w:spacing w:after="0"/>
              <w:rPr>
                <w:sz w:val="14"/>
                <w:szCs w:val="14"/>
                <w:color w:val="auto"/>
              </w:rPr>
            </w:pP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40" w:type="dxa"/>
            <w:vAlign w:val="bottom"/>
          </w:tcPr>
          <w:p>
            <w:pPr>
              <w:spacing w:after="0"/>
              <w:rPr>
                <w:sz w:val="14"/>
                <w:szCs w:val="14"/>
                <w:color w:val="auto"/>
              </w:rPr>
            </w:pPr>
          </w:p>
        </w:tc>
        <w:tc>
          <w:tcPr>
            <w:tcW w:w="112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40" w:type="dxa"/>
            <w:vAlign w:val="bottom"/>
          </w:tcPr>
          <w:p>
            <w:pPr>
              <w:spacing w:after="0"/>
              <w:rPr>
                <w:sz w:val="14"/>
                <w:szCs w:val="14"/>
                <w:color w:val="auto"/>
              </w:rPr>
            </w:pPr>
          </w:p>
        </w:tc>
      </w:tr>
      <w:tr>
        <w:trPr>
          <w:trHeight w:val="30"/>
        </w:trPr>
        <w:tc>
          <w:tcPr>
            <w:tcW w:w="30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6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60" w:type="dxa"/>
            <w:vAlign w:val="bottom"/>
          </w:tcPr>
          <w:p>
            <w:pPr>
              <w:spacing w:after="0"/>
              <w:rPr>
                <w:sz w:val="14"/>
                <w:szCs w:val="14"/>
                <w:color w:val="auto"/>
              </w:rPr>
            </w:pPr>
          </w:p>
        </w:tc>
        <w:tc>
          <w:tcPr>
            <w:tcW w:w="82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0"/>
        </w:trPr>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6"/>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10"/>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34,576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40,452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68,698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71,624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center"/>
              <w:ind w:left="84"/>
              <w:spacing w:after="0"/>
              <w:rPr>
                <w:sz w:val="20"/>
                <w:szCs w:val="20"/>
                <w:color w:val="auto"/>
              </w:rPr>
            </w:pPr>
            <w:r>
              <w:rPr>
                <w:rFonts w:ascii="Times New Roman" w:cs="Times New Roman" w:eastAsia="Times New Roman" w:hAnsi="Times New Roman"/>
                <w:sz w:val="16"/>
                <w:szCs w:val="16"/>
                <w:color w:val="auto"/>
                <w:w w:val="98"/>
              </w:rPr>
              <w:t>(2,926)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33"/>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3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32,554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left="104"/>
              <w:spacing w:after="0"/>
              <w:rPr>
                <w:sz w:val="20"/>
                <w:szCs w:val="20"/>
                <w:color w:val="auto"/>
              </w:rPr>
            </w:pPr>
            <w:r>
              <w:rPr>
                <w:rFonts w:ascii="Times New Roman" w:cs="Times New Roman" w:eastAsia="Times New Roman" w:hAnsi="Times New Roman"/>
                <w:sz w:val="16"/>
                <w:szCs w:val="16"/>
                <w:color w:val="auto"/>
                <w:w w:val="99"/>
              </w:rPr>
              <w:t>3,202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11 %</w:t>
            </w:r>
          </w:p>
        </w:tc>
      </w:tr>
      <w:tr>
        <w:trPr>
          <w:trHeight w:val="20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Product gross profit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18,768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23,777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36,144</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42,272</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center"/>
              <w:ind w:left="84"/>
              <w:spacing w:after="0"/>
              <w:rPr>
                <w:sz w:val="20"/>
                <w:szCs w:val="20"/>
                <w:color w:val="auto"/>
              </w:rPr>
            </w:pPr>
            <w:r>
              <w:rPr>
                <w:rFonts w:ascii="Times New Roman" w:cs="Times New Roman" w:eastAsia="Times New Roman" w:hAnsi="Times New Roman"/>
                <w:sz w:val="16"/>
                <w:szCs w:val="16"/>
                <w:color w:val="auto"/>
                <w:w w:val="98"/>
              </w:rPr>
              <w:t>(6,128)</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33"/>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70"/>
        </w:trPr>
        <w:tc>
          <w:tcPr>
            <w:tcW w:w="2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2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10"/>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12,041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22,779</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15,157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center"/>
              <w:ind w:left="104"/>
              <w:spacing w:after="0"/>
              <w:rPr>
                <w:sz w:val="20"/>
                <w:szCs w:val="20"/>
                <w:color w:val="auto"/>
              </w:rPr>
            </w:pPr>
            <w:r>
              <w:rPr>
                <w:rFonts w:ascii="Times New Roman" w:cs="Times New Roman" w:eastAsia="Times New Roman" w:hAnsi="Times New Roman"/>
                <w:sz w:val="16"/>
                <w:szCs w:val="16"/>
                <w:color w:val="auto"/>
                <w:w w:val="99"/>
              </w:rPr>
              <w:t>7,622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50 %</w:t>
            </w:r>
          </w:p>
        </w:tc>
      </w:tr>
      <w:tr>
        <w:trPr>
          <w:trHeight w:val="33"/>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3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517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10,474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left="104"/>
              <w:spacing w:after="0"/>
              <w:rPr>
                <w:sz w:val="20"/>
                <w:szCs w:val="20"/>
                <w:color w:val="auto"/>
              </w:rPr>
            </w:pPr>
            <w:r>
              <w:rPr>
                <w:rFonts w:ascii="Times New Roman" w:cs="Times New Roman" w:eastAsia="Times New Roman" w:hAnsi="Times New Roman"/>
                <w:sz w:val="16"/>
                <w:szCs w:val="16"/>
                <w:color w:val="auto"/>
                <w:w w:val="99"/>
              </w:rPr>
              <w:t>2,245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27 %</w:t>
            </w:r>
          </w:p>
        </w:tc>
      </w:tr>
      <w:tr>
        <w:trPr>
          <w:trHeight w:val="20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Service gross profit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6,668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4,385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2,283</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12,305</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6,928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center"/>
              <w:ind w:left="104"/>
              <w:spacing w:after="0"/>
              <w:rPr>
                <w:sz w:val="20"/>
                <w:szCs w:val="20"/>
                <w:color w:val="auto"/>
              </w:rPr>
            </w:pPr>
            <w:r>
              <w:rPr>
                <w:rFonts w:ascii="Times New Roman" w:cs="Times New Roman" w:eastAsia="Times New Roman" w:hAnsi="Times New Roman"/>
                <w:sz w:val="16"/>
                <w:szCs w:val="16"/>
                <w:color w:val="auto"/>
                <w:w w:val="99"/>
              </w:rPr>
              <w:t>5,377</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78 %</w:t>
            </w:r>
          </w:p>
        </w:tc>
      </w:tr>
      <w:tr>
        <w:trPr>
          <w:trHeight w:val="33"/>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33"/>
        </w:trPr>
        <w:tc>
          <w:tcPr>
            <w:tcW w:w="2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Product revenue for the three and six months ended June 30, 2024 decreased by 15% and 4%, respectively, as compared to the three and six months ended June 30, 2023. Product cost of sales for the three and six months ended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June 30, 2024 decreased by 5% and increased by 11%, respectively, as compared to the three and six months ended June 30, 2023. Product gross profit for the three and six months ended June 30, 2024 decreased 21% and 14%, respectively, as compared to the three and six months ended June 30, 2023. The lower product gross profit margins in the three months ended June 30, 2024 compared to the three months ended June 30, 2023 was driven primarily by lower product revenue and higher overhead costs. The lower product gross profit margins in the six months ended June 30, 2024 compared to the six month ended June 30, 2023 was a result of higher material costs related to unfavorable inventory adjustments in the three months ended March 31, 2024 arising from the integration of Luminex inventories and higher overhead costs.</w:t>
      </w:r>
    </w:p>
    <w:p>
      <w:pPr>
        <w:spacing w:after="0" w:line="79"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Service revenue for the three and six months ended June 30, 2024 increased 30% and 50%, respectively, as compared to the three and six months ended June 30, 2023. Service cost of sales for the three and six months ended June 30, 2024 increased by 11% and 27%, respectively, as compared to the three and six months ended June 30, 2023. Service gross profit for the three and six months ended June 30, 2024 increased 52% and 78%, respectively, as compared to the three and six months ended June 30, 2023. The higher service gross margins in the three and six months ended June 30, 2024 compared to the three and six months ended June 30, 2023 were mainly driven by operating efficiencies from higher service labor productivity and improved absorption of overhead costs by leveraging these costs over greater revenues.</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60" w:type="dxa"/>
            <w:vAlign w:val="bottom"/>
            <w:gridSpan w:val="2"/>
            <w:vMerge w:val="continue"/>
          </w:tcPr>
          <w:p>
            <w:pPr>
              <w:spacing w:after="0"/>
              <w:rPr>
                <w:sz w:val="16"/>
                <w:szCs w:val="16"/>
                <w:color w:val="auto"/>
              </w:rPr>
            </w:pPr>
          </w:p>
        </w:tc>
        <w:tc>
          <w:tcPr>
            <w:tcW w:w="8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6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10,001</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19,796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$10.0 million and $19.8 million for the three and six months ended June 30, 2024, respectively, as compared to $12.1 million and $22.1 million for the three and six months ended June 30, 2023, respectively. The decrease in research and development expenses for both the three and six months ended June 30, 2024 compared to research and development expenses for the three and six months ended June 30, 2023 was primarily due to headcount reductions and to a lesser extent a reduction in engineering expenses.</w:t>
      </w:r>
    </w:p>
    <w:p>
      <w:pPr>
        <w:spacing w:after="0" w:line="7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 may increase in absolute dollars as we continue to develop new products and enhance existing instruments and technologies.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12,268</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Sales and marketing expenses were $12.3 million and $24.8 million for the three and six months ended June 30, 2024, respectively, as compared to $14.4 million and $25.5 million for the three and six months ended June 30, 2023, respectively. The decrease in sales and marketing expenses for the three and six months ended June 30, 2024 compared to sales and marketing expenses for the three and six months ended June 30, 2023 was primarily due to a decrease in headcount and personnel-related expenses.</w:t>
      </w:r>
    </w:p>
    <w:p>
      <w:pPr>
        <w:spacing w:after="0" w:line="7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may increase in absolute dollars as we expand our sales support infrastructure and invest in our brand and product awareness to further penetrate the United States and the international markets.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11,694</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22,867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$11.7 million and $23.1 million for the three and six months ended June 30, 2024, respectively, as compared to $10.8 million and $22.9 million for the three and six months ended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June 30, 2023, respectively. The increase of $0.9 million in general and administrative expenses in the three months ended June 30, 2024 as compared to the three months ended June 30, 2023 was primarily due to an increase in stock-based compensation expense and outside professional service expenses, partially offset by lower insurance and software expense. The increase of $0.2 million in general and administration expenses in the six months ended June 30, 2024 as compared to the six months ended June 30, 2023 included increases in stock-based compensation expense, outside professional services expense and software expenses, partially offset by a decrease in legal fees, insurance and sales and use tax.</w:t>
      </w:r>
    </w:p>
    <w:p>
      <w:pPr>
        <w:spacing w:after="0" w:line="75"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While the Company is focused on controlling its general and administrative expenses, these may increase in absolute dollars in future periods to provide the infrastructure necessary to support the growth of the business.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33"/>
        </w:trPr>
        <w:tc>
          <w:tcPr>
            <w:tcW w:w="3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Interest expense was $0.1 million and $0.6 million for the three and six months ended June 30, 2024, respectively, as compared to $0.4 million and $1.1 million, for the three and six months ended June 30, 2023, respectively. The decrease in interest expense was mainly due to the accretion of the present value discount related to the settlement agreement with Becton, Dickinson and Company (“BD”). See Note 11 to our unaudited interim consolidated financial statements included elsewhere in this Quarterly Report on Form 10-Q for further details.</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18 %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Interest income was $1.4 million and $2.8 million for the three and six months ended June 30, 2024, respectively, as compared to $1.2 million and $3.3 million for the three and six months ended June 30, 2023, respectively. The decrease in interest income for the six months ended June 30, 2024 compared to interest income for the six months ended June 30, 2023 was the result of lower average balance of cash and cash equivalents due to the funding of the FCI Acquisition on February 28, 2023 and the investment of cash in marketable securities.</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33"/>
        </w:trPr>
        <w:tc>
          <w:tcPr>
            <w:tcW w:w="3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Other income, net was $0.1 million and $0.9 million for the three and six months ended June 30, 2024, respectively, as compared to other income, net of $1.7 million and $3.4 million for the three and six months ended June 30, 2023, respectively. The decline in other income was primarily driven by an increase in realized and unrealized foreign exchange losses for the three and six months ended June 30, 2024.</w:t>
      </w:r>
    </w:p>
    <w:p>
      <w:pPr>
        <w:spacing w:after="0" w:line="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33"/>
        </w:trPr>
        <w:tc>
          <w:tcPr>
            <w:tcW w:w="3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Provision for income taxes was $3.2 million and $0.4 million for the three and six months ended June 30, 2024, respectively, as compared to the benefit for income taxes of $2.2 million and $4.4 million for the three and six months ended June 30, 2023, respectively. The net change of $5.5 million for the three months ended June 30, 2024 compared to the three months ended June 30, 2023 was primarily due to the reversal of the tax benefit during the three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months ended March 31,2024 due to a lower effective tax rate for the six months ended June 30, 2024, and an adjustment to tax expense to account for the settlement price of restricted stock units settled in the quarter being lower than the grant price. The reduction in tax benefit of $4.9 million for the six months ended June 30, 2024 was primarily due to a lower effective tax rate. Neither of these tax expense and benefit changes had a cash impact on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To date, our primary sources of capital have been through sales of our securities and revenue from the sale of our products and services. As of June 30, 2024 and December 31, 2023, we had approximately $277.2 million and $262.7 million, respectively, in cash and cash equivalents, restricted cash, and short term investments, which were primarily held in U.S. short-term bank deposit accounts, money market funds, U.S. Treasury notes, Federal agency security notes, and short term commercial paper.</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Funding and material cash requirements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7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currently anticipate making additional capital expenditures during the next 12 months, which is expected to primarily include equipment to be used for manufacturing and investment in research and development.</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addition, we lease certain office facilities under operating lease arrangements that expire on various dates through fiscal year 2029. Under the terms of the leases, we are responsible for certain expenses related to operations, maintenance, repairs and management fees. Future minimum lease payments under non-cancelable operating leases totaled $11.1 million as of June 30, 2024.</w:t>
      </w:r>
    </w:p>
    <w:p>
      <w:pPr>
        <w:spacing w:after="0" w:line="68"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5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(166,084)</w:t>
            </w:r>
          </w:p>
        </w:tc>
        <w:tc>
          <w:tcPr>
            <w:tcW w:w="0" w:type="dxa"/>
            <w:vAlign w:val="bottom"/>
          </w:tcPr>
          <w:p>
            <w:pPr>
              <w:spacing w:after="0"/>
              <w:rPr>
                <w:sz w:val="1"/>
                <w:szCs w:val="1"/>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(167,956)</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3"/>
        </w:trPr>
        <w:tc>
          <w:tcPr>
            <w:tcW w:w="8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$10.2 million due to the non-cash provision for stock-based compensation expense, depreciation and amortization, excess and obsolete inventory and amortization of right-of-use assets of $12.8 million, $3.5 million, $1.0 million, and $1.4 million, respectively; partially offset by a gain on investments, accretion and amortization, net of $2.4 million. Additionally, there was a decrease of inventories of $9.2 million and a decrease of trade accounts receivable of $10.2 million due to seasonality with our first quarter typically being lower than our fourth quarter due to marketing campaign closing activity. These were partially offset by the usage of cash which included the net loss of $16.6 million, an increase in accrued expenses and other liabilities of $9.4 million, and an increase prepaid expenses and other assets of $0.5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r>
        <w:rPr>
          <w:rFonts w:ascii="Arial" w:cs="Arial" w:eastAsia="Arial" w:hAnsi="Arial"/>
          <w:sz w:val="21"/>
          <w:szCs w:val="21"/>
          <w:color w:val="auto"/>
        </w:rPr>
        <w:t>.</w:t>
      </w:r>
    </w:p>
    <w:p>
      <w:pPr>
        <w:spacing w:after="0" w:line="104"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2023 was less than $0.1 million including net loss of $11.2 million. We also incurred non-cash provision for excess and obsolete inventory, stock-based compensation expense, depreciation and amortization, amortization of right-of-use assets, and interest expenses for accretion of the legal settlement liabilities of $0.6 million, $10.6 million, $2.7 million, $1.6 million, and $0.8 million, respectively. Usage of cash which included a decrease in lease liability of $1.4 million, a decrease of inventories of $0.2 million and a decrease in the legal settlement liability of $0.2 million. Additionally, there was a decrease of trade accounts receivable of $0.7 million,, a decrease in prepaid expenses and other assets of $3.2 million, an increase in accrued expenses and other liabilities of $0.3 million, and an increase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accounts payables of $1.7 million</w:t>
      </w:r>
      <w:r>
        <w:rPr>
          <w:rFonts w:ascii="Arial" w:cs="Arial" w:eastAsia="Arial" w:hAnsi="Arial"/>
          <w:sz w:val="21"/>
          <w:szCs w:val="21"/>
          <w:color w:val="auto"/>
        </w:rPr>
        <w:t>.</w:t>
      </w:r>
    </w:p>
    <w:p>
      <w:pPr>
        <w:spacing w:after="0" w:line="1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was $3.7 million driven by purchases of marketable securities of $114.0 million and the purchase of fixed assets and intangibles of approximately $1.6 million. This was partially offset by the proceeds from maturities of marketable securities of $112.0 million</w:t>
      </w:r>
    </w:p>
    <w:p>
      <w:pPr>
        <w:spacing w:after="0" w:line="68"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2023 was $166.1 million driven by purchases of marketable securities of $129.1 million, proceeds from maturities of marketable securities of $10.0 million purchase of business of $44.9 million, purchase of property and equipment of $1.8 million, and payment of additional investments in Cytek Japan of $0.2 million.</w:t>
      </w:r>
    </w:p>
    <w:p>
      <w:pPr>
        <w:spacing w:after="0" w:line="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2024 was $0.1 million driven by the payment for the repurchase of shares of $2.7 million. This was partially offset by the proceeds from a line of credit of $1.4 million and the proceeds from the issuance of common stock under employee stock plans of $0.7 million.</w:t>
      </w:r>
    </w:p>
    <w:p>
      <w:pPr>
        <w:spacing w:after="0" w:line="68"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2023 was $0.2 million driven by the issuance of our common stock under our equity incentive plans, offset by repayment of loan of $0.3 million and $1.0 million costs related to the repurchase of our shares.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there were no material changes to our contractual obligations and commitments from those described under “Management’s Discussion and Analysis of Financial Condition” which is contained in our Form 10-K and filed with the SEC on March 13,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2023 included in our Annual Report on Form 10-K filed with the SEC on March 13, 2024. There were no material changes to our critical accounting policies during the three months ended June 30, 2024.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1134"/>
        <w:spacing w:after="0" w:line="267"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interim consolidated financial statements included in Part I, Item 1, of this Quarterly Report on Form 10-Q,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condition represents the potential loss arising from adverse changes in interest rates or exchange rates. As of June 30, 2024, we had approximately $277 million in cash and cash equivalents and short-term investments, which were primarily held in U.S. short-term bank deposit accounts, money market funds, U.S. Treasury notes, Federal agency security notes, and short-term commercial paper. The primary objective of our investment is to preserve principal and provide liquidity. These money market funds and bank deposits generate interest income at variable rates.</w:t>
      </w:r>
    </w:p>
    <w:p>
      <w:pPr>
        <w:spacing w:after="0" w:line="75"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6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72"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We do not believe that either inflation or foreign currency risk had a material effect on our business, financial condition, or results of operations during the periods presented.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controls, our disclosure controls and procedures were not effective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2023, we identified deficiencies in the control environment and control activities components of the Committee of Sponsoring Organizations (“COSO”) framework that constitute material weaknesses, either individually or in the aggregate.</w:t>
      </w:r>
    </w:p>
    <w:p>
      <w:pPr>
        <w:spacing w:after="0" w:line="68" w:lineRule="exact"/>
        <w:rPr>
          <w:sz w:val="20"/>
          <w:szCs w:val="20"/>
          <w:color w:val="auto"/>
        </w:rPr>
      </w:pPr>
    </w:p>
    <w:p>
      <w:pPr>
        <w:jc w:val="both"/>
        <w:ind w:left="2360" w:hanging="1218"/>
        <w:spacing w:after="0" w:line="256"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environment – Management did not maintain an effective control environment based on the criteria established in the COSO framework and identified deficiencies in the principles associated with the control environment of the COSO framework. Specifically, the Company does not have a sufficient number of qualified resources within our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r>
    </w:p>
    <w:p>
      <w:pPr>
        <w:spacing w:after="0" w:line="79" w:lineRule="exact"/>
        <w:rPr>
          <w:rFonts w:ascii="Times New Roman" w:cs="Times New Roman" w:eastAsia="Times New Roman" w:hAnsi="Times New Roman"/>
          <w:sz w:val="18"/>
          <w:szCs w:val="18"/>
          <w:color w:val="auto"/>
        </w:rPr>
      </w:pPr>
    </w:p>
    <w:p>
      <w:pPr>
        <w:jc w:val="both"/>
        <w:ind w:left="2360" w:hanging="1218"/>
        <w:spacing w:after="0" w:line="255"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81" w:lineRule="exact"/>
        <w:rPr>
          <w:sz w:val="20"/>
          <w:szCs w:val="20"/>
          <w:color w:val="auto"/>
        </w:rPr>
      </w:pPr>
    </w:p>
    <w:p>
      <w:pPr>
        <w:jc w:val="both"/>
        <w:ind w:left="2360"/>
        <w:spacing w:after="0" w:line="258" w:lineRule="auto"/>
        <w:rPr>
          <w:sz w:val="20"/>
          <w:szCs w:val="20"/>
          <w:color w:val="auto"/>
        </w:rPr>
      </w:pPr>
      <w:r>
        <w:rPr>
          <w:rFonts w:ascii="Times New Roman" w:cs="Times New Roman" w:eastAsia="Times New Roman" w:hAnsi="Times New Roman"/>
          <w:sz w:val="18"/>
          <w:szCs w:val="18"/>
          <w:color w:val="auto"/>
        </w:rPr>
        <w:t>The following material weaknesses were contributing factors: (i) inadequate general information technology controls (GITCs) in the area of access security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and Status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remain committed to remediating the control deficiencies that constituted the above material weaknesses by continuing to enhance our internal control over financial reporting. Management has put in place measures aimed at addressing these deficiencies to ensure the material weaknesses are remediated such that these controls are designed, implemented and operating effectively. Throughout the six months ended June 30, 2024, we have executed, and we will continue to execute the following steps intended to remediate the material weaknesses described above and strengthen our internal control over financial reporting:</w:t>
      </w:r>
    </w:p>
    <w:p>
      <w:pPr>
        <w:spacing w:after="0" w:line="75" w:lineRule="exact"/>
        <w:rPr>
          <w:sz w:val="20"/>
          <w:szCs w:val="20"/>
          <w:color w:val="auto"/>
        </w:rPr>
      </w:pPr>
    </w:p>
    <w:p>
      <w:pPr>
        <w:ind w:left="23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augmenting our workforce with qualified personnel in both our accounting and information technology functions.</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external consultants, we will revise and improve the design of our controls, implement reviews and monitor the effectiveness of our system of internal controls, including GITCs.</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dedicated to identifying and appointing qualified personnel to assume responsibility for the design and operation of internal control over financial reporting and monitor the progress of remediation.</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an ongoing process to revise and enhance the design of existing controls and implement new controls, update documentation, expand education and training, and strengthen supervisory reviews by our management.</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further strengthen, GITCs related to financial accounting and reporting systems including implementing monitoring controls as appropriate. This includes the implementation of monitoring controls where deemed necessary to ensure ongoing effectiveness.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360" w:hanging="1218"/>
        <w:spacing w:after="0" w:line="266" w:lineRule="auto"/>
        <w:tabs>
          <w:tab w:leader="none" w:pos="2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automate workflows and enhance oversight over the execution and review of manual journal entry controls and account reconciliations. Furthermore, we will continue to provide training for such enhanced oversight and review.</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six months ended June 30, 2024 that materially affected, or were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00" w:firstLine="1134"/>
        <w:spacing w:after="0" w:line="282" w:lineRule="auto"/>
        <w:rPr>
          <w:sz w:val="20"/>
          <w:szCs w:val="20"/>
          <w:color w:val="auto"/>
        </w:rPr>
      </w:pPr>
      <w:r>
        <w:rPr>
          <w:rFonts w:ascii="Times New Roman" w:cs="Times New Roman" w:eastAsia="Times New Roman" w:hAnsi="Times New Roman"/>
          <w:sz w:val="18"/>
          <w:szCs w:val="18"/>
          <w:color w:val="auto"/>
        </w:rPr>
        <w:t>We are not currently engaged in any material pending legal proceedings. From time to time, we may be subject to legal proceedings and claims arising in the ordinary course of business.</w:t>
      </w:r>
    </w:p>
    <w:p>
      <w:pPr>
        <w:spacing w:after="0" w:line="200" w:lineRule="exact"/>
        <w:rPr>
          <w:sz w:val="20"/>
          <w:szCs w:val="20"/>
          <w:color w:val="auto"/>
        </w:rPr>
      </w:pP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19"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75" w:lineRule="exact"/>
        <w:rPr>
          <w:sz w:val="20"/>
          <w:szCs w:val="20"/>
          <w:color w:val="auto"/>
        </w:rPr>
      </w:pPr>
    </w:p>
    <w:p>
      <w:pPr>
        <w:jc w:val="both"/>
        <w:ind w:left="2360" w:hanging="1218"/>
        <w:spacing w:after="0" w:line="266"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61"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a limited number of product offerings. Our revenue has been primarily generated from sales of our core Cytek Aurora, Northern Lights and Aurora CS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71" w:lineRule="exact"/>
        <w:rPr>
          <w:rFonts w:ascii="Times New Roman" w:cs="Times New Roman" w:eastAsia="Times New Roman" w:hAnsi="Times New Roman"/>
          <w:sz w:val="18"/>
          <w:szCs w:val="18"/>
          <w:color w:val="auto"/>
        </w:rPr>
      </w:pPr>
    </w:p>
    <w:p>
      <w:pPr>
        <w:jc w:val="both"/>
        <w:ind w:left="2360" w:hanging="1218"/>
        <w:spacing w:after="0" w:line="258"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360"/>
        <w:spacing w:after="0" w:line="266" w:lineRule="auto"/>
        <w:rPr>
          <w:sz w:val="20"/>
          <w:szCs w:val="20"/>
          <w:color w:val="auto"/>
        </w:rPr>
      </w:pPr>
      <w:r>
        <w:rPr>
          <w:rFonts w:ascii="Times New Roman" w:cs="Times New Roman" w:eastAsia="Times New Roman" w:hAnsi="Times New Roman"/>
          <w:sz w:val="18"/>
          <w:szCs w:val="18"/>
          <w:color w:val="auto"/>
        </w:rPr>
        <w:t>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68" w:lineRule="exact"/>
        <w:rPr>
          <w:sz w:val="20"/>
          <w:szCs w:val="20"/>
          <w:color w:val="auto"/>
        </w:rPr>
      </w:pPr>
    </w:p>
    <w:p>
      <w:pPr>
        <w:ind w:left="2360" w:hanging="1218"/>
        <w:spacing w:after="0" w:line="282"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be harmed if we are unable to accurately forecast customer demand for our products and manage our inventory.</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58"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75"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manufacture our products in high-quality commercial quantities successfully and consistently to meet demand, our growth will be limited.</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58"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75" w:lineRule="exact"/>
        <w:rPr>
          <w:rFonts w:ascii="Times New Roman" w:cs="Times New Roman" w:eastAsia="Times New Roman" w:hAnsi="Times New Roman"/>
          <w:sz w:val="18"/>
          <w:szCs w:val="18"/>
          <w:color w:val="auto"/>
        </w:rPr>
      </w:pPr>
    </w:p>
    <w:p>
      <w:pPr>
        <w:jc w:val="both"/>
        <w:ind w:left="2360" w:hanging="1218"/>
        <w:spacing w:after="0" w:line="256"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of our common stock among our executive officers, directors, principal stockholders and their respective affiliates may prevent new investors from influencing significant corporate decisions. Based on shares outstanding as of June 30, 2024, our executive officers, directors, holders of 5% or more of our common stock and their respective affiliates (based on filings with the SEC), in the aggregate, own approximately 50.7% of our common stock. These stockholders, acting together, will be able to significantly influence all matters requiring stockholder approval, including the election and removal of directors and any merger or other significant corporate transaction.</w:t>
      </w:r>
    </w:p>
    <w:p>
      <w:pPr>
        <w:spacing w:after="0" w:line="79" w:lineRule="exact"/>
        <w:rPr>
          <w:rFonts w:ascii="Times New Roman" w:cs="Times New Roman" w:eastAsia="Times New Roman" w:hAnsi="Times New Roman"/>
          <w:sz w:val="18"/>
          <w:szCs w:val="18"/>
          <w:color w:val="auto"/>
        </w:rPr>
      </w:pPr>
    </w:p>
    <w:p>
      <w:pPr>
        <w:jc w:val="both"/>
        <w:ind w:left="2360" w:hanging="1218"/>
        <w:spacing w:after="0" w:line="261"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1"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58"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5"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perform as expected, our operating results, reputation and business will suffer.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360" w:hanging="1218"/>
        <w:spacing w:after="0" w:line="266"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6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61"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1"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our products and/or expand our operations.</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1" w:lineRule="auto"/>
        <w:tabs>
          <w:tab w:leader="none" w:pos="2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and may encounter unforeseen expenses, difficulties, complications, delays and other known and unknown obstacles. We launched our first core commercial product, the Cytek Aurora system, in June 2017.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a limited number of product offerings. Our revenue has been primarily generated from sale of our core Cytek Aurora, Northern Lights and Aurora CS systems, which require a substantial sales cycle and are prone to quarterly fluctuations in revenue.</w:t>
      </w:r>
    </w:p>
    <w:p>
      <w:pPr>
        <w:spacing w:after="0" w:line="5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Our Cytek Aurora system was commercially launched in June 2017, our Northern Lights system was commercially launched in October 2018 and our Aurora CS was first commercially shipped in June 2021. Sales of the Cytek Aurora, Northern Lights and Aurora CS systems together accounted for a substantial portion of our revenue for the periods presented. We expect that, for at least the foreseeable future, sales of our Cytek Aurora, Northern Lights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Aurora CS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and Aurora CS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7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7"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We have sourced and will continue to source certain components of the Cytek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8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68"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Supply interruptions have in the past arisen and could arise in the future from effects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harmed if we are unable to accurately forecast customer demand for our products and manage our inventory.</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p>
    <w:p>
      <w:pPr>
        <w:spacing w:after="0" w:line="7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5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have limited experience manufacturing our products. We currently manufacture our instruments and reagents at our manufacturing facilities in Fremont, California, Seattle, Washington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75"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7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is dependent upon our ability to increase penetration in our existing markets and expand into adjacent markets.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Our customer base includes academic and government institutions, pharmaceutical and biotechnology companies, clinical research organizations and clinical laboratories focused on cell analysis. Approximately 43% and 41% of our revenue came from sales to academic and government-owned institutions and 57% and 59% of our revenue came from sales to pharmaceutical and biotechnology companies, distributors and CROs in the three months ended June 30, 2024 and 2023,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7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75" w:lineRule="exact"/>
        <w:rPr>
          <w:sz w:val="20"/>
          <w:szCs w:val="20"/>
          <w:color w:val="auto"/>
        </w:rPr>
      </w:pPr>
    </w:p>
    <w:p>
      <w:pPr>
        <w:ind w:left="2360" w:hanging="1218"/>
        <w:spacing w:after="0" w:line="282" w:lineRule="auto"/>
        <w:tabs>
          <w:tab w:leader="none" w:pos="2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recruiting or training of talented sales force in existing and new markets to facilitate outreach and further adoption and awareness of our products;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for cell analysis;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inadequacy of evidence supporting benefits or cost-effectiveness of our products over existing alternatives;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processes;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training required to use new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or delay in the research and development activities using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and alternatives;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other novel alternative products for cell analysis.</w:t>
      </w:r>
    </w:p>
    <w:p>
      <w:pPr>
        <w:spacing w:after="0" w:line="117"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5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Approximately 43% and 41% of our revenue came from sales to academic and government-owned institutions in the three months ended June 30, 2024 and 2023,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75" w:lineRule="exact"/>
        <w:rPr>
          <w:sz w:val="20"/>
          <w:szCs w:val="20"/>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1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6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the political climate;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scientists’ and customers’ opinions of the utility of new products or services;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offerings or pricing;</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ours.</w:t>
      </w:r>
    </w:p>
    <w:p>
      <w:pPr>
        <w:spacing w:after="0" w:line="11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may experience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5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7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5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72" w:lineRule="exact"/>
        <w:rPr>
          <w:sz w:val="20"/>
          <w:szCs w:val="20"/>
          <w:color w:val="auto"/>
        </w:rPr>
      </w:pPr>
    </w:p>
    <w:p>
      <w:pPr>
        <w:jc w:val="both"/>
        <w:ind w:left="2360" w:hanging="1218"/>
        <w:spacing w:after="0" w:line="266" w:lineRule="auto"/>
        <w:tabs>
          <w:tab w:leader="none" w:pos="2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6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approvals to conduct our business in various countries;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rights;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enforcing our intellectual property and defending against third party intellectual property claims;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systems and parts and components for our products, as well as transportation delays;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that limit the ability of marketing, presales, sales, services and support teams to service customers;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could result in tariffs and other protective measures;</w:t>
      </w:r>
    </w:p>
    <w:p>
      <w:pPr>
        <w:spacing w:after="0" w:line="11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such as the ongoing war in Ukraine, the Israel and Palestine conflict, outbreak of disease, boycotts, curtailment of trade and other business restrictions; and</w:t>
      </w:r>
    </w:p>
    <w:p>
      <w:pPr>
        <w:spacing w:after="0" w:line="6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the cell analysis and life sciences tools markets. We currently compete with both established and early stage life sciences and in vitro diagnostics (“IVD”)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have substantially greater financial and other resources than us, including larger research and development, quality and regulatory staff or more established marketing and sales forces.</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competitors and potential competitors may enjoy a number of competitive advantages over us, including:</w:t>
      </w:r>
    </w:p>
    <w:p>
      <w:pPr>
        <w:spacing w:after="0" w:line="117" w:lineRule="exact"/>
        <w:rPr>
          <w:sz w:val="20"/>
          <w:szCs w:val="20"/>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and market penetration;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and capabilities;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technological and research and development resources;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intellectual property portfolios;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system reliability and robustness;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selling and marketing capabilities;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17"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and successfully introduce new and enhanced products that meet the needs of our customers.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75"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involves a lengthy and complex process and we may be unable to develop or commercialize products on a timely basis, or at all.</w:t>
      </w:r>
    </w:p>
    <w:p>
      <w:pPr>
        <w:spacing w:after="0" w:line="5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72" w:lineRule="exact"/>
        <w:rPr>
          <w:sz w:val="20"/>
          <w:szCs w:val="20"/>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necessary regulatory approval;</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engineering and manufacturing processes to accommodate different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enter into agreements with new suppliers;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w:t>
      </w:r>
    </w:p>
    <w:p>
      <w:pPr>
        <w:spacing w:after="0" w:line="117"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67"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provide reliable, high 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7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68" w:lineRule="exact"/>
        <w:rPr>
          <w:sz w:val="20"/>
          <w:szCs w:val="20"/>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orders;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warranty expenses;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engineering and manufacturing resources;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by governmental authorities;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17"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75"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June 30, 2024, we had accrued approximately $2.2 million in expenses relating to product warranty accruals. Substantial amounts of warranty claims could have an adverse effect on our business, financial condition and results of operations.</w:t>
      </w:r>
    </w:p>
    <w:p>
      <w:pPr>
        <w:spacing w:after="0" w:line="8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5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From time to time, we may pursue acquisitions of businesses and assets. For example, in February 2023, we entered into an asset purchase agreement with Luminex Corporation (“Luminex”) and acquired certain assets related to the flow cytometry and imaging (“FCI”)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5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and Wuxi, China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8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7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rely on a significant base of peer-reviewed publications to showcase and validate the importance and application of our technology in academic and clinical research settings. As of June 30, 2024, there have been more than 2,000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75"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79"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5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As of June 30, 2024, we had 645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5540" w:right="2740" w:hanging="4398"/>
        <w:spacing w:after="0" w:line="861" w:lineRule="auto"/>
        <w:tabs>
          <w:tab w:leader="none" w:pos="23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line="282" w:lineRule="auto"/>
        <w:tabs>
          <w:tab w:leader="none" w:pos="23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In connection with our financial statement close process for the year ended December 31, 2023, we identified deficiencies in the control environment and control activities components of the Committee of Sponsoring Organizations (“COSO”) framework that constitute material weaknesses, either individually or in the aggregate. Deficiencies in the control environment related to (i) the lack of a sufficient number of qualified resources within our accounting and IT functions with the appropriate level of technical accounting or other requisite knowledge to (a) timely identify and assess accounting implications of transactions; and (b) perform assigned responsibilities and have appropriate accountability for the design and operation of internal control over financial reporting.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See the section entitled “Item 4. Controls and Procedures” for additional information.</w:t>
      </w:r>
    </w:p>
    <w:p>
      <w:pPr>
        <w:spacing w:after="0" w:line="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68"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For example, we required additional time to complete our financial closing procedures and ensure appropriate accounting of various intercompany transactions and accruals at the end of the quarter ended September 30, 2023. In addition, we required additional time to complete our financial closing procedures as of the end of period ending December 31, 2023 due to a lack of internal accounting resources, resulting in a delay in obtaining and compiling required information. Accordingly, we were not able to complete the preparation, review and filing of our Quarterly Report on Form 10-Q for the quarter ended September 31, 2023, and our Annual Report on Form 10-K for the year ended December 31, 2023, within the prescribed time period without unreasonable effort or expense. Such filings were timely made on or prior to the prescribed due date pursuant to Form 12b-25, with adjustments to certain line items in the financial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statements with respect to such Annual Report.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products and/or expand our operations.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7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some of which are beyond our control, including:</w:t>
      </w:r>
    </w:p>
    <w:p>
      <w:pPr>
        <w:spacing w:after="0" w:line="117" w:lineRule="exact"/>
        <w:rPr>
          <w:sz w:val="20"/>
          <w:szCs w:val="20"/>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revenue growth;</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operations, including our sales and marketing efforts;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launching and commercializing new products, and the cost of the sales and marketing activities associated with, establishing adoption of our products;</w:t>
      </w:r>
    </w:p>
    <w:p>
      <w:pPr>
        <w:spacing w:after="0" w:line="53"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domestic and international expansion;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collaborative, licensing and other arrangements that we may establish.</w:t>
      </w:r>
    </w:p>
    <w:p>
      <w:pPr>
        <w:spacing w:after="0" w:line="11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84"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the Israel and Palestine conflict,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fluctuations may occur due to a variety of factors, many of which are outside of our control, including, but not limited to:</w:t>
      </w:r>
    </w:p>
    <w:p>
      <w:pPr>
        <w:spacing w:after="0" w:line="99" w:lineRule="exact"/>
        <w:rPr>
          <w:sz w:val="20"/>
          <w:szCs w:val="20"/>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seasonality and customer mix of the cell analysis market;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 expenses;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newly-hired salespeople become effective;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productivity of our sales force;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distribution partners in selling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in the media or publications of our products or competitive products;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arrangements with our suppliers;</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6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the industry in which we do business, including those related to widespread health crises;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financial crises and economic downturns, including those caused by widespread public health crises;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including changes in inflation, interest rates, foreign currency rates, liquidity concerns at, and failures of, banks and other financial institutions and the potential effect of such factors on revenues and expenses; and</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products may be smaller than we estimate.</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has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8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5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79" w:lineRule="exact"/>
        <w:rPr>
          <w:sz w:val="20"/>
          <w:szCs w:val="20"/>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costs;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 or new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or</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by our partners and potential partners failing to partner with us.</w:t>
      </w:r>
    </w:p>
    <w:p>
      <w:pPr>
        <w:spacing w:after="0" w:line="11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harm our business.</w:t>
      </w:r>
    </w:p>
    <w:p>
      <w:pPr>
        <w:spacing w:after="0" w:line="12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may rely upon third parties (such as service providers) for our data processing–related activities and share or receive Sensitive Information with or from third parties.</w:t>
      </w:r>
    </w:p>
    <w:p>
      <w:pPr>
        <w:spacing w:after="0" w:line="75"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We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 We and the third parties with whom we work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poses increased risks to our information technology systems and data when utilizing network connections, computers, and devices outside our premises or network.</w:t>
      </w:r>
    </w:p>
    <w:p>
      <w:pPr>
        <w:spacing w:after="0" w:line="8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generative artificial intelligence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entities, and it may be difficult to integrate companies into our information technology environment and security program.</w:t>
      </w:r>
    </w:p>
    <w:p>
      <w:pPr>
        <w:spacing w:after="0" w:line="11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84"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we may not be able to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(and have in the past caused)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7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including affected individuals, customers, regulators and investors, or to implement other requirements, such as providing credit monitoring. Such disclosures and compliance with such requirements are costly, and the disclosures or the failure to comply with such requirements could lead to adverse consequences. 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8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54"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manufacture our products at our manufacturing facilities located in Fremont and San Diego, California; Seattle, Washington;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84"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6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In addition, because our product contains metals and electronic components which are purchased from third-party vendors, we are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7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currency exchange risk.</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Our Industry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RUO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6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Currently, our Northern Lights CLC system is available for clinical use in only China and the European Union. Our Cytek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8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plan to seek approval to offer our Cytek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5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81" w:lineRule="exact"/>
        <w:rPr>
          <w:sz w:val="20"/>
          <w:szCs w:val="20"/>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on PMA approvals that have already been granted;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sanctions are applied or if regulatory clearance or approval is withdrawn, it would have a material adverse effect on our business, financial condition and results of operations.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5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84"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The imposition of tariffs and trade restrictions as a result of international trade disputes or changes in trade policies may adversely affect our sales and profitability.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CMOs may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For example, the recently proposed BIOSECURE Act introduced in the U.S. House of Representatives, as well as substantially similar bill in the U.S. Senate, target U.S. government contracts, grants and loans for entities that use equipment and services from certain named Chinese biotechnology companies, and authorizes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sanctions programs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75"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Additionally,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statutory fines for noncompliance. For example, the California Consumer Privacy Act of 2018(“CCPA”) applies to personal information of consumers, business representatives, and employees, and requires businesses to provide specific disclosures in privacy notices and honor requests of California residents to exercise certain rights related to their personal information, such as those noted below. The CCPA allows for statutory fines for noncompliance (up to $7,500 per intentional violation) and allows private litigants affected by certain data breaches to recover significant statutory damages. The CCPA and other U.S. comprehensive privacy laws exempt some data processed in the context of clinical trials, but these developments increases compliance costs and potential liability with respect to other personal information we maintain about residents in these states.</w:t>
      </w:r>
    </w:p>
    <w:p>
      <w:pPr>
        <w:spacing w:after="0" w:line="7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spacing w:after="0" w:line="72"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Furthermore, in Europe, there is a proposed regulation related to artificial intelligence (“AI”) that, if adopted, could impose onerous obligations related to the use of AI-related systems.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74" w:lineRule="exact"/>
        <w:rPr>
          <w:sz w:val="20"/>
          <w:szCs w:val="20"/>
          <w:color w:val="auto"/>
        </w:rPr>
      </w:pPr>
    </w:p>
    <w:p>
      <w:pPr>
        <w:ind w:right="20" w:firstLine="1134"/>
        <w:spacing w:after="0" w:line="235" w:lineRule="auto"/>
        <w:rPr>
          <w:sz w:val="20"/>
          <w:szCs w:val="20"/>
          <w:color w:val="auto"/>
        </w:rPr>
      </w:pPr>
      <w:r>
        <w:rPr>
          <w:rFonts w:ascii="Times New Roman" w:cs="Times New Roman" w:eastAsia="Times New Roman" w:hAnsi="Times New Roman"/>
          <w:sz w:val="18"/>
          <w:szCs w:val="18"/>
          <w:color w:val="auto"/>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GDPR generally restrict the transfer of personal information to the United States and other countries that are viewed by some regulators as to not generally provide an adequate level of data privacy and security. Although there are currently various mechanisms that may be used to transfer personal information from the EEA and UK to the United States in compliance with law, such as the EEA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 -border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are also increasingly scrutinizing certain personal data transfers and may impose data localization requirements, for example, the Biden Administration’s executive order Preventing Access to Americans’ Bulk Sensitive Personal Data and United States Government-Related Data by Countries of Concern.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 and machine 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8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82"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5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5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79" w:lineRule="exact"/>
        <w:rPr>
          <w:sz w:val="20"/>
          <w:szCs w:val="20"/>
          <w:color w:val="auto"/>
        </w:rPr>
      </w:pPr>
    </w:p>
    <w:p>
      <w:pPr>
        <w:jc w:val="both"/>
        <w:ind w:left="2360" w:hanging="1218"/>
        <w:spacing w:after="0" w:line="252" w:lineRule="auto"/>
        <w:tabs>
          <w:tab w:leader="none" w:pos="23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5" w:lineRule="exact"/>
        <w:rPr>
          <w:rFonts w:ascii="Times New Roman" w:cs="Times New Roman" w:eastAsia="Times New Roman" w:hAnsi="Times New Roman"/>
          <w:sz w:val="18"/>
          <w:szCs w:val="18"/>
          <w:color w:val="auto"/>
        </w:rPr>
      </w:pPr>
    </w:p>
    <w:p>
      <w:pPr>
        <w:jc w:val="both"/>
        <w:ind w:left="2360" w:hanging="1218"/>
        <w:spacing w:after="0" w:line="253" w:lineRule="auto"/>
        <w:tabs>
          <w:tab w:leader="none" w:pos="23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360"/>
        <w:spacing w:after="0" w:line="254" w:lineRule="auto"/>
        <w:rPr>
          <w:sz w:val="20"/>
          <w:szCs w:val="20"/>
          <w:color w:val="auto"/>
        </w:rPr>
      </w:pPr>
      <w:r>
        <w:rPr>
          <w:rFonts w:ascii="Times New Roman" w:cs="Times New Roman" w:eastAsia="Times New Roman" w:hAnsi="Times New Roman"/>
          <w:sz w:val="18"/>
          <w:szCs w:val="18"/>
          <w:color w:val="auto"/>
        </w:rPr>
        <w:t>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80" w:lineRule="exact"/>
        <w:rPr>
          <w:sz w:val="20"/>
          <w:szCs w:val="20"/>
          <w:color w:val="auto"/>
        </w:rPr>
      </w:pPr>
    </w:p>
    <w:p>
      <w:pPr>
        <w:jc w:val="both"/>
        <w:ind w:left="2360" w:hanging="1218"/>
        <w:spacing w:after="0" w:line="255" w:lineRule="auto"/>
        <w:tabs>
          <w:tab w:leader="none" w:pos="2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80" w:lineRule="exact"/>
        <w:rPr>
          <w:rFonts w:ascii="Times New Roman" w:cs="Times New Roman" w:eastAsia="Times New Roman" w:hAnsi="Times New Roman"/>
          <w:sz w:val="18"/>
          <w:szCs w:val="18"/>
          <w:color w:val="auto"/>
        </w:rPr>
      </w:pPr>
    </w:p>
    <w:p>
      <w:pPr>
        <w:jc w:val="both"/>
        <w:ind w:left="2360" w:hanging="1218"/>
        <w:spacing w:after="0" w:line="256" w:lineRule="auto"/>
        <w:tabs>
          <w:tab w:leader="none" w:pos="2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(the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79" w:lineRule="exact"/>
        <w:rPr>
          <w:rFonts w:ascii="Times New Roman" w:cs="Times New Roman" w:eastAsia="Times New Roman" w:hAnsi="Times New Roman"/>
          <w:sz w:val="18"/>
          <w:szCs w:val="18"/>
          <w:color w:val="auto"/>
        </w:rPr>
      </w:pPr>
    </w:p>
    <w:p>
      <w:pPr>
        <w:jc w:val="both"/>
        <w:ind w:left="2360" w:hanging="1218"/>
        <w:spacing w:after="0" w:line="256" w:lineRule="auto"/>
        <w:tabs>
          <w:tab w:leader="none" w:pos="2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laws govern the privacy and security of personal information, including the California Consumer Protection Act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79" w:lineRule="exact"/>
        <w:rPr>
          <w:rFonts w:ascii="Times New Roman" w:cs="Times New Roman" w:eastAsia="Times New Roman" w:hAnsi="Times New Roman"/>
          <w:sz w:val="18"/>
          <w:szCs w:val="18"/>
          <w:color w:val="auto"/>
        </w:rPr>
      </w:pPr>
    </w:p>
    <w:p>
      <w:pPr>
        <w:jc w:val="both"/>
        <w:ind w:left="2360" w:hanging="1218"/>
        <w:spacing w:after="0" w:line="255" w:lineRule="auto"/>
        <w:tabs>
          <w:tab w:leader="none" w:pos="2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80" w:lineRule="exact"/>
        <w:rPr>
          <w:rFonts w:ascii="Times New Roman" w:cs="Times New Roman" w:eastAsia="Times New Roman" w:hAnsi="Times New Roman"/>
          <w:sz w:val="18"/>
          <w:szCs w:val="18"/>
          <w:color w:val="auto"/>
        </w:rPr>
      </w:pPr>
    </w:p>
    <w:p>
      <w:pPr>
        <w:jc w:val="both"/>
        <w:ind w:left="2360" w:hanging="1218"/>
        <w:spacing w:after="0" w:line="256" w:lineRule="auto"/>
        <w:tabs>
          <w:tab w:leader="none" w:pos="2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2360"/>
        <w:spacing w:after="0" w:line="266" w:lineRule="auto"/>
        <w:rPr>
          <w:sz w:val="20"/>
          <w:szCs w:val="20"/>
          <w:color w:val="auto"/>
        </w:rPr>
      </w:pPr>
      <w:r>
        <w:rPr>
          <w:rFonts w:ascii="Times New Roman" w:cs="Times New Roman" w:eastAsia="Times New Roman" w:hAnsi="Times New Roman"/>
          <w:sz w:val="18"/>
          <w:szCs w:val="18"/>
          <w:color w:val="auto"/>
        </w:rPr>
        <w:t>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75"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80"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6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negate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w:t>
      </w:r>
    </w:p>
    <w:p>
      <w:pPr>
        <w:spacing w:after="0" w:line="84"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72"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86"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Including rights acquired in connection with the FCI Acquisition, as of June 30, 2024, we own 35 issued U.S. utility patents, ten issued Japan utility patents, seven issued European utility patents, three issued China utility patents, one Canada utility patent, one India utility patent, two Australian utility patents, and three Singapore utility patents. We have 64 pending utility patent applications, including 40 utility patent applications in the United States, two international utility patent applications, nine utility patent applications in the European Union, eight utility patent applications in China, and four utility patent applications in Japan. Assuming all maintenance fees are paid, the U.S. issued patents are expected to naturally expire between years 2025 and 2038. Patents covering intellectual property relating to design specific technologies invented by our researchers in Shanghai and Wuxi, China are filed in China and owned by our China subsidiaries, respectively. As of June 30, 2024, our Shanghai subsidiary owns 13 issued utility patents and eight issued invention patents and has two pending invention patent applications, and our Wuxi subsidiary owns 39 issued patents and has eight pending patent applications, including three pending utility model patent applications and five pending invention patent applications.</w:t>
      </w:r>
    </w:p>
    <w:p>
      <w:pPr>
        <w:spacing w:after="0" w:line="80"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72"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8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81"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8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8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75"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5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8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6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6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84"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current and any future products.</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third-party was the first to invent the claimed invention. A third-party that files a patent application in the USPTO after March 15,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8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68"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84"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5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75"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8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86"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82"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72"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8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5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75"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80"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6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8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8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8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a key information technology system, process, or site could have an adverse effect on our business.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compromise our ability to offer our services and subject us to possible litigation.</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 and our stockholders may not be able to resell shares of our common stock at or above the price they paid.</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68" w:lineRule="exact"/>
        <w:rPr>
          <w:sz w:val="20"/>
          <w:szCs w:val="20"/>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adoption of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investors;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including as a result of anticipated or unanticipated demand based on seasonal factors;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issues related to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 as well as the anticipation of lock-up releases;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hanging="1218"/>
        <w:spacing w:after="0"/>
        <w:tabs>
          <w:tab w:leader="none" w:pos="2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any of our third-party distribution partners and suppliers, including our single and sole-source suppliers;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engage additional distribution partners and establish collaborations, if needed;</w:t>
      </w:r>
    </w:p>
    <w:p>
      <w:pPr>
        <w:spacing w:after="0" w:line="117"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53"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 including economic recessions or slowdowns, the ongoing war in Ukraine and the general inflationary environment; and</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5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5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6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addition, we may offer and sell up to $150 million shares of common stock registered under our universal shelf registration statement on Form S-3 pursuant to the Sales Agreement with Piper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spacing w:after="0" w:line="75"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5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Based on the number of shares of common stock outstanding as of June 30, 2024, our executive officers, directors, holders of 5% or more of our common stock and their respective affiliates (based on filings with the SEC), in the aggregate, own approximately 50.7%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of our shares and have held their shares for a longer period, they may be more interested in selling our company to an acquirer than other investors, or they may want us to pursue strategies that deviate from the interests of other stockholders.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5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2360" w:hanging="1218"/>
        <w:spacing w:after="0" w:line="282"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60" w:right="20"/>
        <w:spacing w:after="0" w:line="282" w:lineRule="auto"/>
        <w:rPr>
          <w:sz w:val="20"/>
          <w:szCs w:val="20"/>
          <w:color w:val="auto"/>
        </w:rPr>
      </w:pPr>
      <w:r>
        <w:rPr>
          <w:rFonts w:ascii="Times New Roman" w:cs="Times New Roman" w:eastAsia="Times New Roman" w:hAnsi="Times New Roman"/>
          <w:sz w:val="18"/>
          <w:szCs w:val="18"/>
          <w:color w:val="auto"/>
        </w:rPr>
        <w:t>the approval of not less than two-thirds of all outstanding shares of our voting stock then entitled to vote in the election of directors;</w:t>
      </w:r>
    </w:p>
    <w:p>
      <w:pPr>
        <w:spacing w:after="0" w:line="54" w:lineRule="exact"/>
        <w:rPr>
          <w:sz w:val="20"/>
          <w:szCs w:val="20"/>
          <w:color w:val="auto"/>
        </w:rPr>
      </w:pPr>
    </w:p>
    <w:p>
      <w:pPr>
        <w:ind w:left="2360" w:hanging="1218"/>
        <w:spacing w:after="0" w:line="282" w:lineRule="auto"/>
        <w:tabs>
          <w:tab w:leader="none" w:pos="23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68"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86"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of 1933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expect such expenses to further increase as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5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6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on any particular metric to forecast our future results may result in forecasts that differ significantly from our own.</w:t>
      </w:r>
    </w:p>
    <w:p>
      <w:pPr>
        <w:spacing w:after="0" w:line="11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 to offset future taxable income may be subject to certain limitations.</w:t>
      </w:r>
    </w:p>
    <w:p>
      <w:pPr>
        <w:spacing w:after="0" w:line="20" w:lineRule="exact"/>
        <w:rPr>
          <w:sz w:val="20"/>
          <w:szCs w:val="20"/>
          <w:color w:val="auto"/>
        </w:rPr>
      </w:pPr>
    </w:p>
    <w:p>
      <w:pPr>
        <w:ind w:right="60" w:firstLine="1134"/>
        <w:spacing w:after="0" w:line="23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In addition, there may be other limitations under state law on our ability to utilize NOLs, including temporary suspensions or other limitations on the use of NOLs to offset taxable income. We determined that an ownership change occurred on September 7, 2018, October 23, 2020, and in connection with our IPO on July 23, 2021. As of December 31, 2023, we had not experienced an ownership change subsequent to the ownership change on July 23,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2360" w:hanging="1218"/>
        <w:spacing w:after="0" w:line="282" w:lineRule="auto"/>
        <w:tabs>
          <w:tab w:leader="none" w:pos="23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117" w:lineRule="exact"/>
        <w:rPr>
          <w:rFonts w:ascii="Times New Roman" w:cs="Times New Roman" w:eastAsia="Times New Roman" w:hAnsi="Times New Roman"/>
          <w:sz w:val="18"/>
          <w:szCs w:val="18"/>
          <w:color w:val="auto"/>
        </w:rPr>
      </w:pPr>
    </w:p>
    <w:p>
      <w:pPr>
        <w:jc w:val="both"/>
        <w:ind w:left="2360" w:hanging="1218"/>
        <w:spacing w:after="0" w:line="266" w:lineRule="auto"/>
        <w:tabs>
          <w:tab w:leader="none" w:pos="23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6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1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and regulations may have a material adverse effect on our business, financial condition and results of operations.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5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June 6, 2024, the Board approved a program for the repurchase by the Company of up to an aggregate of $50 million of its outstanding common stock. As of June 30, 2024, there was approximately $47.3 million remaining under this program. The repurchase program was used to return capital to shareholders and to minimize the dilutive impact of stock options and other share-based awards. The repurchased shares of common stock were retired.</w:t>
      </w:r>
    </w:p>
    <w:p>
      <w:pPr>
        <w:spacing w:after="0" w:line="7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 June 30, 2024.</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720" w:type="dxa"/>
            <w:vAlign w:val="bottom"/>
            <w:tcBorders>
              <w:top w:val="single" w:sz="8" w:color="auto"/>
              <w:left w:val="single" w:sz="8" w:color="auto"/>
              <w:right w:val="single" w:sz="8" w:color="auto"/>
            </w:tcBorders>
          </w:tcPr>
          <w:p>
            <w:pPr>
              <w:spacing w:after="0"/>
              <w:rPr>
                <w:sz w:val="15"/>
                <w:szCs w:val="15"/>
                <w:color w:val="auto"/>
              </w:rPr>
            </w:pPr>
          </w:p>
        </w:tc>
        <w:tc>
          <w:tcPr>
            <w:tcW w:w="172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1720" w:type="dxa"/>
            <w:vAlign w:val="bottom"/>
            <w:tcBorders>
              <w:top w:val="single" w:sz="8" w:color="auto"/>
              <w:right w:val="single" w:sz="8" w:color="auto"/>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40" w:type="dxa"/>
            <w:vAlign w:val="bottom"/>
            <w:tcBorders>
              <w:top w:val="single" w:sz="8" w:color="auto"/>
              <w:right w:val="single" w:sz="8" w:color="auto"/>
            </w:tcBorders>
            <w:gridSpan w:val="2"/>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Remaining dollar that</w:t>
            </w: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for</w:t>
            </w:r>
          </w:p>
        </w:tc>
        <w:tc>
          <w:tcPr>
            <w:tcW w:w="1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740" w:type="dxa"/>
            <w:vAlign w:val="bottom"/>
            <w:tcBorders>
              <w:right w:val="single" w:sz="8" w:color="auto"/>
            </w:tcBorders>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172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vMerge w:val="continue"/>
          </w:tcPr>
          <w:p>
            <w:pPr>
              <w:spacing w:after="0"/>
              <w:rPr>
                <w:sz w:val="14"/>
                <w:szCs w:val="14"/>
                <w:color w:val="auto"/>
              </w:rPr>
            </w:pPr>
          </w:p>
        </w:tc>
        <w:tc>
          <w:tcPr>
            <w:tcW w:w="1740" w:type="dxa"/>
            <w:vAlign w:val="bottom"/>
            <w:tcBorders>
              <w:right w:val="single" w:sz="8" w:color="auto"/>
            </w:tcBorders>
            <w:gridSpan w:val="2"/>
            <w:vMerge w:val="continue"/>
          </w:tcPr>
          <w:p>
            <w:pPr>
              <w:spacing w:after="0"/>
              <w:rPr>
                <w:sz w:val="14"/>
                <w:szCs w:val="14"/>
                <w:color w:val="auto"/>
              </w:rPr>
            </w:pPr>
          </w:p>
        </w:tc>
        <w:tc>
          <w:tcPr>
            <w:tcW w:w="1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740" w:type="dxa"/>
            <w:vAlign w:val="bottom"/>
            <w:tcBorders>
              <w:right w:val="single" w:sz="8" w:color="auto"/>
            </w:tcBorders>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86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plans or programs </w:t>
            </w:r>
            <w:r>
              <w:rPr>
                <w:rFonts w:ascii="Times New Roman" w:cs="Times New Roman" w:eastAsia="Times New Roman" w:hAnsi="Times New Roman"/>
                <w:sz w:val="21"/>
                <w:szCs w:val="21"/>
                <w:b w:val="1"/>
                <w:bCs w:val="1"/>
                <w:color w:val="auto"/>
                <w:vertAlign w:val="superscript"/>
              </w:rPr>
              <w:t>(1)</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April 1 - April 30, 2024</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May 1 - May 31, 2024</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1 - June 30, 2024</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444,319</w:t>
            </w:r>
          </w:p>
        </w:tc>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5.99</w:t>
            </w:r>
          </w:p>
        </w:tc>
        <w:tc>
          <w:tcPr>
            <w:tcW w:w="1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7,058,099</w:t>
            </w:r>
          </w:p>
        </w:tc>
        <w:tc>
          <w:tcPr>
            <w:tcW w:w="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47,300,000</w:t>
            </w: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Life to Date Total</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444,319</w:t>
            </w: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5.99</w:t>
            </w:r>
          </w:p>
        </w:tc>
        <w:tc>
          <w:tcPr>
            <w:tcW w:w="1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7,058,099</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-590550</wp:posOffset>
            </wp:positionV>
            <wp:extent cx="254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-590550</wp:posOffset>
            </wp:positionV>
            <wp:extent cx="254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22" w:lineRule="exact"/>
        <w:rPr>
          <w:sz w:val="20"/>
          <w:szCs w:val="20"/>
          <w:color w:val="auto"/>
        </w:rPr>
      </w:pPr>
    </w:p>
    <w:p>
      <w:pPr>
        <w:ind w:right="420"/>
        <w:spacing w:after="0" w:line="223" w:lineRule="auto"/>
        <w:rPr>
          <w:sz w:val="20"/>
          <w:szCs w:val="20"/>
          <w:color w:val="auto"/>
        </w:rPr>
      </w:pPr>
      <w:r>
        <w:rPr>
          <w:rFonts w:ascii="Times New Roman" w:cs="Times New Roman" w:eastAsia="Times New Roman" w:hAnsi="Times New Roman"/>
          <w:sz w:val="28"/>
          <w:szCs w:val="28"/>
          <w:color w:val="008080"/>
          <w:vertAlign w:val="superscript"/>
        </w:rPr>
        <w:t>(1)</w:t>
      </w:r>
      <w:r>
        <w:rPr>
          <w:rFonts w:ascii="Times New Roman" w:cs="Times New Roman" w:eastAsia="Times New Roman" w:hAnsi="Times New Roman"/>
          <w:sz w:val="18"/>
          <w:szCs w:val="18"/>
          <w:color w:val="auto"/>
        </w:rPr>
        <w:t>On June 6, 2024, the Board approved a program for the repurchase by the Company of up to an aggregate of $50 million of its outstanding common stock. The repurchase program will expire on December 31,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21"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our directors and officers (as defined in Rule 16a-1(f) under the Exchange Act) adopted or terminated a “Rule 10b5-1 trading arrangement” or “non-Rule-10b5-1 trading arrangement,” as each term is defined in Item 408(a) of Regulation S-K as set forth in the table below:</w:t>
      </w:r>
    </w:p>
    <w:tbl>
      <w:tblPr>
        <w:tblLayout w:type="fixed"/>
        <w:tblInd w:w="10" w:type="dxa"/>
        <w:tblCellMar>
          <w:top w:w="0" w:type="dxa"/>
          <w:left w:w="0" w:type="dxa"/>
          <w:bottom w:w="0" w:type="dxa"/>
          <w:right w:w="0" w:type="dxa"/>
        </w:tblCellMar>
      </w:tblPr>
      <w:tr>
        <w:trPr>
          <w:trHeight w:val="249"/>
        </w:trPr>
        <w:tc>
          <w:tcPr>
            <w:tcW w:w="16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600" w:type="dxa"/>
            <w:vAlign w:val="bottom"/>
            <w:tcBorders>
              <w:top w:val="single" w:sz="8" w:color="auto"/>
              <w:bottom w:val="single" w:sz="8" w:color="auto"/>
              <w:right w:val="single" w:sz="8" w:color="auto"/>
            </w:tcBorders>
          </w:tcPr>
          <w:p>
            <w:pPr>
              <w:spacing w:after="0"/>
              <w:rPr>
                <w:sz w:val="21"/>
                <w:szCs w:val="21"/>
                <w:color w:val="auto"/>
              </w:rPr>
            </w:pPr>
          </w:p>
        </w:tc>
        <w:tc>
          <w:tcPr>
            <w:tcW w:w="1600" w:type="dxa"/>
            <w:vAlign w:val="bottom"/>
            <w:tcBorders>
              <w:top w:val="single" w:sz="8" w:color="auto"/>
              <w:bottom w:val="single" w:sz="8" w:color="auto"/>
              <w:right w:val="single" w:sz="8" w:color="auto"/>
            </w:tcBorders>
          </w:tcPr>
          <w:p>
            <w:pPr>
              <w:spacing w:after="0"/>
              <w:rPr>
                <w:sz w:val="21"/>
                <w:szCs w:val="21"/>
                <w:color w:val="auto"/>
              </w:rPr>
            </w:pPr>
          </w:p>
        </w:tc>
        <w:tc>
          <w:tcPr>
            <w:tcW w:w="3200" w:type="dxa"/>
            <w:vAlign w:val="bottom"/>
            <w:tcBorders>
              <w:top w:val="single" w:sz="8" w:color="auto"/>
              <w:bottom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1620" w:type="dxa"/>
            <w:vAlign w:val="bottom"/>
            <w:tcBorders>
              <w:top w:val="single" w:sz="8" w:color="auto"/>
              <w:bottom w:val="single" w:sz="8" w:color="auto"/>
              <w:right w:val="single" w:sz="8" w:color="auto"/>
            </w:tcBorders>
          </w:tcPr>
          <w:p>
            <w:pPr>
              <w:spacing w:after="0"/>
              <w:rPr>
                <w:sz w:val="21"/>
                <w:szCs w:val="21"/>
                <w:color w:val="auto"/>
              </w:rPr>
            </w:pPr>
          </w:p>
        </w:tc>
        <w:tc>
          <w:tcPr>
            <w:tcW w:w="1600" w:type="dxa"/>
            <w:vAlign w:val="bottom"/>
            <w:tcBorders>
              <w:top w:val="single" w:sz="8" w:color="auto"/>
              <w:bottom w:val="single" w:sz="8" w:color="auto"/>
              <w:right w:val="single" w:sz="8" w:color="auto"/>
            </w:tcBorders>
          </w:tcPr>
          <w:p>
            <w:pPr>
              <w:spacing w:after="0"/>
              <w:rPr>
                <w:sz w:val="21"/>
                <w:szCs w:val="21"/>
                <w:color w:val="auto"/>
              </w:rPr>
            </w:pPr>
          </w:p>
        </w:tc>
      </w:tr>
      <w:tr>
        <w:trPr>
          <w:trHeight w:val="194"/>
        </w:trPr>
        <w:tc>
          <w:tcPr>
            <w:tcW w:w="1600" w:type="dxa"/>
            <w:vAlign w:val="bottom"/>
            <w:tcBorders>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Name and Position</w:t>
            </w:r>
          </w:p>
        </w:tc>
        <w:tc>
          <w:tcPr>
            <w:tcW w:w="16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Action</w:t>
            </w:r>
          </w:p>
        </w:tc>
        <w:tc>
          <w:tcPr>
            <w:tcW w:w="16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Adoption/</w:t>
            </w:r>
          </w:p>
        </w:tc>
        <w:tc>
          <w:tcPr>
            <w:tcW w:w="16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Rule 10b5-1*</w:t>
            </w:r>
          </w:p>
        </w:tc>
        <w:tc>
          <w:tcPr>
            <w:tcW w:w="160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Non- Rule 10b5-1**</w:t>
            </w:r>
          </w:p>
        </w:tc>
        <w:tc>
          <w:tcPr>
            <w:tcW w:w="16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Shares of</w:t>
            </w:r>
          </w:p>
        </w:tc>
        <w:tc>
          <w:tcPr>
            <w:tcW w:w="16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Termination Date</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Common Stock to</w:t>
            </w:r>
          </w:p>
        </w:tc>
        <w:tc>
          <w:tcPr>
            <w:tcW w:w="1600" w:type="dxa"/>
            <w:vAlign w:val="bottom"/>
            <w:tcBorders>
              <w:right w:val="single" w:sz="8" w:color="auto"/>
            </w:tcBorders>
          </w:tcPr>
          <w:p>
            <w:pPr>
              <w:spacing w:after="0"/>
              <w:rPr>
                <w:sz w:val="17"/>
                <w:szCs w:val="17"/>
                <w:color w:val="auto"/>
              </w:rPr>
            </w:pPr>
          </w:p>
        </w:tc>
      </w:tr>
      <w:tr>
        <w:trPr>
          <w:trHeight w:val="238"/>
        </w:trPr>
        <w:tc>
          <w:tcPr>
            <w:tcW w:w="1600" w:type="dxa"/>
            <w:vAlign w:val="bottom"/>
            <w:tcBorders>
              <w:left w:val="single" w:sz="8" w:color="auto"/>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 Sold</w:t>
            </w:r>
          </w:p>
        </w:tc>
        <w:tc>
          <w:tcPr>
            <w:tcW w:w="1600" w:type="dxa"/>
            <w:vAlign w:val="bottom"/>
            <w:tcBorders>
              <w:right w:val="single" w:sz="8" w:color="auto"/>
            </w:tcBorders>
          </w:tcPr>
          <w:p>
            <w:pPr>
              <w:spacing w:after="0"/>
              <w:rPr>
                <w:sz w:val="20"/>
                <w:szCs w:val="20"/>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91"/>
        </w:trPr>
        <w:tc>
          <w:tcPr>
            <w:tcW w:w="16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Ming Yan , Chief</w:t>
            </w:r>
          </w:p>
        </w:tc>
        <w:tc>
          <w:tcPr>
            <w:tcW w:w="16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 xml:space="preserve">Termination </w:t>
            </w:r>
            <w:r>
              <w:rPr>
                <w:rFonts w:ascii="Times New Roman" w:cs="Times New Roman" w:eastAsia="Times New Roman" w:hAnsi="Times New Roman"/>
                <w:sz w:val="22"/>
                <w:szCs w:val="22"/>
                <w:color w:val="auto"/>
                <w:vertAlign w:val="superscript"/>
              </w:rPr>
              <w:t>1</w:t>
            </w:r>
          </w:p>
        </w:tc>
        <w:tc>
          <w:tcPr>
            <w:tcW w:w="16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May 28, 2024</w:t>
            </w:r>
          </w:p>
        </w:tc>
        <w:tc>
          <w:tcPr>
            <w:tcW w:w="16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X</w:t>
            </w:r>
          </w:p>
        </w:tc>
        <w:tc>
          <w:tcPr>
            <w:tcW w:w="160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1,280,000</w:t>
            </w:r>
          </w:p>
        </w:tc>
        <w:tc>
          <w:tcPr>
            <w:tcW w:w="16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14, 2025</w:t>
            </w:r>
          </w:p>
        </w:tc>
      </w:tr>
      <w:tr>
        <w:trPr>
          <w:trHeight w:val="203"/>
        </w:trPr>
        <w:tc>
          <w:tcPr>
            <w:tcW w:w="160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Technology Officer</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r>
      <w:tr>
        <w:trPr>
          <w:trHeight w:val="234"/>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Director</w:t>
            </w: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r>
      <w:tr>
        <w:trPr>
          <w:trHeight w:val="27"/>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0"/>
          <w:szCs w:val="20"/>
          <w:color w:val="auto"/>
        </w:rPr>
      </w:pPr>
    </w:p>
    <w:p>
      <w:pPr>
        <w:ind w:right="1360" w:firstLine="8"/>
        <w:spacing w:after="0" w:line="266" w:lineRule="auto"/>
        <w:tabs>
          <w:tab w:leader="none" w:pos="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instructions, or written plan intended to satisfy the affirmative defense conditions of Rule 10b5-1(c) under the Exchange Act. ** “Non-Rule 10b5-1 trading arrangement” as defined in Item 408(c) of Regulation S-K under the Exchange 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Represents the termination of a written plan intended to satisfy the affirmative defense conditions of Rule 10b5-1(c) adopted on November 30, 2023.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5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6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gridSpan w:val="12"/>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0" w:type="dxa"/>
            <w:vAlign w:val="bottom"/>
            <w:gridSpan w:val="12"/>
            <w:vMerge w:val="continue"/>
          </w:tcPr>
          <w:p>
            <w:pPr>
              <w:spacing w:after="0"/>
              <w:rPr>
                <w:sz w:val="16"/>
                <w:szCs w:val="16"/>
                <w:color w:val="auto"/>
              </w:rPr>
            </w:pPr>
          </w:p>
        </w:tc>
        <w:tc>
          <w:tcPr>
            <w:tcW w:w="8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240" w:type="dxa"/>
            <w:vAlign w:val="bottom"/>
          </w:tcPr>
          <w:p>
            <w:pPr>
              <w:spacing w:after="0"/>
              <w:rPr>
                <w:sz w:val="16"/>
                <w:szCs w:val="16"/>
                <w:color w:val="auto"/>
              </w:rPr>
            </w:pPr>
          </w:p>
        </w:tc>
        <w:tc>
          <w:tcPr>
            <w:tcW w:w="10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126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18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5"/>
          </w:tcPr>
          <w:p>
            <w:pPr>
              <w:spacing w:after="0" w:line="196"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Amended and Restated Certificate of Incorporation</w:t>
              </w:r>
            </w:hyperlink>
          </w:p>
        </w:tc>
        <w:tc>
          <w:tcPr>
            <w:tcW w:w="680" w:type="dxa"/>
            <w:vAlign w:val="bottom"/>
            <w:gridSpan w:val="8"/>
          </w:tcPr>
          <w:p>
            <w:pPr>
              <w:spacing w:after="0"/>
              <w:rPr>
                <w:sz w:val="17"/>
                <w:szCs w:val="17"/>
                <w:color w:val="auto"/>
              </w:rPr>
            </w:pPr>
          </w:p>
        </w:tc>
        <w:tc>
          <w:tcPr>
            <w:tcW w:w="8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3"/>
          </w:tcPr>
          <w:p>
            <w:pPr>
              <w:jc w:val="center"/>
              <w:spacing w:after="0" w:line="19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001-40632</w:t>
              </w:r>
            </w:hyperlink>
          </w:p>
        </w:tc>
        <w:tc>
          <w:tcPr>
            <w:tcW w:w="1260" w:type="dxa"/>
            <w:vAlign w:val="bottom"/>
            <w:gridSpan w:val="3"/>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07/27/2021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2"/>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Amended and Restated Bylaws</w:t>
              </w:r>
            </w:hyperlink>
          </w:p>
        </w:tc>
        <w:tc>
          <w:tcPr>
            <w:tcW w:w="1420" w:type="dxa"/>
            <w:vAlign w:val="bottom"/>
            <w:gridSpan w:val="3"/>
          </w:tcPr>
          <w:p>
            <w:pPr>
              <w:spacing w:after="0"/>
              <w:rPr>
                <w:sz w:val="20"/>
                <w:szCs w:val="20"/>
                <w:color w:val="auto"/>
              </w:rPr>
            </w:pPr>
          </w:p>
        </w:tc>
        <w:tc>
          <w:tcPr>
            <w:tcW w:w="680" w:type="dxa"/>
            <w:vAlign w:val="bottom"/>
            <w:gridSpan w:val="8"/>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3"/>
          </w:tcPr>
          <w:p>
            <w:pPr>
              <w:jc w:val="cente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001-40632</w:t>
              </w:r>
            </w:hyperlink>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07/27/2021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31.1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by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31.2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Rule 13a-14(a) or Rule 15d-14(a) of the Securities</w:t>
            </w:r>
          </w:p>
        </w:tc>
        <w:tc>
          <w:tcPr>
            <w:tcW w:w="26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tcBorders>
              <w:top w:val="single" w:sz="8" w:color="0000FF"/>
            </w:tcBorders>
            <w:gridSpan w:val="8"/>
          </w:tcPr>
          <w:p>
            <w:pPr>
              <w:spacing w:after="0"/>
              <w:rPr>
                <w:sz w:val="15"/>
                <w:szCs w:val="15"/>
                <w:color w:val="auto"/>
              </w:rPr>
            </w:pPr>
          </w:p>
        </w:tc>
        <w:tc>
          <w:tcPr>
            <w:tcW w:w="14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w:t>
            </w:r>
          </w:p>
        </w:tc>
        <w:tc>
          <w:tcPr>
            <w:tcW w:w="400" w:type="dxa"/>
            <w:vAlign w:val="bottom"/>
            <w:gridSpan w:val="5"/>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32.2*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w:t>
            </w:r>
          </w:p>
        </w:tc>
        <w:tc>
          <w:tcPr>
            <w:tcW w:w="460" w:type="dxa"/>
            <w:vAlign w:val="bottom"/>
            <w:gridSpan w:val="7"/>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101.INS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87"/>
        </w:trPr>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formatted as inline XBRL and contained in Exhibits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17" w:lineRule="exact"/>
        <w:rPr>
          <w:sz w:val="20"/>
          <w:szCs w:val="20"/>
          <w:color w:val="auto"/>
        </w:rPr>
      </w:pPr>
    </w:p>
    <w:p>
      <w:pPr>
        <w:jc w:val="both"/>
        <w:ind w:left="180" w:hanging="172"/>
        <w:spacing w:after="0" w:line="261" w:lineRule="auto"/>
        <w:tabs>
          <w:tab w:leader="none" w:pos="1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324"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5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5080" w:val="left"/>
          <w:tab w:leader="none" w:pos="762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McCombe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26035</wp:posOffset>
            </wp:positionV>
            <wp:extent cx="3549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William McCombe</w:t>
      </w:r>
    </w:p>
    <w:p>
      <w:pPr>
        <w:spacing w:after="0" w:line="5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Wenbin Jiang, Ph.D., certify that:</w:t>
      </w:r>
    </w:p>
    <w:p>
      <w:pPr>
        <w:spacing w:after="0" w:line="252"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154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1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/s/ Wenbin Jiang, Ph.D.</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McCombe, certify that:</w:t>
      </w:r>
    </w:p>
    <w:p>
      <w:pPr>
        <w:spacing w:after="0" w:line="252" w:lineRule="exact"/>
        <w:rPr>
          <w:sz w:val="20"/>
          <w:szCs w:val="20"/>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Cytek Biosciences, Inc.;</w:t>
      </w:r>
    </w:p>
    <w:p>
      <w:pPr>
        <w:spacing w:after="0" w:line="27" w:lineRule="exact"/>
        <w:rPr>
          <w:rFonts w:ascii="Times New Roman" w:cs="Times New Roman" w:eastAsia="Times New Roman" w:hAnsi="Times New Roman"/>
          <w:sz w:val="18"/>
          <w:szCs w:val="18"/>
          <w:color w:val="auto"/>
        </w:rPr>
      </w:pPr>
    </w:p>
    <w:p>
      <w:pPr>
        <w:ind w:left="260" w:right="20" w:hanging="252"/>
        <w:spacing w:after="0" w:line="265" w:lineRule="auto"/>
        <w:tabs>
          <w:tab w:leader="none" w:pos="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480" w:hanging="252"/>
        <w:spacing w:after="0" w:line="250"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00" w:hanging="252"/>
        <w:spacing w:after="0" w:line="255"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77" w:lineRule="exact"/>
        <w:rPr>
          <w:rFonts w:ascii="Times New Roman" w:cs="Times New Roman" w:eastAsia="Times New Roman" w:hAnsi="Times New Roman"/>
          <w:sz w:val="18"/>
          <w:szCs w:val="18"/>
          <w:color w:val="auto"/>
        </w:rPr>
      </w:pPr>
    </w:p>
    <w:p>
      <w:pPr>
        <w:ind w:left="1800" w:right="60" w:hanging="820"/>
        <w:spacing w:after="0" w:line="266" w:lineRule="auto"/>
        <w:tabs>
          <w:tab w:leader="none" w:pos="17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380" w:hanging="820"/>
        <w:spacing w:after="0" w:line="266" w:lineRule="auto"/>
        <w:tabs>
          <w:tab w:leader="none" w:pos="17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20" w:hanging="820"/>
        <w:spacing w:after="0" w:line="266" w:lineRule="auto"/>
        <w:tabs>
          <w:tab w:leader="none" w:pos="17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20" w:hanging="820"/>
        <w:spacing w:after="0" w:line="266" w:lineRule="auto"/>
        <w:tabs>
          <w:tab w:leader="none" w:pos="17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right="60" w:hanging="820"/>
        <w:spacing w:after="0" w:line="312" w:lineRule="auto"/>
        <w:tabs>
          <w:tab w:leader="none" w:pos="179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800" w:right="260" w:hanging="820"/>
        <w:spacing w:after="0" w:line="282" w:lineRule="auto"/>
        <w:tabs>
          <w:tab w:leader="none" w:pos="17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1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By:</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McCombe</w:t>
            </w:r>
          </w:p>
        </w:tc>
      </w:tr>
      <w:tr>
        <w:trPr>
          <w:trHeight w:val="20"/>
        </w:trPr>
        <w:tc>
          <w:tcPr>
            <w:tcW w:w="2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5"/>
        </w:trPr>
        <w:tc>
          <w:tcPr>
            <w:tcW w:w="2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William McCombe</w:t>
            </w:r>
          </w:p>
        </w:tc>
      </w:tr>
      <w:tr>
        <w:trPr>
          <w:trHeight w:val="229"/>
        </w:trPr>
        <w:tc>
          <w:tcPr>
            <w:tcW w:w="2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103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June 30, 2024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1620" w:hanging="1045"/>
        <w:spacing w:after="0" w:line="282" w:lineRule="auto"/>
        <w:tabs>
          <w:tab w:leader="none" w:pos="161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ind w:left="20"/>
        <w:spacing w:after="0"/>
        <w:tabs>
          <w:tab w:leader="none" w:pos="3320" w:val="left"/>
          <w:tab w:leader="none" w:pos="400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Wenbin Jiang, Ph.D.</w:t>
      </w:r>
    </w:p>
    <w:p>
      <w:pPr>
        <w:spacing w:after="0" w:line="6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94" w:name="page95"/>
    <w:bookmarkEnd w:id="94"/>
    <w:p>
      <w:pPr>
        <w:ind w:left="102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Cytek Biosciences, Inc. (the “Company”) for the period ended June 30, 2024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spacing w:after="0" w:line="72" w:lineRule="exact"/>
        <w:rPr>
          <w:sz w:val="20"/>
          <w:szCs w:val="20"/>
          <w:color w:val="auto"/>
        </w:rPr>
      </w:pPr>
    </w:p>
    <w:p>
      <w:pPr>
        <w:ind w:left="1620" w:hanging="1045"/>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1620" w:right="20" w:hanging="1045"/>
        <w:spacing w:after="0" w:line="282" w:lineRule="auto"/>
        <w:tabs>
          <w:tab w:leader="none" w:pos="16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ind w:left="700"/>
        <w:spacing w:after="0"/>
        <w:tabs>
          <w:tab w:leader="none" w:pos="3320" w:val="left"/>
          <w:tab w:leader="none" w:pos="428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William McCombe</w:t>
      </w:r>
    </w:p>
    <w:p>
      <w:pPr>
        <w:spacing w:after="0" w:line="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William McCombe</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1"/>
    </w:lvl>
  </w:abstractNum>
  <w:abstractNum w:abstractNumId="5">
    <w:nsid w:val="333AB105"/>
    <w:multiLevelType w:val="hybridMultilevel"/>
    <w:lvl w:ilvl="0">
      <w:lvlJc w:val="left"/>
      <w:lvlText w:val="(%1)"/>
      <w:numFmt w:val="lowerRoman"/>
      <w:start w:val="3"/>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08" Type="http://schemas.openxmlformats.org/officeDocument/2006/relationships/hyperlink" Target="https://www.sec.gov/Archives/edgar/data/1831915/000119312521225716/d183956dex31.htm" TargetMode="External"/><Relationship Id="rId109"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2024-08-06T16:41:46Z</dcterms:created>
  <dcterms:modified xsi:type="dcterms:W3CDTF">2024-08-06T16:41:46Z</dcterms:modified>
</cp:coreProperties>
</file>